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2D0ABF5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3C383ACE" w:rsidR="008E314D" w:rsidRDefault="002A5367"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Framingham Public Schools</w:t>
      </w:r>
    </w:p>
    <w:p w14:paraId="0B963AD9" w14:textId="77777777" w:rsidR="00F948B2"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p>
    <w:p w14:paraId="3575704A" w14:textId="3C650C50" w:rsidR="008E314D" w:rsidRDefault="002A5367"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February 25–28, 2019</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3381CA3D" w14:textId="000CDD3D" w:rsidR="001C7A6B"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536687547" w:history="1">
        <w:r w:rsidR="001C7A6B" w:rsidRPr="00157B5E">
          <w:rPr>
            <w:rStyle w:val="Hyperlink"/>
          </w:rPr>
          <w:t>Executive Summary</w:t>
        </w:r>
        <w:r w:rsidR="001C7A6B">
          <w:rPr>
            <w:webHidden/>
          </w:rPr>
          <w:tab/>
        </w:r>
        <w:r w:rsidR="001C7A6B">
          <w:rPr>
            <w:webHidden/>
          </w:rPr>
          <w:fldChar w:fldCharType="begin"/>
        </w:r>
        <w:r w:rsidR="001C7A6B">
          <w:rPr>
            <w:webHidden/>
          </w:rPr>
          <w:instrText xml:space="preserve"> PAGEREF _Toc536687547 \h </w:instrText>
        </w:r>
        <w:r w:rsidR="001C7A6B">
          <w:rPr>
            <w:webHidden/>
          </w:rPr>
        </w:r>
        <w:r w:rsidR="001C7A6B">
          <w:rPr>
            <w:webHidden/>
          </w:rPr>
          <w:fldChar w:fldCharType="separate"/>
        </w:r>
        <w:r w:rsidR="00CC3A6F">
          <w:rPr>
            <w:webHidden/>
          </w:rPr>
          <w:t>1</w:t>
        </w:r>
        <w:r w:rsidR="001C7A6B">
          <w:rPr>
            <w:webHidden/>
          </w:rPr>
          <w:fldChar w:fldCharType="end"/>
        </w:r>
      </w:hyperlink>
    </w:p>
    <w:p w14:paraId="153842C8" w14:textId="7E0835BD" w:rsidR="001C7A6B" w:rsidRDefault="00644B30">
      <w:pPr>
        <w:pStyle w:val="TOC1"/>
        <w:rPr>
          <w:rFonts w:eastAsiaTheme="minorEastAsia"/>
          <w:b w:val="0"/>
          <w:sz w:val="22"/>
          <w:szCs w:val="22"/>
        </w:rPr>
      </w:pPr>
      <w:hyperlink w:anchor="_Toc536687548" w:history="1">
        <w:r w:rsidR="001C7A6B" w:rsidRPr="00157B5E">
          <w:rPr>
            <w:rStyle w:val="Hyperlink"/>
          </w:rPr>
          <w:t>Framingham Public Schools District Review Overview</w:t>
        </w:r>
        <w:r w:rsidR="001C7A6B">
          <w:rPr>
            <w:webHidden/>
          </w:rPr>
          <w:tab/>
        </w:r>
        <w:r w:rsidR="001C7A6B">
          <w:rPr>
            <w:webHidden/>
          </w:rPr>
          <w:fldChar w:fldCharType="begin"/>
        </w:r>
        <w:r w:rsidR="001C7A6B">
          <w:rPr>
            <w:webHidden/>
          </w:rPr>
          <w:instrText xml:space="preserve"> PAGEREF _Toc536687548 \h </w:instrText>
        </w:r>
        <w:r w:rsidR="001C7A6B">
          <w:rPr>
            <w:webHidden/>
          </w:rPr>
        </w:r>
        <w:r w:rsidR="001C7A6B">
          <w:rPr>
            <w:webHidden/>
          </w:rPr>
          <w:fldChar w:fldCharType="separate"/>
        </w:r>
        <w:r w:rsidR="00CC3A6F">
          <w:rPr>
            <w:webHidden/>
          </w:rPr>
          <w:t>5</w:t>
        </w:r>
        <w:r w:rsidR="001C7A6B">
          <w:rPr>
            <w:webHidden/>
          </w:rPr>
          <w:fldChar w:fldCharType="end"/>
        </w:r>
      </w:hyperlink>
    </w:p>
    <w:p w14:paraId="2A66A41C" w14:textId="1C029570" w:rsidR="001C7A6B" w:rsidRDefault="00644B30">
      <w:pPr>
        <w:pStyle w:val="TOC1"/>
        <w:rPr>
          <w:rFonts w:eastAsiaTheme="minorEastAsia"/>
          <w:b w:val="0"/>
          <w:sz w:val="22"/>
          <w:szCs w:val="22"/>
        </w:rPr>
      </w:pPr>
      <w:hyperlink w:anchor="_Toc536687549" w:history="1">
        <w:r w:rsidR="001C7A6B" w:rsidRPr="00157B5E">
          <w:rPr>
            <w:rStyle w:val="Hyperlink"/>
          </w:rPr>
          <w:t>Leadership and Governance</w:t>
        </w:r>
        <w:r w:rsidR="001C7A6B">
          <w:rPr>
            <w:webHidden/>
          </w:rPr>
          <w:tab/>
        </w:r>
        <w:r w:rsidR="001C7A6B">
          <w:rPr>
            <w:webHidden/>
          </w:rPr>
          <w:fldChar w:fldCharType="begin"/>
        </w:r>
        <w:r w:rsidR="001C7A6B">
          <w:rPr>
            <w:webHidden/>
          </w:rPr>
          <w:instrText xml:space="preserve"> PAGEREF _Toc536687549 \h </w:instrText>
        </w:r>
        <w:r w:rsidR="001C7A6B">
          <w:rPr>
            <w:webHidden/>
          </w:rPr>
        </w:r>
        <w:r w:rsidR="001C7A6B">
          <w:rPr>
            <w:webHidden/>
          </w:rPr>
          <w:fldChar w:fldCharType="separate"/>
        </w:r>
        <w:r w:rsidR="00CC3A6F">
          <w:rPr>
            <w:webHidden/>
          </w:rPr>
          <w:t>21</w:t>
        </w:r>
        <w:r w:rsidR="001C7A6B">
          <w:rPr>
            <w:webHidden/>
          </w:rPr>
          <w:fldChar w:fldCharType="end"/>
        </w:r>
      </w:hyperlink>
    </w:p>
    <w:p w14:paraId="3EB29B84" w14:textId="2A2BB43E" w:rsidR="001C7A6B" w:rsidRDefault="00644B30">
      <w:pPr>
        <w:pStyle w:val="TOC1"/>
        <w:rPr>
          <w:rFonts w:eastAsiaTheme="minorEastAsia"/>
          <w:b w:val="0"/>
          <w:sz w:val="22"/>
          <w:szCs w:val="22"/>
        </w:rPr>
      </w:pPr>
      <w:hyperlink w:anchor="_Toc536687550" w:history="1">
        <w:r w:rsidR="001C7A6B" w:rsidRPr="00157B5E">
          <w:rPr>
            <w:rStyle w:val="Hyperlink"/>
          </w:rPr>
          <w:t>Curriculum and Instruction</w:t>
        </w:r>
        <w:r w:rsidR="001C7A6B">
          <w:rPr>
            <w:webHidden/>
          </w:rPr>
          <w:tab/>
        </w:r>
        <w:r w:rsidR="001C7A6B">
          <w:rPr>
            <w:webHidden/>
          </w:rPr>
          <w:fldChar w:fldCharType="begin"/>
        </w:r>
        <w:r w:rsidR="001C7A6B">
          <w:rPr>
            <w:webHidden/>
          </w:rPr>
          <w:instrText xml:space="preserve"> PAGEREF _Toc536687550 \h </w:instrText>
        </w:r>
        <w:r w:rsidR="001C7A6B">
          <w:rPr>
            <w:webHidden/>
          </w:rPr>
        </w:r>
        <w:r w:rsidR="001C7A6B">
          <w:rPr>
            <w:webHidden/>
          </w:rPr>
          <w:fldChar w:fldCharType="separate"/>
        </w:r>
        <w:r w:rsidR="00CC3A6F">
          <w:rPr>
            <w:webHidden/>
          </w:rPr>
          <w:t>34</w:t>
        </w:r>
        <w:r w:rsidR="001C7A6B">
          <w:rPr>
            <w:webHidden/>
          </w:rPr>
          <w:fldChar w:fldCharType="end"/>
        </w:r>
      </w:hyperlink>
    </w:p>
    <w:p w14:paraId="6504EC85" w14:textId="69AE7E18" w:rsidR="001C7A6B" w:rsidRDefault="00644B30">
      <w:pPr>
        <w:pStyle w:val="TOC1"/>
        <w:rPr>
          <w:rFonts w:eastAsiaTheme="minorEastAsia"/>
          <w:b w:val="0"/>
          <w:sz w:val="22"/>
          <w:szCs w:val="22"/>
        </w:rPr>
      </w:pPr>
      <w:hyperlink w:anchor="_Toc536687551" w:history="1">
        <w:r w:rsidR="001C7A6B" w:rsidRPr="00157B5E">
          <w:rPr>
            <w:rStyle w:val="Hyperlink"/>
          </w:rPr>
          <w:t>Assessment</w:t>
        </w:r>
        <w:r w:rsidR="001C7A6B">
          <w:rPr>
            <w:webHidden/>
          </w:rPr>
          <w:tab/>
        </w:r>
        <w:r w:rsidR="001C7A6B">
          <w:rPr>
            <w:webHidden/>
          </w:rPr>
          <w:fldChar w:fldCharType="begin"/>
        </w:r>
        <w:r w:rsidR="001C7A6B">
          <w:rPr>
            <w:webHidden/>
          </w:rPr>
          <w:instrText xml:space="preserve"> PAGEREF _Toc536687551 \h </w:instrText>
        </w:r>
        <w:r w:rsidR="001C7A6B">
          <w:rPr>
            <w:webHidden/>
          </w:rPr>
        </w:r>
        <w:r w:rsidR="001C7A6B">
          <w:rPr>
            <w:webHidden/>
          </w:rPr>
          <w:fldChar w:fldCharType="separate"/>
        </w:r>
        <w:r w:rsidR="00CC3A6F">
          <w:rPr>
            <w:webHidden/>
          </w:rPr>
          <w:t>52</w:t>
        </w:r>
        <w:r w:rsidR="001C7A6B">
          <w:rPr>
            <w:webHidden/>
          </w:rPr>
          <w:fldChar w:fldCharType="end"/>
        </w:r>
      </w:hyperlink>
    </w:p>
    <w:p w14:paraId="08F294CB" w14:textId="66285B2C" w:rsidR="001C7A6B" w:rsidRDefault="00644B30">
      <w:pPr>
        <w:pStyle w:val="TOC1"/>
        <w:rPr>
          <w:rFonts w:eastAsiaTheme="minorEastAsia"/>
          <w:b w:val="0"/>
          <w:sz w:val="22"/>
          <w:szCs w:val="22"/>
        </w:rPr>
      </w:pPr>
      <w:hyperlink w:anchor="_Toc536687552" w:history="1">
        <w:r w:rsidR="001C7A6B" w:rsidRPr="00157B5E">
          <w:rPr>
            <w:rStyle w:val="Hyperlink"/>
          </w:rPr>
          <w:t>Human Resources and Professional Development</w:t>
        </w:r>
        <w:r w:rsidR="001C7A6B">
          <w:rPr>
            <w:webHidden/>
          </w:rPr>
          <w:tab/>
        </w:r>
        <w:r w:rsidR="001C7A6B">
          <w:rPr>
            <w:webHidden/>
          </w:rPr>
          <w:fldChar w:fldCharType="begin"/>
        </w:r>
        <w:r w:rsidR="001C7A6B">
          <w:rPr>
            <w:webHidden/>
          </w:rPr>
          <w:instrText xml:space="preserve"> PAGEREF _Toc536687552 \h </w:instrText>
        </w:r>
        <w:r w:rsidR="001C7A6B">
          <w:rPr>
            <w:webHidden/>
          </w:rPr>
        </w:r>
        <w:r w:rsidR="001C7A6B">
          <w:rPr>
            <w:webHidden/>
          </w:rPr>
          <w:fldChar w:fldCharType="separate"/>
        </w:r>
        <w:r w:rsidR="00CC3A6F">
          <w:rPr>
            <w:webHidden/>
          </w:rPr>
          <w:t>59</w:t>
        </w:r>
        <w:r w:rsidR="001C7A6B">
          <w:rPr>
            <w:webHidden/>
          </w:rPr>
          <w:fldChar w:fldCharType="end"/>
        </w:r>
      </w:hyperlink>
    </w:p>
    <w:p w14:paraId="5D42E77E" w14:textId="353E9BE0" w:rsidR="001C7A6B" w:rsidRDefault="00644B30">
      <w:pPr>
        <w:pStyle w:val="TOC1"/>
        <w:rPr>
          <w:rFonts w:eastAsiaTheme="minorEastAsia"/>
          <w:b w:val="0"/>
          <w:sz w:val="22"/>
          <w:szCs w:val="22"/>
        </w:rPr>
      </w:pPr>
      <w:hyperlink w:anchor="_Toc536687553" w:history="1">
        <w:r w:rsidR="001C7A6B" w:rsidRPr="00157B5E">
          <w:rPr>
            <w:rStyle w:val="Hyperlink"/>
          </w:rPr>
          <w:t>Student Support</w:t>
        </w:r>
        <w:r w:rsidR="001C7A6B">
          <w:rPr>
            <w:webHidden/>
          </w:rPr>
          <w:tab/>
        </w:r>
        <w:r w:rsidR="001C7A6B">
          <w:rPr>
            <w:webHidden/>
          </w:rPr>
          <w:fldChar w:fldCharType="begin"/>
        </w:r>
        <w:r w:rsidR="001C7A6B">
          <w:rPr>
            <w:webHidden/>
          </w:rPr>
          <w:instrText xml:space="preserve"> PAGEREF _Toc536687553 \h </w:instrText>
        </w:r>
        <w:r w:rsidR="001C7A6B">
          <w:rPr>
            <w:webHidden/>
          </w:rPr>
        </w:r>
        <w:r w:rsidR="001C7A6B">
          <w:rPr>
            <w:webHidden/>
          </w:rPr>
          <w:fldChar w:fldCharType="separate"/>
        </w:r>
        <w:r w:rsidR="00CC3A6F">
          <w:rPr>
            <w:webHidden/>
          </w:rPr>
          <w:t>72</w:t>
        </w:r>
        <w:r w:rsidR="001C7A6B">
          <w:rPr>
            <w:webHidden/>
          </w:rPr>
          <w:fldChar w:fldCharType="end"/>
        </w:r>
      </w:hyperlink>
    </w:p>
    <w:p w14:paraId="6AB7AC01" w14:textId="3DEEA1A3" w:rsidR="001C7A6B" w:rsidRDefault="00644B30">
      <w:pPr>
        <w:pStyle w:val="TOC1"/>
        <w:rPr>
          <w:rFonts w:eastAsiaTheme="minorEastAsia"/>
          <w:b w:val="0"/>
          <w:sz w:val="22"/>
          <w:szCs w:val="22"/>
        </w:rPr>
      </w:pPr>
      <w:hyperlink w:anchor="_Toc536687554" w:history="1">
        <w:r w:rsidR="001C7A6B" w:rsidRPr="00157B5E">
          <w:rPr>
            <w:rStyle w:val="Hyperlink"/>
          </w:rPr>
          <w:t>Financial and Asset Management</w:t>
        </w:r>
        <w:r w:rsidR="001C7A6B">
          <w:rPr>
            <w:webHidden/>
          </w:rPr>
          <w:tab/>
        </w:r>
        <w:r w:rsidR="001C7A6B">
          <w:rPr>
            <w:webHidden/>
          </w:rPr>
          <w:fldChar w:fldCharType="begin"/>
        </w:r>
        <w:r w:rsidR="001C7A6B">
          <w:rPr>
            <w:webHidden/>
          </w:rPr>
          <w:instrText xml:space="preserve"> PAGEREF _Toc536687554 \h </w:instrText>
        </w:r>
        <w:r w:rsidR="001C7A6B">
          <w:rPr>
            <w:webHidden/>
          </w:rPr>
        </w:r>
        <w:r w:rsidR="001C7A6B">
          <w:rPr>
            <w:webHidden/>
          </w:rPr>
          <w:fldChar w:fldCharType="separate"/>
        </w:r>
        <w:r w:rsidR="00CC3A6F">
          <w:rPr>
            <w:webHidden/>
          </w:rPr>
          <w:t>90</w:t>
        </w:r>
        <w:r w:rsidR="001C7A6B">
          <w:rPr>
            <w:webHidden/>
          </w:rPr>
          <w:fldChar w:fldCharType="end"/>
        </w:r>
      </w:hyperlink>
    </w:p>
    <w:p w14:paraId="234E9D66" w14:textId="06BBCC13" w:rsidR="001C7A6B" w:rsidRDefault="00644B30">
      <w:pPr>
        <w:pStyle w:val="TOC1"/>
        <w:rPr>
          <w:rFonts w:eastAsiaTheme="minorEastAsia"/>
          <w:b w:val="0"/>
          <w:sz w:val="22"/>
          <w:szCs w:val="22"/>
        </w:rPr>
      </w:pPr>
      <w:hyperlink w:anchor="_Toc536687555" w:history="1">
        <w:r w:rsidR="001C7A6B" w:rsidRPr="00157B5E">
          <w:rPr>
            <w:rStyle w:val="Hyperlink"/>
          </w:rPr>
          <w:t>Appendix A: Review Team, Activities, Schedule, Site Visit</w:t>
        </w:r>
        <w:r w:rsidR="001C7A6B">
          <w:rPr>
            <w:webHidden/>
          </w:rPr>
          <w:tab/>
        </w:r>
        <w:r w:rsidR="001C7A6B">
          <w:rPr>
            <w:webHidden/>
          </w:rPr>
          <w:fldChar w:fldCharType="begin"/>
        </w:r>
        <w:r w:rsidR="001C7A6B">
          <w:rPr>
            <w:webHidden/>
          </w:rPr>
          <w:instrText xml:space="preserve"> PAGEREF _Toc536687555 \h </w:instrText>
        </w:r>
        <w:r w:rsidR="001C7A6B">
          <w:rPr>
            <w:webHidden/>
          </w:rPr>
        </w:r>
        <w:r w:rsidR="001C7A6B">
          <w:rPr>
            <w:webHidden/>
          </w:rPr>
          <w:fldChar w:fldCharType="separate"/>
        </w:r>
        <w:r w:rsidR="00CC3A6F">
          <w:rPr>
            <w:webHidden/>
          </w:rPr>
          <w:t>97</w:t>
        </w:r>
        <w:r w:rsidR="001C7A6B">
          <w:rPr>
            <w:webHidden/>
          </w:rPr>
          <w:fldChar w:fldCharType="end"/>
        </w:r>
      </w:hyperlink>
    </w:p>
    <w:p w14:paraId="19F90F46" w14:textId="6D90B0EB" w:rsidR="001C7A6B" w:rsidRDefault="00644B30">
      <w:pPr>
        <w:pStyle w:val="TOC1"/>
        <w:rPr>
          <w:rFonts w:eastAsiaTheme="minorEastAsia"/>
          <w:b w:val="0"/>
          <w:sz w:val="22"/>
          <w:szCs w:val="22"/>
        </w:rPr>
      </w:pPr>
      <w:hyperlink w:anchor="_Toc536687556" w:history="1">
        <w:r w:rsidR="001C7A6B" w:rsidRPr="00157B5E">
          <w:rPr>
            <w:rStyle w:val="Hyperlink"/>
          </w:rPr>
          <w:t>Appendix B: Enrollment, Attendance, Expenditures</w:t>
        </w:r>
        <w:r w:rsidR="001C7A6B">
          <w:rPr>
            <w:webHidden/>
          </w:rPr>
          <w:tab/>
        </w:r>
        <w:r w:rsidR="001C7A6B">
          <w:rPr>
            <w:webHidden/>
          </w:rPr>
          <w:fldChar w:fldCharType="begin"/>
        </w:r>
        <w:r w:rsidR="001C7A6B">
          <w:rPr>
            <w:webHidden/>
          </w:rPr>
          <w:instrText xml:space="preserve"> PAGEREF _Toc536687556 \h </w:instrText>
        </w:r>
        <w:r w:rsidR="001C7A6B">
          <w:rPr>
            <w:webHidden/>
          </w:rPr>
        </w:r>
        <w:r w:rsidR="001C7A6B">
          <w:rPr>
            <w:webHidden/>
          </w:rPr>
          <w:fldChar w:fldCharType="separate"/>
        </w:r>
        <w:r w:rsidR="00CC3A6F">
          <w:rPr>
            <w:webHidden/>
          </w:rPr>
          <w:t>100</w:t>
        </w:r>
        <w:r w:rsidR="001C7A6B">
          <w:rPr>
            <w:webHidden/>
          </w:rPr>
          <w:fldChar w:fldCharType="end"/>
        </w:r>
      </w:hyperlink>
    </w:p>
    <w:p w14:paraId="02CBB345" w14:textId="62E0142A" w:rsidR="001C7A6B" w:rsidRDefault="00644B30">
      <w:pPr>
        <w:pStyle w:val="TOC1"/>
        <w:rPr>
          <w:rFonts w:eastAsiaTheme="minorEastAsia"/>
          <w:b w:val="0"/>
          <w:sz w:val="22"/>
          <w:szCs w:val="22"/>
        </w:rPr>
      </w:pPr>
      <w:hyperlink w:anchor="_Toc536687557" w:history="1">
        <w:r w:rsidR="001C7A6B" w:rsidRPr="00157B5E">
          <w:rPr>
            <w:rStyle w:val="Hyperlink"/>
          </w:rPr>
          <w:t>Appendix C: Instructional Inventory</w:t>
        </w:r>
        <w:r w:rsidR="001C7A6B">
          <w:rPr>
            <w:webHidden/>
          </w:rPr>
          <w:tab/>
        </w:r>
        <w:r w:rsidR="001C7A6B">
          <w:rPr>
            <w:webHidden/>
          </w:rPr>
          <w:fldChar w:fldCharType="begin"/>
        </w:r>
        <w:r w:rsidR="001C7A6B">
          <w:rPr>
            <w:webHidden/>
          </w:rPr>
          <w:instrText xml:space="preserve"> PAGEREF _Toc536687557 \h </w:instrText>
        </w:r>
        <w:r w:rsidR="001C7A6B">
          <w:rPr>
            <w:webHidden/>
          </w:rPr>
        </w:r>
        <w:r w:rsidR="001C7A6B">
          <w:rPr>
            <w:webHidden/>
          </w:rPr>
          <w:fldChar w:fldCharType="separate"/>
        </w:r>
        <w:r w:rsidR="00CC3A6F">
          <w:rPr>
            <w:webHidden/>
          </w:rPr>
          <w:t>104</w:t>
        </w:r>
        <w:r w:rsidR="001C7A6B">
          <w:rPr>
            <w:webHidden/>
          </w:rPr>
          <w:fldChar w:fldCharType="end"/>
        </w:r>
      </w:hyperlink>
    </w:p>
    <w:p w14:paraId="65B7A379" w14:textId="7AE4B85D"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644B30"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300F76D">
            <wp:extent cx="2352366" cy="1138686"/>
            <wp:effectExtent l="0" t="0" r="0" b="0"/>
            <wp:docPr id="1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7E4D82">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444E713E" w:rsidR="008E314D" w:rsidRDefault="008E314D" w:rsidP="00A66BFC">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05B2AB2" w14:textId="78F5EA24" w:rsidR="007E4D82" w:rsidRDefault="007E4D82" w:rsidP="007E4D82">
      <w:pPr>
        <w:tabs>
          <w:tab w:val="left" w:pos="360"/>
          <w:tab w:val="left" w:pos="720"/>
          <w:tab w:val="left" w:pos="1080"/>
          <w:tab w:val="left" w:pos="1440"/>
          <w:tab w:val="left" w:pos="1800"/>
          <w:tab w:val="left" w:pos="2160"/>
          <w:tab w:val="left" w:pos="2520"/>
          <w:tab w:val="left" w:pos="2880"/>
        </w:tabs>
        <w:jc w:val="center"/>
      </w:pPr>
      <w:r>
        <w:t>Published May 2020</w:t>
      </w:r>
    </w:p>
    <w:p w14:paraId="0EBCF93A" w14:textId="77777777" w:rsidR="008E314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w:t>
      </w:r>
      <w:proofErr w:type="gramStart"/>
      <w:r>
        <w:t>all of</w:t>
      </w:r>
      <w:proofErr w:type="gramEnd"/>
      <w:r>
        <w:t xml:space="preserve">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10604286"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7E4D82">
        <w:t xml:space="preserve">2020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644B30"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36687547"/>
      <w:bookmarkStart w:id="1" w:name="_Toc350870260"/>
      <w:r w:rsidRPr="007C01ED">
        <w:lastRenderedPageBreak/>
        <w:t>Executive Summary</w:t>
      </w:r>
      <w:bookmarkEnd w:id="0"/>
    </w:p>
    <w:p w14:paraId="14504E3D" w14:textId="6AA9B67D" w:rsidR="0018693E" w:rsidRDefault="00025217" w:rsidP="00246E73">
      <w:pPr>
        <w:pStyle w:val="CommentText"/>
        <w:spacing w:line="276" w:lineRule="auto"/>
        <w:rPr>
          <w:sz w:val="22"/>
          <w:szCs w:val="22"/>
        </w:rPr>
      </w:pPr>
      <w:r>
        <w:rPr>
          <w:sz w:val="22"/>
          <w:szCs w:val="22"/>
        </w:rPr>
        <w:t xml:space="preserve">In April 2017, </w:t>
      </w:r>
      <w:r w:rsidR="001F0F8D">
        <w:rPr>
          <w:sz w:val="22"/>
          <w:szCs w:val="22"/>
        </w:rPr>
        <w:t xml:space="preserve">the town of </w:t>
      </w:r>
      <w:r>
        <w:rPr>
          <w:sz w:val="22"/>
          <w:szCs w:val="22"/>
        </w:rPr>
        <w:t>Framingha</w:t>
      </w:r>
      <w:r w:rsidR="001F0F8D">
        <w:rPr>
          <w:sz w:val="22"/>
          <w:szCs w:val="22"/>
        </w:rPr>
        <w:t>m</w:t>
      </w:r>
      <w:r w:rsidR="00BD2969">
        <w:rPr>
          <w:sz w:val="22"/>
          <w:szCs w:val="22"/>
        </w:rPr>
        <w:t xml:space="preserve"> </w:t>
      </w:r>
      <w:r>
        <w:rPr>
          <w:sz w:val="22"/>
          <w:szCs w:val="22"/>
        </w:rPr>
        <w:t>voted to accept a new charter that would transform th</w:t>
      </w:r>
      <w:r w:rsidR="00BD2969">
        <w:rPr>
          <w:sz w:val="22"/>
          <w:szCs w:val="22"/>
        </w:rPr>
        <w:t>eir</w:t>
      </w:r>
      <w:r>
        <w:rPr>
          <w:sz w:val="22"/>
          <w:szCs w:val="22"/>
        </w:rPr>
        <w:t xml:space="preserve"> </w:t>
      </w:r>
      <w:r w:rsidRPr="000A0922">
        <w:rPr>
          <w:sz w:val="22"/>
          <w:szCs w:val="22"/>
        </w:rPr>
        <w:t xml:space="preserve">community of </w:t>
      </w:r>
      <w:r w:rsidR="00F056DB">
        <w:rPr>
          <w:sz w:val="22"/>
          <w:szCs w:val="22"/>
        </w:rPr>
        <w:t>more than</w:t>
      </w:r>
      <w:r w:rsidRPr="000A0922">
        <w:rPr>
          <w:sz w:val="22"/>
          <w:szCs w:val="22"/>
        </w:rPr>
        <w:t xml:space="preserve"> 7</w:t>
      </w:r>
      <w:r w:rsidR="001F0F8D">
        <w:rPr>
          <w:sz w:val="22"/>
          <w:szCs w:val="22"/>
        </w:rPr>
        <w:t>1</w:t>
      </w:r>
      <w:r w:rsidRPr="000A0922">
        <w:rPr>
          <w:sz w:val="22"/>
          <w:szCs w:val="22"/>
        </w:rPr>
        <w:t>,000</w:t>
      </w:r>
      <w:r w:rsidR="00E657B9" w:rsidRPr="000A0922">
        <w:rPr>
          <w:sz w:val="22"/>
          <w:szCs w:val="22"/>
        </w:rPr>
        <w:t xml:space="preserve"> residents</w:t>
      </w:r>
      <w:r w:rsidR="00C3049A" w:rsidRPr="000A0922">
        <w:rPr>
          <w:sz w:val="22"/>
          <w:szCs w:val="22"/>
        </w:rPr>
        <w:t xml:space="preserve"> from a representative town meeting system</w:t>
      </w:r>
      <w:r w:rsidR="000A0922">
        <w:rPr>
          <w:sz w:val="22"/>
          <w:szCs w:val="22"/>
        </w:rPr>
        <w:t xml:space="preserve"> </w:t>
      </w:r>
      <w:r w:rsidR="00C3049A" w:rsidRPr="000A0922">
        <w:rPr>
          <w:sz w:val="22"/>
          <w:szCs w:val="22"/>
        </w:rPr>
        <w:t>to a city with a mayor</w:t>
      </w:r>
      <w:r w:rsidR="000A0922">
        <w:rPr>
          <w:sz w:val="22"/>
          <w:szCs w:val="22"/>
        </w:rPr>
        <w:t>-</w:t>
      </w:r>
      <w:r w:rsidR="00C3049A" w:rsidRPr="000A0922">
        <w:rPr>
          <w:sz w:val="22"/>
          <w:szCs w:val="22"/>
        </w:rPr>
        <w:t>council</w:t>
      </w:r>
      <w:r w:rsidR="000A0922">
        <w:rPr>
          <w:sz w:val="22"/>
          <w:szCs w:val="22"/>
        </w:rPr>
        <w:t xml:space="preserve"> form of government</w:t>
      </w:r>
      <w:r w:rsidR="00FB7756">
        <w:rPr>
          <w:sz w:val="22"/>
          <w:szCs w:val="22"/>
        </w:rPr>
        <w:t xml:space="preserve">.  </w:t>
      </w:r>
      <w:r w:rsidR="00BD2969">
        <w:rPr>
          <w:sz w:val="22"/>
          <w:szCs w:val="22"/>
        </w:rPr>
        <w:t>Also, i</w:t>
      </w:r>
      <w:r w:rsidR="00834F2A">
        <w:rPr>
          <w:sz w:val="22"/>
          <w:szCs w:val="22"/>
        </w:rPr>
        <w:t>n</w:t>
      </w:r>
      <w:r w:rsidR="00BD2969">
        <w:rPr>
          <w:sz w:val="22"/>
          <w:szCs w:val="22"/>
        </w:rPr>
        <w:t xml:space="preserve"> April 2017, the current superintendent joined the school </w:t>
      </w:r>
      <w:r w:rsidR="00BE182E">
        <w:rPr>
          <w:sz w:val="22"/>
          <w:szCs w:val="22"/>
        </w:rPr>
        <w:t>district</w:t>
      </w:r>
      <w:r w:rsidR="00BD2969">
        <w:rPr>
          <w:sz w:val="22"/>
          <w:szCs w:val="22"/>
        </w:rPr>
        <w:t xml:space="preserve">.  In just two years, </w:t>
      </w:r>
      <w:r w:rsidR="008D5152">
        <w:rPr>
          <w:sz w:val="22"/>
          <w:szCs w:val="22"/>
        </w:rPr>
        <w:t>the schools have</w:t>
      </w:r>
      <w:r w:rsidR="00287AD2">
        <w:rPr>
          <w:sz w:val="22"/>
          <w:szCs w:val="22"/>
        </w:rPr>
        <w:t xml:space="preserve"> </w:t>
      </w:r>
      <w:r w:rsidR="00834F2A">
        <w:rPr>
          <w:sz w:val="22"/>
          <w:szCs w:val="22"/>
        </w:rPr>
        <w:t xml:space="preserve">shown signs of </w:t>
      </w:r>
      <w:r w:rsidR="00287AD2">
        <w:rPr>
          <w:sz w:val="22"/>
          <w:szCs w:val="22"/>
        </w:rPr>
        <w:t>revitaliz</w:t>
      </w:r>
      <w:r w:rsidR="00834F2A">
        <w:rPr>
          <w:sz w:val="22"/>
          <w:szCs w:val="22"/>
        </w:rPr>
        <w:t xml:space="preserve">ation </w:t>
      </w:r>
      <w:r w:rsidR="00287AD2">
        <w:rPr>
          <w:sz w:val="22"/>
          <w:szCs w:val="22"/>
        </w:rPr>
        <w:t>with a more inclusive equity</w:t>
      </w:r>
      <w:r w:rsidR="00EB4702">
        <w:rPr>
          <w:sz w:val="22"/>
          <w:szCs w:val="22"/>
        </w:rPr>
        <w:t xml:space="preserve"> </w:t>
      </w:r>
      <w:r w:rsidR="00287AD2">
        <w:rPr>
          <w:sz w:val="22"/>
          <w:szCs w:val="22"/>
        </w:rPr>
        <w:t xml:space="preserve">focused culture </w:t>
      </w:r>
      <w:r w:rsidR="00EB4702">
        <w:rPr>
          <w:sz w:val="22"/>
          <w:szCs w:val="22"/>
        </w:rPr>
        <w:t xml:space="preserve">and </w:t>
      </w:r>
      <w:r w:rsidR="00287AD2">
        <w:rPr>
          <w:sz w:val="22"/>
          <w:szCs w:val="22"/>
        </w:rPr>
        <w:t>new staffing</w:t>
      </w:r>
      <w:r w:rsidR="008D5152">
        <w:rPr>
          <w:sz w:val="22"/>
          <w:szCs w:val="22"/>
        </w:rPr>
        <w:t xml:space="preserve"> patterns</w:t>
      </w:r>
      <w:r w:rsidR="00287AD2">
        <w:rPr>
          <w:sz w:val="22"/>
          <w:szCs w:val="22"/>
        </w:rPr>
        <w:t>, structures, systems, and practices to better address the needs of its growing and increasingly diverse student body.  Although some new initiatives are</w:t>
      </w:r>
      <w:r w:rsidR="00834F2A">
        <w:rPr>
          <w:sz w:val="22"/>
          <w:szCs w:val="22"/>
        </w:rPr>
        <w:t xml:space="preserve"> still</w:t>
      </w:r>
      <w:r w:rsidR="00287AD2">
        <w:rPr>
          <w:sz w:val="22"/>
          <w:szCs w:val="22"/>
        </w:rPr>
        <w:t xml:space="preserve"> in the early stages of implementation, leaders and teachers </w:t>
      </w:r>
      <w:r w:rsidR="00834F2A">
        <w:rPr>
          <w:sz w:val="22"/>
          <w:szCs w:val="22"/>
        </w:rPr>
        <w:t>are becoming clear</w:t>
      </w:r>
      <w:r w:rsidR="00951F33">
        <w:rPr>
          <w:sz w:val="22"/>
          <w:szCs w:val="22"/>
        </w:rPr>
        <w:t>er</w:t>
      </w:r>
      <w:r w:rsidR="00834F2A">
        <w:rPr>
          <w:sz w:val="22"/>
          <w:szCs w:val="22"/>
        </w:rPr>
        <w:t xml:space="preserve"> </w:t>
      </w:r>
      <w:r w:rsidR="00287AD2">
        <w:rPr>
          <w:sz w:val="22"/>
          <w:szCs w:val="22"/>
        </w:rPr>
        <w:t xml:space="preserve">about the direction the district </w:t>
      </w:r>
      <w:r w:rsidR="00834F2A">
        <w:rPr>
          <w:sz w:val="22"/>
          <w:szCs w:val="22"/>
        </w:rPr>
        <w:t xml:space="preserve">must take to improve student achievement and well-being </w:t>
      </w:r>
      <w:r w:rsidR="00EB4702">
        <w:rPr>
          <w:sz w:val="22"/>
          <w:szCs w:val="22"/>
        </w:rPr>
        <w:t xml:space="preserve">and </w:t>
      </w:r>
      <w:r w:rsidR="00834F2A">
        <w:rPr>
          <w:sz w:val="22"/>
          <w:szCs w:val="22"/>
        </w:rPr>
        <w:t>are demonstrating the energy and</w:t>
      </w:r>
      <w:r w:rsidR="00287AD2">
        <w:rPr>
          <w:sz w:val="22"/>
          <w:szCs w:val="22"/>
        </w:rPr>
        <w:t xml:space="preserve"> resolve to </w:t>
      </w:r>
      <w:r w:rsidR="00F440ED">
        <w:rPr>
          <w:sz w:val="22"/>
          <w:szCs w:val="22"/>
        </w:rPr>
        <w:t>learn new practices</w:t>
      </w:r>
      <w:r w:rsidR="00834F2A">
        <w:rPr>
          <w:sz w:val="22"/>
          <w:szCs w:val="22"/>
        </w:rPr>
        <w:t xml:space="preserve"> to achieve district and school goals</w:t>
      </w:r>
      <w:r w:rsidR="00F440ED">
        <w:rPr>
          <w:sz w:val="22"/>
          <w:szCs w:val="22"/>
        </w:rPr>
        <w:t>.</w:t>
      </w:r>
      <w:r w:rsidR="00287AD2">
        <w:rPr>
          <w:sz w:val="22"/>
          <w:szCs w:val="22"/>
        </w:rPr>
        <w:t xml:space="preserve"> </w:t>
      </w:r>
    </w:p>
    <w:p w14:paraId="20198328" w14:textId="6E04A957" w:rsidR="00F632C8" w:rsidRPr="00F632C8" w:rsidRDefault="00001E56" w:rsidP="00246E73">
      <w:pPr>
        <w:pStyle w:val="CommentText"/>
        <w:spacing w:line="276" w:lineRule="auto"/>
        <w:rPr>
          <w:sz w:val="22"/>
          <w:szCs w:val="22"/>
        </w:rPr>
      </w:pPr>
      <w:r w:rsidRPr="0018693E">
        <w:rPr>
          <w:sz w:val="22"/>
          <w:szCs w:val="22"/>
        </w:rPr>
        <w:t>S</w:t>
      </w:r>
      <w:r w:rsidR="00F056DB">
        <w:rPr>
          <w:sz w:val="22"/>
          <w:szCs w:val="22"/>
        </w:rPr>
        <w:t>ince 2014, s</w:t>
      </w:r>
      <w:r w:rsidRPr="0018693E">
        <w:rPr>
          <w:sz w:val="22"/>
          <w:szCs w:val="22"/>
        </w:rPr>
        <w:t>tudent e</w:t>
      </w:r>
      <w:r w:rsidR="00BA3EE1" w:rsidRPr="0018693E">
        <w:rPr>
          <w:sz w:val="22"/>
          <w:szCs w:val="22"/>
        </w:rPr>
        <w:t xml:space="preserve">nrollment has </w:t>
      </w:r>
      <w:r w:rsidR="00747B7D" w:rsidRPr="0018693E">
        <w:rPr>
          <w:sz w:val="22"/>
          <w:szCs w:val="22"/>
        </w:rPr>
        <w:t xml:space="preserve">increased by </w:t>
      </w:r>
      <w:r w:rsidR="00BA3EE1" w:rsidRPr="0018693E">
        <w:rPr>
          <w:sz w:val="22"/>
          <w:szCs w:val="22"/>
        </w:rPr>
        <w:t>approximately</w:t>
      </w:r>
      <w:r w:rsidR="0018693E">
        <w:rPr>
          <w:sz w:val="22"/>
          <w:szCs w:val="22"/>
        </w:rPr>
        <w:t xml:space="preserve"> 5.5 percent</w:t>
      </w:r>
      <w:r w:rsidR="00BA3EE1" w:rsidRPr="0018693E">
        <w:rPr>
          <w:sz w:val="22"/>
          <w:szCs w:val="22"/>
        </w:rPr>
        <w:t xml:space="preserve"> </w:t>
      </w:r>
      <w:r w:rsidR="00C95D90" w:rsidRPr="0018693E">
        <w:rPr>
          <w:sz w:val="22"/>
          <w:szCs w:val="22"/>
        </w:rPr>
        <w:t>(from 8</w:t>
      </w:r>
      <w:r w:rsidR="00EE761F" w:rsidRPr="0018693E">
        <w:rPr>
          <w:sz w:val="22"/>
          <w:szCs w:val="22"/>
        </w:rPr>
        <w:t>,</w:t>
      </w:r>
      <w:r w:rsidR="00C95D90" w:rsidRPr="0018693E">
        <w:rPr>
          <w:sz w:val="22"/>
          <w:szCs w:val="22"/>
        </w:rPr>
        <w:t>280 in 2014 to 8</w:t>
      </w:r>
      <w:r w:rsidR="00EE761F" w:rsidRPr="0018693E">
        <w:rPr>
          <w:sz w:val="22"/>
          <w:szCs w:val="22"/>
        </w:rPr>
        <w:t>,</w:t>
      </w:r>
      <w:r w:rsidR="00C95D90" w:rsidRPr="0018693E">
        <w:rPr>
          <w:sz w:val="22"/>
          <w:szCs w:val="22"/>
        </w:rPr>
        <w:t>822 in 2018) and</w:t>
      </w:r>
      <w:r w:rsidR="00F440ED">
        <w:rPr>
          <w:sz w:val="22"/>
          <w:szCs w:val="22"/>
        </w:rPr>
        <w:t xml:space="preserve"> </w:t>
      </w:r>
      <w:r w:rsidR="0016014B">
        <w:rPr>
          <w:sz w:val="22"/>
          <w:szCs w:val="22"/>
        </w:rPr>
        <w:t xml:space="preserve">the </w:t>
      </w:r>
      <w:r w:rsidR="0018693E">
        <w:rPr>
          <w:sz w:val="22"/>
          <w:szCs w:val="22"/>
        </w:rPr>
        <w:t>racial and ethnic</w:t>
      </w:r>
      <w:r w:rsidR="00EE761F" w:rsidRPr="0018693E">
        <w:rPr>
          <w:sz w:val="22"/>
          <w:szCs w:val="22"/>
        </w:rPr>
        <w:t xml:space="preserve"> composition</w:t>
      </w:r>
      <w:r w:rsidR="0018693E">
        <w:rPr>
          <w:sz w:val="22"/>
          <w:szCs w:val="22"/>
        </w:rPr>
        <w:t xml:space="preserve"> </w:t>
      </w:r>
      <w:r w:rsidR="0016014B">
        <w:rPr>
          <w:sz w:val="22"/>
          <w:szCs w:val="22"/>
        </w:rPr>
        <w:t xml:space="preserve">of the student body </w:t>
      </w:r>
      <w:r w:rsidR="0018693E">
        <w:rPr>
          <w:sz w:val="22"/>
          <w:szCs w:val="22"/>
        </w:rPr>
        <w:t xml:space="preserve">has changed. </w:t>
      </w:r>
      <w:r w:rsidR="00C95D90" w:rsidRPr="0018693E">
        <w:rPr>
          <w:sz w:val="22"/>
          <w:szCs w:val="22"/>
        </w:rPr>
        <w:t>Based on October 1</w:t>
      </w:r>
      <w:r w:rsidRPr="0018693E">
        <w:rPr>
          <w:sz w:val="22"/>
          <w:szCs w:val="22"/>
        </w:rPr>
        <w:t>st</w:t>
      </w:r>
      <w:r w:rsidR="00C95D90" w:rsidRPr="0018693E">
        <w:rPr>
          <w:sz w:val="22"/>
          <w:szCs w:val="22"/>
        </w:rPr>
        <w:t xml:space="preserve"> enrollments</w:t>
      </w:r>
      <w:r w:rsidR="00C83CAF">
        <w:rPr>
          <w:sz w:val="22"/>
          <w:szCs w:val="22"/>
        </w:rPr>
        <w:t xml:space="preserve"> in 2014</w:t>
      </w:r>
      <w:r w:rsidR="00C95D90" w:rsidRPr="0018693E">
        <w:rPr>
          <w:sz w:val="22"/>
          <w:szCs w:val="22"/>
        </w:rPr>
        <w:t xml:space="preserve">, </w:t>
      </w:r>
      <w:r w:rsidR="00BA3EE1" w:rsidRPr="0018693E">
        <w:rPr>
          <w:sz w:val="22"/>
          <w:szCs w:val="22"/>
        </w:rPr>
        <w:t xml:space="preserve">the student body was </w:t>
      </w:r>
      <w:r w:rsidR="00C95D90" w:rsidRPr="0018693E">
        <w:rPr>
          <w:sz w:val="22"/>
          <w:szCs w:val="22"/>
        </w:rPr>
        <w:t>23.2</w:t>
      </w:r>
      <w:r w:rsidR="00BA3EE1" w:rsidRPr="0018693E">
        <w:rPr>
          <w:sz w:val="22"/>
          <w:szCs w:val="22"/>
        </w:rPr>
        <w:t xml:space="preserve"> percent Hispanic and </w:t>
      </w:r>
      <w:r w:rsidR="00C95D90" w:rsidRPr="0018693E">
        <w:rPr>
          <w:sz w:val="22"/>
          <w:szCs w:val="22"/>
        </w:rPr>
        <w:t>61.4</w:t>
      </w:r>
      <w:r w:rsidR="00BA3EE1" w:rsidRPr="0018693E">
        <w:rPr>
          <w:sz w:val="22"/>
          <w:szCs w:val="22"/>
        </w:rPr>
        <w:t xml:space="preserve"> percent white.  In 201</w:t>
      </w:r>
      <w:r w:rsidR="00C95D90" w:rsidRPr="0018693E">
        <w:rPr>
          <w:sz w:val="22"/>
          <w:szCs w:val="22"/>
        </w:rPr>
        <w:t>8</w:t>
      </w:r>
      <w:r w:rsidR="00BA3EE1" w:rsidRPr="0018693E">
        <w:rPr>
          <w:sz w:val="22"/>
          <w:szCs w:val="22"/>
        </w:rPr>
        <w:t xml:space="preserve">, </w:t>
      </w:r>
      <w:r w:rsidR="0018693E">
        <w:rPr>
          <w:sz w:val="22"/>
          <w:szCs w:val="22"/>
        </w:rPr>
        <w:t xml:space="preserve">it </w:t>
      </w:r>
      <w:r w:rsidR="00BA3EE1" w:rsidRPr="0018693E">
        <w:rPr>
          <w:sz w:val="22"/>
          <w:szCs w:val="22"/>
        </w:rPr>
        <w:t xml:space="preserve">was </w:t>
      </w:r>
      <w:r w:rsidR="00C95D90" w:rsidRPr="0018693E">
        <w:rPr>
          <w:sz w:val="22"/>
          <w:szCs w:val="22"/>
        </w:rPr>
        <w:t>27.4</w:t>
      </w:r>
      <w:r w:rsidR="00BA3EE1" w:rsidRPr="0018693E">
        <w:rPr>
          <w:sz w:val="22"/>
          <w:szCs w:val="22"/>
        </w:rPr>
        <w:t xml:space="preserve"> percent Hispanic and </w:t>
      </w:r>
      <w:r w:rsidR="00C95D90" w:rsidRPr="0018693E">
        <w:rPr>
          <w:sz w:val="22"/>
          <w:szCs w:val="22"/>
        </w:rPr>
        <w:t>55.7</w:t>
      </w:r>
      <w:r w:rsidR="00BA3EE1" w:rsidRPr="0018693E">
        <w:rPr>
          <w:sz w:val="22"/>
          <w:szCs w:val="22"/>
        </w:rPr>
        <w:t xml:space="preserve"> percent white.  Between 2014 and 201</w:t>
      </w:r>
      <w:r w:rsidR="00C95D90" w:rsidRPr="0018693E">
        <w:rPr>
          <w:sz w:val="22"/>
          <w:szCs w:val="22"/>
        </w:rPr>
        <w:t>8</w:t>
      </w:r>
      <w:r w:rsidR="00BA3EE1" w:rsidRPr="0018693E">
        <w:rPr>
          <w:sz w:val="22"/>
          <w:szCs w:val="22"/>
        </w:rPr>
        <w:t>, the percentage of high needs students</w:t>
      </w:r>
      <w:r w:rsidR="00BA3EE1" w:rsidRPr="0018693E">
        <w:rPr>
          <w:rStyle w:val="FootnoteReference"/>
          <w:sz w:val="22"/>
          <w:szCs w:val="22"/>
        </w:rPr>
        <w:footnoteReference w:id="1"/>
      </w:r>
      <w:r w:rsidR="00BA3EE1" w:rsidRPr="0018693E">
        <w:rPr>
          <w:sz w:val="22"/>
          <w:szCs w:val="22"/>
        </w:rPr>
        <w:t xml:space="preserve"> </w:t>
      </w:r>
      <w:r w:rsidR="00C95D90" w:rsidRPr="0018693E">
        <w:rPr>
          <w:sz w:val="22"/>
          <w:szCs w:val="22"/>
        </w:rPr>
        <w:t>increased from 55.3</w:t>
      </w:r>
      <w:r w:rsidR="00BA3EE1" w:rsidRPr="0018693E">
        <w:rPr>
          <w:sz w:val="22"/>
          <w:szCs w:val="22"/>
        </w:rPr>
        <w:t xml:space="preserve"> percent </w:t>
      </w:r>
      <w:r w:rsidR="00C95D90" w:rsidRPr="0018693E">
        <w:rPr>
          <w:sz w:val="22"/>
          <w:szCs w:val="22"/>
        </w:rPr>
        <w:t>to</w:t>
      </w:r>
      <w:r w:rsidR="00BA3EE1" w:rsidRPr="0018693E">
        <w:rPr>
          <w:sz w:val="22"/>
          <w:szCs w:val="22"/>
        </w:rPr>
        <w:t xml:space="preserve"> 58.</w:t>
      </w:r>
      <w:r w:rsidR="00C95D90" w:rsidRPr="0018693E">
        <w:rPr>
          <w:sz w:val="22"/>
          <w:szCs w:val="22"/>
        </w:rPr>
        <w:t>6</w:t>
      </w:r>
      <w:r w:rsidR="00BA3EE1" w:rsidRPr="0018693E">
        <w:rPr>
          <w:sz w:val="22"/>
          <w:szCs w:val="22"/>
        </w:rPr>
        <w:t xml:space="preserve"> percent.</w:t>
      </w:r>
      <w:r w:rsidR="00C95D90" w:rsidRPr="0018693E">
        <w:rPr>
          <w:sz w:val="22"/>
          <w:szCs w:val="22"/>
        </w:rPr>
        <w:t xml:space="preserve">  </w:t>
      </w:r>
      <w:r w:rsidR="001F0F8D" w:rsidRPr="0018693E">
        <w:rPr>
          <w:sz w:val="22"/>
          <w:szCs w:val="22"/>
        </w:rPr>
        <w:t xml:space="preserve">Also, during that period, </w:t>
      </w:r>
      <w:r w:rsidR="00BA3EE1" w:rsidRPr="0018693E">
        <w:rPr>
          <w:sz w:val="22"/>
          <w:szCs w:val="22"/>
        </w:rPr>
        <w:t>the distribution of other student groups</w:t>
      </w:r>
      <w:r w:rsidR="00C95D90" w:rsidRPr="0018693E">
        <w:rPr>
          <w:sz w:val="22"/>
          <w:szCs w:val="22"/>
        </w:rPr>
        <w:t xml:space="preserve"> </w:t>
      </w:r>
      <w:r w:rsidR="00F440ED">
        <w:rPr>
          <w:sz w:val="22"/>
          <w:szCs w:val="22"/>
        </w:rPr>
        <w:t xml:space="preserve">has </w:t>
      </w:r>
      <w:r w:rsidR="00BA3EE1" w:rsidRPr="0018693E">
        <w:rPr>
          <w:sz w:val="22"/>
          <w:szCs w:val="22"/>
        </w:rPr>
        <w:t xml:space="preserve">changed:  the percentage of students whose first language is not English increased from </w:t>
      </w:r>
      <w:r w:rsidR="00C95D90" w:rsidRPr="0018693E">
        <w:rPr>
          <w:sz w:val="22"/>
          <w:szCs w:val="22"/>
        </w:rPr>
        <w:t>36.1</w:t>
      </w:r>
      <w:r w:rsidR="00BA3EE1" w:rsidRPr="0018693E">
        <w:rPr>
          <w:sz w:val="22"/>
          <w:szCs w:val="22"/>
        </w:rPr>
        <w:t xml:space="preserve"> percent to 4</w:t>
      </w:r>
      <w:r w:rsidR="00C95D90" w:rsidRPr="0018693E">
        <w:rPr>
          <w:sz w:val="22"/>
          <w:szCs w:val="22"/>
        </w:rPr>
        <w:t>5.0</w:t>
      </w:r>
      <w:r w:rsidR="00BA3EE1" w:rsidRPr="0018693E">
        <w:rPr>
          <w:sz w:val="22"/>
          <w:szCs w:val="22"/>
        </w:rPr>
        <w:t xml:space="preserve"> percent and </w:t>
      </w:r>
      <w:r w:rsidR="000567FA">
        <w:rPr>
          <w:sz w:val="22"/>
          <w:szCs w:val="22"/>
        </w:rPr>
        <w:t xml:space="preserve">the percentage of </w:t>
      </w:r>
      <w:r w:rsidR="00BA3EE1" w:rsidRPr="0018693E">
        <w:rPr>
          <w:sz w:val="22"/>
          <w:szCs w:val="22"/>
        </w:rPr>
        <w:t xml:space="preserve">English </w:t>
      </w:r>
      <w:r w:rsidR="001F0F8D" w:rsidRPr="0018693E">
        <w:rPr>
          <w:sz w:val="22"/>
          <w:szCs w:val="22"/>
        </w:rPr>
        <w:t>L</w:t>
      </w:r>
      <w:r w:rsidR="00BA3EE1" w:rsidRPr="0018693E">
        <w:rPr>
          <w:sz w:val="22"/>
          <w:szCs w:val="22"/>
        </w:rPr>
        <w:t>earner</w:t>
      </w:r>
      <w:r w:rsidR="001F0F8D" w:rsidRPr="0018693E">
        <w:rPr>
          <w:sz w:val="22"/>
          <w:szCs w:val="22"/>
        </w:rPr>
        <w:t>s</w:t>
      </w:r>
      <w:r w:rsidR="00BA3EE1" w:rsidRPr="0018693E">
        <w:rPr>
          <w:sz w:val="22"/>
          <w:szCs w:val="22"/>
        </w:rPr>
        <w:t xml:space="preserve"> grew from </w:t>
      </w:r>
      <w:r w:rsidR="00C95D90" w:rsidRPr="0018693E">
        <w:rPr>
          <w:sz w:val="22"/>
          <w:szCs w:val="22"/>
        </w:rPr>
        <w:t>13.4</w:t>
      </w:r>
      <w:r w:rsidR="00BA3EE1" w:rsidRPr="0018693E">
        <w:rPr>
          <w:sz w:val="22"/>
          <w:szCs w:val="22"/>
        </w:rPr>
        <w:t xml:space="preserve"> percent to 2</w:t>
      </w:r>
      <w:r w:rsidR="00C95D90" w:rsidRPr="0018693E">
        <w:rPr>
          <w:sz w:val="22"/>
          <w:szCs w:val="22"/>
        </w:rPr>
        <w:t>2.4</w:t>
      </w:r>
      <w:r w:rsidR="00BA3EE1" w:rsidRPr="0018693E">
        <w:rPr>
          <w:sz w:val="22"/>
          <w:szCs w:val="22"/>
        </w:rPr>
        <w:t xml:space="preserve"> percent.  </w:t>
      </w:r>
      <w:r w:rsidR="00F440ED" w:rsidRPr="0018693E">
        <w:rPr>
          <w:sz w:val="22"/>
          <w:szCs w:val="22"/>
        </w:rPr>
        <w:t>Betwe</w:t>
      </w:r>
      <w:r w:rsidR="00F440ED">
        <w:rPr>
          <w:sz w:val="22"/>
          <w:szCs w:val="22"/>
        </w:rPr>
        <w:t>en 2014 and 2018, t</w:t>
      </w:r>
      <w:r w:rsidR="00F440ED" w:rsidRPr="0018693E">
        <w:rPr>
          <w:sz w:val="22"/>
          <w:szCs w:val="22"/>
        </w:rPr>
        <w:t xml:space="preserve">he percentage of students with disabilities stayed </w:t>
      </w:r>
      <w:r w:rsidR="00F440ED">
        <w:rPr>
          <w:sz w:val="22"/>
          <w:szCs w:val="22"/>
        </w:rPr>
        <w:t>roughly the</w:t>
      </w:r>
      <w:r w:rsidR="00F440ED" w:rsidRPr="0018693E">
        <w:rPr>
          <w:sz w:val="22"/>
          <w:szCs w:val="22"/>
        </w:rPr>
        <w:t xml:space="preserve"> same: 22.8 percent in 2014 and 22.9 percent in 2018.</w:t>
      </w:r>
      <w:r w:rsidR="00F440ED" w:rsidRPr="00C95D90">
        <w:t xml:space="preserve">  </w:t>
      </w:r>
      <w:r w:rsidR="00BA3EE1" w:rsidRPr="0018693E">
        <w:rPr>
          <w:sz w:val="22"/>
          <w:szCs w:val="22"/>
        </w:rPr>
        <w:t xml:space="preserve">Between 2015 and 2018, the percentage of </w:t>
      </w:r>
      <w:proofErr w:type="gramStart"/>
      <w:r w:rsidR="00BA3EE1" w:rsidRPr="0018693E">
        <w:rPr>
          <w:sz w:val="22"/>
          <w:szCs w:val="22"/>
        </w:rPr>
        <w:t>economically disadvantaged</w:t>
      </w:r>
      <w:proofErr w:type="gramEnd"/>
      <w:r w:rsidR="00BA3EE1" w:rsidRPr="0018693E">
        <w:rPr>
          <w:sz w:val="22"/>
          <w:szCs w:val="22"/>
        </w:rPr>
        <w:t xml:space="preserve"> students</w:t>
      </w:r>
      <w:r w:rsidR="00BA3EE1" w:rsidRPr="0018693E">
        <w:rPr>
          <w:rStyle w:val="FootnoteReference"/>
          <w:sz w:val="22"/>
          <w:szCs w:val="22"/>
        </w:rPr>
        <w:footnoteReference w:id="2"/>
      </w:r>
      <w:r w:rsidR="00BA3EE1" w:rsidRPr="0018693E">
        <w:rPr>
          <w:sz w:val="22"/>
          <w:szCs w:val="22"/>
        </w:rPr>
        <w:t xml:space="preserve"> increased from 2</w:t>
      </w:r>
      <w:r w:rsidR="00C95D90" w:rsidRPr="0018693E">
        <w:rPr>
          <w:sz w:val="22"/>
          <w:szCs w:val="22"/>
        </w:rPr>
        <w:t>6.9</w:t>
      </w:r>
      <w:r w:rsidR="00BA3EE1" w:rsidRPr="0018693E">
        <w:rPr>
          <w:sz w:val="22"/>
          <w:szCs w:val="22"/>
        </w:rPr>
        <w:t xml:space="preserve"> percent to 3</w:t>
      </w:r>
      <w:r w:rsidR="00C95D90" w:rsidRPr="0018693E">
        <w:rPr>
          <w:sz w:val="22"/>
          <w:szCs w:val="22"/>
        </w:rPr>
        <w:t>3.0</w:t>
      </w:r>
      <w:r w:rsidR="00BA3EE1" w:rsidRPr="0018693E">
        <w:rPr>
          <w:sz w:val="22"/>
          <w:szCs w:val="22"/>
        </w:rPr>
        <w:t xml:space="preserve"> percent.  </w:t>
      </w:r>
      <w:r w:rsidR="00F440ED">
        <w:rPr>
          <w:sz w:val="22"/>
          <w:szCs w:val="22"/>
        </w:rPr>
        <w:t xml:space="preserve"> </w:t>
      </w:r>
      <w:r w:rsidR="0016014B">
        <w:rPr>
          <w:sz w:val="22"/>
          <w:szCs w:val="22"/>
        </w:rPr>
        <w:t>In 2018, s</w:t>
      </w:r>
      <w:r w:rsidR="00F632C8" w:rsidRPr="001063C7">
        <w:rPr>
          <w:sz w:val="22"/>
          <w:szCs w:val="22"/>
        </w:rPr>
        <w:t xml:space="preserve">tudents were 57 </w:t>
      </w:r>
      <w:r w:rsidR="007E4D82">
        <w:rPr>
          <w:sz w:val="22"/>
          <w:szCs w:val="22"/>
        </w:rPr>
        <w:t xml:space="preserve">percent </w:t>
      </w:r>
      <w:r w:rsidR="00F632C8" w:rsidRPr="001063C7">
        <w:rPr>
          <w:sz w:val="22"/>
          <w:szCs w:val="22"/>
        </w:rPr>
        <w:t xml:space="preserve">White, 7 </w:t>
      </w:r>
      <w:r w:rsidR="007E4D82">
        <w:rPr>
          <w:sz w:val="22"/>
          <w:szCs w:val="22"/>
        </w:rPr>
        <w:t xml:space="preserve">percent </w:t>
      </w:r>
      <w:proofErr w:type="gramStart"/>
      <w:r w:rsidR="00F632C8" w:rsidRPr="001063C7">
        <w:rPr>
          <w:sz w:val="22"/>
          <w:szCs w:val="22"/>
        </w:rPr>
        <w:t>African-American</w:t>
      </w:r>
      <w:proofErr w:type="gramEnd"/>
      <w:r w:rsidR="00F632C8" w:rsidRPr="001063C7">
        <w:rPr>
          <w:sz w:val="22"/>
          <w:szCs w:val="22"/>
        </w:rPr>
        <w:t xml:space="preserve">/Black, 27 </w:t>
      </w:r>
      <w:r w:rsidR="007E4D82">
        <w:rPr>
          <w:sz w:val="22"/>
          <w:szCs w:val="22"/>
        </w:rPr>
        <w:t xml:space="preserve">percent </w:t>
      </w:r>
      <w:r w:rsidR="00F632C8" w:rsidRPr="001063C7">
        <w:rPr>
          <w:sz w:val="22"/>
          <w:szCs w:val="22"/>
        </w:rPr>
        <w:t xml:space="preserve">Hispanic/Latino, 5 </w:t>
      </w:r>
      <w:r w:rsidR="007E4D82">
        <w:rPr>
          <w:sz w:val="22"/>
          <w:szCs w:val="22"/>
        </w:rPr>
        <w:t xml:space="preserve">percent </w:t>
      </w:r>
      <w:r w:rsidR="00F632C8" w:rsidRPr="001063C7">
        <w:rPr>
          <w:sz w:val="22"/>
          <w:szCs w:val="22"/>
        </w:rPr>
        <w:t xml:space="preserve">Asian, and 4 </w:t>
      </w:r>
      <w:r w:rsidR="007E4D82">
        <w:rPr>
          <w:sz w:val="22"/>
          <w:szCs w:val="22"/>
        </w:rPr>
        <w:t xml:space="preserve">percent </w:t>
      </w:r>
      <w:r w:rsidR="00F632C8" w:rsidRPr="001063C7">
        <w:rPr>
          <w:sz w:val="22"/>
          <w:szCs w:val="22"/>
        </w:rPr>
        <w:t>Multi-Race.</w:t>
      </w:r>
    </w:p>
    <w:p w14:paraId="1A26F007" w14:textId="0C30D353" w:rsidR="00463900" w:rsidRDefault="00E10520" w:rsidP="00246E73">
      <w:r>
        <w:t xml:space="preserve">Guided by a </w:t>
      </w:r>
      <w:r w:rsidR="000567FA">
        <w:t xml:space="preserve">new </w:t>
      </w:r>
      <w:r>
        <w:t>strategic plan (2017-2020)</w:t>
      </w:r>
      <w:r w:rsidR="009C084D">
        <w:t xml:space="preserve">, </w:t>
      </w:r>
      <w:r w:rsidR="000567FA">
        <w:t>well-aligned school improvement plans,</w:t>
      </w:r>
      <w:r w:rsidR="009C084D">
        <w:t xml:space="preserve"> </w:t>
      </w:r>
      <w:r w:rsidR="009C084D" w:rsidRPr="000C3870">
        <w:t xml:space="preserve">and sufficient </w:t>
      </w:r>
      <w:r w:rsidR="00463900" w:rsidRPr="000C3870">
        <w:t>funding</w:t>
      </w:r>
      <w:r w:rsidR="009C084D" w:rsidRPr="000C3870">
        <w:t>,</w:t>
      </w:r>
      <w:r w:rsidR="000567FA" w:rsidRPr="000C3870">
        <w:t xml:space="preserve"> </w:t>
      </w:r>
      <w:r w:rsidRPr="000C3870">
        <w:t>the district</w:t>
      </w:r>
      <w:r w:rsidR="00261E38" w:rsidRPr="000C3870">
        <w:t>’</w:t>
      </w:r>
      <w:r w:rsidR="000567FA" w:rsidRPr="000C3870">
        <w:t xml:space="preserve">s current </w:t>
      </w:r>
      <w:r w:rsidR="00E30C14" w:rsidRPr="000C3870">
        <w:t xml:space="preserve">improvement </w:t>
      </w:r>
      <w:r w:rsidR="000567FA" w:rsidRPr="000C3870">
        <w:t>approaches</w:t>
      </w:r>
      <w:r w:rsidR="00463900" w:rsidRPr="000C3870">
        <w:t xml:space="preserve"> </w:t>
      </w:r>
      <w:r w:rsidR="00C83CAF" w:rsidRPr="000C3870">
        <w:t>are positioned to</w:t>
      </w:r>
      <w:r w:rsidR="000567FA" w:rsidRPr="000C3870">
        <w:t xml:space="preserve"> </w:t>
      </w:r>
      <w:r w:rsidR="00D03913" w:rsidRPr="000C3870">
        <w:t xml:space="preserve">respond </w:t>
      </w:r>
      <w:r w:rsidR="000567FA" w:rsidRPr="000C3870">
        <w:t>to</w:t>
      </w:r>
      <w:r w:rsidR="00533A9B" w:rsidRPr="000C3870">
        <w:t xml:space="preserve"> the schools’</w:t>
      </w:r>
      <w:r w:rsidR="000567FA">
        <w:t xml:space="preserve"> </w:t>
      </w:r>
      <w:r w:rsidR="001F2D93">
        <w:t>unique contexts</w:t>
      </w:r>
      <w:r w:rsidR="00D03913">
        <w:t>.</w:t>
      </w:r>
      <w:r w:rsidR="00D03913">
        <w:rPr>
          <w:rStyle w:val="FootnoteReference"/>
        </w:rPr>
        <w:footnoteReference w:id="3"/>
      </w:r>
      <w:r w:rsidR="00834F2A">
        <w:t xml:space="preserve"> For</w:t>
      </w:r>
      <w:r>
        <w:t xml:space="preserve"> example, </w:t>
      </w:r>
      <w:r w:rsidR="00D03913">
        <w:t xml:space="preserve">the </w:t>
      </w:r>
      <w:r>
        <w:t>district has</w:t>
      </w:r>
      <w:r w:rsidR="00FD297C">
        <w:t xml:space="preserve"> proactively</w:t>
      </w:r>
      <w:r>
        <w:t xml:space="preserve"> </w:t>
      </w:r>
      <w:r w:rsidR="00EB4702">
        <w:t xml:space="preserve">categorized </w:t>
      </w:r>
      <w:r w:rsidR="00C83CAF">
        <w:t>the</w:t>
      </w:r>
      <w:r w:rsidR="00CA28AE">
        <w:t xml:space="preserve"> school</w:t>
      </w:r>
      <w:r w:rsidR="00EB4702">
        <w:t>s</w:t>
      </w:r>
      <w:r w:rsidR="00CA28AE">
        <w:t xml:space="preserve"> </w:t>
      </w:r>
      <w:r w:rsidR="00EB4702">
        <w:t xml:space="preserve">into </w:t>
      </w:r>
      <w:r w:rsidR="001F2D93">
        <w:t>one of three tiers.</w:t>
      </w:r>
      <w:r w:rsidR="00DB2C74">
        <w:t xml:space="preserve"> Tier assignments are </w:t>
      </w:r>
      <w:r w:rsidR="00CA28AE">
        <w:t xml:space="preserve">based on </w:t>
      </w:r>
      <w:r w:rsidR="00EB4702">
        <w:t xml:space="preserve">student growth and achievement </w:t>
      </w:r>
      <w:r w:rsidR="00834F2A">
        <w:t xml:space="preserve">and </w:t>
      </w:r>
      <w:r w:rsidR="00C83CAF">
        <w:t>criteria for intervention</w:t>
      </w:r>
      <w:r w:rsidR="00533A9B">
        <w:t xml:space="preserve"> to help each school </w:t>
      </w:r>
      <w:r w:rsidR="00FD297C">
        <w:t xml:space="preserve">address </w:t>
      </w:r>
      <w:r w:rsidR="00F632C8">
        <w:t>its</w:t>
      </w:r>
      <w:r w:rsidR="00533A9B">
        <w:t xml:space="preserve"> improvement goals.</w:t>
      </w:r>
      <w:r w:rsidR="00490F05">
        <w:t xml:space="preserve"> </w:t>
      </w:r>
      <w:r w:rsidR="00C83CAF">
        <w:t xml:space="preserve">The district </w:t>
      </w:r>
      <w:r w:rsidR="00463900">
        <w:t>allocat</w:t>
      </w:r>
      <w:r w:rsidR="00C83CAF">
        <w:t>es</w:t>
      </w:r>
      <w:r w:rsidR="00463900">
        <w:t xml:space="preserve"> resources</w:t>
      </w:r>
      <w:r w:rsidR="00C83CAF">
        <w:t xml:space="preserve"> intended for improvement efforts </w:t>
      </w:r>
      <w:r w:rsidR="00463900">
        <w:t>more equitably</w:t>
      </w:r>
      <w:r w:rsidR="00C83CAF">
        <w:t>. T</w:t>
      </w:r>
      <w:r w:rsidR="00FD297C">
        <w:t>hose with greate</w:t>
      </w:r>
      <w:r w:rsidR="00C83CAF">
        <w:t>r</w:t>
      </w:r>
      <w:r w:rsidR="00FD297C">
        <w:t xml:space="preserve"> need</w:t>
      </w:r>
      <w:r w:rsidR="00C83CAF">
        <w:t>s</w:t>
      </w:r>
      <w:r w:rsidR="00FD297C">
        <w:t xml:space="preserve"> receive greater support</w:t>
      </w:r>
      <w:r w:rsidR="00326FE6">
        <w:t xml:space="preserve"> </w:t>
      </w:r>
      <w:r w:rsidR="00C83CAF">
        <w:t xml:space="preserve">such as </w:t>
      </w:r>
      <w:r w:rsidR="00326FE6">
        <w:t xml:space="preserve">time to collaborate, support personnel and </w:t>
      </w:r>
      <w:r w:rsidR="00C83CAF">
        <w:t xml:space="preserve">additional </w:t>
      </w:r>
      <w:r w:rsidR="00326FE6">
        <w:t>oversight</w:t>
      </w:r>
      <w:r w:rsidR="00C83CAF">
        <w:t xml:space="preserve">. </w:t>
      </w:r>
      <w:r w:rsidR="00DB2C74">
        <w:t>T</w:t>
      </w:r>
      <w:r w:rsidR="00EB4702">
        <w:t xml:space="preserve">he three tier </w:t>
      </w:r>
      <w:r w:rsidR="001F2D93">
        <w:t>3</w:t>
      </w:r>
      <w:r w:rsidR="00EB4702">
        <w:t xml:space="preserve"> schools, all elementary schools (Brophy, </w:t>
      </w:r>
      <w:proofErr w:type="gramStart"/>
      <w:r w:rsidR="00EB4702">
        <w:t>McCarthy</w:t>
      </w:r>
      <w:proofErr w:type="gramEnd"/>
      <w:r w:rsidR="00EB4702">
        <w:t xml:space="preserve"> and Wilson)</w:t>
      </w:r>
      <w:r w:rsidR="00463900">
        <w:t>,</w:t>
      </w:r>
      <w:r w:rsidR="00EB4702">
        <w:t xml:space="preserve"> are the district’s targeted assistance schools. Their leaders and teachers work directly with </w:t>
      </w:r>
      <w:r w:rsidR="00533A9B">
        <w:t>staff</w:t>
      </w:r>
      <w:r w:rsidR="00EB4702">
        <w:t xml:space="preserve"> from DESE’s Statewide System of Support (</w:t>
      </w:r>
      <w:proofErr w:type="spellStart"/>
      <w:r w:rsidR="00EB4702">
        <w:t>SSoS</w:t>
      </w:r>
      <w:proofErr w:type="spellEnd"/>
      <w:r w:rsidR="00EB4702">
        <w:t xml:space="preserve">) to implement a Collective Turnaround Plan (CTAP).  </w:t>
      </w:r>
      <w:r w:rsidR="00935CCF">
        <w:t xml:space="preserve">One </w:t>
      </w:r>
      <w:r w:rsidR="00DB2C74">
        <w:t xml:space="preserve">tier </w:t>
      </w:r>
      <w:r w:rsidR="001F2D93">
        <w:t>3</w:t>
      </w:r>
      <w:r w:rsidR="00EB4702">
        <w:t xml:space="preserve"> school </w:t>
      </w:r>
      <w:r w:rsidR="00851916">
        <w:t>ha</w:t>
      </w:r>
      <w:r w:rsidR="00935CCF">
        <w:t>s</w:t>
      </w:r>
      <w:r w:rsidR="00851916">
        <w:t xml:space="preserve"> </w:t>
      </w:r>
      <w:r w:rsidR="00EB4702">
        <w:t>two ELA coaches instead of one,</w:t>
      </w:r>
      <w:r w:rsidR="00FD297C">
        <w:rPr>
          <w:rStyle w:val="FootnoteReference"/>
        </w:rPr>
        <w:footnoteReference w:id="4"/>
      </w:r>
      <w:r w:rsidR="00EB4702">
        <w:t xml:space="preserve"> more </w:t>
      </w:r>
      <w:r w:rsidR="00F632C8">
        <w:t>walkthroughs by</w:t>
      </w:r>
      <w:r w:rsidR="00EB4702">
        <w:t xml:space="preserve"> district and school leaders</w:t>
      </w:r>
      <w:r w:rsidR="00F632C8">
        <w:t xml:space="preserve"> </w:t>
      </w:r>
      <w:r w:rsidR="00F632C8">
        <w:lastRenderedPageBreak/>
        <w:t>to monitor progress</w:t>
      </w:r>
      <w:r w:rsidR="00DB2C74">
        <w:t>,</w:t>
      </w:r>
      <w:r w:rsidR="00EB4702">
        <w:t xml:space="preserve"> and more time for various </w:t>
      </w:r>
      <w:r w:rsidR="00F632C8">
        <w:t xml:space="preserve">teacher </w:t>
      </w:r>
      <w:r w:rsidR="00EB4702">
        <w:t>teams to meet</w:t>
      </w:r>
      <w:r w:rsidR="00935CCF">
        <w:t xml:space="preserve"> </w:t>
      </w:r>
      <w:proofErr w:type="gramStart"/>
      <w:r w:rsidR="00935CCF">
        <w:rPr>
          <w:rFonts w:ascii="Calibri" w:hAnsi="Calibri" w:cs="Calibri"/>
          <w:color w:val="000000"/>
        </w:rPr>
        <w:t>as a result of</w:t>
      </w:r>
      <w:proofErr w:type="gramEnd"/>
      <w:r w:rsidR="00935CCF">
        <w:rPr>
          <w:rFonts w:ascii="Calibri" w:hAnsi="Calibri" w:cs="Calibri"/>
          <w:color w:val="000000"/>
        </w:rPr>
        <w:t xml:space="preserve"> targeted investments in collaboration time</w:t>
      </w:r>
      <w:r w:rsidR="00EB4702">
        <w:t xml:space="preserve">. The two tier </w:t>
      </w:r>
      <w:r w:rsidR="00C53BBF">
        <w:t>2</w:t>
      </w:r>
      <w:r w:rsidR="00EB4702">
        <w:t xml:space="preserve"> schools (Barbieri Elementary </w:t>
      </w:r>
      <w:r w:rsidR="00F632C8">
        <w:t xml:space="preserve">School </w:t>
      </w:r>
      <w:r w:rsidR="00EB4702">
        <w:t>and Fuller Middle</w:t>
      </w:r>
      <w:r w:rsidR="00F632C8">
        <w:t xml:space="preserve"> School</w:t>
      </w:r>
      <w:r w:rsidR="00EB4702">
        <w:t>)</w:t>
      </w:r>
      <w:r w:rsidR="00851916">
        <w:t xml:space="preserve"> </w:t>
      </w:r>
      <w:r w:rsidR="00EB4702">
        <w:t xml:space="preserve">also </w:t>
      </w:r>
      <w:r w:rsidR="00463900">
        <w:t xml:space="preserve">receive added </w:t>
      </w:r>
      <w:r w:rsidR="00F632C8">
        <w:t>resources</w:t>
      </w:r>
      <w:r w:rsidR="00463900">
        <w:t xml:space="preserve"> from</w:t>
      </w:r>
      <w:r w:rsidR="00851916">
        <w:t xml:space="preserve"> the</w:t>
      </w:r>
      <w:r w:rsidR="00463900">
        <w:t xml:space="preserve"> district</w:t>
      </w:r>
      <w:r w:rsidR="00F632C8">
        <w:t xml:space="preserve"> and </w:t>
      </w:r>
      <w:proofErr w:type="spellStart"/>
      <w:r w:rsidR="00463900">
        <w:t>SSoS</w:t>
      </w:r>
      <w:proofErr w:type="spellEnd"/>
      <w:r w:rsidR="00463900">
        <w:t xml:space="preserve"> staff</w:t>
      </w:r>
      <w:r w:rsidR="00F632C8">
        <w:t xml:space="preserve"> provide support</w:t>
      </w:r>
      <w:r w:rsidR="00463900">
        <w:t xml:space="preserve"> </w:t>
      </w:r>
      <w:r w:rsidR="00533A9B">
        <w:t>to</w:t>
      </w:r>
      <w:r w:rsidR="00463900">
        <w:t xml:space="preserve"> </w:t>
      </w:r>
      <w:r w:rsidR="00533A9B">
        <w:t>their Instructional Leadership Teams (</w:t>
      </w:r>
      <w:r w:rsidR="00463900">
        <w:t>ILTs</w:t>
      </w:r>
      <w:r w:rsidR="00533A9B">
        <w:t>)</w:t>
      </w:r>
      <w:r w:rsidR="00463900">
        <w:t xml:space="preserve">. </w:t>
      </w:r>
      <w:r w:rsidR="00851916">
        <w:t xml:space="preserve">The </w:t>
      </w:r>
      <w:r w:rsidR="00463900">
        <w:t xml:space="preserve">other </w:t>
      </w:r>
      <w:r w:rsidR="00851916">
        <w:t xml:space="preserve">9 </w:t>
      </w:r>
      <w:r w:rsidR="00463900">
        <w:t xml:space="preserve">schools are in tier </w:t>
      </w:r>
      <w:r w:rsidR="00C53BBF">
        <w:t xml:space="preserve">1 </w:t>
      </w:r>
      <w:r w:rsidR="00533A9B">
        <w:t>and receive no supplementary resources.</w:t>
      </w:r>
    </w:p>
    <w:p w14:paraId="6DA1CB88" w14:textId="5081BC2E" w:rsidR="00490F05" w:rsidRDefault="00851916" w:rsidP="00246E73">
      <w:r>
        <w:t>A new staffing structure brings a new approach to leadership</w:t>
      </w:r>
      <w:r w:rsidR="00326FE6">
        <w:t xml:space="preserve"> roles</w:t>
      </w:r>
      <w:r>
        <w:t xml:space="preserve">.  </w:t>
      </w:r>
      <w:r w:rsidR="00490F05">
        <w:t xml:space="preserve">District </w:t>
      </w:r>
      <w:r w:rsidR="00EE761F">
        <w:t>leaders</w:t>
      </w:r>
      <w:r w:rsidR="00490F05">
        <w:t xml:space="preserve"> now include</w:t>
      </w:r>
      <w:r w:rsidR="00EE761F">
        <w:t xml:space="preserve"> </w:t>
      </w:r>
      <w:r w:rsidR="00F96879">
        <w:t>three</w:t>
      </w:r>
      <w:r w:rsidR="00EE761F">
        <w:t xml:space="preserve"> new</w:t>
      </w:r>
      <w:r w:rsidR="00D03913">
        <w:t>ly designed</w:t>
      </w:r>
      <w:r w:rsidR="00EE761F">
        <w:t xml:space="preserve"> assistant superintendent</w:t>
      </w:r>
      <w:r w:rsidR="00CA28AE">
        <w:t xml:space="preserve"> </w:t>
      </w:r>
      <w:r w:rsidR="00490F05">
        <w:t>positions</w:t>
      </w:r>
      <w:r w:rsidR="00EE761F">
        <w:t xml:space="preserve"> </w:t>
      </w:r>
      <w:r w:rsidR="000F4C2D">
        <w:t>(</w:t>
      </w:r>
      <w:r w:rsidR="00CA28AE">
        <w:t>one</w:t>
      </w:r>
      <w:r w:rsidR="00326FE6">
        <w:t xml:space="preserve"> each</w:t>
      </w:r>
      <w:r w:rsidR="00CA28AE">
        <w:t xml:space="preserve"> </w:t>
      </w:r>
      <w:r w:rsidR="000F4C2D">
        <w:t>for elementary education</w:t>
      </w:r>
      <w:r w:rsidR="00CA28AE">
        <w:t>;</w:t>
      </w:r>
      <w:r w:rsidR="000F4C2D">
        <w:t xml:space="preserve"> secondary education; and</w:t>
      </w:r>
      <w:r w:rsidR="00E10520">
        <w:t xml:space="preserve"> </w:t>
      </w:r>
      <w:r w:rsidR="008211EE">
        <w:t xml:space="preserve">equity, </w:t>
      </w:r>
      <w:proofErr w:type="gramStart"/>
      <w:r w:rsidR="000F4C2D">
        <w:t>diversity</w:t>
      </w:r>
      <w:proofErr w:type="gramEnd"/>
      <w:r w:rsidR="000F4C2D">
        <w:t xml:space="preserve"> and community)</w:t>
      </w:r>
      <w:r w:rsidR="00CA28AE">
        <w:t>.  Their</w:t>
      </w:r>
      <w:r w:rsidR="00F96879">
        <w:t xml:space="preserve"> mandate is to </w:t>
      </w:r>
      <w:r w:rsidR="00EE761F">
        <w:t xml:space="preserve">build </w:t>
      </w:r>
      <w:r w:rsidR="00326FE6">
        <w:t xml:space="preserve">closer </w:t>
      </w:r>
      <w:r w:rsidR="00EE761F">
        <w:t xml:space="preserve">alliances and </w:t>
      </w:r>
      <w:r w:rsidR="00E10520">
        <w:t xml:space="preserve">provide </w:t>
      </w:r>
      <w:r w:rsidR="00D03913">
        <w:t>technical support</w:t>
      </w:r>
      <w:r w:rsidR="00EE761F">
        <w:t xml:space="preserve"> </w:t>
      </w:r>
      <w:r w:rsidR="00490F05">
        <w:t xml:space="preserve">at the </w:t>
      </w:r>
      <w:r w:rsidR="00EE761F">
        <w:t>school</w:t>
      </w:r>
      <w:r w:rsidR="00326FE6">
        <w:t>s</w:t>
      </w:r>
      <w:r w:rsidR="00EE761F">
        <w:t xml:space="preserve">.  In addition, </w:t>
      </w:r>
      <w:r w:rsidR="00326FE6">
        <w:t xml:space="preserve">the former </w:t>
      </w:r>
      <w:r w:rsidR="00EE761F">
        <w:t>loosely aligned system of semi-autonomous schools is</w:t>
      </w:r>
      <w:r w:rsidR="00F96879">
        <w:t xml:space="preserve"> now</w:t>
      </w:r>
      <w:r w:rsidR="00951F33">
        <w:t xml:space="preserve"> </w:t>
      </w:r>
      <w:r w:rsidR="00490F05">
        <w:t xml:space="preserve">emerging as </w:t>
      </w:r>
      <w:r w:rsidR="00EE761F">
        <w:t>a more collaborative</w:t>
      </w:r>
      <w:r w:rsidR="00490F05">
        <w:t>,</w:t>
      </w:r>
      <w:r w:rsidR="00CA28AE">
        <w:t xml:space="preserve"> inclusive</w:t>
      </w:r>
      <w:r w:rsidR="00490F05">
        <w:t>,</w:t>
      </w:r>
      <w:r w:rsidR="00EE761F">
        <w:t xml:space="preserve"> interdependent network of schools</w:t>
      </w:r>
      <w:r w:rsidR="00951F33">
        <w:t xml:space="preserve">. </w:t>
      </w:r>
    </w:p>
    <w:p w14:paraId="0949E4B0" w14:textId="742E4641" w:rsidR="00D071D9" w:rsidRDefault="00951F33" w:rsidP="00246E73">
      <w:r>
        <w:t>To improve teaching and learning, educators</w:t>
      </w:r>
      <w:r w:rsidR="00EE761F">
        <w:t xml:space="preserve"> are </w:t>
      </w:r>
      <w:r w:rsidR="00F96879">
        <w:t xml:space="preserve">starting </w:t>
      </w:r>
      <w:r w:rsidR="00EE761F">
        <w:t>to use more unified</w:t>
      </w:r>
      <w:r>
        <w:t xml:space="preserve"> research-based practices</w:t>
      </w:r>
      <w:r w:rsidR="000F4C2D">
        <w:t xml:space="preserve">.  These include </w:t>
      </w:r>
      <w:r w:rsidR="00C3056A">
        <w:t xml:space="preserve">implementing a new curriculum review cycle </w:t>
      </w:r>
      <w:r w:rsidR="000F4C2D">
        <w:t>to renew the</w:t>
      </w:r>
      <w:r w:rsidR="00AB102F">
        <w:t xml:space="preserve"> curriculum </w:t>
      </w:r>
      <w:r w:rsidR="000F4C2D">
        <w:t>and align all curricul</w:t>
      </w:r>
      <w:r w:rsidR="00326FE6">
        <w:t>um</w:t>
      </w:r>
      <w:r w:rsidR="00AB102F">
        <w:t xml:space="preserve"> to current Massachusetts frameworks</w:t>
      </w:r>
      <w:r w:rsidR="00C3056A">
        <w:t xml:space="preserve">.  The district has </w:t>
      </w:r>
      <w:r w:rsidR="00D31436">
        <w:t>creat</w:t>
      </w:r>
      <w:r w:rsidR="00C3056A">
        <w:t>ed</w:t>
      </w:r>
      <w:r w:rsidR="00D31436">
        <w:t xml:space="preserve"> </w:t>
      </w:r>
      <w:r w:rsidR="00AB102F">
        <w:t xml:space="preserve">a five-year plan to </w:t>
      </w:r>
      <w:r w:rsidR="00D31436">
        <w:t>develop</w:t>
      </w:r>
      <w:r w:rsidR="00AB102F">
        <w:t xml:space="preserve"> and </w:t>
      </w:r>
      <w:r w:rsidR="00FB2BDC">
        <w:t xml:space="preserve">administer </w:t>
      </w:r>
      <w:r w:rsidR="00AB102F">
        <w:t xml:space="preserve">common </w:t>
      </w:r>
      <w:r w:rsidR="00851916">
        <w:t xml:space="preserve">formative </w:t>
      </w:r>
      <w:r w:rsidR="00AB102F">
        <w:t>assessments districtwide</w:t>
      </w:r>
      <w:r w:rsidR="00C3056A">
        <w:t xml:space="preserve"> and use </w:t>
      </w:r>
      <w:r w:rsidR="00490F05">
        <w:t xml:space="preserve">assessment </w:t>
      </w:r>
      <w:r w:rsidR="00C3056A">
        <w:t>data and other</w:t>
      </w:r>
      <w:r w:rsidR="00AB102F">
        <w:t xml:space="preserve"> </w:t>
      </w:r>
      <w:r w:rsidR="00C3056A">
        <w:t xml:space="preserve">evidence to make </w:t>
      </w:r>
      <w:r w:rsidR="00490F05">
        <w:t xml:space="preserve">better </w:t>
      </w:r>
      <w:r w:rsidR="00AB102F">
        <w:t>decisio</w:t>
      </w:r>
      <w:r w:rsidR="00C3056A">
        <w:t>ns</w:t>
      </w:r>
      <w:r w:rsidR="00FB2BDC">
        <w:t xml:space="preserve"> </w:t>
      </w:r>
      <w:r w:rsidR="00326FE6">
        <w:t xml:space="preserve">for </w:t>
      </w:r>
      <w:proofErr w:type="gramStart"/>
      <w:r w:rsidR="00FB2BDC">
        <w:t>interventions</w:t>
      </w:r>
      <w:r w:rsidR="00C3056A">
        <w:t>;</w:t>
      </w:r>
      <w:proofErr w:type="gramEnd"/>
      <w:r w:rsidR="00C3056A">
        <w:t xml:space="preserve"> although </w:t>
      </w:r>
      <w:r w:rsidR="00851916">
        <w:t>expertise in using</w:t>
      </w:r>
      <w:r w:rsidR="00C3056A">
        <w:t xml:space="preserve"> disaggregated </w:t>
      </w:r>
      <w:r w:rsidR="00D60430">
        <w:t xml:space="preserve">student </w:t>
      </w:r>
      <w:r w:rsidR="00C3056A">
        <w:t xml:space="preserve">data is </w:t>
      </w:r>
      <w:r w:rsidR="00490F05">
        <w:t xml:space="preserve">still </w:t>
      </w:r>
      <w:r w:rsidR="00851916">
        <w:t>an emerging skill</w:t>
      </w:r>
      <w:r w:rsidR="00490F05">
        <w:t>.</w:t>
      </w:r>
      <w:r>
        <w:t xml:space="preserve">  Professional development is aligned to</w:t>
      </w:r>
      <w:r w:rsidR="00C3056A">
        <w:t xml:space="preserve"> </w:t>
      </w:r>
      <w:r w:rsidR="00851916">
        <w:t>district and school</w:t>
      </w:r>
      <w:r w:rsidR="00C3056A">
        <w:t xml:space="preserve"> goals</w:t>
      </w:r>
      <w:r w:rsidR="00851916">
        <w:t xml:space="preserve"> </w:t>
      </w:r>
      <w:r w:rsidR="00C3056A">
        <w:t>to</w:t>
      </w:r>
      <w:r>
        <w:t xml:space="preserve"> </w:t>
      </w:r>
      <w:r w:rsidR="00490F05">
        <w:t xml:space="preserve">strengthen </w:t>
      </w:r>
      <w:r>
        <w:t>teachers</w:t>
      </w:r>
      <w:r w:rsidR="00490F05">
        <w:t>’</w:t>
      </w:r>
      <w:r>
        <w:t xml:space="preserve"> and leaders’ capacity</w:t>
      </w:r>
      <w:r w:rsidR="00533A9B">
        <w:t xml:space="preserve"> to improve instruction and create positive conditions for learning</w:t>
      </w:r>
      <w:r>
        <w:t xml:space="preserve">. </w:t>
      </w:r>
      <w:r w:rsidR="00D071D9">
        <w:t>Another research-based practice prioritized by the district is teacher collaboration to plan instruction and reflect on student progress; examples include common planning time and professional learning communities.</w:t>
      </w:r>
    </w:p>
    <w:p w14:paraId="3B92AEFE" w14:textId="2E4A1F87" w:rsidR="00851916" w:rsidRDefault="00851916" w:rsidP="00246E73">
      <w:r>
        <w:t xml:space="preserve">However, the educator evaluation </w:t>
      </w:r>
      <w:r w:rsidR="00D071D9">
        <w:t>system</w:t>
      </w:r>
      <w:r>
        <w:t xml:space="preserve">, while closely aligned to DESE’s model, is unevenly </w:t>
      </w:r>
      <w:proofErr w:type="gramStart"/>
      <w:r>
        <w:t>implemented</w:t>
      </w:r>
      <w:proofErr w:type="gramEnd"/>
      <w:r>
        <w:t xml:space="preserve"> and lacks the focus and quality needed to meaningfully improve instruction to address students’ learning needs</w:t>
      </w:r>
      <w:r w:rsidR="00533A9B">
        <w:t>.</w:t>
      </w:r>
      <w:r>
        <w:t xml:space="preserve"> </w:t>
      </w:r>
    </w:p>
    <w:p w14:paraId="2E8ED43B" w14:textId="6C63E2F1" w:rsidR="00226159" w:rsidRDefault="00226159" w:rsidP="00246E73">
      <w:r>
        <w:t xml:space="preserve">The district’s commitment to equity is demonstrated in </w:t>
      </w:r>
      <w:r w:rsidRPr="00226159">
        <w:t>part by a</w:t>
      </w:r>
      <w:r w:rsidRPr="00406A80">
        <w:t xml:space="preserve"> variety of professional development courses that help teachers to include diverse voices and ensure that instruction reflects culturally relevant pedagogy.  Professional development also includes presentations by the black student union, the Jewish student union, the F-Word feminist club, and presentations on racial equity. In addition, racial equity in the classroom is the topic of a four-credit course for high-school teachers, designed by the district in collaboration with Framingham State University. </w:t>
      </w:r>
    </w:p>
    <w:p w14:paraId="0178B1E6" w14:textId="0ED16570" w:rsidR="00942A55" w:rsidRDefault="00942A55" w:rsidP="00246E73">
      <w:pPr>
        <w:pStyle w:val="CommentText"/>
        <w:spacing w:line="276" w:lineRule="auto"/>
        <w:rPr>
          <w:sz w:val="22"/>
          <w:szCs w:val="22"/>
        </w:rPr>
      </w:pPr>
      <w:r w:rsidRPr="00BA3EE1">
        <w:rPr>
          <w:sz w:val="22"/>
          <w:szCs w:val="22"/>
        </w:rPr>
        <w:t>Given its culturally and linguistically diverse student</w:t>
      </w:r>
      <w:r>
        <w:rPr>
          <w:sz w:val="22"/>
          <w:szCs w:val="22"/>
        </w:rPr>
        <w:t xml:space="preserve"> body,</w:t>
      </w:r>
      <w:r w:rsidRPr="00BA3EE1">
        <w:rPr>
          <w:sz w:val="22"/>
          <w:szCs w:val="22"/>
        </w:rPr>
        <w:t xml:space="preserve"> the district supports a broad English language development (ELD) program</w:t>
      </w:r>
      <w:r>
        <w:rPr>
          <w:sz w:val="22"/>
          <w:szCs w:val="22"/>
        </w:rPr>
        <w:t xml:space="preserve"> led by a director</w:t>
      </w:r>
      <w:r w:rsidRPr="00BA3EE1">
        <w:rPr>
          <w:sz w:val="22"/>
          <w:szCs w:val="22"/>
        </w:rPr>
        <w:t xml:space="preserve">.  In addition to school-based programs for English learners (ELs), there are two dual language schools:  Barbieri Elementary </w:t>
      </w:r>
      <w:r w:rsidR="00951F33">
        <w:rPr>
          <w:sz w:val="22"/>
          <w:szCs w:val="22"/>
        </w:rPr>
        <w:t xml:space="preserve">School </w:t>
      </w:r>
      <w:r w:rsidRPr="00BA3EE1">
        <w:rPr>
          <w:sz w:val="22"/>
          <w:szCs w:val="22"/>
        </w:rPr>
        <w:t xml:space="preserve">for </w:t>
      </w:r>
      <w:proofErr w:type="gramStart"/>
      <w:r w:rsidRPr="00BA3EE1">
        <w:rPr>
          <w:sz w:val="22"/>
          <w:szCs w:val="22"/>
        </w:rPr>
        <w:t>English-Spanish</w:t>
      </w:r>
      <w:proofErr w:type="gramEnd"/>
      <w:r w:rsidRPr="00BA3EE1">
        <w:rPr>
          <w:sz w:val="22"/>
          <w:szCs w:val="22"/>
        </w:rPr>
        <w:t xml:space="preserve"> and Potter Road Elementary</w:t>
      </w:r>
      <w:r w:rsidR="00951F33">
        <w:rPr>
          <w:sz w:val="22"/>
          <w:szCs w:val="22"/>
        </w:rPr>
        <w:t xml:space="preserve"> School</w:t>
      </w:r>
      <w:r w:rsidRPr="00BA3EE1">
        <w:rPr>
          <w:sz w:val="22"/>
          <w:szCs w:val="22"/>
        </w:rPr>
        <w:t xml:space="preserve"> for English-Portuguese (new this school year).  There are plans </w:t>
      </w:r>
      <w:r w:rsidR="005C72BA">
        <w:rPr>
          <w:sz w:val="22"/>
          <w:szCs w:val="22"/>
        </w:rPr>
        <w:t>to add</w:t>
      </w:r>
      <w:r w:rsidRPr="00BA3EE1">
        <w:rPr>
          <w:sz w:val="22"/>
          <w:szCs w:val="22"/>
        </w:rPr>
        <w:t xml:space="preserve"> two </w:t>
      </w:r>
      <w:r w:rsidR="005C72BA">
        <w:rPr>
          <w:sz w:val="22"/>
          <w:szCs w:val="22"/>
        </w:rPr>
        <w:t xml:space="preserve">more </w:t>
      </w:r>
      <w:r w:rsidRPr="00BA3EE1">
        <w:rPr>
          <w:sz w:val="22"/>
          <w:szCs w:val="22"/>
        </w:rPr>
        <w:t>dual-language schools (one Spanish and one Portuguese)</w:t>
      </w:r>
      <w:r>
        <w:rPr>
          <w:sz w:val="22"/>
          <w:szCs w:val="22"/>
        </w:rPr>
        <w:t xml:space="preserve"> for the </w:t>
      </w:r>
      <w:r w:rsidRPr="00BA3EE1">
        <w:rPr>
          <w:sz w:val="22"/>
          <w:szCs w:val="22"/>
        </w:rPr>
        <w:t>2019-20</w:t>
      </w:r>
      <w:r>
        <w:rPr>
          <w:sz w:val="22"/>
          <w:szCs w:val="22"/>
        </w:rPr>
        <w:t>20 school year</w:t>
      </w:r>
      <w:r w:rsidRPr="00BA3EE1">
        <w:rPr>
          <w:sz w:val="22"/>
          <w:szCs w:val="22"/>
        </w:rPr>
        <w:t xml:space="preserve">.  </w:t>
      </w:r>
    </w:p>
    <w:p w14:paraId="79EB6D42" w14:textId="6AF6F9C6" w:rsidR="00BE182E" w:rsidRDefault="00D31436" w:rsidP="00246E73">
      <w:pPr>
        <w:pStyle w:val="CommentText"/>
        <w:spacing w:line="276" w:lineRule="auto"/>
      </w:pPr>
      <w:r>
        <w:rPr>
          <w:sz w:val="22"/>
          <w:szCs w:val="22"/>
        </w:rPr>
        <w:t>Leaders and teachers</w:t>
      </w:r>
      <w:r w:rsidR="00942A55">
        <w:rPr>
          <w:sz w:val="22"/>
          <w:szCs w:val="22"/>
        </w:rPr>
        <w:t xml:space="preserve"> </w:t>
      </w:r>
      <w:r w:rsidR="00942A55" w:rsidRPr="000C3870">
        <w:rPr>
          <w:sz w:val="22"/>
          <w:szCs w:val="22"/>
        </w:rPr>
        <w:t>also</w:t>
      </w:r>
      <w:r w:rsidRPr="000C3870">
        <w:rPr>
          <w:sz w:val="22"/>
          <w:szCs w:val="22"/>
        </w:rPr>
        <w:t xml:space="preserve"> </w:t>
      </w:r>
      <w:r w:rsidRPr="00EC5B5A">
        <w:rPr>
          <w:sz w:val="22"/>
          <w:szCs w:val="22"/>
        </w:rPr>
        <w:t>understand</w:t>
      </w:r>
      <w:r w:rsidRPr="000C3870">
        <w:rPr>
          <w:sz w:val="22"/>
          <w:szCs w:val="22"/>
        </w:rPr>
        <w:t xml:space="preserve"> </w:t>
      </w:r>
      <w:r w:rsidR="00654478" w:rsidRPr="000C3870">
        <w:rPr>
          <w:sz w:val="22"/>
          <w:szCs w:val="22"/>
        </w:rPr>
        <w:t>that</w:t>
      </w:r>
      <w:r w:rsidR="00654478">
        <w:rPr>
          <w:sz w:val="22"/>
          <w:szCs w:val="22"/>
        </w:rPr>
        <w:t xml:space="preserve"> school culture and climate </w:t>
      </w:r>
      <w:r w:rsidR="00502631">
        <w:rPr>
          <w:sz w:val="22"/>
          <w:szCs w:val="22"/>
        </w:rPr>
        <w:t>can</w:t>
      </w:r>
      <w:r w:rsidR="00FB2BDC">
        <w:rPr>
          <w:sz w:val="22"/>
          <w:szCs w:val="22"/>
        </w:rPr>
        <w:t xml:space="preserve"> set the stage for</w:t>
      </w:r>
      <w:r>
        <w:rPr>
          <w:sz w:val="22"/>
          <w:szCs w:val="22"/>
        </w:rPr>
        <w:t xml:space="preserve"> high </w:t>
      </w:r>
      <w:r w:rsidR="00942A55">
        <w:rPr>
          <w:sz w:val="22"/>
          <w:szCs w:val="22"/>
        </w:rPr>
        <w:t xml:space="preserve">quality </w:t>
      </w:r>
      <w:r>
        <w:rPr>
          <w:sz w:val="22"/>
          <w:szCs w:val="22"/>
        </w:rPr>
        <w:t xml:space="preserve">teaching and learning. </w:t>
      </w:r>
      <w:r w:rsidR="00AB102F">
        <w:rPr>
          <w:sz w:val="22"/>
          <w:szCs w:val="22"/>
        </w:rPr>
        <w:t xml:space="preserve">To </w:t>
      </w:r>
      <w:r>
        <w:rPr>
          <w:sz w:val="22"/>
          <w:szCs w:val="22"/>
        </w:rPr>
        <w:t>improve</w:t>
      </w:r>
      <w:r w:rsidR="00654478">
        <w:rPr>
          <w:sz w:val="22"/>
          <w:szCs w:val="22"/>
        </w:rPr>
        <w:t xml:space="preserve"> learning</w:t>
      </w:r>
      <w:r w:rsidR="00533A9B">
        <w:rPr>
          <w:sz w:val="22"/>
          <w:szCs w:val="22"/>
        </w:rPr>
        <w:t xml:space="preserve"> conditions</w:t>
      </w:r>
      <w:r w:rsidR="00654478">
        <w:rPr>
          <w:sz w:val="22"/>
          <w:szCs w:val="22"/>
        </w:rPr>
        <w:t xml:space="preserve"> </w:t>
      </w:r>
      <w:r w:rsidR="00C3056A">
        <w:rPr>
          <w:sz w:val="22"/>
          <w:szCs w:val="22"/>
        </w:rPr>
        <w:t>districtwide</w:t>
      </w:r>
      <w:r w:rsidR="00001E56">
        <w:rPr>
          <w:sz w:val="22"/>
          <w:szCs w:val="22"/>
        </w:rPr>
        <w:t xml:space="preserve">, </w:t>
      </w:r>
      <w:r w:rsidR="00FB2BDC">
        <w:rPr>
          <w:sz w:val="22"/>
          <w:szCs w:val="22"/>
        </w:rPr>
        <w:t xml:space="preserve">the </w:t>
      </w:r>
      <w:r w:rsidR="00C3056A">
        <w:rPr>
          <w:sz w:val="22"/>
          <w:szCs w:val="22"/>
        </w:rPr>
        <w:t xml:space="preserve">schools </w:t>
      </w:r>
      <w:r w:rsidR="00AB102F">
        <w:rPr>
          <w:sz w:val="22"/>
          <w:szCs w:val="22"/>
        </w:rPr>
        <w:t>administer</w:t>
      </w:r>
      <w:r w:rsidR="00C3056A">
        <w:rPr>
          <w:sz w:val="22"/>
          <w:szCs w:val="22"/>
        </w:rPr>
        <w:t xml:space="preserve"> the</w:t>
      </w:r>
      <w:r w:rsidR="00AB102F">
        <w:rPr>
          <w:sz w:val="22"/>
          <w:szCs w:val="22"/>
        </w:rPr>
        <w:t xml:space="preserve"> </w:t>
      </w:r>
      <w:r w:rsidR="00FB2BDC">
        <w:rPr>
          <w:sz w:val="22"/>
          <w:szCs w:val="22"/>
        </w:rPr>
        <w:t xml:space="preserve">Panorama </w:t>
      </w:r>
      <w:r>
        <w:rPr>
          <w:sz w:val="22"/>
          <w:szCs w:val="22"/>
        </w:rPr>
        <w:t xml:space="preserve">school climate </w:t>
      </w:r>
      <w:r w:rsidR="00AB102F">
        <w:rPr>
          <w:sz w:val="22"/>
          <w:szCs w:val="22"/>
        </w:rPr>
        <w:t>survey to all students, teachers and families in Grades 3-12</w:t>
      </w:r>
      <w:r>
        <w:rPr>
          <w:sz w:val="22"/>
          <w:szCs w:val="22"/>
        </w:rPr>
        <w:t xml:space="preserve"> and use results to</w:t>
      </w:r>
      <w:r w:rsidR="00502631">
        <w:rPr>
          <w:sz w:val="22"/>
          <w:szCs w:val="22"/>
        </w:rPr>
        <w:t xml:space="preserve"> define and</w:t>
      </w:r>
      <w:r>
        <w:rPr>
          <w:sz w:val="22"/>
          <w:szCs w:val="22"/>
        </w:rPr>
        <w:t xml:space="preserve"> set </w:t>
      </w:r>
      <w:r w:rsidR="000F4C2D">
        <w:rPr>
          <w:sz w:val="22"/>
          <w:szCs w:val="22"/>
        </w:rPr>
        <w:t>improvement goals</w:t>
      </w:r>
      <w:r w:rsidR="00533A9B">
        <w:rPr>
          <w:sz w:val="22"/>
          <w:szCs w:val="22"/>
        </w:rPr>
        <w:t xml:space="preserve"> and identify data to monitor progress</w:t>
      </w:r>
      <w:r w:rsidR="00001E56">
        <w:rPr>
          <w:sz w:val="22"/>
          <w:szCs w:val="22"/>
        </w:rPr>
        <w:t xml:space="preserve">.  </w:t>
      </w:r>
      <w:r w:rsidR="00C3056A">
        <w:rPr>
          <w:sz w:val="22"/>
          <w:szCs w:val="22"/>
        </w:rPr>
        <w:t xml:space="preserve">A recent benefit has been </w:t>
      </w:r>
      <w:r w:rsidR="00576C1F">
        <w:rPr>
          <w:sz w:val="22"/>
          <w:szCs w:val="22"/>
        </w:rPr>
        <w:t xml:space="preserve">the </w:t>
      </w:r>
      <w:r w:rsidR="00654478">
        <w:rPr>
          <w:sz w:val="22"/>
          <w:szCs w:val="22"/>
        </w:rPr>
        <w:lastRenderedPageBreak/>
        <w:t>introduc</w:t>
      </w:r>
      <w:r w:rsidR="00576C1F">
        <w:rPr>
          <w:sz w:val="22"/>
          <w:szCs w:val="22"/>
        </w:rPr>
        <w:t>tion of</w:t>
      </w:r>
      <w:r w:rsidR="00502631">
        <w:rPr>
          <w:sz w:val="22"/>
          <w:szCs w:val="22"/>
        </w:rPr>
        <w:t xml:space="preserve"> Positive Behavioral In</w:t>
      </w:r>
      <w:r w:rsidR="002C30C3">
        <w:rPr>
          <w:sz w:val="22"/>
          <w:szCs w:val="22"/>
        </w:rPr>
        <w:t>tervention</w:t>
      </w:r>
      <w:r w:rsidR="00502631">
        <w:rPr>
          <w:sz w:val="22"/>
          <w:szCs w:val="22"/>
        </w:rPr>
        <w:t xml:space="preserve"> Systems (PBIS)</w:t>
      </w:r>
      <w:r w:rsidR="00654478">
        <w:rPr>
          <w:sz w:val="22"/>
          <w:szCs w:val="22"/>
        </w:rPr>
        <w:t xml:space="preserve"> in </w:t>
      </w:r>
      <w:r w:rsidR="00BE182E">
        <w:rPr>
          <w:sz w:val="22"/>
          <w:szCs w:val="22"/>
        </w:rPr>
        <w:t>more</w:t>
      </w:r>
      <w:r w:rsidR="00654478">
        <w:rPr>
          <w:sz w:val="22"/>
          <w:szCs w:val="22"/>
        </w:rPr>
        <w:t xml:space="preserve"> elementary and middle schools</w:t>
      </w:r>
      <w:r w:rsidR="00502631">
        <w:rPr>
          <w:sz w:val="22"/>
          <w:szCs w:val="22"/>
        </w:rPr>
        <w:t xml:space="preserve"> </w:t>
      </w:r>
      <w:r w:rsidR="00C3056A">
        <w:rPr>
          <w:sz w:val="22"/>
          <w:szCs w:val="22"/>
        </w:rPr>
        <w:t xml:space="preserve">to </w:t>
      </w:r>
      <w:r w:rsidR="00502631">
        <w:rPr>
          <w:sz w:val="22"/>
          <w:szCs w:val="22"/>
        </w:rPr>
        <w:t xml:space="preserve">address </w:t>
      </w:r>
      <w:r>
        <w:rPr>
          <w:sz w:val="22"/>
          <w:szCs w:val="22"/>
        </w:rPr>
        <w:t>s</w:t>
      </w:r>
      <w:r w:rsidR="00AB102F">
        <w:rPr>
          <w:sz w:val="22"/>
          <w:szCs w:val="22"/>
        </w:rPr>
        <w:t>tudents’ social-emotional and behavioral needs</w:t>
      </w:r>
      <w:r w:rsidR="00502631">
        <w:rPr>
          <w:sz w:val="22"/>
          <w:szCs w:val="22"/>
        </w:rPr>
        <w:t xml:space="preserve">, with </w:t>
      </w:r>
      <w:r w:rsidR="00C3056A">
        <w:rPr>
          <w:sz w:val="22"/>
          <w:szCs w:val="22"/>
        </w:rPr>
        <w:t>widespread use planned for</w:t>
      </w:r>
      <w:r w:rsidR="00001E56">
        <w:rPr>
          <w:sz w:val="22"/>
          <w:szCs w:val="22"/>
        </w:rPr>
        <w:t xml:space="preserve"> the next school year. </w:t>
      </w:r>
      <w:r w:rsidR="00BE182E">
        <w:rPr>
          <w:sz w:val="22"/>
          <w:szCs w:val="22"/>
        </w:rPr>
        <w:t xml:space="preserve"> However, m</w:t>
      </w:r>
      <w:r w:rsidR="00951F33" w:rsidRPr="00BF78C0">
        <w:rPr>
          <w:sz w:val="22"/>
          <w:szCs w:val="22"/>
        </w:rPr>
        <w:t>any new and emerging practices are still in the development</w:t>
      </w:r>
      <w:r w:rsidR="00654478" w:rsidRPr="00BF78C0">
        <w:rPr>
          <w:sz w:val="22"/>
          <w:szCs w:val="22"/>
        </w:rPr>
        <w:t>al</w:t>
      </w:r>
      <w:r w:rsidR="00951F33" w:rsidRPr="00BF78C0">
        <w:rPr>
          <w:sz w:val="22"/>
          <w:szCs w:val="22"/>
        </w:rPr>
        <w:t xml:space="preserve"> stage.  </w:t>
      </w:r>
    </w:p>
    <w:p w14:paraId="6F0DD099" w14:textId="227F4C65" w:rsidR="005C72BA" w:rsidRPr="007F0BC2" w:rsidRDefault="00915DB6" w:rsidP="00406A80">
      <w:pPr>
        <w:pStyle w:val="CommentText"/>
        <w:spacing w:line="276" w:lineRule="auto"/>
      </w:pPr>
      <w:r w:rsidRPr="00A50B56">
        <w:rPr>
          <w:sz w:val="22"/>
          <w:szCs w:val="22"/>
        </w:rPr>
        <w:t>S</w:t>
      </w:r>
      <w:r w:rsidR="00D137B0" w:rsidRPr="00A50B56">
        <w:rPr>
          <w:sz w:val="22"/>
          <w:szCs w:val="22"/>
        </w:rPr>
        <w:t xml:space="preserve">tudent achievement </w:t>
      </w:r>
      <w:r w:rsidR="00951F33" w:rsidRPr="00A50B56">
        <w:rPr>
          <w:sz w:val="22"/>
          <w:szCs w:val="22"/>
        </w:rPr>
        <w:t xml:space="preserve">remains </w:t>
      </w:r>
      <w:r w:rsidR="00D137B0" w:rsidRPr="00A50B56">
        <w:rPr>
          <w:sz w:val="22"/>
          <w:szCs w:val="22"/>
        </w:rPr>
        <w:t>a concern</w:t>
      </w:r>
      <w:r w:rsidR="00D137B0" w:rsidRPr="007F0BC2">
        <w:t>.</w:t>
      </w:r>
      <w:r w:rsidR="00D137B0" w:rsidRPr="00406A80">
        <w:rPr>
          <w:sz w:val="22"/>
          <w:szCs w:val="22"/>
        </w:rPr>
        <w:t xml:space="preserve">  </w:t>
      </w:r>
      <w:r w:rsidR="007F0BC2" w:rsidRPr="007F0BC2">
        <w:rPr>
          <w:sz w:val="22"/>
          <w:szCs w:val="22"/>
        </w:rPr>
        <w:t>T</w:t>
      </w:r>
      <w:r w:rsidR="005C72BA" w:rsidRPr="007F0BC2">
        <w:rPr>
          <w:sz w:val="22"/>
          <w:szCs w:val="22"/>
        </w:rPr>
        <w:t xml:space="preserve">he district’s MCAS results </w:t>
      </w:r>
      <w:r w:rsidRPr="007F0BC2">
        <w:rPr>
          <w:sz w:val="22"/>
          <w:szCs w:val="22"/>
        </w:rPr>
        <w:t>remain</w:t>
      </w:r>
      <w:r w:rsidR="005C72BA" w:rsidRPr="007F0BC2">
        <w:rPr>
          <w:sz w:val="22"/>
          <w:szCs w:val="22"/>
        </w:rPr>
        <w:t xml:space="preserve"> meaningfully below state </w:t>
      </w:r>
      <w:r w:rsidRPr="007F0BC2">
        <w:rPr>
          <w:sz w:val="22"/>
          <w:szCs w:val="22"/>
        </w:rPr>
        <w:t>rates</w:t>
      </w:r>
      <w:r w:rsidR="005C72BA" w:rsidRPr="007F0BC2">
        <w:rPr>
          <w:sz w:val="22"/>
          <w:szCs w:val="22"/>
        </w:rPr>
        <w:t xml:space="preserve"> in almost all tested content areas and for almost all tested grades</w:t>
      </w:r>
      <w:r w:rsidR="0042741F">
        <w:rPr>
          <w:sz w:val="22"/>
          <w:szCs w:val="22"/>
        </w:rPr>
        <w:t>, and gaps persist among student groups on many important indicators of student performance and outcomes.</w:t>
      </w:r>
      <w:r w:rsidR="002B452E">
        <w:rPr>
          <w:sz w:val="22"/>
          <w:szCs w:val="22"/>
        </w:rPr>
        <w:t xml:space="preserve"> The district has demonstrated an intentional focus on strengthening its data culture, resulting in practices such as data chats and the analysis of </w:t>
      </w:r>
      <w:proofErr w:type="spellStart"/>
      <w:r w:rsidR="002B452E">
        <w:rPr>
          <w:sz w:val="22"/>
          <w:szCs w:val="22"/>
        </w:rPr>
        <w:t>i</w:t>
      </w:r>
      <w:proofErr w:type="spellEnd"/>
      <w:r w:rsidR="00B30EE0">
        <w:rPr>
          <w:sz w:val="22"/>
          <w:szCs w:val="22"/>
        </w:rPr>
        <w:t>-</w:t>
      </w:r>
      <w:r w:rsidR="002B452E">
        <w:rPr>
          <w:sz w:val="22"/>
          <w:szCs w:val="22"/>
        </w:rPr>
        <w:t xml:space="preserve">Ready </w:t>
      </w:r>
      <w:r w:rsidR="00407224">
        <w:rPr>
          <w:sz w:val="22"/>
          <w:szCs w:val="22"/>
        </w:rPr>
        <w:t xml:space="preserve">assessment </w:t>
      </w:r>
      <w:r w:rsidR="002B452E">
        <w:rPr>
          <w:sz w:val="22"/>
          <w:szCs w:val="22"/>
        </w:rPr>
        <w:t>results. It will be important to continue this focus to ensure that planning and decision-making are informed by an understanding of students’ progress and needs.</w:t>
      </w:r>
    </w:p>
    <w:p w14:paraId="4221B891" w14:textId="5BAA590C" w:rsidR="009C084D" w:rsidRDefault="00654478" w:rsidP="00246E73">
      <w:pPr>
        <w:tabs>
          <w:tab w:val="left" w:pos="270"/>
        </w:tabs>
        <w:autoSpaceDE w:val="0"/>
        <w:autoSpaceDN w:val="0"/>
        <w:adjustRightInd w:val="0"/>
        <w:rPr>
          <w:rFonts w:cstheme="minorHAnsi"/>
        </w:rPr>
      </w:pPr>
      <w:r>
        <w:rPr>
          <w:rFonts w:cstheme="minorHAnsi"/>
        </w:rPr>
        <w:t xml:space="preserve">Structures such as the ILTs, collaborative team time, focused leadership, </w:t>
      </w:r>
      <w:r w:rsidR="005C72BA">
        <w:rPr>
          <w:rFonts w:cstheme="minorHAnsi"/>
        </w:rPr>
        <w:t xml:space="preserve">coaching, </w:t>
      </w:r>
      <w:r>
        <w:rPr>
          <w:rFonts w:cstheme="minorHAnsi"/>
        </w:rPr>
        <w:t xml:space="preserve">walkthroughs, and professional development </w:t>
      </w:r>
      <w:r w:rsidR="0017607A">
        <w:rPr>
          <w:rFonts w:cstheme="minorHAnsi"/>
        </w:rPr>
        <w:t xml:space="preserve">all </w:t>
      </w:r>
      <w:r>
        <w:rPr>
          <w:rFonts w:cstheme="minorHAnsi"/>
        </w:rPr>
        <w:t>contribute to the</w:t>
      </w:r>
      <w:r w:rsidR="0017607A">
        <w:rPr>
          <w:rFonts w:cstheme="minorHAnsi"/>
        </w:rPr>
        <w:t xml:space="preserve"> positive</w:t>
      </w:r>
      <w:r>
        <w:rPr>
          <w:rFonts w:cstheme="minorHAnsi"/>
        </w:rPr>
        <w:t xml:space="preserve"> momentum to improve teaching</w:t>
      </w:r>
      <w:r w:rsidR="005C72BA">
        <w:rPr>
          <w:rFonts w:cstheme="minorHAnsi"/>
        </w:rPr>
        <w:t xml:space="preserve"> in the district</w:t>
      </w:r>
      <w:r>
        <w:rPr>
          <w:rFonts w:cstheme="minorHAnsi"/>
        </w:rPr>
        <w:t xml:space="preserve">.  However, based on classroom observations, </w:t>
      </w:r>
      <w:r w:rsidR="005C72BA">
        <w:rPr>
          <w:rFonts w:cstheme="minorHAnsi"/>
        </w:rPr>
        <w:t xml:space="preserve">even </w:t>
      </w:r>
      <w:r>
        <w:rPr>
          <w:rFonts w:cstheme="minorHAnsi"/>
        </w:rPr>
        <w:t>more work</w:t>
      </w:r>
      <w:r w:rsidR="0017607A">
        <w:rPr>
          <w:rFonts w:cstheme="minorHAnsi"/>
        </w:rPr>
        <w:t xml:space="preserve"> </w:t>
      </w:r>
      <w:proofErr w:type="gramStart"/>
      <w:r w:rsidR="0017607A">
        <w:rPr>
          <w:rFonts w:cstheme="minorHAnsi"/>
        </w:rPr>
        <w:t>still</w:t>
      </w:r>
      <w:r>
        <w:rPr>
          <w:rFonts w:cstheme="minorHAnsi"/>
        </w:rPr>
        <w:t xml:space="preserve"> remains</w:t>
      </w:r>
      <w:proofErr w:type="gramEnd"/>
      <w:r w:rsidR="005C72BA">
        <w:rPr>
          <w:rFonts w:cstheme="minorHAnsi"/>
        </w:rPr>
        <w:t xml:space="preserve"> </w:t>
      </w:r>
      <w:r w:rsidR="0017607A">
        <w:rPr>
          <w:rFonts w:cstheme="minorHAnsi"/>
        </w:rPr>
        <w:t xml:space="preserve">in order </w:t>
      </w:r>
      <w:r>
        <w:rPr>
          <w:rFonts w:cstheme="minorHAnsi"/>
        </w:rPr>
        <w:t xml:space="preserve">to achieve the high-quality instruction </w:t>
      </w:r>
      <w:r w:rsidR="0017607A">
        <w:rPr>
          <w:rFonts w:cstheme="minorHAnsi"/>
        </w:rPr>
        <w:t>to which</w:t>
      </w:r>
      <w:r>
        <w:rPr>
          <w:rFonts w:cstheme="minorHAnsi"/>
        </w:rPr>
        <w:t xml:space="preserve"> the district</w:t>
      </w:r>
      <w:r w:rsidR="0017607A">
        <w:rPr>
          <w:rFonts w:cstheme="minorHAnsi"/>
        </w:rPr>
        <w:t xml:space="preserve"> aspires</w:t>
      </w:r>
      <w:r>
        <w:rPr>
          <w:rFonts w:cstheme="minorHAnsi"/>
        </w:rPr>
        <w:t>.</w:t>
      </w:r>
    </w:p>
    <w:p w14:paraId="321CCF91" w14:textId="5874F626" w:rsidR="006F0AC0" w:rsidRPr="00EC5B5A" w:rsidRDefault="006F0AC0" w:rsidP="00246E73">
      <w:pPr>
        <w:tabs>
          <w:tab w:val="left" w:pos="270"/>
        </w:tabs>
        <w:autoSpaceDE w:val="0"/>
        <w:autoSpaceDN w:val="0"/>
        <w:adjustRightInd w:val="0"/>
        <w:rPr>
          <w:rFonts w:cstheme="minorHAnsi"/>
          <w:b/>
          <w:sz w:val="28"/>
          <w:szCs w:val="28"/>
        </w:rPr>
      </w:pPr>
      <w:r w:rsidRPr="00EC5B5A">
        <w:rPr>
          <w:rFonts w:cstheme="minorHAnsi"/>
          <w:b/>
          <w:sz w:val="28"/>
          <w:szCs w:val="28"/>
        </w:rPr>
        <w:t>Instruction</w:t>
      </w:r>
    </w:p>
    <w:p w14:paraId="1E110A48" w14:textId="572ED93A" w:rsidR="00F75D73" w:rsidRPr="0017607A" w:rsidRDefault="00F75D73" w:rsidP="00246E73">
      <w:pPr>
        <w:tabs>
          <w:tab w:val="left" w:pos="270"/>
        </w:tabs>
        <w:autoSpaceDE w:val="0"/>
        <w:autoSpaceDN w:val="0"/>
        <w:adjustRightInd w:val="0"/>
      </w:pPr>
      <w:r w:rsidRPr="0017607A">
        <w:t xml:space="preserve">The team observed </w:t>
      </w:r>
      <w:r w:rsidR="00140889" w:rsidRPr="0017607A">
        <w:t xml:space="preserve">91 </w:t>
      </w:r>
      <w:r w:rsidRPr="0017607A">
        <w:t xml:space="preserve">classes throughout the district:  </w:t>
      </w:r>
      <w:r w:rsidR="00140889" w:rsidRPr="0017607A">
        <w:t xml:space="preserve">26 </w:t>
      </w:r>
      <w:r w:rsidRPr="0017607A">
        <w:t>at the high school</w:t>
      </w:r>
      <w:r w:rsidR="00140889" w:rsidRPr="0017607A">
        <w:t xml:space="preserve"> (includ</w:t>
      </w:r>
      <w:r w:rsidR="00D226EA" w:rsidRPr="0017607A">
        <w:t>ing the</w:t>
      </w:r>
      <w:r w:rsidR="00140889" w:rsidRPr="0017607A">
        <w:t xml:space="preserve"> Thayer Campu</w:t>
      </w:r>
      <w:r w:rsidR="00D226EA" w:rsidRPr="0017607A">
        <w:t>s),</w:t>
      </w:r>
      <w:r w:rsidRPr="0017607A">
        <w:t xml:space="preserve"> </w:t>
      </w:r>
      <w:r w:rsidR="00140889" w:rsidRPr="0017607A">
        <w:t>18</w:t>
      </w:r>
      <w:r w:rsidRPr="0017607A">
        <w:t xml:space="preserve"> at the </w:t>
      </w:r>
      <w:r w:rsidR="00140889" w:rsidRPr="0017607A">
        <w:t xml:space="preserve">3 </w:t>
      </w:r>
      <w:r w:rsidRPr="0017607A">
        <w:t xml:space="preserve">middle schools, and </w:t>
      </w:r>
      <w:r w:rsidR="00140889" w:rsidRPr="0017607A">
        <w:t xml:space="preserve">47 </w:t>
      </w:r>
      <w:r w:rsidRPr="0017607A">
        <w:t xml:space="preserve">at the </w:t>
      </w:r>
      <w:r w:rsidR="00140889" w:rsidRPr="0017607A">
        <w:t>8</w:t>
      </w:r>
      <w:r w:rsidRPr="0017607A">
        <w:t xml:space="preserve"> elementary schools. The team observed </w:t>
      </w:r>
      <w:r w:rsidR="00140889" w:rsidRPr="0017607A">
        <w:t xml:space="preserve">37 </w:t>
      </w:r>
      <w:r w:rsidRPr="0017607A">
        <w:t>ELA</w:t>
      </w:r>
      <w:r w:rsidR="00140889" w:rsidRPr="0017607A">
        <w:t>/English</w:t>
      </w:r>
      <w:r w:rsidRPr="0017607A">
        <w:t xml:space="preserve"> classes, </w:t>
      </w:r>
      <w:r w:rsidR="00140889" w:rsidRPr="0017607A">
        <w:t xml:space="preserve">27 </w:t>
      </w:r>
      <w:r w:rsidRPr="0017607A">
        <w:t xml:space="preserve">mathematics classes, </w:t>
      </w:r>
      <w:r w:rsidR="00140889" w:rsidRPr="0017607A">
        <w:t xml:space="preserve">16 science classes </w:t>
      </w:r>
      <w:r w:rsidRPr="0017607A">
        <w:t xml:space="preserve">and </w:t>
      </w:r>
      <w:r w:rsidR="00140889" w:rsidRPr="0017607A">
        <w:t xml:space="preserve">11 </w:t>
      </w:r>
      <w:r w:rsidRPr="0017607A">
        <w:t xml:space="preserve">classes in other subject areas. Among the classes observed were </w:t>
      </w:r>
      <w:r w:rsidR="00140889" w:rsidRPr="0017607A">
        <w:t xml:space="preserve">34 inclusion </w:t>
      </w:r>
      <w:r w:rsidRPr="0017607A">
        <w:t xml:space="preserve">education classes, </w:t>
      </w:r>
      <w:r w:rsidR="002501E5" w:rsidRPr="0017607A">
        <w:t xml:space="preserve">and 7 </w:t>
      </w:r>
      <w:r w:rsidRPr="0017607A">
        <w:t>ELL classes</w:t>
      </w:r>
      <w:r w:rsidR="002501E5" w:rsidRPr="0017607A">
        <w:t xml:space="preserve">. </w:t>
      </w:r>
      <w:r w:rsidRPr="0017607A">
        <w:t xml:space="preserve">The observations were approximately 20 minutes in length. All review team members collected data using </w:t>
      </w:r>
      <w:r w:rsidR="00F331A8" w:rsidRPr="0017607A">
        <w:t>D</w:t>
      </w:r>
      <w:r w:rsidRPr="0017607A">
        <w:t xml:space="preserve">ESE’s </w:t>
      </w:r>
      <w:r w:rsidR="00383EE1" w:rsidRPr="0017607A">
        <w:t>Instructional Inventory</w:t>
      </w:r>
      <w:r w:rsidRPr="0017607A">
        <w:t>, a tool for recording observed characteristics of standards-based teaching. This data is presented in Appendix C.</w:t>
      </w:r>
      <w:r w:rsidR="002501E5" w:rsidRPr="0017607A">
        <w:t xml:space="preserve">  </w:t>
      </w:r>
    </w:p>
    <w:p w14:paraId="0E9559C0" w14:textId="3B507D95" w:rsidR="00A50B56" w:rsidRDefault="0017607A" w:rsidP="00246E73">
      <w:pPr>
        <w:tabs>
          <w:tab w:val="left" w:pos="270"/>
        </w:tabs>
        <w:autoSpaceDE w:val="0"/>
        <w:autoSpaceDN w:val="0"/>
        <w:adjustRightInd w:val="0"/>
        <w:rPr>
          <w:color w:val="000000" w:themeColor="text1"/>
        </w:rPr>
      </w:pPr>
      <w:r>
        <w:rPr>
          <w:color w:val="000000" w:themeColor="text1"/>
        </w:rPr>
        <w:t>Overall,</w:t>
      </w:r>
      <w:r w:rsidR="00E8602A">
        <w:rPr>
          <w:color w:val="000000" w:themeColor="text1"/>
        </w:rPr>
        <w:t xml:space="preserve"> classroom climate reflected </w:t>
      </w:r>
      <w:r w:rsidR="003D4EF4">
        <w:rPr>
          <w:color w:val="000000" w:themeColor="text1"/>
        </w:rPr>
        <w:t xml:space="preserve">a </w:t>
      </w:r>
      <w:r w:rsidR="00E8602A">
        <w:rPr>
          <w:color w:val="000000" w:themeColor="text1"/>
        </w:rPr>
        <w:t>respectful and positive learning environment</w:t>
      </w:r>
      <w:r w:rsidR="003D4EF4">
        <w:rPr>
          <w:color w:val="000000" w:themeColor="text1"/>
        </w:rPr>
        <w:t xml:space="preserve"> at all schools</w:t>
      </w:r>
      <w:r w:rsidR="00E8602A">
        <w:rPr>
          <w:color w:val="000000" w:themeColor="text1"/>
        </w:rPr>
        <w:t>. I</w:t>
      </w:r>
      <w:r>
        <w:rPr>
          <w:color w:val="000000" w:themeColor="text1"/>
        </w:rPr>
        <w:t xml:space="preserve">n observed lessons, </w:t>
      </w:r>
      <w:r w:rsidR="003D4EF4">
        <w:rPr>
          <w:color w:val="000000" w:themeColor="text1"/>
        </w:rPr>
        <w:t xml:space="preserve">however, </w:t>
      </w:r>
      <w:r>
        <w:rPr>
          <w:color w:val="000000" w:themeColor="text1"/>
        </w:rPr>
        <w:t>middle school</w:t>
      </w:r>
      <w:r w:rsidR="0040066F">
        <w:rPr>
          <w:color w:val="000000" w:themeColor="text1"/>
        </w:rPr>
        <w:t xml:space="preserve"> le</w:t>
      </w:r>
      <w:r w:rsidR="00915DB6">
        <w:rPr>
          <w:color w:val="000000" w:themeColor="text1"/>
        </w:rPr>
        <w:t>ssons were</w:t>
      </w:r>
      <w:r w:rsidR="00E8602A">
        <w:rPr>
          <w:color w:val="000000" w:themeColor="text1"/>
        </w:rPr>
        <w:t xml:space="preserve"> generally</w:t>
      </w:r>
      <w:r>
        <w:rPr>
          <w:color w:val="000000" w:themeColor="text1"/>
        </w:rPr>
        <w:t xml:space="preserve"> more effective than at other levels.  M</w:t>
      </w:r>
      <w:r w:rsidR="0040066F">
        <w:rPr>
          <w:color w:val="000000" w:themeColor="text1"/>
        </w:rPr>
        <w:t>ore m</w:t>
      </w:r>
      <w:r>
        <w:rPr>
          <w:color w:val="000000" w:themeColor="text1"/>
        </w:rPr>
        <w:t>iddle school students</w:t>
      </w:r>
      <w:r w:rsidR="00E8602A">
        <w:rPr>
          <w:color w:val="000000" w:themeColor="text1"/>
        </w:rPr>
        <w:t xml:space="preserve"> </w:t>
      </w:r>
      <w:r w:rsidR="00E8602A" w:rsidRPr="00EC5B5A">
        <w:rPr>
          <w:color w:val="000000" w:themeColor="text1"/>
        </w:rPr>
        <w:t>took</w:t>
      </w:r>
      <w:r w:rsidR="00915DB6" w:rsidRPr="00EC5B5A">
        <w:rPr>
          <w:color w:val="000000" w:themeColor="text1"/>
        </w:rPr>
        <w:t xml:space="preserve"> seriously</w:t>
      </w:r>
      <w:r w:rsidR="00E8602A">
        <w:rPr>
          <w:color w:val="000000" w:themeColor="text1"/>
        </w:rPr>
        <w:t xml:space="preserve"> the</w:t>
      </w:r>
      <w:r w:rsidR="003D4EF4">
        <w:rPr>
          <w:color w:val="000000" w:themeColor="text1"/>
        </w:rPr>
        <w:t xml:space="preserve">ir </w:t>
      </w:r>
      <w:r w:rsidR="00E8602A">
        <w:rPr>
          <w:color w:val="000000" w:themeColor="text1"/>
        </w:rPr>
        <w:t>responsibilit</w:t>
      </w:r>
      <w:r w:rsidR="003D4EF4">
        <w:rPr>
          <w:color w:val="000000" w:themeColor="text1"/>
        </w:rPr>
        <w:t>y</w:t>
      </w:r>
      <w:r w:rsidR="00E8602A">
        <w:rPr>
          <w:color w:val="000000" w:themeColor="text1"/>
        </w:rPr>
        <w:t xml:space="preserve"> to learn and</w:t>
      </w:r>
      <w:r>
        <w:rPr>
          <w:color w:val="000000" w:themeColor="text1"/>
        </w:rPr>
        <w:t xml:space="preserve"> </w:t>
      </w:r>
      <w:r w:rsidR="00E8602A">
        <w:rPr>
          <w:color w:val="000000" w:themeColor="text1"/>
        </w:rPr>
        <w:t xml:space="preserve">actively </w:t>
      </w:r>
      <w:r>
        <w:rPr>
          <w:color w:val="000000" w:themeColor="text1"/>
        </w:rPr>
        <w:t xml:space="preserve">engaged </w:t>
      </w:r>
      <w:r w:rsidR="003D4EF4">
        <w:rPr>
          <w:color w:val="000000" w:themeColor="text1"/>
        </w:rPr>
        <w:t>in</w:t>
      </w:r>
      <w:r>
        <w:rPr>
          <w:color w:val="000000" w:themeColor="text1"/>
        </w:rPr>
        <w:t xml:space="preserve"> lessons</w:t>
      </w:r>
      <w:r w:rsidR="00E8602A">
        <w:rPr>
          <w:color w:val="000000" w:themeColor="text1"/>
        </w:rPr>
        <w:t>.  L</w:t>
      </w:r>
      <w:r>
        <w:rPr>
          <w:color w:val="000000" w:themeColor="text1"/>
        </w:rPr>
        <w:t xml:space="preserve">earning objectives were clearly stated and </w:t>
      </w:r>
      <w:r w:rsidR="00C35B46">
        <w:rPr>
          <w:color w:val="000000" w:themeColor="text1"/>
        </w:rPr>
        <w:t>explained,</w:t>
      </w:r>
      <w:r>
        <w:rPr>
          <w:color w:val="000000" w:themeColor="text1"/>
        </w:rPr>
        <w:t xml:space="preserve"> and </w:t>
      </w:r>
      <w:r w:rsidR="00E8602A">
        <w:rPr>
          <w:color w:val="000000" w:themeColor="text1"/>
        </w:rPr>
        <w:t>students experienced frequent formative classroom assessments to verify how well they understood concepts</w:t>
      </w:r>
      <w:r w:rsidR="003D4EF4">
        <w:rPr>
          <w:color w:val="000000" w:themeColor="text1"/>
        </w:rPr>
        <w:t xml:space="preserve">, </w:t>
      </w:r>
      <w:proofErr w:type="gramStart"/>
      <w:r w:rsidR="00E8602A">
        <w:rPr>
          <w:color w:val="000000" w:themeColor="text1"/>
        </w:rPr>
        <w:t>topics</w:t>
      </w:r>
      <w:proofErr w:type="gramEnd"/>
      <w:r w:rsidR="003D4EF4">
        <w:rPr>
          <w:color w:val="000000" w:themeColor="text1"/>
        </w:rPr>
        <w:t xml:space="preserve"> and content-based vocabulary. </w:t>
      </w:r>
      <w:r w:rsidR="00504BF6">
        <w:rPr>
          <w:color w:val="000000" w:themeColor="text1"/>
        </w:rPr>
        <w:t>At the elementary</w:t>
      </w:r>
      <w:r w:rsidR="00915DB6">
        <w:rPr>
          <w:color w:val="000000" w:themeColor="text1"/>
        </w:rPr>
        <w:t xml:space="preserve"> and middle</w:t>
      </w:r>
      <w:r w:rsidR="00504BF6">
        <w:rPr>
          <w:color w:val="000000" w:themeColor="text1"/>
        </w:rPr>
        <w:t xml:space="preserve"> schools, </w:t>
      </w:r>
      <w:r w:rsidR="00915DB6">
        <w:rPr>
          <w:color w:val="000000" w:themeColor="text1"/>
        </w:rPr>
        <w:t xml:space="preserve">most </w:t>
      </w:r>
      <w:r w:rsidR="00504BF6">
        <w:rPr>
          <w:color w:val="000000" w:themeColor="text1"/>
        </w:rPr>
        <w:t xml:space="preserve">teachers prepared lesson strategies that more effectively addressed </w:t>
      </w:r>
      <w:r w:rsidR="00E8602A">
        <w:rPr>
          <w:color w:val="000000" w:themeColor="text1"/>
        </w:rPr>
        <w:t xml:space="preserve">the differences in learning needs of all students.  </w:t>
      </w:r>
      <w:r w:rsidR="003D4EF4">
        <w:rPr>
          <w:color w:val="000000" w:themeColor="text1"/>
        </w:rPr>
        <w:t>Although the curriculum</w:t>
      </w:r>
      <w:r w:rsidR="0040066F">
        <w:rPr>
          <w:color w:val="000000" w:themeColor="text1"/>
        </w:rPr>
        <w:t xml:space="preserve"> throughout</w:t>
      </w:r>
      <w:r w:rsidR="003D4EF4">
        <w:rPr>
          <w:color w:val="000000" w:themeColor="text1"/>
        </w:rPr>
        <w:t xml:space="preserve"> ha</w:t>
      </w:r>
      <w:r w:rsidR="00504BF6">
        <w:rPr>
          <w:color w:val="000000" w:themeColor="text1"/>
        </w:rPr>
        <w:t>s</w:t>
      </w:r>
      <w:r w:rsidR="003D4EF4">
        <w:rPr>
          <w:color w:val="000000" w:themeColor="text1"/>
        </w:rPr>
        <w:t xml:space="preserve"> the potential to challenge students with complex topics and ideas, there were missed opportunities for </w:t>
      </w:r>
      <w:r w:rsidR="0040066F">
        <w:rPr>
          <w:color w:val="000000" w:themeColor="text1"/>
        </w:rPr>
        <w:t xml:space="preserve">students </w:t>
      </w:r>
      <w:r w:rsidR="003D4EF4">
        <w:rPr>
          <w:color w:val="000000" w:themeColor="text1"/>
        </w:rPr>
        <w:t xml:space="preserve">to </w:t>
      </w:r>
      <w:r w:rsidR="00504BF6">
        <w:rPr>
          <w:color w:val="000000" w:themeColor="text1"/>
        </w:rPr>
        <w:t xml:space="preserve">more </w:t>
      </w:r>
      <w:r w:rsidR="003D4EF4">
        <w:rPr>
          <w:color w:val="000000" w:themeColor="text1"/>
        </w:rPr>
        <w:t xml:space="preserve">fully </w:t>
      </w:r>
      <w:r w:rsidR="0040066F">
        <w:rPr>
          <w:color w:val="000000" w:themeColor="text1"/>
        </w:rPr>
        <w:t>immerse</w:t>
      </w:r>
      <w:r w:rsidR="003D4EF4">
        <w:rPr>
          <w:color w:val="000000" w:themeColor="text1"/>
        </w:rPr>
        <w:t xml:space="preserve"> </w:t>
      </w:r>
      <w:r w:rsidR="00504BF6">
        <w:rPr>
          <w:color w:val="000000" w:themeColor="text1"/>
        </w:rPr>
        <w:t>in rigorous</w:t>
      </w:r>
      <w:r w:rsidR="003D4EF4">
        <w:rPr>
          <w:color w:val="000000" w:themeColor="text1"/>
        </w:rPr>
        <w:t xml:space="preserve"> thinking</w:t>
      </w:r>
      <w:r w:rsidR="0040066F">
        <w:rPr>
          <w:color w:val="000000" w:themeColor="text1"/>
        </w:rPr>
        <w:t>,</w:t>
      </w:r>
      <w:r w:rsidR="00504BF6">
        <w:rPr>
          <w:color w:val="000000" w:themeColor="text1"/>
        </w:rPr>
        <w:t xml:space="preserve"> to explore and solve problems collaboratively, </w:t>
      </w:r>
      <w:r w:rsidR="0040066F">
        <w:rPr>
          <w:color w:val="000000" w:themeColor="text1"/>
        </w:rPr>
        <w:t xml:space="preserve">and to use and apply newly gained knowledge, </w:t>
      </w:r>
      <w:r w:rsidR="003D4EF4">
        <w:rPr>
          <w:color w:val="000000" w:themeColor="text1"/>
        </w:rPr>
        <w:t xml:space="preserve">particularly at the high school. </w:t>
      </w:r>
    </w:p>
    <w:p w14:paraId="4836D6E8" w14:textId="24C15AAA" w:rsidR="0017607A" w:rsidRPr="0017607A" w:rsidRDefault="00A50B56" w:rsidP="00246E73">
      <w:pPr>
        <w:tabs>
          <w:tab w:val="left" w:pos="270"/>
        </w:tabs>
        <w:autoSpaceDE w:val="0"/>
        <w:autoSpaceDN w:val="0"/>
        <w:adjustRightInd w:val="0"/>
        <w:rPr>
          <w:color w:val="000000" w:themeColor="text1"/>
        </w:rPr>
      </w:pPr>
      <w:r>
        <w:rPr>
          <w:color w:val="000000" w:themeColor="text1"/>
        </w:rPr>
        <w:t xml:space="preserve">The district’s school buildings were observed to be clean and safe environments, although </w:t>
      </w:r>
      <w:r w:rsidR="00485DDA">
        <w:rPr>
          <w:color w:val="000000" w:themeColor="text1"/>
        </w:rPr>
        <w:t>most have not been renovated for some time.</w:t>
      </w:r>
      <w:r>
        <w:t xml:space="preserve">  A newly constructed Fuller Middle School is already in the works and given recent enrollment projections, particularly for the high school, the district will need to </w:t>
      </w:r>
      <w:r w:rsidR="00AA6994">
        <w:t>address</w:t>
      </w:r>
      <w:r>
        <w:t xml:space="preserve"> an impending shortage of classroom space</w:t>
      </w:r>
      <w:r w:rsidR="005E513A">
        <w:t xml:space="preserve"> imminently</w:t>
      </w:r>
      <w:r>
        <w:t>.</w:t>
      </w:r>
      <w:r w:rsidR="003D4EF4">
        <w:rPr>
          <w:color w:val="000000" w:themeColor="text1"/>
        </w:rPr>
        <w:t xml:space="preserve">  </w:t>
      </w:r>
    </w:p>
    <w:p w14:paraId="53E58FFF" w14:textId="64125694" w:rsidR="007B3AAA" w:rsidRPr="00504BF6" w:rsidRDefault="00485DDA" w:rsidP="00EC5B5A">
      <w:pPr>
        <w:tabs>
          <w:tab w:val="left" w:pos="360"/>
          <w:tab w:val="left" w:pos="720"/>
          <w:tab w:val="left" w:pos="1080"/>
          <w:tab w:val="left" w:pos="1440"/>
          <w:tab w:val="left" w:pos="1800"/>
          <w:tab w:val="left" w:pos="2160"/>
        </w:tabs>
      </w:pPr>
      <w:r w:rsidRPr="005515E5">
        <w:t>The district’s commitment to systemic improvement appears unequivocal.  Although the progress achieved thus far has been uneven, it is nonetheless promising and authentic.</w:t>
      </w:r>
      <w:r>
        <w:t xml:space="preserve"> </w:t>
      </w:r>
      <w:r w:rsidR="007B3AAA" w:rsidRPr="00504BF6">
        <w:t xml:space="preserve">The observations and </w:t>
      </w:r>
      <w:r w:rsidR="007B3AAA" w:rsidRPr="00504BF6">
        <w:lastRenderedPageBreak/>
        <w:t>recommendatio</w:t>
      </w:r>
      <w:r w:rsidR="006F0AC0">
        <w:t xml:space="preserve">ns contained in this report are </w:t>
      </w:r>
      <w:r w:rsidR="007B3AAA" w:rsidRPr="00504BF6">
        <w:t>intended to acknowledge</w:t>
      </w:r>
      <w:r w:rsidR="00504BF6">
        <w:t xml:space="preserve"> the district</w:t>
      </w:r>
      <w:r w:rsidR="0040066F">
        <w:t>’</w:t>
      </w:r>
      <w:r w:rsidR="00504BF6">
        <w:t>s authentic</w:t>
      </w:r>
      <w:r w:rsidR="007B3AAA" w:rsidRPr="00504BF6">
        <w:t xml:space="preserve"> achievements and provide clear direction to inform and guide the important work that </w:t>
      </w:r>
      <w:r w:rsidR="0040066F">
        <w:t>surely follows.</w:t>
      </w:r>
    </w:p>
    <w:p w14:paraId="439DCCAD" w14:textId="47AAFAB8" w:rsidR="007C01ED" w:rsidRDefault="007C01ED" w:rsidP="007C01ED">
      <w:pPr>
        <w:rPr>
          <w:b/>
          <w:sz w:val="28"/>
        </w:rPr>
      </w:pPr>
      <w:r w:rsidRPr="007C01ED">
        <w:rPr>
          <w:b/>
          <w:sz w:val="28"/>
        </w:rPr>
        <w:t>Strengths</w:t>
      </w:r>
    </w:p>
    <w:p w14:paraId="340B2E1A" w14:textId="295EEAC2" w:rsidR="00E16672" w:rsidRPr="00406A80" w:rsidRDefault="00E16672" w:rsidP="00406A80">
      <w:pPr>
        <w:pStyle w:val="ListParagraph"/>
        <w:numPr>
          <w:ilvl w:val="0"/>
          <w:numId w:val="74"/>
        </w:numPr>
        <w:tabs>
          <w:tab w:val="left" w:pos="360"/>
          <w:tab w:val="left" w:pos="720"/>
          <w:tab w:val="left" w:pos="1080"/>
          <w:tab w:val="left" w:pos="1440"/>
          <w:tab w:val="left" w:pos="1800"/>
          <w:tab w:val="left" w:pos="2160"/>
        </w:tabs>
        <w:contextualSpacing w:val="0"/>
        <w:rPr>
          <w:bCs/>
          <w:i/>
        </w:rPr>
      </w:pPr>
      <w:r w:rsidRPr="00406A80">
        <w:rPr>
          <w:bCs/>
        </w:rPr>
        <w:t>During the two years before the onsite review, the superintendent and school committee worked collaboratively and strategically to implement organizational structures, systems, and policies that increase equity throughout the school district.</w:t>
      </w:r>
    </w:p>
    <w:p w14:paraId="58814E84" w14:textId="61DB3174" w:rsidR="00E16672" w:rsidRPr="00406A80" w:rsidRDefault="00E16672" w:rsidP="00406A80">
      <w:pPr>
        <w:pStyle w:val="ListParagraph"/>
        <w:numPr>
          <w:ilvl w:val="0"/>
          <w:numId w:val="74"/>
        </w:numPr>
        <w:tabs>
          <w:tab w:val="left" w:pos="360"/>
          <w:tab w:val="left" w:pos="1080"/>
          <w:tab w:val="left" w:pos="1440"/>
          <w:tab w:val="left" w:pos="1800"/>
          <w:tab w:val="left" w:pos="2160"/>
        </w:tabs>
        <w:contextualSpacing w:val="0"/>
        <w:rPr>
          <w:rFonts w:asciiTheme="majorHAnsi" w:hAnsiTheme="majorHAnsi" w:cstheme="minorHAnsi"/>
          <w:bCs/>
          <w:color w:val="000000"/>
        </w:rPr>
      </w:pPr>
      <w:r w:rsidRPr="00406A80">
        <w:rPr>
          <w:rFonts w:cstheme="minorHAnsi"/>
          <w:bCs/>
          <w:color w:val="000000"/>
        </w:rPr>
        <w:t>The superintendent promotes a culture of collaboration and communication among school committee members, district staff members, families, students, and other stakeholders</w:t>
      </w:r>
      <w:r w:rsidRPr="00406A80">
        <w:rPr>
          <w:rFonts w:asciiTheme="majorHAnsi" w:hAnsiTheme="majorHAnsi" w:cstheme="minorHAnsi"/>
          <w:bCs/>
          <w:color w:val="000000"/>
        </w:rPr>
        <w:t xml:space="preserve">. </w:t>
      </w:r>
    </w:p>
    <w:p w14:paraId="1B2B0BE4" w14:textId="219A64F2" w:rsidR="00E16672" w:rsidRPr="00406A80" w:rsidRDefault="00E16672" w:rsidP="00406A80">
      <w:pPr>
        <w:pStyle w:val="ListParagraph"/>
        <w:numPr>
          <w:ilvl w:val="0"/>
          <w:numId w:val="74"/>
        </w:numPr>
        <w:tabs>
          <w:tab w:val="left" w:pos="360"/>
          <w:tab w:val="left" w:pos="720"/>
          <w:tab w:val="left" w:pos="1080"/>
          <w:tab w:val="left" w:pos="1440"/>
          <w:tab w:val="left" w:pos="1800"/>
          <w:tab w:val="left" w:pos="2160"/>
        </w:tabs>
        <w:contextualSpacing w:val="0"/>
        <w:rPr>
          <w:bCs/>
          <w:i/>
        </w:rPr>
      </w:pPr>
      <w:r w:rsidRPr="00406A80">
        <w:rPr>
          <w:bCs/>
        </w:rPr>
        <w:t>The district created a curriculum review and renewal cycle to align curricula with the current Massachusetts curriculum frameworks and make curricula more challenging and engaging for students and accessible to all teachers.</w:t>
      </w:r>
    </w:p>
    <w:p w14:paraId="4045D349" w14:textId="77777777" w:rsidR="00E16672" w:rsidRPr="00406A80" w:rsidRDefault="00E16672" w:rsidP="00406A80">
      <w:pPr>
        <w:pStyle w:val="ListParagraph"/>
        <w:numPr>
          <w:ilvl w:val="0"/>
          <w:numId w:val="74"/>
        </w:numPr>
        <w:tabs>
          <w:tab w:val="left" w:pos="360"/>
          <w:tab w:val="left" w:pos="1080"/>
          <w:tab w:val="left" w:pos="1440"/>
          <w:tab w:val="left" w:pos="1800"/>
          <w:tab w:val="left" w:pos="2160"/>
        </w:tabs>
        <w:contextualSpacing w:val="0"/>
        <w:rPr>
          <w:bCs/>
        </w:rPr>
      </w:pPr>
      <w:r w:rsidRPr="00406A80">
        <w:rPr>
          <w:bCs/>
        </w:rPr>
        <w:t>The district has created distributed leadership roles and established inclusive structures to systematically oversee and manage improvements to teaching, learning, and the curriculum.  Many of these are in the developing stage.</w:t>
      </w:r>
    </w:p>
    <w:p w14:paraId="3F5DC6BC" w14:textId="77777777" w:rsidR="00DF3788" w:rsidRDefault="00C5113C" w:rsidP="00DF3788">
      <w:pPr>
        <w:pStyle w:val="ListParagraph"/>
        <w:numPr>
          <w:ilvl w:val="0"/>
          <w:numId w:val="74"/>
        </w:numPr>
        <w:tabs>
          <w:tab w:val="left" w:pos="360"/>
          <w:tab w:val="left" w:pos="1080"/>
          <w:tab w:val="left" w:pos="1440"/>
          <w:tab w:val="left" w:pos="1800"/>
          <w:tab w:val="left" w:pos="2160"/>
        </w:tabs>
        <w:contextualSpacing w:val="0"/>
        <w:rPr>
          <w:bCs/>
        </w:rPr>
      </w:pPr>
      <w:r w:rsidRPr="00406A80">
        <w:rPr>
          <w:bCs/>
        </w:rPr>
        <w:t xml:space="preserve">The district has made great strides in compiling, organizing, and making available to all educators a wide range of student engagement and academic performance data. </w:t>
      </w:r>
    </w:p>
    <w:p w14:paraId="43E34B06" w14:textId="6C70D30F" w:rsidR="0080745C" w:rsidRPr="00406A80" w:rsidRDefault="0080745C" w:rsidP="00406A80">
      <w:pPr>
        <w:pStyle w:val="ListParagraph"/>
        <w:numPr>
          <w:ilvl w:val="0"/>
          <w:numId w:val="74"/>
        </w:numPr>
        <w:tabs>
          <w:tab w:val="left" w:pos="360"/>
          <w:tab w:val="left" w:pos="1080"/>
          <w:tab w:val="left" w:pos="1440"/>
          <w:tab w:val="left" w:pos="1800"/>
          <w:tab w:val="left" w:pos="2160"/>
        </w:tabs>
        <w:contextualSpacing w:val="0"/>
        <w:rPr>
          <w:bCs/>
        </w:rPr>
      </w:pPr>
      <w:r w:rsidRPr="003D67D5">
        <w:rPr>
          <w:bCs/>
        </w:rPr>
        <w:t>The district demonstrates a genui</w:t>
      </w:r>
      <w:r w:rsidRPr="00406A80">
        <w:rPr>
          <w:bCs/>
        </w:rPr>
        <w:t xml:space="preserve">ne commitment to building a racially diverse faculty. </w:t>
      </w:r>
    </w:p>
    <w:p w14:paraId="0EA8E513" w14:textId="6749579D" w:rsidR="00F64F03" w:rsidRPr="00406A80" w:rsidRDefault="00F64F03" w:rsidP="00406A80">
      <w:pPr>
        <w:pStyle w:val="ListParagraph"/>
        <w:numPr>
          <w:ilvl w:val="0"/>
          <w:numId w:val="74"/>
        </w:numPr>
        <w:tabs>
          <w:tab w:val="left" w:pos="360"/>
          <w:tab w:val="left" w:pos="720"/>
          <w:tab w:val="left" w:pos="1080"/>
          <w:tab w:val="left" w:pos="1440"/>
          <w:tab w:val="left" w:pos="1800"/>
          <w:tab w:val="left" w:pos="2160"/>
        </w:tabs>
        <w:contextualSpacing w:val="0"/>
        <w:rPr>
          <w:rFonts w:cstheme="minorHAnsi"/>
          <w:bCs/>
          <w:i/>
        </w:rPr>
      </w:pPr>
      <w:r w:rsidRPr="00406A80">
        <w:rPr>
          <w:rFonts w:cstheme="minorHAnsi"/>
          <w:bCs/>
        </w:rPr>
        <w:t>The district has taken steps to create a school culture and climate characterized by safe, positive, inclusive, and welcoming learning environments in schools.</w:t>
      </w:r>
      <w:r w:rsidRPr="003D67D5">
        <w:rPr>
          <w:rFonts w:cstheme="minorHAnsi"/>
          <w:bCs/>
        </w:rPr>
        <w:t xml:space="preserve">  </w:t>
      </w:r>
    </w:p>
    <w:p w14:paraId="6C2FD818" w14:textId="74D532B3" w:rsidR="00F64F03" w:rsidRPr="003D67D5" w:rsidRDefault="00F64F03" w:rsidP="00406A80">
      <w:pPr>
        <w:pStyle w:val="ListParagraph"/>
        <w:numPr>
          <w:ilvl w:val="0"/>
          <w:numId w:val="74"/>
        </w:numPr>
        <w:contextualSpacing w:val="0"/>
        <w:rPr>
          <w:rFonts w:cstheme="minorHAnsi"/>
          <w:bCs/>
        </w:rPr>
      </w:pPr>
      <w:r w:rsidRPr="00406A80">
        <w:rPr>
          <w:rFonts w:cstheme="minorHAnsi"/>
          <w:bCs/>
        </w:rPr>
        <w:t>The district has taken steps to ensure that each school develops strong collaborative relationships with families, community partners, and other stakeholders.</w:t>
      </w:r>
    </w:p>
    <w:p w14:paraId="2697720A" w14:textId="73E29A19"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6E68787B" w14:textId="11B2A769" w:rsidR="00E16672" w:rsidRPr="00406A80" w:rsidRDefault="00E16672" w:rsidP="00406A80">
      <w:pPr>
        <w:pStyle w:val="ListParagraph"/>
        <w:numPr>
          <w:ilvl w:val="0"/>
          <w:numId w:val="77"/>
        </w:numPr>
        <w:tabs>
          <w:tab w:val="left" w:pos="360"/>
          <w:tab w:val="left" w:pos="720"/>
          <w:tab w:val="left" w:pos="1080"/>
          <w:tab w:val="left" w:pos="1440"/>
          <w:tab w:val="left" w:pos="1800"/>
          <w:tab w:val="left" w:pos="2160"/>
        </w:tabs>
        <w:contextualSpacing w:val="0"/>
        <w:rPr>
          <w:bCs/>
        </w:rPr>
      </w:pPr>
      <w:r w:rsidRPr="00406A80">
        <w:rPr>
          <w:bCs/>
        </w:rPr>
        <w:t xml:space="preserve">The district has not developed and implemented comprehensive and consistent procedures for analyzing and using disaggregated data in its strategic and School Improvement Plans. </w:t>
      </w:r>
    </w:p>
    <w:p w14:paraId="78D1582A" w14:textId="29F87182" w:rsidR="00E73C22" w:rsidRPr="00406A80" w:rsidRDefault="00E73C22" w:rsidP="00406A80">
      <w:pPr>
        <w:pStyle w:val="ListParagraph"/>
        <w:numPr>
          <w:ilvl w:val="0"/>
          <w:numId w:val="77"/>
        </w:numPr>
        <w:tabs>
          <w:tab w:val="left" w:pos="360"/>
          <w:tab w:val="left" w:pos="720"/>
          <w:tab w:val="left" w:pos="1080"/>
          <w:tab w:val="left" w:pos="1440"/>
          <w:tab w:val="left" w:pos="1800"/>
        </w:tabs>
        <w:contextualSpacing w:val="0"/>
        <w:rPr>
          <w:bCs/>
        </w:rPr>
      </w:pPr>
      <w:r w:rsidRPr="00406A80">
        <w:rPr>
          <w:bCs/>
        </w:rPr>
        <w:t>In observed classrooms, the quality of instruction was inconsistent across school levels, with overall stronger practices observed K–</w:t>
      </w:r>
      <w:r w:rsidRPr="00406A80">
        <w:rPr>
          <w:bCs/>
        </w:rPr>
        <w:softHyphen/>
      </w:r>
      <w:r w:rsidRPr="00406A80">
        <w:rPr>
          <w:bCs/>
        </w:rPr>
        <w:softHyphen/>
        <w:t xml:space="preserve">8.  In fewer than half of observed elementary and high-school classrooms, team members saw sufficient and compelling evidence of student engagement and rigor/higher-order thinking, both of which are district instructional priorities. </w:t>
      </w:r>
    </w:p>
    <w:p w14:paraId="19F41862" w14:textId="241FCA27" w:rsidR="00C5113C" w:rsidRPr="00406A80" w:rsidRDefault="00C5113C" w:rsidP="00406A80">
      <w:pPr>
        <w:pStyle w:val="ListParagraph"/>
        <w:numPr>
          <w:ilvl w:val="0"/>
          <w:numId w:val="77"/>
        </w:numPr>
        <w:tabs>
          <w:tab w:val="left" w:pos="360"/>
          <w:tab w:val="left" w:pos="720"/>
          <w:tab w:val="left" w:pos="1080"/>
          <w:tab w:val="left" w:pos="1440"/>
          <w:tab w:val="left" w:pos="1800"/>
        </w:tabs>
        <w:contextualSpacing w:val="0"/>
        <w:rPr>
          <w:bCs/>
          <w:color w:val="000000" w:themeColor="text1"/>
        </w:rPr>
      </w:pPr>
      <w:r w:rsidRPr="00406A80">
        <w:rPr>
          <w:bCs/>
          <w:color w:val="000000" w:themeColor="text1"/>
        </w:rPr>
        <w:t xml:space="preserve">The district has not fully established </w:t>
      </w:r>
      <w:r w:rsidRPr="00406A80">
        <w:rPr>
          <w:rFonts w:cstheme="minorHAnsi"/>
          <w:bCs/>
          <w:color w:val="000000" w:themeColor="text1"/>
        </w:rPr>
        <w:t xml:space="preserve">a culture that uses data to improve teaching, learning, and </w:t>
      </w:r>
      <w:r w:rsidRPr="00406A80">
        <w:rPr>
          <w:bCs/>
          <w:color w:val="000000" w:themeColor="text1"/>
        </w:rPr>
        <w:t>classroom-level decision making</w:t>
      </w:r>
      <w:r w:rsidRPr="00406A80">
        <w:rPr>
          <w:rFonts w:cstheme="minorHAnsi"/>
          <w:bCs/>
          <w:color w:val="000000" w:themeColor="text1"/>
        </w:rPr>
        <w:t>.</w:t>
      </w:r>
    </w:p>
    <w:p w14:paraId="29E7B9B9" w14:textId="49994CDA" w:rsidR="0080745C" w:rsidRPr="00406A80" w:rsidRDefault="0080745C" w:rsidP="00406A80">
      <w:pPr>
        <w:pStyle w:val="ListParagraph"/>
        <w:numPr>
          <w:ilvl w:val="0"/>
          <w:numId w:val="77"/>
        </w:numPr>
        <w:tabs>
          <w:tab w:val="left" w:pos="360"/>
          <w:tab w:val="left" w:pos="720"/>
          <w:tab w:val="left" w:pos="1080"/>
          <w:tab w:val="left" w:pos="1440"/>
          <w:tab w:val="left" w:pos="1800"/>
        </w:tabs>
        <w:contextualSpacing w:val="0"/>
        <w:rPr>
          <w:bCs/>
        </w:rPr>
      </w:pPr>
      <w:r w:rsidRPr="00406A80">
        <w:rPr>
          <w:bCs/>
        </w:rPr>
        <w:lastRenderedPageBreak/>
        <w:t>The district’s educator evaluation system does not prioritize opportunities for educators to receive high-quality feedback</w:t>
      </w:r>
      <w:r w:rsidRPr="00406A80">
        <w:rPr>
          <w:rStyle w:val="FootnoteReference"/>
          <w:bCs/>
        </w:rPr>
        <w:footnoteReference w:id="5"/>
      </w:r>
      <w:r w:rsidRPr="00406A80">
        <w:rPr>
          <w:bCs/>
        </w:rPr>
        <w:t xml:space="preserve"> that helps them improve their practice.</w:t>
      </w:r>
    </w:p>
    <w:p w14:paraId="02DE9819" w14:textId="4649271B" w:rsidR="005B611C" w:rsidRPr="00406A80" w:rsidRDefault="005B611C" w:rsidP="00406A80">
      <w:pPr>
        <w:pStyle w:val="ListParagraph"/>
        <w:numPr>
          <w:ilvl w:val="0"/>
          <w:numId w:val="77"/>
        </w:numPr>
        <w:tabs>
          <w:tab w:val="left" w:pos="360"/>
          <w:tab w:val="left" w:pos="1080"/>
          <w:tab w:val="left" w:pos="1440"/>
          <w:tab w:val="left" w:pos="1800"/>
          <w:tab w:val="left" w:pos="2160"/>
        </w:tabs>
        <w:contextualSpacing w:val="0"/>
        <w:rPr>
          <w:bCs/>
        </w:rPr>
      </w:pPr>
      <w:r w:rsidRPr="00406A80">
        <w:rPr>
          <w:bCs/>
        </w:rPr>
        <w:t xml:space="preserve">The district’s professional development (PD) program is missing a designated and coordinated leadership structure, measurable goals and objectives, and formal teacher collaboration in PD planning and leadership. </w:t>
      </w:r>
    </w:p>
    <w:p w14:paraId="2A79CCCE" w14:textId="308D9201" w:rsidR="00C72EAC" w:rsidRDefault="00C72EAC">
      <w:pPr>
        <w:pStyle w:val="ListParagraph"/>
        <w:numPr>
          <w:ilvl w:val="0"/>
          <w:numId w:val="77"/>
        </w:numPr>
        <w:contextualSpacing w:val="0"/>
        <w:rPr>
          <w:rFonts w:cstheme="minorHAnsi"/>
          <w:bCs/>
        </w:rPr>
      </w:pPr>
      <w:r w:rsidRPr="00C72EAC">
        <w:rPr>
          <w:rFonts w:cstheme="minorHAnsi"/>
          <w:bCs/>
        </w:rPr>
        <w:t>The district’s policies and practices are not improving graduation, dropout, and chronic absence rates, particularly for some groups of students.</w:t>
      </w:r>
    </w:p>
    <w:p w14:paraId="1DDEF545" w14:textId="0785938A" w:rsidR="00F64F03" w:rsidRPr="00406A80" w:rsidRDefault="00F64F03" w:rsidP="00406A80">
      <w:pPr>
        <w:pStyle w:val="ListParagraph"/>
        <w:numPr>
          <w:ilvl w:val="0"/>
          <w:numId w:val="77"/>
        </w:numPr>
        <w:contextualSpacing w:val="0"/>
        <w:rPr>
          <w:rFonts w:cstheme="minorHAnsi"/>
          <w:bCs/>
        </w:rPr>
      </w:pPr>
      <w:r w:rsidRPr="00406A80">
        <w:rPr>
          <w:rFonts w:cstheme="minorHAnsi"/>
          <w:bCs/>
        </w:rPr>
        <w:t>Although most teachers, students, and families interviewed by the team said that they believed that the high school environment was safe, some expressed a need for clarification about the response procedures to follow if the school were to have a crisis.</w:t>
      </w:r>
    </w:p>
    <w:p w14:paraId="573E99C1" w14:textId="7BABDFDC" w:rsidR="00E16672" w:rsidRPr="00406A80" w:rsidRDefault="001D4758" w:rsidP="00406A80">
      <w:pPr>
        <w:pStyle w:val="ListParagraph"/>
        <w:numPr>
          <w:ilvl w:val="0"/>
          <w:numId w:val="77"/>
        </w:numPr>
        <w:tabs>
          <w:tab w:val="left" w:pos="360"/>
          <w:tab w:val="left" w:pos="720"/>
          <w:tab w:val="left" w:pos="1080"/>
          <w:tab w:val="left" w:pos="1440"/>
          <w:tab w:val="left" w:pos="1800"/>
        </w:tabs>
        <w:contextualSpacing w:val="0"/>
        <w:rPr>
          <w:bCs/>
        </w:rPr>
      </w:pPr>
      <w:r w:rsidRPr="00406A80">
        <w:rPr>
          <w:bCs/>
        </w:rPr>
        <w:t>The district and the city do not have an up-to-date, written agreement on municipal expenditures in support of the schools</w:t>
      </w:r>
      <w:r w:rsidRPr="00406A80">
        <w:rPr>
          <w:rFonts w:cstheme="minorHAnsi"/>
          <w:bCs/>
          <w:color w:val="000000"/>
          <w:sz w:val="20"/>
          <w:szCs w:val="20"/>
          <w:shd w:val="clear" w:color="auto" w:fill="FFFFFF"/>
        </w:rPr>
        <w:t>.</w:t>
      </w:r>
    </w:p>
    <w:p w14:paraId="37259297" w14:textId="7C9380E2" w:rsidR="007C01ED" w:rsidRPr="004668C9" w:rsidRDefault="007C01ED" w:rsidP="007C01ED">
      <w:pPr>
        <w:rPr>
          <w:b/>
          <w:sz w:val="28"/>
        </w:rPr>
      </w:pPr>
      <w:r w:rsidRPr="004668C9">
        <w:rPr>
          <w:b/>
          <w:sz w:val="28"/>
        </w:rPr>
        <w:t>Recommendations</w:t>
      </w:r>
    </w:p>
    <w:p w14:paraId="02F85F5C" w14:textId="77777777" w:rsidR="00207BB6" w:rsidRDefault="00E73C22" w:rsidP="00207BB6">
      <w:pPr>
        <w:pStyle w:val="ListParagraph"/>
        <w:numPr>
          <w:ilvl w:val="0"/>
          <w:numId w:val="77"/>
        </w:numPr>
        <w:tabs>
          <w:tab w:val="left" w:pos="360"/>
          <w:tab w:val="left" w:pos="720"/>
          <w:tab w:val="left" w:pos="1080"/>
          <w:tab w:val="left" w:pos="1440"/>
          <w:tab w:val="left" w:pos="1800"/>
        </w:tabs>
        <w:contextualSpacing w:val="0"/>
        <w:rPr>
          <w:bCs/>
        </w:rPr>
      </w:pPr>
      <w:proofErr w:type="gramStart"/>
      <w:r w:rsidRPr="00406A80">
        <w:rPr>
          <w:bCs/>
        </w:rPr>
        <w:t>In order to</w:t>
      </w:r>
      <w:proofErr w:type="gramEnd"/>
      <w:r w:rsidRPr="00406A80">
        <w:rPr>
          <w:bCs/>
        </w:rPr>
        <w:t xml:space="preserve"> increase the effectiveness of all district plans, including strengthening the plans’ focus on equity, the district should improve processes for selecting, analyzing, and managing disaggregated data.    </w:t>
      </w:r>
    </w:p>
    <w:p w14:paraId="03EA517E" w14:textId="2F1CE7E1" w:rsidR="00E73C22" w:rsidRPr="00406A80" w:rsidRDefault="00E73C22" w:rsidP="00406A80">
      <w:pPr>
        <w:pStyle w:val="ListParagraph"/>
        <w:numPr>
          <w:ilvl w:val="0"/>
          <w:numId w:val="77"/>
        </w:numPr>
        <w:tabs>
          <w:tab w:val="left" w:pos="360"/>
          <w:tab w:val="left" w:pos="720"/>
          <w:tab w:val="left" w:pos="1080"/>
          <w:tab w:val="left" w:pos="1440"/>
          <w:tab w:val="left" w:pos="1800"/>
        </w:tabs>
        <w:contextualSpacing w:val="0"/>
        <w:rPr>
          <w:bCs/>
        </w:rPr>
      </w:pPr>
      <w:r w:rsidRPr="00406A80">
        <w:rPr>
          <w:bCs/>
        </w:rPr>
        <w:t xml:space="preserve">The district should ensure that all teachers provide effective instruction that challenges and supports all students. </w:t>
      </w:r>
    </w:p>
    <w:p w14:paraId="03EB363E" w14:textId="77777777" w:rsidR="00C5113C" w:rsidRPr="00406A80" w:rsidRDefault="00C5113C" w:rsidP="00406A80">
      <w:pPr>
        <w:pStyle w:val="ListParagraph"/>
        <w:numPr>
          <w:ilvl w:val="0"/>
          <w:numId w:val="77"/>
        </w:numPr>
        <w:tabs>
          <w:tab w:val="left" w:pos="360"/>
          <w:tab w:val="left" w:pos="720"/>
          <w:tab w:val="left" w:pos="1080"/>
          <w:tab w:val="left" w:pos="1440"/>
          <w:tab w:val="left" w:pos="1800"/>
        </w:tabs>
        <w:contextualSpacing w:val="0"/>
        <w:rPr>
          <w:rFonts w:ascii="Calibri" w:hAnsi="Calibri"/>
          <w:bCs/>
          <w:color w:val="000000" w:themeColor="text1"/>
        </w:rPr>
      </w:pPr>
      <w:r w:rsidRPr="00406A80">
        <w:rPr>
          <w:rFonts w:ascii="Calibri" w:hAnsi="Calibri"/>
          <w:bCs/>
          <w:color w:val="000000" w:themeColor="text1"/>
        </w:rPr>
        <w:t xml:space="preserve">The district should develop uniform and integrated policies, structures, and practices for the efficient collection, use, and sharing of a range of assessments at the middle schools and the high school. </w:t>
      </w:r>
    </w:p>
    <w:p w14:paraId="5DDD1A74" w14:textId="4C25E8D0" w:rsidR="005B611C" w:rsidRPr="00406A80" w:rsidRDefault="005B611C" w:rsidP="00406A80">
      <w:pPr>
        <w:pStyle w:val="ListParagraph"/>
        <w:numPr>
          <w:ilvl w:val="0"/>
          <w:numId w:val="77"/>
        </w:numPr>
        <w:tabs>
          <w:tab w:val="left" w:pos="360"/>
          <w:tab w:val="left" w:pos="720"/>
          <w:tab w:val="left" w:pos="1080"/>
          <w:tab w:val="left" w:pos="1440"/>
          <w:tab w:val="left" w:pos="1800"/>
        </w:tabs>
        <w:contextualSpacing w:val="0"/>
        <w:rPr>
          <w:bCs/>
        </w:rPr>
      </w:pPr>
      <w:r w:rsidRPr="00406A80">
        <w:rPr>
          <w:bCs/>
        </w:rPr>
        <w:t xml:space="preserve">The district should promote educators’ growth by fully implementing all components of the educator </w:t>
      </w:r>
      <w:r w:rsidRPr="00406A80">
        <w:rPr>
          <w:rFonts w:ascii="Calibri" w:hAnsi="Calibri"/>
          <w:bCs/>
          <w:color w:val="000000" w:themeColor="text1"/>
        </w:rPr>
        <w:t>evaluation</w:t>
      </w:r>
      <w:r w:rsidRPr="00406A80">
        <w:rPr>
          <w:bCs/>
        </w:rPr>
        <w:t xml:space="preserve"> system, with a </w:t>
      </w:r>
      <w:proofErr w:type="gramStart"/>
      <w:r w:rsidRPr="00406A80">
        <w:rPr>
          <w:bCs/>
        </w:rPr>
        <w:t>particular emphasis</w:t>
      </w:r>
      <w:proofErr w:type="gramEnd"/>
      <w:r w:rsidRPr="00406A80">
        <w:rPr>
          <w:bCs/>
        </w:rPr>
        <w:t xml:space="preserve"> on ensuring that all educators receive high-quality feedback.</w:t>
      </w:r>
    </w:p>
    <w:p w14:paraId="65E8C697" w14:textId="76AF7BFD" w:rsidR="005B611C" w:rsidRPr="00406A80" w:rsidRDefault="00207BB6" w:rsidP="00406A80">
      <w:pPr>
        <w:pStyle w:val="ListParagraph"/>
        <w:numPr>
          <w:ilvl w:val="0"/>
          <w:numId w:val="79"/>
        </w:numPr>
        <w:tabs>
          <w:tab w:val="left" w:pos="0"/>
          <w:tab w:val="left" w:pos="360"/>
          <w:tab w:val="left" w:pos="1080"/>
          <w:tab w:val="left" w:pos="1440"/>
          <w:tab w:val="left" w:pos="1800"/>
          <w:tab w:val="left" w:pos="2160"/>
        </w:tabs>
        <w:contextualSpacing w:val="0"/>
        <w:rPr>
          <w:bCs/>
        </w:rPr>
      </w:pPr>
      <w:r>
        <w:rPr>
          <w:bCs/>
        </w:rPr>
        <w:t>T</w:t>
      </w:r>
      <w:r w:rsidR="005B611C" w:rsidRPr="00406A80">
        <w:rPr>
          <w:bCs/>
        </w:rPr>
        <w:t xml:space="preserve">he district’s PD program should be directed by a designated and collaborative joint committee or </w:t>
      </w:r>
      <w:r w:rsidR="00C35B46" w:rsidRPr="00DF3788">
        <w:rPr>
          <w:bCs/>
        </w:rPr>
        <w:t>another</w:t>
      </w:r>
      <w:r w:rsidR="005B611C" w:rsidRPr="00406A80">
        <w:rPr>
          <w:bCs/>
        </w:rPr>
        <w:t xml:space="preserve"> representative group.  This leadership team should be responsible for developing, implementing, and monitoring a comprehensive PD plan that includes well-defined and measurable goals, and ensuring that consistent PD policies, practices, and structures are in place in all schools across the district. </w:t>
      </w:r>
      <w:r w:rsidR="005B611C" w:rsidRPr="00406A80">
        <w:rPr>
          <w:bCs/>
        </w:rPr>
        <w:tab/>
      </w:r>
    </w:p>
    <w:p w14:paraId="02F4DDCF" w14:textId="30DC60EB" w:rsidR="00C72EAC" w:rsidRDefault="00C72EAC">
      <w:pPr>
        <w:pStyle w:val="ListParagraph"/>
        <w:numPr>
          <w:ilvl w:val="0"/>
          <w:numId w:val="79"/>
        </w:numPr>
        <w:contextualSpacing w:val="0"/>
        <w:rPr>
          <w:rFonts w:cstheme="minorHAnsi"/>
          <w:bCs/>
        </w:rPr>
      </w:pPr>
      <w:r w:rsidRPr="00C72EAC">
        <w:rPr>
          <w:rFonts w:cstheme="minorHAnsi"/>
          <w:bCs/>
        </w:rPr>
        <w:t>To better support its most at risk and vulnerable students, the district should conduct root cause analyses to examine and eliminate obstacles to attending and staying in school.</w:t>
      </w:r>
    </w:p>
    <w:p w14:paraId="0CD8C5CE" w14:textId="359A7E87" w:rsidR="00401566" w:rsidRPr="00406A80" w:rsidRDefault="00401566" w:rsidP="00406A80">
      <w:pPr>
        <w:pStyle w:val="ListParagraph"/>
        <w:numPr>
          <w:ilvl w:val="0"/>
          <w:numId w:val="79"/>
        </w:numPr>
        <w:contextualSpacing w:val="0"/>
        <w:rPr>
          <w:rFonts w:cstheme="minorHAnsi"/>
          <w:bCs/>
        </w:rPr>
      </w:pPr>
      <w:r w:rsidRPr="00406A80">
        <w:rPr>
          <w:rFonts w:cstheme="minorHAnsi"/>
          <w:bCs/>
        </w:rPr>
        <w:lastRenderedPageBreak/>
        <w:t>The district should complete the schools’ safety audits and conduct periodic up-to-date safety drills at all schools.  It also should consider providing additional training for faculty and clarify with staff, students, and families the procedures and protocols for responding to a crisis.</w:t>
      </w:r>
    </w:p>
    <w:p w14:paraId="150F74A8" w14:textId="0D60E49B" w:rsidR="006B6BAD" w:rsidRPr="006B6BAD" w:rsidRDefault="006B6BAD" w:rsidP="00406A80">
      <w:pPr>
        <w:pStyle w:val="ListParagraph"/>
        <w:numPr>
          <w:ilvl w:val="0"/>
          <w:numId w:val="79"/>
        </w:numPr>
        <w:tabs>
          <w:tab w:val="left" w:pos="0"/>
          <w:tab w:val="left" w:pos="360"/>
          <w:tab w:val="left" w:pos="720"/>
          <w:tab w:val="left" w:pos="1080"/>
          <w:tab w:val="left" w:pos="1440"/>
          <w:tab w:val="left" w:pos="1800"/>
          <w:tab w:val="left" w:pos="2160"/>
        </w:tabs>
        <w:contextualSpacing w:val="0"/>
        <w:rPr>
          <w:b/>
        </w:rPr>
      </w:pPr>
      <w:r w:rsidRPr="00406A80">
        <w:rPr>
          <w:bCs/>
        </w:rPr>
        <w:t xml:space="preserve">In compliance with 603 CMR 10.05, district administrators and city officials should update the written agreement that details the calculation process and/or amounts to be used in calculating municipal expenditures that are provided to the district.   </w:t>
      </w:r>
      <w:r w:rsidRPr="006B6BAD">
        <w:rPr>
          <w:b/>
        </w:rPr>
        <w:tab/>
      </w:r>
    </w:p>
    <w:p w14:paraId="41C4504B" w14:textId="77777777" w:rsidR="00E73C22" w:rsidRPr="00406A80" w:rsidRDefault="00E73C22" w:rsidP="007C01ED">
      <w:pPr>
        <w:rPr>
          <w:b/>
        </w:rPr>
      </w:pPr>
    </w:p>
    <w:p w14:paraId="2E739E77" w14:textId="16BEFEBC" w:rsidR="008E314D" w:rsidRDefault="002A5367"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36687548"/>
      <w:r>
        <w:lastRenderedPageBreak/>
        <w:t>Framingham Public Schools</w:t>
      </w:r>
      <w:r w:rsidR="008E314D" w:rsidRPr="00E93DC7">
        <w:t xml:space="preserve"> District Review Overview</w:t>
      </w:r>
      <w:bookmarkEnd w:id="1"/>
      <w:bookmarkEnd w:id="2"/>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77649960" w14:textId="634E3067"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2A536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2A536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4A38CFDB" w14:textId="1A49B2EE"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proofErr w:type="gramStart"/>
      <w:r>
        <w:t>Subsequent to</w:t>
      </w:r>
      <w:proofErr w:type="gramEnd"/>
      <w:r>
        <w:t xml:space="preserve">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2A5367">
        <w:t>D</w:t>
      </w:r>
      <w:r w:rsidRPr="0031064A">
        <w:t>ESE</w:t>
      </w:r>
      <w:r w:rsidRPr="0031064A">
        <w:rPr>
          <w:color w:val="000080"/>
        </w:rPr>
        <w:t>.</w:t>
      </w:r>
      <w:r w:rsidRPr="00701EDD">
        <w:t xml:space="preserve"> </w:t>
      </w:r>
      <w:r w:rsidR="002A5367" w:rsidRPr="00701EDD">
        <w:t>D</w:t>
      </w:r>
      <w:r w:rsidRPr="00701EDD">
        <w:t xml:space="preserve">ESE </w:t>
      </w:r>
      <w:r w:rsidRPr="00C44D92">
        <w:t>edits and fact-checks the draft report and sends it to the district</w:t>
      </w:r>
      <w:r>
        <w:t xml:space="preserve"> for factual review before publishing it on the </w:t>
      </w:r>
      <w:r w:rsidR="00CC47E1">
        <w:t>D</w:t>
      </w:r>
      <w:r>
        <w:t>ESE website.</w:t>
      </w:r>
      <w:r w:rsidRPr="00C44D92">
        <w:t xml:space="preserve"> </w:t>
      </w:r>
    </w:p>
    <w:p w14:paraId="008AE392" w14:textId="145E4A32"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6FCE631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A5367">
        <w:t>Framingham Public Schools</w:t>
      </w:r>
      <w:r w:rsidRPr="00E06B74">
        <w:t xml:space="preserve"> was conducted from </w:t>
      </w:r>
      <w:r w:rsidR="002A5367" w:rsidRPr="002A5367">
        <w:t>February 25–28, 2019</w:t>
      </w:r>
      <w:r w:rsidRPr="002A5367">
        <w:t>.</w:t>
      </w:r>
      <w:r w:rsidRPr="00E06B74">
        <w:t xml:space="preserve"> The site visit included </w:t>
      </w:r>
      <w:r w:rsidR="00BA29DD">
        <w:t xml:space="preserve">35 </w:t>
      </w:r>
      <w:r w:rsidRPr="00E06B74">
        <w:t xml:space="preserve">hours of interviews and focus groups with </w:t>
      </w:r>
      <w:r>
        <w:t>approximately</w:t>
      </w:r>
      <w:r w:rsidR="00415F2A">
        <w:t xml:space="preserve"> </w:t>
      </w:r>
      <w:r w:rsidR="00D80981">
        <w:t>144</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CC3A6F">
        <w:t>high-</w:t>
      </w:r>
      <w:r w:rsidR="007B3AAA">
        <w:t xml:space="preserve">school students, families, </w:t>
      </w:r>
      <w:r>
        <w:t>and</w:t>
      </w:r>
      <w:r w:rsidRPr="00E06B74">
        <w:t xml:space="preserve"> teachers’ association representatives. The review team conducted </w:t>
      </w:r>
      <w:r w:rsidR="00D80981">
        <w:t xml:space="preserve">4 </w:t>
      </w:r>
      <w:r w:rsidRPr="00E06B74">
        <w:t>focus group</w:t>
      </w:r>
      <w:r w:rsidR="00E6241B">
        <w:t>s</w:t>
      </w:r>
      <w:r w:rsidR="00361710">
        <w:t xml:space="preserve"> w</w:t>
      </w:r>
      <w:r w:rsidRPr="00E06B74">
        <w:t>ith</w:t>
      </w:r>
      <w:r w:rsidR="00D80981">
        <w:t xml:space="preserve"> 23 </w:t>
      </w:r>
      <w:r w:rsidR="00B439E0" w:rsidRPr="00B439E0">
        <w:t>elementary</w:t>
      </w:r>
      <w:r w:rsidR="00B439E0">
        <w:t>-</w:t>
      </w:r>
      <w:r w:rsidRPr="00B439E0">
        <w:t>school</w:t>
      </w:r>
      <w:r w:rsidRPr="00E06B74">
        <w:t xml:space="preserve"> teachers, </w:t>
      </w:r>
      <w:r w:rsidR="00D80981">
        <w:t xml:space="preserve">4 </w:t>
      </w:r>
      <w:r w:rsidR="00B439E0" w:rsidRPr="00B439E0">
        <w:t>middle</w:t>
      </w:r>
      <w:r w:rsidR="00B439E0">
        <w:t>-</w:t>
      </w:r>
      <w:r w:rsidRPr="00B439E0">
        <w:t>school</w:t>
      </w:r>
      <w:r w:rsidRPr="00E06B74">
        <w:t xml:space="preserve"> teachers, and </w:t>
      </w:r>
      <w:r w:rsidR="00D80981">
        <w:t>12</w:t>
      </w:r>
      <w:r w:rsidRPr="00E06B74">
        <w:t xml:space="preserve"> </w:t>
      </w:r>
      <w:r w:rsidR="00B439E0" w:rsidRPr="00B439E0">
        <w:t>high</w:t>
      </w:r>
      <w:r w:rsidR="00B439E0">
        <w:t>-</w:t>
      </w:r>
      <w:r w:rsidRPr="00B439E0">
        <w:t>school</w:t>
      </w:r>
      <w:r w:rsidRPr="00E06B74">
        <w:t xml:space="preserve"> teachers. </w:t>
      </w:r>
    </w:p>
    <w:p w14:paraId="6E23036A" w14:textId="542D5AFA"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446992">
        <w:t>91</w:t>
      </w:r>
      <w:r w:rsidR="00BD3620">
        <w:t xml:space="preserve"> </w:t>
      </w:r>
      <w:r>
        <w:t xml:space="preserve">classrooms in </w:t>
      </w:r>
      <w:r w:rsidR="00446992">
        <w:t xml:space="preserve">14 </w:t>
      </w:r>
      <w:r w:rsidRPr="00E06B74">
        <w:t xml:space="preserve">schools. </w:t>
      </w:r>
      <w:r>
        <w:t xml:space="preserve">The team collected data using </w:t>
      </w:r>
      <w:r w:rsidR="002A5367">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39CC271F" w14:textId="77777777" w:rsidR="00D80981" w:rsidRDefault="00D80981" w:rsidP="008E314D">
      <w:pPr>
        <w:tabs>
          <w:tab w:val="left" w:pos="360"/>
          <w:tab w:val="left" w:pos="720"/>
          <w:tab w:val="left" w:pos="1080"/>
          <w:tab w:val="left" w:pos="1440"/>
          <w:tab w:val="left" w:pos="1800"/>
          <w:tab w:val="left" w:pos="2160"/>
          <w:tab w:val="left" w:pos="2520"/>
          <w:tab w:val="left" w:pos="2880"/>
        </w:tabs>
        <w:rPr>
          <w:b/>
          <w:sz w:val="28"/>
          <w:szCs w:val="28"/>
        </w:rPr>
      </w:pPr>
    </w:p>
    <w:p w14:paraId="5DAD419D" w14:textId="77777777" w:rsidR="00701EDD" w:rsidRDefault="00701EDD" w:rsidP="008E314D">
      <w:pPr>
        <w:tabs>
          <w:tab w:val="left" w:pos="360"/>
          <w:tab w:val="left" w:pos="720"/>
          <w:tab w:val="left" w:pos="1080"/>
          <w:tab w:val="left" w:pos="1440"/>
          <w:tab w:val="left" w:pos="1800"/>
          <w:tab w:val="left" w:pos="2160"/>
          <w:tab w:val="left" w:pos="2520"/>
          <w:tab w:val="left" w:pos="2880"/>
        </w:tabs>
        <w:rPr>
          <w:b/>
          <w:sz w:val="28"/>
          <w:szCs w:val="28"/>
        </w:rPr>
      </w:pPr>
    </w:p>
    <w:p w14:paraId="5046ED1F" w14:textId="1CB4C318"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496FD9ED" w:rsidR="008E314D" w:rsidRDefault="00E32E30" w:rsidP="008E314D">
      <w:pPr>
        <w:tabs>
          <w:tab w:val="left" w:pos="360"/>
          <w:tab w:val="left" w:pos="720"/>
          <w:tab w:val="left" w:pos="1080"/>
          <w:tab w:val="left" w:pos="1440"/>
          <w:tab w:val="left" w:pos="1800"/>
          <w:tab w:val="left" w:pos="2160"/>
          <w:tab w:val="left" w:pos="2520"/>
          <w:tab w:val="left" w:pos="2880"/>
        </w:tabs>
      </w:pPr>
      <w:r>
        <w:t>In April 2017, Framingham residents voted in favor of adopting a charter to transition from a representative town meeting system to</w:t>
      </w:r>
      <w:r w:rsidR="008E314D" w:rsidRPr="00E32E30">
        <w:t xml:space="preserve"> a mayor-council</w:t>
      </w:r>
      <w:r w:rsidRPr="00E32E30">
        <w:t xml:space="preserve"> </w:t>
      </w:r>
      <w:r w:rsidR="008E314D" w:rsidRPr="00E32E30">
        <w:t>form</w:t>
      </w:r>
      <w:r w:rsidR="008E314D" w:rsidRPr="00E06B74">
        <w:t xml:space="preserve"> of government</w:t>
      </w:r>
      <w:r>
        <w:t xml:space="preserve">.  The community transitioned to city status on January 1, 2018. </w:t>
      </w:r>
      <w:r w:rsidR="008E314D" w:rsidRPr="00E06B74">
        <w:t xml:space="preserve">The </w:t>
      </w:r>
      <w:r w:rsidR="00736C0B">
        <w:t xml:space="preserve">nine </w:t>
      </w:r>
      <w:r w:rsidR="008E314D" w:rsidRPr="00E06B74">
        <w:t>member</w:t>
      </w:r>
      <w:r w:rsidR="008E314D">
        <w:t>s of the school committee</w:t>
      </w:r>
      <w:r w:rsidR="00EA7AB4">
        <w:t xml:space="preserve"> are </w:t>
      </w:r>
      <w:r>
        <w:t>elected by district</w:t>
      </w:r>
      <w:r w:rsidR="000E7D58">
        <w:t>.</w:t>
      </w:r>
      <w:r>
        <w:t xml:space="preserve"> </w:t>
      </w:r>
      <w:r w:rsidR="00736C0B">
        <w:t xml:space="preserve">The mayor serves </w:t>
      </w:r>
      <w:r w:rsidR="00736C0B" w:rsidRPr="00EC5B5A">
        <w:rPr>
          <w:i/>
        </w:rPr>
        <w:t>ex-officio</w:t>
      </w:r>
      <w:r w:rsidR="000E7D58">
        <w:t xml:space="preserve">, </w:t>
      </w:r>
      <w:r w:rsidR="00736C0B">
        <w:t>votes only to break a tie</w:t>
      </w:r>
      <w:r w:rsidR="008013C8">
        <w:t xml:space="preserve"> </w:t>
      </w:r>
      <w:proofErr w:type="gramStart"/>
      <w:r w:rsidR="008013C8">
        <w:t>vote</w:t>
      </w:r>
      <w:proofErr w:type="gramEnd"/>
      <w:r w:rsidR="000E7D58">
        <w:t xml:space="preserve"> and cannot serve as chair, vice chair or clerk.</w:t>
      </w:r>
      <w:r w:rsidR="00736C0B">
        <w:t xml:space="preserve"> </w:t>
      </w:r>
      <w:r w:rsidR="002635DB">
        <w:t xml:space="preserve">The school committee </w:t>
      </w:r>
      <w:r w:rsidR="00EA7AB4">
        <w:t>meets</w:t>
      </w:r>
      <w:r>
        <w:t xml:space="preserve"> twice monthly</w:t>
      </w:r>
      <w:r w:rsidR="008E314D" w:rsidRPr="00E06B74">
        <w:t xml:space="preserve">. </w:t>
      </w:r>
      <w:r>
        <w:t xml:space="preserve"> </w:t>
      </w:r>
    </w:p>
    <w:p w14:paraId="42815D03" w14:textId="42AF0690" w:rsidR="008E314D" w:rsidRDefault="008E314D" w:rsidP="008E314D">
      <w:pPr>
        <w:tabs>
          <w:tab w:val="left" w:pos="360"/>
          <w:tab w:val="left" w:pos="720"/>
          <w:tab w:val="left" w:pos="1080"/>
          <w:tab w:val="left" w:pos="1440"/>
          <w:tab w:val="left" w:pos="1800"/>
          <w:tab w:val="left" w:pos="2160"/>
          <w:tab w:val="left" w:pos="2520"/>
          <w:tab w:val="left" w:pos="2880"/>
        </w:tabs>
      </w:pPr>
      <w:r w:rsidRPr="0089512A">
        <w:t xml:space="preserve">The current superintendent has been in the position since </w:t>
      </w:r>
      <w:r w:rsidR="00A550B9" w:rsidRPr="0089512A">
        <w:t>April 2017.</w:t>
      </w:r>
      <w:r w:rsidRPr="0089512A">
        <w:t xml:space="preserve"> The district leadership team includes</w:t>
      </w:r>
      <w:r w:rsidR="00F75D73" w:rsidRPr="0089512A">
        <w:t xml:space="preserve"> </w:t>
      </w:r>
      <w:r w:rsidR="00A550B9" w:rsidRPr="0089512A">
        <w:t>an assistant superintendent for elementary education</w:t>
      </w:r>
      <w:r w:rsidR="002E1407" w:rsidRPr="0089512A">
        <w:t>;</w:t>
      </w:r>
      <w:r w:rsidR="00A550B9" w:rsidRPr="0089512A">
        <w:t xml:space="preserve"> an assistant superintendent for secondary education</w:t>
      </w:r>
      <w:r w:rsidR="002E1407" w:rsidRPr="0089512A">
        <w:t>;</w:t>
      </w:r>
      <w:r w:rsidR="00A550B9" w:rsidRPr="0089512A">
        <w:t xml:space="preserve"> an assistant director for elementary education</w:t>
      </w:r>
      <w:r w:rsidR="002E1407" w:rsidRPr="0089512A">
        <w:t>;</w:t>
      </w:r>
      <w:r w:rsidR="00A550B9" w:rsidRPr="0089512A">
        <w:t xml:space="preserve"> an assistant director for secondary education</w:t>
      </w:r>
      <w:r w:rsidR="002E1407" w:rsidRPr="0089512A">
        <w:t>;</w:t>
      </w:r>
      <w:r w:rsidR="00A550B9" w:rsidRPr="0089512A">
        <w:t xml:space="preserve"> </w:t>
      </w:r>
      <w:r w:rsidR="002E1407" w:rsidRPr="0089512A">
        <w:t>an assistant superintendent for equity, diversity, and community development; an assistant superintendent for human resources; an executive director of finance and operations; and a media and communications manager.  There are also directors of bilingual education, special education, health and wellness, fine/performing arts, technology, parent information, community resource development</w:t>
      </w:r>
      <w:r w:rsidR="00935CCF">
        <w:t>,</w:t>
      </w:r>
      <w:r w:rsidR="002E1407" w:rsidRPr="0089512A">
        <w:t xml:space="preserve"> adult ESL, early </w:t>
      </w:r>
      <w:r w:rsidR="00E32E30" w:rsidRPr="0089512A">
        <w:t xml:space="preserve">childhood education, the early childhood alliance of Framingham, </w:t>
      </w:r>
      <w:r w:rsidR="002E1407" w:rsidRPr="0089512A">
        <w:t xml:space="preserve">buildings and grounds, food services, safety and security, Title I and grants, </w:t>
      </w:r>
      <w:r w:rsidR="008013C8" w:rsidRPr="0089512A">
        <w:t xml:space="preserve">and </w:t>
      </w:r>
      <w:r w:rsidR="002E1407" w:rsidRPr="0089512A">
        <w:t xml:space="preserve">transportation. </w:t>
      </w:r>
      <w:r w:rsidR="00A550B9" w:rsidRPr="0089512A">
        <w:t xml:space="preserve"> </w:t>
      </w:r>
      <w:r w:rsidR="00CC3A6F" w:rsidRPr="0089512A">
        <w:t xml:space="preserve">In the two years before the onsite in February 2019, central </w:t>
      </w:r>
      <w:r w:rsidRPr="0089512A">
        <w:t xml:space="preserve">office positions </w:t>
      </w:r>
      <w:r w:rsidR="00EB3D63" w:rsidRPr="0089512A">
        <w:t>decreased as the superintendent</w:t>
      </w:r>
      <w:r w:rsidR="00E32E30" w:rsidRPr="0089512A">
        <w:t xml:space="preserve"> reorganized</w:t>
      </w:r>
      <w:r w:rsidR="00446992" w:rsidRPr="0089512A">
        <w:t xml:space="preserve"> and redefined</w:t>
      </w:r>
      <w:r w:rsidR="00EB3D63" w:rsidRPr="0089512A">
        <w:t xml:space="preserve"> district leadership roles.</w:t>
      </w:r>
      <w:r w:rsidRPr="0089512A">
        <w:t xml:space="preserve"> The district has</w:t>
      </w:r>
      <w:r w:rsidR="00F75D73" w:rsidRPr="0089512A">
        <w:t xml:space="preserve"> </w:t>
      </w:r>
      <w:r w:rsidR="00FE74E3" w:rsidRPr="0089512A">
        <w:t>1</w:t>
      </w:r>
      <w:r w:rsidR="00536607" w:rsidRPr="0089512A">
        <w:t>3</w:t>
      </w:r>
      <w:r w:rsidR="00FE74E3" w:rsidRPr="0089512A">
        <w:t xml:space="preserve"> </w:t>
      </w:r>
      <w:r w:rsidRPr="0089512A">
        <w:t>principals leading</w:t>
      </w:r>
      <w:r w:rsidR="00F75D73" w:rsidRPr="0089512A">
        <w:t xml:space="preserve"> </w:t>
      </w:r>
      <w:r w:rsidR="00FE74E3" w:rsidRPr="0089512A">
        <w:t>1</w:t>
      </w:r>
      <w:r w:rsidR="00536607" w:rsidRPr="0089512A">
        <w:t>3</w:t>
      </w:r>
      <w:r w:rsidR="00FE74E3" w:rsidRPr="0089512A">
        <w:t xml:space="preserve"> </w:t>
      </w:r>
      <w:r w:rsidRPr="0089512A">
        <w:t>schools</w:t>
      </w:r>
      <w:r w:rsidR="00446992" w:rsidRPr="0089512A">
        <w:t>, a coordinator of the Thayer Campus (the alternative high school program),</w:t>
      </w:r>
      <w:r w:rsidR="00FE74E3" w:rsidRPr="0089512A">
        <w:t xml:space="preserve"> and </w:t>
      </w:r>
      <w:r w:rsidR="000E7D58" w:rsidRPr="0089512A">
        <w:t xml:space="preserve">a </w:t>
      </w:r>
      <w:r w:rsidR="00FE74E3" w:rsidRPr="0089512A">
        <w:t xml:space="preserve">director </w:t>
      </w:r>
      <w:r w:rsidR="00446992" w:rsidRPr="0089512A">
        <w:t xml:space="preserve">of </w:t>
      </w:r>
      <w:r w:rsidR="00FE74E3" w:rsidRPr="0089512A">
        <w:t>early childhood</w:t>
      </w:r>
      <w:r w:rsidR="00446992" w:rsidRPr="0089512A">
        <w:t xml:space="preserve"> lead</w:t>
      </w:r>
      <w:r w:rsidR="00701EDD" w:rsidRPr="0089512A">
        <w:t>ing</w:t>
      </w:r>
      <w:r w:rsidR="00446992" w:rsidRPr="0089512A">
        <w:t xml:space="preserve"> the </w:t>
      </w:r>
      <w:r w:rsidR="00FB6BBC" w:rsidRPr="0089512A">
        <w:t>pre</w:t>
      </w:r>
      <w:r w:rsidR="00FE74E3" w:rsidRPr="0089512A">
        <w:t>-K school</w:t>
      </w:r>
      <w:r w:rsidRPr="0089512A">
        <w:t>.</w:t>
      </w:r>
      <w:r w:rsidR="000E7D58" w:rsidRPr="0089512A">
        <w:t xml:space="preserve"> </w:t>
      </w:r>
      <w:r w:rsidRPr="0089512A">
        <w:t xml:space="preserve"> </w:t>
      </w:r>
      <w:r w:rsidR="00FB6BBC" w:rsidRPr="0089512A">
        <w:t xml:space="preserve">In addition, there are </w:t>
      </w:r>
      <w:r w:rsidR="00FE74E3" w:rsidRPr="0089512A">
        <w:t>4 vice-principals and an associate principal at the high school</w:t>
      </w:r>
      <w:r w:rsidR="00FB6BBC" w:rsidRPr="0089512A">
        <w:t xml:space="preserve"> and</w:t>
      </w:r>
      <w:r w:rsidR="00FE74E3" w:rsidRPr="0089512A">
        <w:t xml:space="preserve"> </w:t>
      </w:r>
      <w:r w:rsidR="00446992" w:rsidRPr="0089512A">
        <w:t>1</w:t>
      </w:r>
      <w:r w:rsidR="00935CCF">
        <w:t>6</w:t>
      </w:r>
      <w:r w:rsidR="00446992" w:rsidRPr="0089512A">
        <w:t xml:space="preserve"> </w:t>
      </w:r>
      <w:r w:rsidR="00935CCF">
        <w:t>vice</w:t>
      </w:r>
      <w:r w:rsidR="00935CCF" w:rsidRPr="0089512A">
        <w:t xml:space="preserve"> </w:t>
      </w:r>
      <w:r w:rsidR="00FE74E3" w:rsidRPr="0089512A">
        <w:t>principals</w:t>
      </w:r>
      <w:r w:rsidRPr="0089512A">
        <w:t>.</w:t>
      </w:r>
      <w:r w:rsidR="000E7D58" w:rsidRPr="0089512A" w:rsidDel="000E7D58">
        <w:t xml:space="preserve"> </w:t>
      </w:r>
      <w:r w:rsidR="000E7D58" w:rsidRPr="0089512A">
        <w:t>I</w:t>
      </w:r>
      <w:r w:rsidR="00F75D73" w:rsidRPr="0089512A">
        <w:t xml:space="preserve">n the </w:t>
      </w:r>
      <w:r w:rsidR="005D7AE1" w:rsidRPr="0089512A">
        <w:t>201</w:t>
      </w:r>
      <w:r w:rsidR="009A05F7" w:rsidRPr="0089512A">
        <w:t>8</w:t>
      </w:r>
      <w:r w:rsidR="005D7AE1" w:rsidRPr="0089512A">
        <w:t>–201</w:t>
      </w:r>
      <w:r w:rsidR="009A05F7" w:rsidRPr="0089512A">
        <w:t>9</w:t>
      </w:r>
      <w:r w:rsidR="00383EE1" w:rsidRPr="0089512A">
        <w:t xml:space="preserve"> </w:t>
      </w:r>
      <w:r w:rsidR="00F75D73" w:rsidRPr="0089512A">
        <w:t>school year, there were</w:t>
      </w:r>
      <w:r w:rsidR="00446992" w:rsidRPr="0089512A">
        <w:t xml:space="preserve"> </w:t>
      </w:r>
      <w:r w:rsidR="009678D8" w:rsidRPr="0089512A">
        <w:t>696.5</w:t>
      </w:r>
      <w:r w:rsidR="00446992" w:rsidRPr="0089512A">
        <w:t xml:space="preserve"> FTE </w:t>
      </w:r>
      <w:r w:rsidRPr="0089512A">
        <w:t>teachers in the district.</w:t>
      </w:r>
    </w:p>
    <w:p w14:paraId="77DA13FA" w14:textId="5D02C44C"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w:t>
      </w:r>
      <w:r w:rsidR="009A05F7">
        <w:t>8</w:t>
      </w:r>
      <w:r w:rsidR="005D7AE1">
        <w:t>–</w:t>
      </w:r>
      <w:r w:rsidR="00383EE1">
        <w:t>201</w:t>
      </w:r>
      <w:r w:rsidR="009A05F7">
        <w:t>9</w:t>
      </w:r>
      <w:r w:rsidR="00383EE1">
        <w:t xml:space="preserve"> </w:t>
      </w:r>
      <w:r>
        <w:t>school year,</w:t>
      </w:r>
      <w:r w:rsidR="0060543B">
        <w:t xml:space="preserve"> </w:t>
      </w:r>
      <w:r w:rsidR="00A550B9">
        <w:t xml:space="preserve">8,822 </w:t>
      </w:r>
      <w:r w:rsidR="008E314D">
        <w:t>s</w:t>
      </w:r>
      <w:r w:rsidR="008E314D" w:rsidRPr="00E06B74">
        <w:t>tudent</w:t>
      </w:r>
      <w:r w:rsidR="008E314D">
        <w:t>s</w:t>
      </w:r>
      <w:r w:rsidR="00CC4C53">
        <w:t xml:space="preserve"> </w:t>
      </w:r>
      <w:r w:rsidR="008E314D">
        <w:t xml:space="preserve">were enrolled in the district’s </w:t>
      </w:r>
      <w:r w:rsidR="00A550B9">
        <w:t xml:space="preserve">14 </w:t>
      </w:r>
      <w:r w:rsidR="008E314D">
        <w:t>schools</w:t>
      </w:r>
      <w:r w:rsidR="00536607">
        <w:t xml:space="preserve"> and the alternative high school program</w:t>
      </w:r>
      <w:r w:rsidR="008E314D">
        <w:t>:</w:t>
      </w:r>
    </w:p>
    <w:p w14:paraId="043D6080" w14:textId="7A7AFF5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A05F7">
        <w:rPr>
          <w:rFonts w:ascii="Calibri" w:eastAsia="Calibri" w:hAnsi="Calibri" w:cs="Times New Roman"/>
          <w:b/>
          <w:sz w:val="20"/>
        </w:rPr>
        <w:t>Framingham Public Schools</w:t>
      </w:r>
    </w:p>
    <w:p w14:paraId="41ABB996" w14:textId="0AB33D7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9678D8">
        <w:rPr>
          <w:rFonts w:ascii="Calibri" w:eastAsia="Calibri" w:hAnsi="Calibri" w:cs="Times New Roman"/>
          <w:b/>
          <w:sz w:val="20"/>
        </w:rPr>
        <w:t>,</w:t>
      </w:r>
      <w:r w:rsidR="00C96E5A">
        <w:rPr>
          <w:rFonts w:ascii="Calibri" w:eastAsia="Calibri" w:hAnsi="Calibri" w:cs="Times New Roman"/>
          <w:b/>
          <w:sz w:val="20"/>
        </w:rPr>
        <w:t xml:space="preserve">* </w:t>
      </w:r>
      <w:r w:rsidR="00383EE1">
        <w:rPr>
          <w:rFonts w:ascii="Calibri" w:eastAsia="Calibri" w:hAnsi="Calibri" w:cs="Times New Roman"/>
          <w:b/>
          <w:sz w:val="20"/>
        </w:rPr>
        <w:t>201</w:t>
      </w:r>
      <w:r w:rsidR="009A05F7">
        <w:rPr>
          <w:rFonts w:ascii="Calibri" w:eastAsia="Calibri" w:hAnsi="Calibri" w:cs="Times New Roman"/>
          <w:b/>
          <w:sz w:val="20"/>
        </w:rPr>
        <w:t>8</w:t>
      </w:r>
      <w:r w:rsidR="005D7AE1">
        <w:rPr>
          <w:rFonts w:ascii="Calibri" w:eastAsia="Calibri" w:hAnsi="Calibri" w:cs="Times New Roman"/>
          <w:b/>
          <w:sz w:val="20"/>
        </w:rPr>
        <w:t>–</w:t>
      </w:r>
      <w:r w:rsidR="00383EE1">
        <w:rPr>
          <w:rFonts w:ascii="Calibri" w:eastAsia="Calibri" w:hAnsi="Calibri" w:cs="Times New Roman"/>
          <w:b/>
          <w:sz w:val="20"/>
        </w:rPr>
        <w:t>201</w:t>
      </w:r>
      <w:r w:rsidR="009A05F7">
        <w:rPr>
          <w:rFonts w:ascii="Calibri" w:eastAsia="Calibri" w:hAnsi="Calibri" w:cs="Times New Roman"/>
          <w:b/>
          <w:sz w:val="20"/>
        </w:rPr>
        <w:t>9</w:t>
      </w:r>
    </w:p>
    <w:tbl>
      <w:tblPr>
        <w:tblW w:w="0" w:type="auto"/>
        <w:jc w:val="center"/>
        <w:tblCellMar>
          <w:left w:w="0" w:type="dxa"/>
          <w:right w:w="0" w:type="dxa"/>
        </w:tblCellMar>
        <w:tblLook w:val="04A0" w:firstRow="1" w:lastRow="0" w:firstColumn="1" w:lastColumn="0" w:noHBand="0" w:noVBand="1"/>
        <w:tblCaption w:val="Table 1: Framingham Public Schools"/>
        <w:tblDescription w:val="Schools, Type, Grades Served, and Enrollment, 2018–2019&#10;"/>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C3EE4AF"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750945F6" w:rsidR="008E314D" w:rsidRDefault="007B3AAA"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Juniper Hill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14F12172" w:rsidR="008E314D" w:rsidRDefault="007B3AAA" w:rsidP="007B3AAA">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Pre-K</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2F2A8DDA" w:rsidR="008E314D" w:rsidRDefault="007B3AAA" w:rsidP="007B3AAA">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Pre-K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05A4B3BA"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276</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0B7A8207" w:rsidR="008E314D"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Barbieri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6F6E0430"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194A5859" w:rsidR="008E314D"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277E1EBE"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672</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452C30BF" w:rsidR="008E314D"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Brophy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5E35DF26"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542C1ECE" w:rsidR="008E314D"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2EF4F215"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464</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25FB1E97" w:rsidR="008E314D"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Charlotte A. Dunning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5B2F0998"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3BA6A1D3" w:rsidR="008E314D"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5491713A"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457</w:t>
            </w:r>
          </w:p>
        </w:tc>
      </w:tr>
      <w:tr w:rsidR="008E314D"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2A44E223" w:rsidR="008E314D"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Hemenway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49A17E58"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029ADF18" w:rsidR="008E314D"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1755D023"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563</w:t>
            </w:r>
          </w:p>
        </w:tc>
      </w:tr>
      <w:tr w:rsidR="008E314D" w:rsidRPr="00AA1E10" w14:paraId="4BE191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2BA0A04B" w:rsidR="008E314D"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King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3C02697A"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0A6D3B1E" w:rsidR="008E314D"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7774DB17" w:rsidR="008E314D"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323</w:t>
            </w:r>
          </w:p>
        </w:tc>
      </w:tr>
      <w:tr w:rsidR="007B3AAA" w:rsidRPr="00AA1E10" w14:paraId="0D95BA57"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4EDC106" w14:textId="5659839E" w:rsidR="007B3AAA" w:rsidRDefault="007B3AAA"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Mary E. Stapleton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012D347" w14:textId="50558DED" w:rsidR="007B3AAA"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D402B4D" w14:textId="1B81A580" w:rsidR="007B3AAA" w:rsidRDefault="007B3AAA"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1CA0104" w14:textId="2D6B764F" w:rsidR="007B3AAA" w:rsidRDefault="007B3AAA"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336</w:t>
            </w:r>
          </w:p>
        </w:tc>
      </w:tr>
      <w:tr w:rsidR="007B3AAA" w:rsidRPr="00AA1E10" w14:paraId="36F44AD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41A64CF" w14:textId="2C3CA81C"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Miriam F. McCarthy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39A44CC" w14:textId="4F647A2A"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04E19A8" w14:textId="57B6E16D"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F3B09D1" w14:textId="380CB607"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528</w:t>
            </w:r>
          </w:p>
        </w:tc>
      </w:tr>
      <w:tr w:rsidR="007B3AAA" w:rsidRPr="00AA1E10" w14:paraId="0F95CB9E"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4E86250" w14:textId="308B592B"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Potter Road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2107E16" w14:textId="3964C88B"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7DC208D3" w14:textId="1DF2FD8F"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7D98A27" w14:textId="5653894C"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533</w:t>
            </w:r>
          </w:p>
        </w:tc>
      </w:tr>
      <w:tr w:rsidR="007B3AAA" w:rsidRPr="00AA1E10" w14:paraId="431AA97C"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0B130E3" w14:textId="7C7B9ACD"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Woodrow Wilson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8AD28B1" w14:textId="5CC88D24"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5FED8EF" w14:textId="0DF628C6"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678D8">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CD50481" w14:textId="78181071"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539</w:t>
            </w:r>
          </w:p>
        </w:tc>
      </w:tr>
      <w:tr w:rsidR="007B3AAA" w:rsidRPr="00AA1E10" w14:paraId="4EDCAC25"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70E4C965" w14:textId="14761EE0"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Cameron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40F0F3F" w14:textId="16BAAE64"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0C89890" w14:textId="3786F4E5"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678D8">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A919A63" w14:textId="3FD4BC02"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581</w:t>
            </w:r>
          </w:p>
        </w:tc>
      </w:tr>
      <w:tr w:rsidR="007B3AAA" w:rsidRPr="00AA1E10" w14:paraId="3907921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2C4DBAA" w14:textId="24434BE2"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Fuller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52BC287" w14:textId="609910E3"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AD2909C" w14:textId="4F6DBB2C"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678D8">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B0279CD" w14:textId="78F24C89"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546</w:t>
            </w:r>
          </w:p>
        </w:tc>
      </w:tr>
      <w:tr w:rsidR="007B3AAA" w:rsidRPr="00AA1E10" w14:paraId="424AAB5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20DF067D" w14:textId="073C4135"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Walsh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708A581" w14:textId="283E9D50"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1C21344" w14:textId="3FB279DA"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678D8">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D69E387" w14:textId="1A7D7564"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733</w:t>
            </w:r>
          </w:p>
        </w:tc>
      </w:tr>
      <w:tr w:rsidR="007B3AAA" w:rsidRPr="00AA1E10" w14:paraId="387B31F0"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59C7875" w14:textId="0FA02B18" w:rsidR="007B3AAA" w:rsidRDefault="00A550B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Framingham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EC5F566" w14:textId="549593A8"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B641C2D" w14:textId="3CF96521" w:rsidR="007B3AAA" w:rsidRDefault="00A550B9" w:rsidP="00967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9678D8">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A99C72F" w14:textId="440B3D7A" w:rsidR="007B3AAA" w:rsidRDefault="00A550B9" w:rsidP="007B3A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2,271</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7DB272E5" w:rsidR="008E314D" w:rsidRDefault="00A550B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14</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46A98106" w:rsidR="008E314D" w:rsidRDefault="00A550B9" w:rsidP="009678D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9678D8">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5B5D8F94" w:rsidR="008E314D" w:rsidRDefault="00A550B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8,822</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37E1DB5" w14:textId="77777777" w:rsidR="008E314D" w:rsidRDefault="008E314D" w:rsidP="009A05F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w:t>
            </w:r>
            <w:r w:rsidR="009A05F7">
              <w:rPr>
                <w:color w:val="000000"/>
                <w:sz w:val="20"/>
                <w:szCs w:val="20"/>
              </w:rPr>
              <w:t>8</w:t>
            </w:r>
          </w:p>
          <w:p w14:paraId="5CD32A11" w14:textId="48CD32EC" w:rsidR="00A550B9" w:rsidRDefault="00A550B9" w:rsidP="009A05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Includes enrollment for the Thayer Campus, the district’s alternative high school program</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7A7FEC1F" w:rsidR="008E314D" w:rsidRDefault="003272BA" w:rsidP="008E314D">
      <w:pPr>
        <w:tabs>
          <w:tab w:val="left" w:pos="360"/>
          <w:tab w:val="left" w:pos="720"/>
          <w:tab w:val="left" w:pos="1080"/>
          <w:tab w:val="left" w:pos="1440"/>
          <w:tab w:val="left" w:pos="1800"/>
          <w:tab w:val="left" w:pos="2160"/>
          <w:tab w:val="left" w:pos="2520"/>
          <w:tab w:val="left" w:pos="2880"/>
        </w:tabs>
      </w:pPr>
      <w:r w:rsidRPr="00F806F7">
        <w:t xml:space="preserve">Framingham’s </w:t>
      </w:r>
      <w:r w:rsidRPr="00D11DA0">
        <w:t xml:space="preserve">enrollment increased </w:t>
      </w:r>
      <w:r w:rsidR="00E724C1">
        <w:t>8.2</w:t>
      </w:r>
      <w:r w:rsidR="00F42AD3">
        <w:t xml:space="preserve"> percent </w:t>
      </w:r>
      <w:r w:rsidR="005C0876">
        <w:t>between 2015 and 2019</w:t>
      </w:r>
      <w:r w:rsidR="008007A1">
        <w:t>,</w:t>
      </w:r>
      <w:r w:rsidRPr="00D11DA0">
        <w:t xml:space="preserve"> from </w:t>
      </w:r>
      <w:r w:rsidR="00FB2691">
        <w:t>8,153</w:t>
      </w:r>
      <w:r w:rsidR="00FB2691" w:rsidRPr="00D11DA0">
        <w:t xml:space="preserve"> </w:t>
      </w:r>
      <w:r w:rsidRPr="00D11DA0">
        <w:t xml:space="preserve">in </w:t>
      </w:r>
      <w:r w:rsidR="00FB2691" w:rsidRPr="00D11DA0">
        <w:t>201</w:t>
      </w:r>
      <w:r w:rsidR="00FB2691">
        <w:t>5</w:t>
      </w:r>
      <w:r w:rsidR="00FB2691" w:rsidRPr="00D11DA0">
        <w:t xml:space="preserve"> </w:t>
      </w:r>
      <w:r w:rsidRPr="00D11DA0">
        <w:t>to 8,</w:t>
      </w:r>
      <w:r w:rsidR="00F42AD3">
        <w:t>822</w:t>
      </w:r>
      <w:r w:rsidRPr="00D11DA0">
        <w:t xml:space="preserve"> in </w:t>
      </w:r>
      <w:r w:rsidR="00FB2691" w:rsidRPr="00D11DA0">
        <w:t>201</w:t>
      </w:r>
      <w:r w:rsidR="00FB2691">
        <w:t>9</w:t>
      </w:r>
      <w:r w:rsidRPr="00D11DA0">
        <w:t xml:space="preserve">.  </w:t>
      </w:r>
      <w:r w:rsidR="008E314D" w:rsidRPr="00AE2098">
        <w:t xml:space="preserve">Enrollment figures by race/ethnicity and high needs populations (i.e., students with disabilities, </w:t>
      </w:r>
      <w:proofErr w:type="gramStart"/>
      <w:r w:rsidR="00BC074D">
        <w:t>economically disadvantaged</w:t>
      </w:r>
      <w:proofErr w:type="gramEnd"/>
      <w:r w:rsidR="00BC074D">
        <w:t xml:space="preserve">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350D8725" w14:textId="50C282A1" w:rsidR="00F40E84" w:rsidRDefault="00F40E84" w:rsidP="00F40E84">
      <w:pPr>
        <w:tabs>
          <w:tab w:val="left" w:pos="360"/>
          <w:tab w:val="left" w:pos="720"/>
          <w:tab w:val="left" w:pos="1080"/>
          <w:tab w:val="left" w:pos="1440"/>
          <w:tab w:val="left" w:pos="1800"/>
          <w:tab w:val="left" w:pos="2160"/>
          <w:tab w:val="left" w:pos="2520"/>
          <w:tab w:val="left" w:pos="2880"/>
        </w:tabs>
      </w:pPr>
      <w:r>
        <w:t xml:space="preserve">The total in-district per-pupil </w:t>
      </w:r>
      <w:r w:rsidRPr="00D80981">
        <w:t xml:space="preserve">expenditure was higher than the median in-district per-pupil expenditure for </w:t>
      </w:r>
      <w:r w:rsidR="009678D8">
        <w:t xml:space="preserve">12 </w:t>
      </w:r>
      <w:r w:rsidRPr="00D80981">
        <w:t>K</w:t>
      </w:r>
      <w:r w:rsidR="009678D8">
        <w:t>–</w:t>
      </w:r>
      <w:r w:rsidRPr="00D80981">
        <w:t>12 district</w:t>
      </w:r>
      <w:r w:rsidR="009678D8">
        <w:t>s</w:t>
      </w:r>
      <w:r w:rsidRPr="00D80981">
        <w:t xml:space="preserve"> of similar size </w:t>
      </w:r>
      <w:r w:rsidR="009678D8">
        <w:t xml:space="preserve">(8,000–26,000 students) </w:t>
      </w:r>
      <w:r w:rsidRPr="00D80981">
        <w:t>in fiscal year 2017</w:t>
      </w:r>
      <w:r w:rsidR="006011FD">
        <w:t xml:space="preserve">: </w:t>
      </w:r>
      <w:r w:rsidRPr="00D80981">
        <w:t>$17,232</w:t>
      </w:r>
      <w:r w:rsidR="00171E1D">
        <w:t xml:space="preserve"> </w:t>
      </w:r>
      <w:r w:rsidRPr="00D80981">
        <w:t>as compared with $14,340.  Actual net school spending has been well above what is required by the Chapter 70 state education aid program, as shown in Table B3 in Appendix B.</w:t>
      </w:r>
    </w:p>
    <w:p w14:paraId="295C26E9" w14:textId="4CA55C6E"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4C56790D" w14:textId="78A0864B" w:rsidR="00C3312E" w:rsidRPr="00C3312E" w:rsidRDefault="00C3312E" w:rsidP="00C3312E">
      <w:pPr>
        <w:spacing w:after="0"/>
        <w:rPr>
          <w:rFonts w:cs="Times New Roman"/>
        </w:rPr>
      </w:pPr>
      <w:r w:rsidRPr="00C3312E">
        <w:rPr>
          <w:rFonts w:cs="Times New Roman"/>
          <w:b/>
        </w:rPr>
        <w:t>Note:</w:t>
      </w:r>
      <w:r w:rsidRPr="00C3312E">
        <w:rPr>
          <w:rFonts w:cs="Times New Roman"/>
        </w:rPr>
        <w:t xml:space="preserve"> The Next-Generation MCAS assessment is administered to grades 3</w:t>
      </w:r>
      <w:r w:rsidR="00563413">
        <w:rPr>
          <w:rFonts w:cs="Times New Roman"/>
        </w:rPr>
        <w:t>–</w:t>
      </w:r>
      <w:r w:rsidRPr="00C3312E">
        <w:rPr>
          <w:rFonts w:cs="Times New Roman"/>
        </w:rPr>
        <w:t xml:space="preserve">8 in English language arts (ELA) and mathematics; it was administered for the first time in 2017. (For more information, see </w:t>
      </w:r>
      <w:hyperlink r:id="rId18" w:history="1">
        <w:r w:rsidRPr="00C3312E">
          <w:rPr>
            <w:rFonts w:cs="Times New Roman"/>
            <w:u w:val="single"/>
          </w:rPr>
          <w:t>http://www.doe.mass.edu/mcas/parents/results-faq.html</w:t>
        </w:r>
      </w:hyperlink>
      <w:r w:rsidRPr="00C3312E">
        <w:rPr>
          <w:rFonts w:cs="Times New Roman"/>
        </w:rPr>
        <w:t xml:space="preserve">.) The MCAS </w:t>
      </w:r>
      <w:r w:rsidR="00563413">
        <w:rPr>
          <w:rFonts w:cs="Times New Roman"/>
        </w:rPr>
        <w:t xml:space="preserve">assessment </w:t>
      </w:r>
      <w:r w:rsidRPr="00C3312E">
        <w:rPr>
          <w:rFonts w:cs="Times New Roman"/>
        </w:rPr>
        <w:t>is administered to grades 5 and 8 in science and to grade 10 in ELA, math, and science. Data from the two assessments are presented separately because the tests are different and cannot be compared.</w:t>
      </w:r>
    </w:p>
    <w:p w14:paraId="2C6ECDED" w14:textId="77777777" w:rsidR="00C3312E" w:rsidRPr="00C3312E" w:rsidRDefault="00C3312E" w:rsidP="00C3312E">
      <w:pPr>
        <w:spacing w:after="0"/>
        <w:rPr>
          <w:rFonts w:cs="Times New Roman"/>
        </w:rPr>
      </w:pPr>
    </w:p>
    <w:tbl>
      <w:tblPr>
        <w:tblStyle w:val="TableGrid5"/>
        <w:tblW w:w="9576" w:type="dxa"/>
        <w:jc w:val="center"/>
        <w:tblLayout w:type="fixed"/>
        <w:tblLook w:val="00A0" w:firstRow="1" w:lastRow="0" w:firstColumn="1" w:lastColumn="0" w:noHBand="0" w:noVBand="0"/>
        <w:tblCaption w:val="Table 2: Framingham Public Schools"/>
        <w:tblDescription w:val="Accountability Percentile, Criterion Reference Target (CRT) Percentage, Reason for Classification&#10;"/>
      </w:tblPr>
      <w:tblGrid>
        <w:gridCol w:w="2088"/>
        <w:gridCol w:w="1422"/>
        <w:gridCol w:w="1188"/>
        <w:gridCol w:w="2250"/>
        <w:gridCol w:w="2628"/>
      </w:tblGrid>
      <w:tr w:rsidR="00C3312E" w:rsidRPr="00C3312E" w14:paraId="256F34DF" w14:textId="77777777" w:rsidTr="00406A80">
        <w:trPr>
          <w:jc w:val="center"/>
        </w:trPr>
        <w:tc>
          <w:tcPr>
            <w:tcW w:w="9576" w:type="dxa"/>
            <w:gridSpan w:val="5"/>
            <w:tcBorders>
              <w:top w:val="nil"/>
              <w:left w:val="nil"/>
              <w:right w:val="nil"/>
            </w:tcBorders>
            <w:vAlign w:val="center"/>
          </w:tcPr>
          <w:p w14:paraId="31DECDA6" w14:textId="6F3B7F1E" w:rsidR="00C3312E" w:rsidRPr="00C3312E" w:rsidRDefault="00C3312E" w:rsidP="009A69B0">
            <w:pPr>
              <w:spacing w:after="0" w:line="240" w:lineRule="auto"/>
              <w:jc w:val="center"/>
              <w:rPr>
                <w:rFonts w:cs="Times New Roman"/>
                <w:b/>
                <w:sz w:val="20"/>
                <w:szCs w:val="20"/>
              </w:rPr>
            </w:pPr>
            <w:r w:rsidRPr="00C3312E">
              <w:rPr>
                <w:rFonts w:cs="Times New Roman"/>
                <w:b/>
                <w:sz w:val="20"/>
                <w:szCs w:val="20"/>
              </w:rPr>
              <w:t>Table 2: Framingham Public Schools</w:t>
            </w:r>
            <w:r w:rsidR="00790C59">
              <w:rPr>
                <w:rFonts w:cs="Times New Roman"/>
                <w:b/>
                <w:sz w:val="20"/>
                <w:szCs w:val="20"/>
              </w:rPr>
              <w:t xml:space="preserve"> 2018 Accountability Data</w:t>
            </w:r>
          </w:p>
          <w:p w14:paraId="4B8416E5" w14:textId="77777777" w:rsidR="00C3312E" w:rsidRPr="00C3312E" w:rsidRDefault="00C3312E">
            <w:pPr>
              <w:spacing w:after="0" w:line="240" w:lineRule="auto"/>
              <w:jc w:val="center"/>
              <w:rPr>
                <w:rFonts w:cs="Times New Roman"/>
              </w:rPr>
            </w:pPr>
            <w:r w:rsidRPr="00C3312E">
              <w:rPr>
                <w:rFonts w:cs="Times New Roman"/>
                <w:b/>
                <w:sz w:val="20"/>
                <w:szCs w:val="20"/>
              </w:rPr>
              <w:t>Accountability Percentile, Criterion Reference Target (CRT) Percentage, Reason for Classification</w:t>
            </w:r>
          </w:p>
        </w:tc>
      </w:tr>
      <w:tr w:rsidR="00C3312E" w:rsidRPr="00C3312E" w14:paraId="4CFB226E" w14:textId="77777777" w:rsidTr="00406A80">
        <w:trPr>
          <w:jc w:val="center"/>
        </w:trPr>
        <w:tc>
          <w:tcPr>
            <w:tcW w:w="2088" w:type="dxa"/>
            <w:shd w:val="clear" w:color="auto" w:fill="BFBFBF" w:themeFill="background1" w:themeFillShade="BF"/>
            <w:vAlign w:val="center"/>
          </w:tcPr>
          <w:p w14:paraId="364C1525" w14:textId="77777777" w:rsidR="00C3312E" w:rsidRPr="00C3312E" w:rsidRDefault="00C3312E" w:rsidP="009A69B0">
            <w:pPr>
              <w:spacing w:after="0" w:line="240" w:lineRule="auto"/>
              <w:rPr>
                <w:rFonts w:cs="Times New Roman"/>
                <w:b/>
                <w:sz w:val="20"/>
                <w:szCs w:val="20"/>
              </w:rPr>
            </w:pPr>
            <w:r w:rsidRPr="00C3312E">
              <w:rPr>
                <w:rFonts w:cs="Times New Roman"/>
                <w:b/>
                <w:sz w:val="20"/>
                <w:szCs w:val="20"/>
              </w:rPr>
              <w:t>School</w:t>
            </w:r>
          </w:p>
        </w:tc>
        <w:tc>
          <w:tcPr>
            <w:tcW w:w="1422" w:type="dxa"/>
            <w:shd w:val="clear" w:color="auto" w:fill="BFBFBF" w:themeFill="background1" w:themeFillShade="BF"/>
            <w:vAlign w:val="center"/>
          </w:tcPr>
          <w:p w14:paraId="1FD406E2" w14:textId="77777777" w:rsidR="00C3312E" w:rsidRPr="00C3312E" w:rsidRDefault="00C3312E">
            <w:pPr>
              <w:spacing w:after="0" w:line="240" w:lineRule="auto"/>
              <w:jc w:val="center"/>
              <w:rPr>
                <w:rFonts w:cs="Times New Roman"/>
                <w:b/>
                <w:sz w:val="20"/>
                <w:szCs w:val="20"/>
              </w:rPr>
            </w:pPr>
            <w:r w:rsidRPr="00C3312E">
              <w:rPr>
                <w:rFonts w:cs="Times New Roman"/>
                <w:b/>
                <w:sz w:val="20"/>
                <w:szCs w:val="20"/>
              </w:rPr>
              <w:t>Accountability Percentile</w:t>
            </w:r>
          </w:p>
        </w:tc>
        <w:tc>
          <w:tcPr>
            <w:tcW w:w="1188" w:type="dxa"/>
            <w:shd w:val="clear" w:color="auto" w:fill="BFBFBF" w:themeFill="background1" w:themeFillShade="BF"/>
            <w:vAlign w:val="center"/>
          </w:tcPr>
          <w:p w14:paraId="2418C8CC" w14:textId="77777777" w:rsidR="00C3312E" w:rsidRPr="00C3312E" w:rsidRDefault="00C3312E">
            <w:pPr>
              <w:spacing w:after="0" w:line="240" w:lineRule="auto"/>
              <w:jc w:val="center"/>
              <w:rPr>
                <w:rFonts w:cs="Times New Roman"/>
                <w:b/>
                <w:sz w:val="20"/>
                <w:szCs w:val="20"/>
              </w:rPr>
            </w:pPr>
            <w:r w:rsidRPr="00C3312E">
              <w:rPr>
                <w:rFonts w:cs="Times New Roman"/>
                <w:b/>
                <w:sz w:val="20"/>
                <w:szCs w:val="20"/>
              </w:rPr>
              <w:t>CRT Percentage</w:t>
            </w:r>
          </w:p>
        </w:tc>
        <w:tc>
          <w:tcPr>
            <w:tcW w:w="2250" w:type="dxa"/>
            <w:shd w:val="clear" w:color="auto" w:fill="BFBFBF" w:themeFill="background1" w:themeFillShade="BF"/>
            <w:vAlign w:val="center"/>
          </w:tcPr>
          <w:p w14:paraId="65DBF287" w14:textId="77777777" w:rsidR="00C3312E" w:rsidRPr="00C3312E" w:rsidRDefault="00C3312E">
            <w:pPr>
              <w:spacing w:after="0" w:line="240" w:lineRule="auto"/>
              <w:jc w:val="center"/>
              <w:rPr>
                <w:rFonts w:cs="Times New Roman"/>
                <w:b/>
                <w:sz w:val="20"/>
                <w:szCs w:val="20"/>
              </w:rPr>
            </w:pPr>
            <w:r w:rsidRPr="00C3312E">
              <w:rPr>
                <w:rFonts w:cs="Times New Roman"/>
                <w:b/>
                <w:sz w:val="20"/>
                <w:szCs w:val="20"/>
              </w:rPr>
              <w:t>Overall Classification</w:t>
            </w:r>
          </w:p>
        </w:tc>
        <w:tc>
          <w:tcPr>
            <w:tcW w:w="2628" w:type="dxa"/>
            <w:shd w:val="clear" w:color="auto" w:fill="BFBFBF" w:themeFill="background1" w:themeFillShade="BF"/>
            <w:vAlign w:val="center"/>
          </w:tcPr>
          <w:p w14:paraId="41F41CA1" w14:textId="77777777" w:rsidR="00C3312E" w:rsidRPr="00C3312E" w:rsidRDefault="00C3312E">
            <w:pPr>
              <w:spacing w:after="0" w:line="240" w:lineRule="auto"/>
              <w:jc w:val="center"/>
              <w:rPr>
                <w:rFonts w:cs="Times New Roman"/>
                <w:b/>
                <w:sz w:val="20"/>
                <w:szCs w:val="20"/>
              </w:rPr>
            </w:pPr>
            <w:r w:rsidRPr="00C3312E">
              <w:rPr>
                <w:rFonts w:cs="Times New Roman"/>
                <w:b/>
                <w:sz w:val="20"/>
                <w:szCs w:val="20"/>
              </w:rPr>
              <w:t xml:space="preserve">Reason </w:t>
            </w:r>
            <w:proofErr w:type="gramStart"/>
            <w:r w:rsidRPr="00C3312E">
              <w:rPr>
                <w:rFonts w:cs="Times New Roman"/>
                <w:b/>
                <w:sz w:val="20"/>
                <w:szCs w:val="20"/>
              </w:rPr>
              <w:t>For</w:t>
            </w:r>
            <w:proofErr w:type="gramEnd"/>
            <w:r w:rsidRPr="00C3312E">
              <w:rPr>
                <w:rFonts w:cs="Times New Roman"/>
                <w:b/>
                <w:sz w:val="20"/>
                <w:szCs w:val="20"/>
              </w:rPr>
              <w:t xml:space="preserve"> Classification</w:t>
            </w:r>
          </w:p>
        </w:tc>
      </w:tr>
      <w:tr w:rsidR="00C3312E" w:rsidRPr="00C3312E" w14:paraId="18EAFE6C" w14:textId="77777777" w:rsidTr="00406A80">
        <w:trPr>
          <w:jc w:val="center"/>
        </w:trPr>
        <w:tc>
          <w:tcPr>
            <w:tcW w:w="2088" w:type="dxa"/>
            <w:shd w:val="clear" w:color="auto" w:fill="auto"/>
            <w:vAlign w:val="center"/>
          </w:tcPr>
          <w:p w14:paraId="5964BCE9" w14:textId="77777777" w:rsidR="00C3312E" w:rsidRPr="00C3312E" w:rsidRDefault="00C3312E" w:rsidP="009A69B0">
            <w:pPr>
              <w:spacing w:after="0" w:line="240" w:lineRule="auto"/>
              <w:rPr>
                <w:sz w:val="20"/>
                <w:szCs w:val="20"/>
              </w:rPr>
            </w:pPr>
            <w:r w:rsidRPr="00C3312E">
              <w:rPr>
                <w:sz w:val="20"/>
                <w:szCs w:val="20"/>
              </w:rPr>
              <w:t>Juniper Hill</w:t>
            </w:r>
          </w:p>
        </w:tc>
        <w:tc>
          <w:tcPr>
            <w:tcW w:w="1422" w:type="dxa"/>
            <w:vAlign w:val="center"/>
          </w:tcPr>
          <w:p w14:paraId="08B02684"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w:t>
            </w:r>
          </w:p>
        </w:tc>
        <w:tc>
          <w:tcPr>
            <w:tcW w:w="1188" w:type="dxa"/>
            <w:vAlign w:val="center"/>
          </w:tcPr>
          <w:p w14:paraId="68C250B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w:t>
            </w:r>
          </w:p>
        </w:tc>
        <w:tc>
          <w:tcPr>
            <w:tcW w:w="2250" w:type="dxa"/>
            <w:vAlign w:val="center"/>
          </w:tcPr>
          <w:p w14:paraId="019EA618"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Insufficient data</w:t>
            </w:r>
          </w:p>
        </w:tc>
        <w:tc>
          <w:tcPr>
            <w:tcW w:w="2628" w:type="dxa"/>
            <w:vAlign w:val="center"/>
          </w:tcPr>
          <w:p w14:paraId="3E5689A3"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Insufficient data</w:t>
            </w:r>
          </w:p>
        </w:tc>
      </w:tr>
      <w:tr w:rsidR="00C3312E" w:rsidRPr="00C3312E" w14:paraId="4435F630" w14:textId="77777777" w:rsidTr="00406A80">
        <w:trPr>
          <w:jc w:val="center"/>
        </w:trPr>
        <w:tc>
          <w:tcPr>
            <w:tcW w:w="2088" w:type="dxa"/>
            <w:shd w:val="clear" w:color="auto" w:fill="BFBFBF" w:themeFill="background1" w:themeFillShade="BF"/>
            <w:vAlign w:val="center"/>
          </w:tcPr>
          <w:p w14:paraId="0A2F29C3" w14:textId="414CD8CB" w:rsidR="00C3312E" w:rsidRPr="00C3312E" w:rsidRDefault="00C3312E" w:rsidP="009A69B0">
            <w:pPr>
              <w:spacing w:after="0" w:line="240" w:lineRule="auto"/>
              <w:rPr>
                <w:sz w:val="20"/>
                <w:szCs w:val="20"/>
              </w:rPr>
            </w:pPr>
            <w:r w:rsidRPr="00C3312E">
              <w:rPr>
                <w:sz w:val="20"/>
                <w:szCs w:val="20"/>
              </w:rPr>
              <w:t xml:space="preserve">King </w:t>
            </w:r>
          </w:p>
        </w:tc>
        <w:tc>
          <w:tcPr>
            <w:tcW w:w="1422" w:type="dxa"/>
            <w:shd w:val="clear" w:color="auto" w:fill="BFBFBF" w:themeFill="background1" w:themeFillShade="BF"/>
            <w:vAlign w:val="center"/>
          </w:tcPr>
          <w:p w14:paraId="4E61DDF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w:t>
            </w:r>
          </w:p>
        </w:tc>
        <w:tc>
          <w:tcPr>
            <w:tcW w:w="1188" w:type="dxa"/>
            <w:shd w:val="clear" w:color="auto" w:fill="BFBFBF" w:themeFill="background1" w:themeFillShade="BF"/>
            <w:vAlign w:val="center"/>
          </w:tcPr>
          <w:p w14:paraId="1B8DAC3E"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w:t>
            </w:r>
          </w:p>
        </w:tc>
        <w:tc>
          <w:tcPr>
            <w:tcW w:w="2250" w:type="dxa"/>
            <w:shd w:val="clear" w:color="auto" w:fill="BFBFBF" w:themeFill="background1" w:themeFillShade="BF"/>
            <w:vAlign w:val="center"/>
          </w:tcPr>
          <w:p w14:paraId="251599FF"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Insufficient data</w:t>
            </w:r>
          </w:p>
        </w:tc>
        <w:tc>
          <w:tcPr>
            <w:tcW w:w="2628" w:type="dxa"/>
            <w:shd w:val="clear" w:color="auto" w:fill="BFBFBF" w:themeFill="background1" w:themeFillShade="BF"/>
            <w:vAlign w:val="center"/>
          </w:tcPr>
          <w:p w14:paraId="48C18C73"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Insufficient data</w:t>
            </w:r>
          </w:p>
        </w:tc>
      </w:tr>
      <w:tr w:rsidR="00C3312E" w:rsidRPr="00C3312E" w14:paraId="6C6FCA2B" w14:textId="77777777" w:rsidTr="00406A80">
        <w:trPr>
          <w:jc w:val="center"/>
        </w:trPr>
        <w:tc>
          <w:tcPr>
            <w:tcW w:w="2088" w:type="dxa"/>
            <w:shd w:val="clear" w:color="auto" w:fill="auto"/>
            <w:vAlign w:val="center"/>
          </w:tcPr>
          <w:p w14:paraId="6532642E" w14:textId="77777777" w:rsidR="00C3312E" w:rsidRPr="00C3312E" w:rsidRDefault="00C3312E" w:rsidP="009A69B0">
            <w:pPr>
              <w:spacing w:after="0" w:line="240" w:lineRule="auto"/>
              <w:rPr>
                <w:sz w:val="20"/>
                <w:szCs w:val="20"/>
              </w:rPr>
            </w:pPr>
            <w:r w:rsidRPr="00C3312E">
              <w:rPr>
                <w:sz w:val="20"/>
                <w:szCs w:val="20"/>
              </w:rPr>
              <w:t>Brophy</w:t>
            </w:r>
          </w:p>
        </w:tc>
        <w:tc>
          <w:tcPr>
            <w:tcW w:w="1422" w:type="dxa"/>
            <w:vAlign w:val="center"/>
          </w:tcPr>
          <w:p w14:paraId="593A234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11</w:t>
            </w:r>
          </w:p>
        </w:tc>
        <w:tc>
          <w:tcPr>
            <w:tcW w:w="1188" w:type="dxa"/>
            <w:vAlign w:val="center"/>
          </w:tcPr>
          <w:p w14:paraId="2667800F"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55%</w:t>
            </w:r>
          </w:p>
        </w:tc>
        <w:tc>
          <w:tcPr>
            <w:tcW w:w="2250" w:type="dxa"/>
            <w:vAlign w:val="center"/>
          </w:tcPr>
          <w:p w14:paraId="6BA8743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Not requiring assistance or intervention</w:t>
            </w:r>
          </w:p>
        </w:tc>
        <w:tc>
          <w:tcPr>
            <w:tcW w:w="2628" w:type="dxa"/>
            <w:vAlign w:val="center"/>
          </w:tcPr>
          <w:p w14:paraId="387E9D9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Partially meeting targets</w:t>
            </w:r>
          </w:p>
        </w:tc>
      </w:tr>
      <w:tr w:rsidR="00C3312E" w:rsidRPr="00C3312E" w14:paraId="11D9B4EF" w14:textId="77777777" w:rsidTr="00406A80">
        <w:trPr>
          <w:jc w:val="center"/>
        </w:trPr>
        <w:tc>
          <w:tcPr>
            <w:tcW w:w="2088" w:type="dxa"/>
            <w:shd w:val="clear" w:color="auto" w:fill="BFBFBF" w:themeFill="background1" w:themeFillShade="BF"/>
            <w:vAlign w:val="center"/>
          </w:tcPr>
          <w:p w14:paraId="17ABD58D" w14:textId="77777777" w:rsidR="00C3312E" w:rsidRPr="00C3312E" w:rsidRDefault="00C3312E" w:rsidP="009A69B0">
            <w:pPr>
              <w:spacing w:after="0" w:line="240" w:lineRule="auto"/>
              <w:rPr>
                <w:sz w:val="20"/>
                <w:szCs w:val="20"/>
              </w:rPr>
            </w:pPr>
            <w:r w:rsidRPr="00C3312E">
              <w:rPr>
                <w:sz w:val="20"/>
                <w:szCs w:val="20"/>
              </w:rPr>
              <w:lastRenderedPageBreak/>
              <w:t>Dunning</w:t>
            </w:r>
          </w:p>
        </w:tc>
        <w:tc>
          <w:tcPr>
            <w:tcW w:w="1422" w:type="dxa"/>
            <w:shd w:val="clear" w:color="auto" w:fill="BFBFBF" w:themeFill="background1" w:themeFillShade="BF"/>
            <w:vAlign w:val="center"/>
          </w:tcPr>
          <w:p w14:paraId="362C3480"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53</w:t>
            </w:r>
          </w:p>
        </w:tc>
        <w:tc>
          <w:tcPr>
            <w:tcW w:w="1188" w:type="dxa"/>
            <w:shd w:val="clear" w:color="auto" w:fill="BFBFBF" w:themeFill="background1" w:themeFillShade="BF"/>
            <w:vAlign w:val="center"/>
          </w:tcPr>
          <w:p w14:paraId="58E6E7C4"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40%</w:t>
            </w:r>
          </w:p>
        </w:tc>
        <w:tc>
          <w:tcPr>
            <w:tcW w:w="2250" w:type="dxa"/>
            <w:shd w:val="clear" w:color="auto" w:fill="BFBFBF" w:themeFill="background1" w:themeFillShade="BF"/>
            <w:vAlign w:val="center"/>
          </w:tcPr>
          <w:p w14:paraId="2D563F2B"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shd w:val="clear" w:color="auto" w:fill="BFBFBF" w:themeFill="background1" w:themeFillShade="BF"/>
            <w:vAlign w:val="center"/>
          </w:tcPr>
          <w:p w14:paraId="60C21CDA" w14:textId="77777777" w:rsidR="00C3312E" w:rsidRPr="00C3312E" w:rsidRDefault="00C3312E" w:rsidP="00406A80">
            <w:pPr>
              <w:spacing w:after="0" w:line="240" w:lineRule="auto"/>
              <w:rPr>
                <w:sz w:val="20"/>
                <w:szCs w:val="20"/>
              </w:rPr>
            </w:pPr>
            <w:r w:rsidRPr="00C3312E">
              <w:rPr>
                <w:sz w:val="20"/>
                <w:szCs w:val="20"/>
              </w:rPr>
              <w:t>Partially meeting targets</w:t>
            </w:r>
          </w:p>
        </w:tc>
      </w:tr>
      <w:tr w:rsidR="00C3312E" w:rsidRPr="00C3312E" w14:paraId="6FD0AA27" w14:textId="77777777" w:rsidTr="00406A80">
        <w:trPr>
          <w:jc w:val="center"/>
        </w:trPr>
        <w:tc>
          <w:tcPr>
            <w:tcW w:w="2088" w:type="dxa"/>
            <w:shd w:val="clear" w:color="auto" w:fill="auto"/>
            <w:vAlign w:val="center"/>
          </w:tcPr>
          <w:p w14:paraId="67FEF137" w14:textId="77777777" w:rsidR="00C3312E" w:rsidRPr="00C3312E" w:rsidRDefault="00C3312E" w:rsidP="009A69B0">
            <w:pPr>
              <w:spacing w:after="0" w:line="240" w:lineRule="auto"/>
              <w:rPr>
                <w:sz w:val="20"/>
                <w:szCs w:val="20"/>
              </w:rPr>
            </w:pPr>
            <w:r w:rsidRPr="00C3312E">
              <w:rPr>
                <w:sz w:val="20"/>
                <w:szCs w:val="20"/>
              </w:rPr>
              <w:t>Hemenway</w:t>
            </w:r>
          </w:p>
        </w:tc>
        <w:tc>
          <w:tcPr>
            <w:tcW w:w="1422" w:type="dxa"/>
            <w:vAlign w:val="center"/>
          </w:tcPr>
          <w:p w14:paraId="3A78B441"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79</w:t>
            </w:r>
          </w:p>
        </w:tc>
        <w:tc>
          <w:tcPr>
            <w:tcW w:w="1188" w:type="dxa"/>
            <w:vAlign w:val="center"/>
          </w:tcPr>
          <w:p w14:paraId="43A8035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80%</w:t>
            </w:r>
          </w:p>
        </w:tc>
        <w:tc>
          <w:tcPr>
            <w:tcW w:w="2250" w:type="dxa"/>
            <w:vAlign w:val="center"/>
          </w:tcPr>
          <w:p w14:paraId="1F94353C"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vAlign w:val="center"/>
          </w:tcPr>
          <w:p w14:paraId="13CB0D79" w14:textId="77777777" w:rsidR="00C3312E" w:rsidRPr="00C3312E" w:rsidRDefault="00C3312E" w:rsidP="00406A80">
            <w:pPr>
              <w:spacing w:after="0" w:line="240" w:lineRule="auto"/>
              <w:rPr>
                <w:sz w:val="20"/>
                <w:szCs w:val="20"/>
              </w:rPr>
            </w:pPr>
            <w:r w:rsidRPr="00C3312E">
              <w:rPr>
                <w:sz w:val="20"/>
                <w:szCs w:val="20"/>
              </w:rPr>
              <w:t>Meeting targets</w:t>
            </w:r>
          </w:p>
        </w:tc>
      </w:tr>
      <w:tr w:rsidR="00C3312E" w:rsidRPr="00C3312E" w14:paraId="3F20AE04" w14:textId="77777777" w:rsidTr="00406A80">
        <w:trPr>
          <w:jc w:val="center"/>
        </w:trPr>
        <w:tc>
          <w:tcPr>
            <w:tcW w:w="2088" w:type="dxa"/>
            <w:shd w:val="clear" w:color="auto" w:fill="BFBFBF" w:themeFill="background1" w:themeFillShade="BF"/>
            <w:vAlign w:val="center"/>
          </w:tcPr>
          <w:p w14:paraId="331C9A26" w14:textId="77777777" w:rsidR="00C3312E" w:rsidRPr="00C3312E" w:rsidRDefault="00C3312E" w:rsidP="009A69B0">
            <w:pPr>
              <w:spacing w:after="0" w:line="240" w:lineRule="auto"/>
              <w:rPr>
                <w:sz w:val="20"/>
                <w:szCs w:val="20"/>
              </w:rPr>
            </w:pPr>
            <w:r w:rsidRPr="00C3312E">
              <w:rPr>
                <w:sz w:val="20"/>
                <w:szCs w:val="20"/>
              </w:rPr>
              <w:t>Barbieri</w:t>
            </w:r>
          </w:p>
        </w:tc>
        <w:tc>
          <w:tcPr>
            <w:tcW w:w="1422" w:type="dxa"/>
            <w:shd w:val="clear" w:color="auto" w:fill="BFBFBF" w:themeFill="background1" w:themeFillShade="BF"/>
            <w:vAlign w:val="center"/>
          </w:tcPr>
          <w:p w14:paraId="6B52609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13</w:t>
            </w:r>
          </w:p>
        </w:tc>
        <w:tc>
          <w:tcPr>
            <w:tcW w:w="1188" w:type="dxa"/>
            <w:shd w:val="clear" w:color="auto" w:fill="BFBFBF" w:themeFill="background1" w:themeFillShade="BF"/>
            <w:vAlign w:val="center"/>
          </w:tcPr>
          <w:p w14:paraId="524FA6C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58%</w:t>
            </w:r>
          </w:p>
        </w:tc>
        <w:tc>
          <w:tcPr>
            <w:tcW w:w="2250" w:type="dxa"/>
            <w:shd w:val="clear" w:color="auto" w:fill="BFBFBF" w:themeFill="background1" w:themeFillShade="BF"/>
            <w:vAlign w:val="center"/>
          </w:tcPr>
          <w:p w14:paraId="54BE86FF"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shd w:val="clear" w:color="auto" w:fill="BFBFBF" w:themeFill="background1" w:themeFillShade="BF"/>
            <w:vAlign w:val="center"/>
          </w:tcPr>
          <w:p w14:paraId="2C4DC8E4" w14:textId="77777777" w:rsidR="00C3312E" w:rsidRPr="00C3312E" w:rsidRDefault="00C3312E" w:rsidP="00406A80">
            <w:pPr>
              <w:spacing w:after="0" w:line="240" w:lineRule="auto"/>
              <w:rPr>
                <w:sz w:val="20"/>
                <w:szCs w:val="20"/>
              </w:rPr>
            </w:pPr>
            <w:r w:rsidRPr="00C3312E">
              <w:rPr>
                <w:sz w:val="20"/>
                <w:szCs w:val="20"/>
              </w:rPr>
              <w:t>Partially meeting targets</w:t>
            </w:r>
          </w:p>
        </w:tc>
      </w:tr>
      <w:tr w:rsidR="00C3312E" w:rsidRPr="00C3312E" w14:paraId="5F282B81" w14:textId="77777777" w:rsidTr="00406A80">
        <w:trPr>
          <w:jc w:val="center"/>
        </w:trPr>
        <w:tc>
          <w:tcPr>
            <w:tcW w:w="2088" w:type="dxa"/>
            <w:shd w:val="clear" w:color="auto" w:fill="auto"/>
            <w:vAlign w:val="center"/>
          </w:tcPr>
          <w:p w14:paraId="63C0AB77" w14:textId="77777777" w:rsidR="00C3312E" w:rsidRPr="00C3312E" w:rsidRDefault="00C3312E" w:rsidP="009A69B0">
            <w:pPr>
              <w:spacing w:after="0" w:line="240" w:lineRule="auto"/>
              <w:rPr>
                <w:sz w:val="20"/>
                <w:szCs w:val="20"/>
              </w:rPr>
            </w:pPr>
            <w:r w:rsidRPr="00C3312E">
              <w:rPr>
                <w:sz w:val="20"/>
                <w:szCs w:val="20"/>
              </w:rPr>
              <w:t>Potter Road</w:t>
            </w:r>
          </w:p>
        </w:tc>
        <w:tc>
          <w:tcPr>
            <w:tcW w:w="1422" w:type="dxa"/>
            <w:vAlign w:val="center"/>
          </w:tcPr>
          <w:p w14:paraId="717ED02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56</w:t>
            </w:r>
          </w:p>
        </w:tc>
        <w:tc>
          <w:tcPr>
            <w:tcW w:w="1188" w:type="dxa"/>
            <w:vAlign w:val="center"/>
          </w:tcPr>
          <w:p w14:paraId="2904D697"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89%</w:t>
            </w:r>
          </w:p>
        </w:tc>
        <w:tc>
          <w:tcPr>
            <w:tcW w:w="2250" w:type="dxa"/>
            <w:vAlign w:val="center"/>
          </w:tcPr>
          <w:p w14:paraId="39A93819"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vAlign w:val="center"/>
          </w:tcPr>
          <w:p w14:paraId="2BD9D75F" w14:textId="77777777" w:rsidR="00C3312E" w:rsidRPr="00C3312E" w:rsidRDefault="00C3312E" w:rsidP="00406A80">
            <w:pPr>
              <w:spacing w:after="0" w:line="240" w:lineRule="auto"/>
              <w:rPr>
                <w:sz w:val="20"/>
                <w:szCs w:val="20"/>
              </w:rPr>
            </w:pPr>
            <w:r w:rsidRPr="00C3312E">
              <w:rPr>
                <w:sz w:val="20"/>
                <w:szCs w:val="20"/>
              </w:rPr>
              <w:t>Meeting targets</w:t>
            </w:r>
          </w:p>
        </w:tc>
      </w:tr>
      <w:tr w:rsidR="00C3312E" w:rsidRPr="00C3312E" w14:paraId="7A4B4DDB" w14:textId="77777777" w:rsidTr="00406A80">
        <w:trPr>
          <w:jc w:val="center"/>
        </w:trPr>
        <w:tc>
          <w:tcPr>
            <w:tcW w:w="2088" w:type="dxa"/>
            <w:shd w:val="clear" w:color="auto" w:fill="BFBFBF" w:themeFill="background1" w:themeFillShade="BF"/>
            <w:vAlign w:val="center"/>
          </w:tcPr>
          <w:p w14:paraId="2319E575" w14:textId="77777777" w:rsidR="00C3312E" w:rsidRPr="00C3312E" w:rsidRDefault="00C3312E" w:rsidP="009A69B0">
            <w:pPr>
              <w:spacing w:after="0" w:line="240" w:lineRule="auto"/>
              <w:rPr>
                <w:sz w:val="20"/>
                <w:szCs w:val="20"/>
              </w:rPr>
            </w:pPr>
            <w:r w:rsidRPr="00C3312E">
              <w:rPr>
                <w:sz w:val="20"/>
                <w:szCs w:val="20"/>
              </w:rPr>
              <w:t>Stapleton</w:t>
            </w:r>
          </w:p>
        </w:tc>
        <w:tc>
          <w:tcPr>
            <w:tcW w:w="1422" w:type="dxa"/>
            <w:shd w:val="clear" w:color="auto" w:fill="BFBFBF" w:themeFill="background1" w:themeFillShade="BF"/>
            <w:vAlign w:val="center"/>
          </w:tcPr>
          <w:p w14:paraId="33847B11"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28</w:t>
            </w:r>
          </w:p>
        </w:tc>
        <w:tc>
          <w:tcPr>
            <w:tcW w:w="1188" w:type="dxa"/>
            <w:shd w:val="clear" w:color="auto" w:fill="BFBFBF" w:themeFill="background1" w:themeFillShade="BF"/>
            <w:vAlign w:val="center"/>
          </w:tcPr>
          <w:p w14:paraId="7C72128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72%</w:t>
            </w:r>
          </w:p>
        </w:tc>
        <w:tc>
          <w:tcPr>
            <w:tcW w:w="2250" w:type="dxa"/>
            <w:shd w:val="clear" w:color="auto" w:fill="BFBFBF" w:themeFill="background1" w:themeFillShade="BF"/>
            <w:vAlign w:val="center"/>
          </w:tcPr>
          <w:p w14:paraId="3F3E3065"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shd w:val="clear" w:color="auto" w:fill="BFBFBF" w:themeFill="background1" w:themeFillShade="BF"/>
            <w:vAlign w:val="center"/>
          </w:tcPr>
          <w:p w14:paraId="4FD35AB2" w14:textId="77777777" w:rsidR="00C3312E" w:rsidRPr="00C3312E" w:rsidRDefault="00C3312E" w:rsidP="00406A80">
            <w:pPr>
              <w:spacing w:after="0" w:line="240" w:lineRule="auto"/>
              <w:rPr>
                <w:sz w:val="20"/>
                <w:szCs w:val="20"/>
              </w:rPr>
            </w:pPr>
            <w:r w:rsidRPr="00C3312E">
              <w:rPr>
                <w:sz w:val="20"/>
                <w:szCs w:val="20"/>
              </w:rPr>
              <w:t>Partially meeting targets</w:t>
            </w:r>
          </w:p>
        </w:tc>
      </w:tr>
      <w:tr w:rsidR="00C3312E" w:rsidRPr="00C3312E" w14:paraId="6ED4203B" w14:textId="77777777" w:rsidTr="00406A80">
        <w:trPr>
          <w:jc w:val="center"/>
        </w:trPr>
        <w:tc>
          <w:tcPr>
            <w:tcW w:w="2088" w:type="dxa"/>
            <w:shd w:val="clear" w:color="auto" w:fill="auto"/>
            <w:vAlign w:val="center"/>
          </w:tcPr>
          <w:p w14:paraId="35F6B9AE" w14:textId="77777777" w:rsidR="00C3312E" w:rsidRPr="00C3312E" w:rsidRDefault="00C3312E" w:rsidP="009A69B0">
            <w:pPr>
              <w:spacing w:after="0" w:line="240" w:lineRule="auto"/>
              <w:rPr>
                <w:sz w:val="20"/>
                <w:szCs w:val="20"/>
              </w:rPr>
            </w:pPr>
            <w:r w:rsidRPr="00C3312E">
              <w:rPr>
                <w:sz w:val="20"/>
                <w:szCs w:val="20"/>
              </w:rPr>
              <w:t>McCarthy</w:t>
            </w:r>
          </w:p>
        </w:tc>
        <w:tc>
          <w:tcPr>
            <w:tcW w:w="1422" w:type="dxa"/>
            <w:vAlign w:val="center"/>
          </w:tcPr>
          <w:p w14:paraId="553E0A1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9</w:t>
            </w:r>
          </w:p>
        </w:tc>
        <w:tc>
          <w:tcPr>
            <w:tcW w:w="1188" w:type="dxa"/>
            <w:vAlign w:val="center"/>
          </w:tcPr>
          <w:p w14:paraId="481547C7"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55%</w:t>
            </w:r>
          </w:p>
        </w:tc>
        <w:tc>
          <w:tcPr>
            <w:tcW w:w="2250" w:type="dxa"/>
            <w:vAlign w:val="center"/>
          </w:tcPr>
          <w:p w14:paraId="736F8511" w14:textId="77777777" w:rsidR="00C3312E" w:rsidRPr="00C3312E" w:rsidRDefault="00C3312E" w:rsidP="00406A80">
            <w:pPr>
              <w:spacing w:after="0" w:line="240" w:lineRule="auto"/>
              <w:rPr>
                <w:sz w:val="20"/>
                <w:szCs w:val="20"/>
              </w:rPr>
            </w:pPr>
            <w:r w:rsidRPr="00C3312E">
              <w:rPr>
                <w:sz w:val="20"/>
                <w:szCs w:val="20"/>
              </w:rPr>
              <w:t>Requiring assistance or intervention</w:t>
            </w:r>
          </w:p>
        </w:tc>
        <w:tc>
          <w:tcPr>
            <w:tcW w:w="2628" w:type="dxa"/>
            <w:vAlign w:val="center"/>
          </w:tcPr>
          <w:p w14:paraId="1850CCF9" w14:textId="77777777" w:rsidR="00C3312E" w:rsidRPr="00C3312E" w:rsidRDefault="00C3312E" w:rsidP="00406A80">
            <w:pPr>
              <w:spacing w:after="0" w:line="240" w:lineRule="auto"/>
              <w:rPr>
                <w:sz w:val="20"/>
                <w:szCs w:val="20"/>
              </w:rPr>
            </w:pPr>
            <w:r w:rsidRPr="00C3312E">
              <w:rPr>
                <w:sz w:val="20"/>
                <w:szCs w:val="20"/>
              </w:rPr>
              <w:t>In need of focused/targeted support: Among the lowest performing 10% of schools</w:t>
            </w:r>
          </w:p>
        </w:tc>
      </w:tr>
      <w:tr w:rsidR="00C3312E" w:rsidRPr="00C3312E" w14:paraId="5D3C05F1" w14:textId="77777777" w:rsidTr="00406A80">
        <w:trPr>
          <w:jc w:val="center"/>
        </w:trPr>
        <w:tc>
          <w:tcPr>
            <w:tcW w:w="2088" w:type="dxa"/>
            <w:shd w:val="clear" w:color="auto" w:fill="BFBFBF" w:themeFill="background1" w:themeFillShade="BF"/>
            <w:vAlign w:val="center"/>
          </w:tcPr>
          <w:p w14:paraId="5AE564FA" w14:textId="77777777" w:rsidR="00C3312E" w:rsidRPr="00C3312E" w:rsidRDefault="00C3312E" w:rsidP="009A69B0">
            <w:pPr>
              <w:spacing w:after="0" w:line="240" w:lineRule="auto"/>
              <w:rPr>
                <w:sz w:val="20"/>
                <w:szCs w:val="20"/>
              </w:rPr>
            </w:pPr>
            <w:r w:rsidRPr="00C3312E">
              <w:rPr>
                <w:sz w:val="20"/>
                <w:szCs w:val="20"/>
              </w:rPr>
              <w:t>Wilson</w:t>
            </w:r>
          </w:p>
        </w:tc>
        <w:tc>
          <w:tcPr>
            <w:tcW w:w="1422" w:type="dxa"/>
            <w:shd w:val="clear" w:color="auto" w:fill="BFBFBF" w:themeFill="background1" w:themeFillShade="BF"/>
            <w:vAlign w:val="center"/>
          </w:tcPr>
          <w:p w14:paraId="2D5FBA3D"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18</w:t>
            </w:r>
          </w:p>
        </w:tc>
        <w:tc>
          <w:tcPr>
            <w:tcW w:w="1188" w:type="dxa"/>
            <w:shd w:val="clear" w:color="auto" w:fill="BFBFBF" w:themeFill="background1" w:themeFillShade="BF"/>
            <w:vAlign w:val="center"/>
          </w:tcPr>
          <w:p w14:paraId="4C7893D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85%</w:t>
            </w:r>
          </w:p>
        </w:tc>
        <w:tc>
          <w:tcPr>
            <w:tcW w:w="2250" w:type="dxa"/>
            <w:shd w:val="clear" w:color="auto" w:fill="BFBFBF" w:themeFill="background1" w:themeFillShade="BF"/>
            <w:vAlign w:val="center"/>
          </w:tcPr>
          <w:p w14:paraId="48CBBB13" w14:textId="77777777" w:rsidR="00C3312E" w:rsidRPr="00C3312E" w:rsidRDefault="00C3312E" w:rsidP="00406A80">
            <w:pPr>
              <w:spacing w:after="0" w:line="240" w:lineRule="auto"/>
              <w:rPr>
                <w:sz w:val="20"/>
                <w:szCs w:val="20"/>
              </w:rPr>
            </w:pPr>
            <w:r w:rsidRPr="00C3312E">
              <w:rPr>
                <w:sz w:val="20"/>
                <w:szCs w:val="20"/>
              </w:rPr>
              <w:t>Not requiring assistance or intervention</w:t>
            </w:r>
          </w:p>
        </w:tc>
        <w:tc>
          <w:tcPr>
            <w:tcW w:w="2628" w:type="dxa"/>
            <w:shd w:val="clear" w:color="auto" w:fill="BFBFBF" w:themeFill="background1" w:themeFillShade="BF"/>
            <w:vAlign w:val="center"/>
          </w:tcPr>
          <w:p w14:paraId="4AD4B54C" w14:textId="77777777" w:rsidR="00C3312E" w:rsidRPr="00C3312E" w:rsidRDefault="00C3312E" w:rsidP="00406A80">
            <w:pPr>
              <w:spacing w:after="0" w:line="240" w:lineRule="auto"/>
              <w:rPr>
                <w:sz w:val="20"/>
                <w:szCs w:val="20"/>
              </w:rPr>
            </w:pPr>
            <w:r w:rsidRPr="00C3312E">
              <w:rPr>
                <w:sz w:val="20"/>
                <w:szCs w:val="20"/>
              </w:rPr>
              <w:t>Meeting targets</w:t>
            </w:r>
          </w:p>
        </w:tc>
      </w:tr>
      <w:tr w:rsidR="00C3312E" w:rsidRPr="00C3312E" w14:paraId="6F4940CA" w14:textId="77777777" w:rsidTr="00406A80">
        <w:trPr>
          <w:jc w:val="center"/>
        </w:trPr>
        <w:tc>
          <w:tcPr>
            <w:tcW w:w="2088" w:type="dxa"/>
            <w:shd w:val="clear" w:color="auto" w:fill="auto"/>
            <w:vAlign w:val="center"/>
          </w:tcPr>
          <w:p w14:paraId="62BCC684" w14:textId="77777777" w:rsidR="00C3312E" w:rsidRPr="00C3312E" w:rsidRDefault="00C3312E" w:rsidP="009A69B0">
            <w:pPr>
              <w:spacing w:after="0" w:line="240" w:lineRule="auto"/>
              <w:rPr>
                <w:sz w:val="20"/>
                <w:szCs w:val="20"/>
              </w:rPr>
            </w:pPr>
            <w:r w:rsidRPr="00C3312E">
              <w:rPr>
                <w:sz w:val="20"/>
                <w:szCs w:val="20"/>
              </w:rPr>
              <w:t>Cameron Middle</w:t>
            </w:r>
          </w:p>
        </w:tc>
        <w:tc>
          <w:tcPr>
            <w:tcW w:w="1422" w:type="dxa"/>
            <w:vAlign w:val="center"/>
          </w:tcPr>
          <w:p w14:paraId="7F18993B"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17</w:t>
            </w:r>
          </w:p>
        </w:tc>
        <w:tc>
          <w:tcPr>
            <w:tcW w:w="1188" w:type="dxa"/>
            <w:vAlign w:val="center"/>
          </w:tcPr>
          <w:p w14:paraId="6DBB601F"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45%</w:t>
            </w:r>
          </w:p>
        </w:tc>
        <w:tc>
          <w:tcPr>
            <w:tcW w:w="2250" w:type="dxa"/>
            <w:vAlign w:val="center"/>
          </w:tcPr>
          <w:p w14:paraId="4863707C" w14:textId="77777777" w:rsidR="00C3312E" w:rsidRPr="00C3312E" w:rsidRDefault="00C3312E" w:rsidP="00406A80">
            <w:pPr>
              <w:spacing w:after="0" w:line="240" w:lineRule="auto"/>
              <w:rPr>
                <w:sz w:val="20"/>
                <w:szCs w:val="20"/>
              </w:rPr>
            </w:pPr>
            <w:r w:rsidRPr="00C3312E">
              <w:rPr>
                <w:sz w:val="20"/>
                <w:szCs w:val="20"/>
              </w:rPr>
              <w:t>Requiring assistance or intervention</w:t>
            </w:r>
          </w:p>
        </w:tc>
        <w:tc>
          <w:tcPr>
            <w:tcW w:w="2628" w:type="dxa"/>
            <w:vAlign w:val="center"/>
          </w:tcPr>
          <w:p w14:paraId="29DF1C31" w14:textId="77777777" w:rsidR="00C3312E" w:rsidRPr="00C3312E" w:rsidRDefault="00C3312E" w:rsidP="00406A80">
            <w:pPr>
              <w:spacing w:after="0" w:line="240" w:lineRule="auto"/>
              <w:rPr>
                <w:sz w:val="20"/>
                <w:szCs w:val="20"/>
              </w:rPr>
            </w:pPr>
            <w:r w:rsidRPr="00C3312E">
              <w:rPr>
                <w:sz w:val="20"/>
                <w:szCs w:val="20"/>
              </w:rPr>
              <w:t>In need of focused/targeted support: Low participation rate for Multi-race students and Non-Hispanic/Latino students</w:t>
            </w:r>
          </w:p>
        </w:tc>
      </w:tr>
      <w:tr w:rsidR="00C3312E" w:rsidRPr="00C3312E" w14:paraId="68B24929" w14:textId="77777777" w:rsidTr="00406A80">
        <w:trPr>
          <w:jc w:val="center"/>
        </w:trPr>
        <w:tc>
          <w:tcPr>
            <w:tcW w:w="2088" w:type="dxa"/>
            <w:shd w:val="clear" w:color="auto" w:fill="BFBFBF" w:themeFill="background1" w:themeFillShade="BF"/>
            <w:vAlign w:val="center"/>
          </w:tcPr>
          <w:p w14:paraId="6847800A" w14:textId="3C25ACCD" w:rsidR="00C3312E" w:rsidRPr="00C3312E" w:rsidRDefault="00C3312E" w:rsidP="009A69B0">
            <w:pPr>
              <w:spacing w:after="0" w:line="240" w:lineRule="auto"/>
              <w:rPr>
                <w:sz w:val="20"/>
                <w:szCs w:val="20"/>
              </w:rPr>
            </w:pPr>
            <w:r w:rsidRPr="00C3312E">
              <w:rPr>
                <w:sz w:val="20"/>
                <w:szCs w:val="20"/>
              </w:rPr>
              <w:t xml:space="preserve">Fuller </w:t>
            </w:r>
            <w:r w:rsidR="000F7DAF" w:rsidRPr="00C3312E">
              <w:rPr>
                <w:sz w:val="20"/>
                <w:szCs w:val="20"/>
              </w:rPr>
              <w:t>Middle</w:t>
            </w:r>
          </w:p>
        </w:tc>
        <w:tc>
          <w:tcPr>
            <w:tcW w:w="1422" w:type="dxa"/>
            <w:shd w:val="clear" w:color="auto" w:fill="BFBFBF" w:themeFill="background1" w:themeFillShade="BF"/>
            <w:vAlign w:val="center"/>
          </w:tcPr>
          <w:p w14:paraId="1A07E6D0"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9</w:t>
            </w:r>
          </w:p>
        </w:tc>
        <w:tc>
          <w:tcPr>
            <w:tcW w:w="1188" w:type="dxa"/>
            <w:shd w:val="clear" w:color="auto" w:fill="BFBFBF" w:themeFill="background1" w:themeFillShade="BF"/>
            <w:vAlign w:val="center"/>
          </w:tcPr>
          <w:p w14:paraId="3C2E719C"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13%</w:t>
            </w:r>
          </w:p>
        </w:tc>
        <w:tc>
          <w:tcPr>
            <w:tcW w:w="2250" w:type="dxa"/>
            <w:shd w:val="clear" w:color="auto" w:fill="BFBFBF" w:themeFill="background1" w:themeFillShade="BF"/>
            <w:vAlign w:val="center"/>
          </w:tcPr>
          <w:p w14:paraId="5CC9426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Requiring assistance or intervention</w:t>
            </w:r>
          </w:p>
        </w:tc>
        <w:tc>
          <w:tcPr>
            <w:tcW w:w="2628" w:type="dxa"/>
            <w:shd w:val="clear" w:color="auto" w:fill="BFBFBF" w:themeFill="background1" w:themeFillShade="BF"/>
            <w:vAlign w:val="center"/>
          </w:tcPr>
          <w:p w14:paraId="3005C70F"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In need of focused/targeted support: Among the lowest performing 10% of schools</w:t>
            </w:r>
          </w:p>
        </w:tc>
      </w:tr>
      <w:tr w:rsidR="00C3312E" w:rsidRPr="00C3312E" w14:paraId="5DD53B8F" w14:textId="77777777" w:rsidTr="00406A80">
        <w:trPr>
          <w:jc w:val="center"/>
        </w:trPr>
        <w:tc>
          <w:tcPr>
            <w:tcW w:w="2088" w:type="dxa"/>
            <w:shd w:val="clear" w:color="auto" w:fill="auto"/>
            <w:vAlign w:val="center"/>
          </w:tcPr>
          <w:p w14:paraId="1AADAB60" w14:textId="0C631223" w:rsidR="00C3312E" w:rsidRPr="00C3312E" w:rsidRDefault="00C3312E" w:rsidP="009A69B0">
            <w:pPr>
              <w:spacing w:after="0" w:line="240" w:lineRule="auto"/>
              <w:rPr>
                <w:sz w:val="20"/>
                <w:szCs w:val="20"/>
              </w:rPr>
            </w:pPr>
            <w:r w:rsidRPr="00C3312E">
              <w:rPr>
                <w:sz w:val="20"/>
                <w:szCs w:val="20"/>
              </w:rPr>
              <w:t>Walsh</w:t>
            </w:r>
            <w:r w:rsidR="000F7DAF" w:rsidRPr="00C3312E">
              <w:rPr>
                <w:sz w:val="20"/>
                <w:szCs w:val="20"/>
              </w:rPr>
              <w:t xml:space="preserve"> Middle</w:t>
            </w:r>
          </w:p>
        </w:tc>
        <w:tc>
          <w:tcPr>
            <w:tcW w:w="1422" w:type="dxa"/>
            <w:shd w:val="clear" w:color="auto" w:fill="auto"/>
            <w:vAlign w:val="center"/>
          </w:tcPr>
          <w:p w14:paraId="1394308F"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33</w:t>
            </w:r>
          </w:p>
        </w:tc>
        <w:tc>
          <w:tcPr>
            <w:tcW w:w="1188" w:type="dxa"/>
            <w:shd w:val="clear" w:color="auto" w:fill="auto"/>
            <w:vAlign w:val="center"/>
          </w:tcPr>
          <w:p w14:paraId="371797A5"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57%</w:t>
            </w:r>
          </w:p>
        </w:tc>
        <w:tc>
          <w:tcPr>
            <w:tcW w:w="2250" w:type="dxa"/>
            <w:shd w:val="clear" w:color="auto" w:fill="auto"/>
            <w:vAlign w:val="center"/>
          </w:tcPr>
          <w:p w14:paraId="1F21698A"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Not requiring assistance or intervention</w:t>
            </w:r>
          </w:p>
        </w:tc>
        <w:tc>
          <w:tcPr>
            <w:tcW w:w="2628" w:type="dxa"/>
            <w:shd w:val="clear" w:color="auto" w:fill="auto"/>
            <w:vAlign w:val="center"/>
          </w:tcPr>
          <w:p w14:paraId="5FDA8961"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Partially meeting targets</w:t>
            </w:r>
          </w:p>
        </w:tc>
      </w:tr>
      <w:tr w:rsidR="00C3312E" w:rsidRPr="00C3312E" w14:paraId="49AB5A5B" w14:textId="77777777" w:rsidTr="00406A80">
        <w:trPr>
          <w:jc w:val="center"/>
        </w:trPr>
        <w:tc>
          <w:tcPr>
            <w:tcW w:w="2088" w:type="dxa"/>
            <w:shd w:val="clear" w:color="auto" w:fill="BFBFBF" w:themeFill="background1" w:themeFillShade="BF"/>
            <w:vAlign w:val="center"/>
          </w:tcPr>
          <w:p w14:paraId="585AB750" w14:textId="77777777" w:rsidR="00C3312E" w:rsidRPr="00C3312E" w:rsidRDefault="00C3312E" w:rsidP="009A69B0">
            <w:pPr>
              <w:spacing w:after="0" w:line="240" w:lineRule="auto"/>
              <w:rPr>
                <w:sz w:val="20"/>
                <w:szCs w:val="20"/>
              </w:rPr>
            </w:pPr>
            <w:r w:rsidRPr="00C3312E">
              <w:rPr>
                <w:sz w:val="20"/>
                <w:szCs w:val="20"/>
              </w:rPr>
              <w:t>Framingham High</w:t>
            </w:r>
          </w:p>
        </w:tc>
        <w:tc>
          <w:tcPr>
            <w:tcW w:w="1422" w:type="dxa"/>
            <w:shd w:val="clear" w:color="auto" w:fill="BFBFBF" w:themeFill="background1" w:themeFillShade="BF"/>
            <w:vAlign w:val="center"/>
          </w:tcPr>
          <w:p w14:paraId="2B375427"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40</w:t>
            </w:r>
          </w:p>
        </w:tc>
        <w:tc>
          <w:tcPr>
            <w:tcW w:w="1188" w:type="dxa"/>
            <w:shd w:val="clear" w:color="auto" w:fill="BFBFBF" w:themeFill="background1" w:themeFillShade="BF"/>
            <w:vAlign w:val="center"/>
          </w:tcPr>
          <w:p w14:paraId="04A418B7"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31%</w:t>
            </w:r>
          </w:p>
        </w:tc>
        <w:tc>
          <w:tcPr>
            <w:tcW w:w="2250" w:type="dxa"/>
            <w:shd w:val="clear" w:color="auto" w:fill="BFBFBF" w:themeFill="background1" w:themeFillShade="BF"/>
            <w:vAlign w:val="center"/>
          </w:tcPr>
          <w:p w14:paraId="2654CEF7"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Not requiring assistance or intervention</w:t>
            </w:r>
          </w:p>
        </w:tc>
        <w:tc>
          <w:tcPr>
            <w:tcW w:w="2628" w:type="dxa"/>
            <w:shd w:val="clear" w:color="auto" w:fill="BFBFBF" w:themeFill="background1" w:themeFillShade="BF"/>
            <w:vAlign w:val="center"/>
          </w:tcPr>
          <w:p w14:paraId="1E94B332"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Partially meeting targets</w:t>
            </w:r>
          </w:p>
        </w:tc>
      </w:tr>
      <w:tr w:rsidR="00C3312E" w:rsidRPr="00C3312E" w14:paraId="733E95C4" w14:textId="77777777" w:rsidTr="00406A80">
        <w:trPr>
          <w:jc w:val="center"/>
        </w:trPr>
        <w:tc>
          <w:tcPr>
            <w:tcW w:w="2088" w:type="dxa"/>
            <w:shd w:val="clear" w:color="auto" w:fill="auto"/>
            <w:vAlign w:val="center"/>
          </w:tcPr>
          <w:p w14:paraId="4DB6430E" w14:textId="66E2F21C" w:rsidR="00C3312E" w:rsidRPr="00C3312E" w:rsidRDefault="00C3312E" w:rsidP="009A69B0">
            <w:pPr>
              <w:spacing w:after="0" w:line="240" w:lineRule="auto"/>
              <w:rPr>
                <w:sz w:val="20"/>
                <w:szCs w:val="20"/>
              </w:rPr>
            </w:pPr>
            <w:r w:rsidRPr="00C3312E">
              <w:rPr>
                <w:sz w:val="20"/>
                <w:szCs w:val="20"/>
              </w:rPr>
              <w:t>District</w:t>
            </w:r>
          </w:p>
        </w:tc>
        <w:tc>
          <w:tcPr>
            <w:tcW w:w="1422" w:type="dxa"/>
            <w:shd w:val="clear" w:color="auto" w:fill="auto"/>
            <w:vAlign w:val="center"/>
          </w:tcPr>
          <w:p w14:paraId="64373C70"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w:t>
            </w:r>
          </w:p>
        </w:tc>
        <w:tc>
          <w:tcPr>
            <w:tcW w:w="1188" w:type="dxa"/>
            <w:shd w:val="clear" w:color="auto" w:fill="auto"/>
            <w:vAlign w:val="center"/>
          </w:tcPr>
          <w:p w14:paraId="3616720D"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48%</w:t>
            </w:r>
          </w:p>
        </w:tc>
        <w:tc>
          <w:tcPr>
            <w:tcW w:w="2250" w:type="dxa"/>
            <w:shd w:val="clear" w:color="auto" w:fill="auto"/>
            <w:vAlign w:val="center"/>
          </w:tcPr>
          <w:p w14:paraId="16221CA4"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Not requiring assistance or intervention</w:t>
            </w:r>
          </w:p>
        </w:tc>
        <w:tc>
          <w:tcPr>
            <w:tcW w:w="2628" w:type="dxa"/>
            <w:shd w:val="clear" w:color="auto" w:fill="auto"/>
            <w:vAlign w:val="center"/>
          </w:tcPr>
          <w:p w14:paraId="35B170BB" w14:textId="77777777" w:rsidR="00C3312E" w:rsidRPr="00C3312E" w:rsidRDefault="00C3312E" w:rsidP="00406A80">
            <w:pPr>
              <w:spacing w:after="0" w:line="240" w:lineRule="auto"/>
              <w:rPr>
                <w:rFonts w:cs="Times New Roman"/>
                <w:sz w:val="20"/>
                <w:szCs w:val="20"/>
              </w:rPr>
            </w:pPr>
            <w:r w:rsidRPr="00C3312E">
              <w:rPr>
                <w:rFonts w:cs="Times New Roman"/>
                <w:sz w:val="20"/>
                <w:szCs w:val="20"/>
              </w:rPr>
              <w:t>Partially meeting targets</w:t>
            </w:r>
          </w:p>
        </w:tc>
      </w:tr>
    </w:tbl>
    <w:p w14:paraId="43046641" w14:textId="77777777" w:rsidR="00C3312E" w:rsidRPr="00C3312E" w:rsidRDefault="00C3312E" w:rsidP="00C3312E">
      <w:pPr>
        <w:spacing w:after="0"/>
        <w:rPr>
          <w:rFonts w:cs="Times New Roman"/>
        </w:rPr>
      </w:pPr>
    </w:p>
    <w:p w14:paraId="1AD3B4BE" w14:textId="77777777" w:rsidR="00C3312E" w:rsidRPr="00C3312E" w:rsidRDefault="00C3312E" w:rsidP="00C3312E">
      <w:pPr>
        <w:spacing w:after="0"/>
        <w:rPr>
          <w:rFonts w:cs="Times New Roman"/>
        </w:rPr>
      </w:pPr>
    </w:p>
    <w:p w14:paraId="46C98A6E" w14:textId="77777777" w:rsidR="00C3312E" w:rsidRPr="00C3312E" w:rsidRDefault="00C3312E" w:rsidP="00C3312E">
      <w:pPr>
        <w:spacing w:after="0"/>
        <w:rPr>
          <w:rFonts w:cs="Times New Roman"/>
        </w:rPr>
      </w:pPr>
    </w:p>
    <w:p w14:paraId="3CD07AA6" w14:textId="77777777" w:rsidR="00C3312E" w:rsidRPr="00C3312E" w:rsidRDefault="00C3312E" w:rsidP="00C3312E">
      <w:pPr>
        <w:spacing w:after="0"/>
        <w:rPr>
          <w:rFonts w:cs="Times New Roman"/>
        </w:rPr>
      </w:pPr>
    </w:p>
    <w:p w14:paraId="24FE003B" w14:textId="77777777" w:rsidR="00C3312E" w:rsidRPr="00C3312E" w:rsidRDefault="00C3312E" w:rsidP="00C3312E">
      <w:pPr>
        <w:spacing w:after="0"/>
        <w:rPr>
          <w:rFonts w:cs="Times New Roman"/>
        </w:rPr>
      </w:pPr>
    </w:p>
    <w:p w14:paraId="3F5BADAD" w14:textId="77777777" w:rsidR="00C3312E" w:rsidRPr="00C3312E" w:rsidRDefault="00C3312E" w:rsidP="00C3312E">
      <w:pPr>
        <w:spacing w:after="0"/>
        <w:rPr>
          <w:rFonts w:cs="Times New Roman"/>
        </w:rPr>
      </w:pPr>
    </w:p>
    <w:tbl>
      <w:tblPr>
        <w:tblStyle w:val="TableGrid5"/>
        <w:tblW w:w="0" w:type="auto"/>
        <w:tblLook w:val="00A0" w:firstRow="1" w:lastRow="0" w:firstColumn="1" w:lastColumn="0" w:noHBand="0" w:noVBand="0"/>
        <w:tblCaption w:val="Table 3: Framingham Public Schools"/>
        <w:tblDescription w:val="Next-Generation MCAS ELA Scaled Scores Grades 3–8, 2017–2018&#10;"/>
      </w:tblPr>
      <w:tblGrid>
        <w:gridCol w:w="2134"/>
        <w:gridCol w:w="1174"/>
        <w:gridCol w:w="1175"/>
        <w:gridCol w:w="1175"/>
        <w:gridCol w:w="1092"/>
        <w:gridCol w:w="1258"/>
        <w:gridCol w:w="1352"/>
      </w:tblGrid>
      <w:tr w:rsidR="00C3312E" w:rsidRPr="00C3312E" w14:paraId="7BD9583B" w14:textId="77777777" w:rsidTr="00CF7974">
        <w:tc>
          <w:tcPr>
            <w:tcW w:w="9360" w:type="dxa"/>
            <w:gridSpan w:val="7"/>
            <w:tcBorders>
              <w:top w:val="nil"/>
              <w:left w:val="nil"/>
              <w:right w:val="nil"/>
            </w:tcBorders>
          </w:tcPr>
          <w:p w14:paraId="3B22A24F"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3: Framingham Public Schools</w:t>
            </w:r>
          </w:p>
          <w:p w14:paraId="3AB99015" w14:textId="0A52494D" w:rsidR="00C3312E" w:rsidRPr="00C3312E" w:rsidRDefault="00C3312E" w:rsidP="00864680">
            <w:pPr>
              <w:spacing w:after="0" w:line="240" w:lineRule="auto"/>
              <w:jc w:val="center"/>
              <w:rPr>
                <w:rFonts w:cs="Times New Roman"/>
              </w:rPr>
            </w:pPr>
            <w:r w:rsidRPr="00C3312E">
              <w:rPr>
                <w:rFonts w:cs="Times New Roman"/>
                <w:b/>
                <w:sz w:val="20"/>
                <w:szCs w:val="20"/>
              </w:rPr>
              <w:t xml:space="preserve">Next-Generation MCAS ELA Scaled Scores </w:t>
            </w:r>
            <w:r w:rsidR="005C0876">
              <w:rPr>
                <w:rFonts w:cs="Times New Roman"/>
                <w:b/>
                <w:sz w:val="20"/>
                <w:szCs w:val="20"/>
              </w:rPr>
              <w:t>G</w:t>
            </w:r>
            <w:r w:rsidR="005C0876" w:rsidRPr="00C3312E">
              <w:rPr>
                <w:rFonts w:cs="Times New Roman"/>
                <w:b/>
                <w:sz w:val="20"/>
                <w:szCs w:val="20"/>
              </w:rPr>
              <w:t xml:space="preserve">rades </w:t>
            </w:r>
            <w:r w:rsidRPr="00C3312E">
              <w:rPr>
                <w:rFonts w:cs="Times New Roman"/>
                <w:b/>
                <w:sz w:val="20"/>
                <w:szCs w:val="20"/>
              </w:rPr>
              <w:t>3</w:t>
            </w:r>
            <w:r w:rsidR="000F7DAF">
              <w:rPr>
                <w:rFonts w:cs="Times New Roman"/>
                <w:b/>
                <w:sz w:val="20"/>
                <w:szCs w:val="20"/>
              </w:rPr>
              <w:t>–</w:t>
            </w:r>
            <w:r w:rsidRPr="00C3312E">
              <w:rPr>
                <w:rFonts w:cs="Times New Roman"/>
                <w:b/>
                <w:sz w:val="20"/>
                <w:szCs w:val="20"/>
              </w:rPr>
              <w:t>8, 2017</w:t>
            </w:r>
            <w:r w:rsidR="000F7DAF">
              <w:rPr>
                <w:rFonts w:cs="Times New Roman"/>
                <w:b/>
                <w:sz w:val="20"/>
                <w:szCs w:val="20"/>
              </w:rPr>
              <w:t>–</w:t>
            </w:r>
            <w:r w:rsidRPr="00C3312E">
              <w:rPr>
                <w:rFonts w:cs="Times New Roman"/>
                <w:b/>
                <w:sz w:val="20"/>
                <w:szCs w:val="20"/>
              </w:rPr>
              <w:t>2018</w:t>
            </w:r>
          </w:p>
        </w:tc>
      </w:tr>
      <w:tr w:rsidR="00C3312E" w:rsidRPr="00C3312E" w14:paraId="7304C564" w14:textId="77777777" w:rsidTr="00CF7974">
        <w:tc>
          <w:tcPr>
            <w:tcW w:w="2134" w:type="dxa"/>
            <w:shd w:val="clear" w:color="auto" w:fill="BFBFBF" w:themeFill="background1" w:themeFillShade="BF"/>
          </w:tcPr>
          <w:p w14:paraId="5C1AD122" w14:textId="77777777" w:rsidR="00C3312E" w:rsidRPr="00C3312E" w:rsidRDefault="00C3312E" w:rsidP="000F7DAF">
            <w:pPr>
              <w:spacing w:after="0" w:line="240" w:lineRule="auto"/>
              <w:rPr>
                <w:rFonts w:cs="Times New Roman"/>
                <w:b/>
                <w:sz w:val="20"/>
                <w:szCs w:val="20"/>
              </w:rPr>
            </w:pPr>
            <w:r w:rsidRPr="00C3312E">
              <w:rPr>
                <w:rFonts w:cs="Times New Roman"/>
                <w:b/>
                <w:sz w:val="20"/>
                <w:szCs w:val="20"/>
              </w:rPr>
              <w:t>Group</w:t>
            </w:r>
          </w:p>
        </w:tc>
        <w:tc>
          <w:tcPr>
            <w:tcW w:w="1174" w:type="dxa"/>
            <w:shd w:val="clear" w:color="auto" w:fill="BFBFBF" w:themeFill="background1" w:themeFillShade="BF"/>
          </w:tcPr>
          <w:p w14:paraId="0BD5EF61"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175" w:type="dxa"/>
            <w:shd w:val="clear" w:color="auto" w:fill="BFBFBF" w:themeFill="background1" w:themeFillShade="BF"/>
          </w:tcPr>
          <w:p w14:paraId="294D108A"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2017</w:t>
            </w:r>
          </w:p>
        </w:tc>
        <w:tc>
          <w:tcPr>
            <w:tcW w:w="1175" w:type="dxa"/>
            <w:shd w:val="clear" w:color="auto" w:fill="BFBFBF" w:themeFill="background1" w:themeFillShade="BF"/>
          </w:tcPr>
          <w:p w14:paraId="0C804FB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092" w:type="dxa"/>
            <w:shd w:val="clear" w:color="auto" w:fill="BFBFBF" w:themeFill="background1" w:themeFillShade="BF"/>
          </w:tcPr>
          <w:p w14:paraId="317F8B5B"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Change</w:t>
            </w:r>
          </w:p>
        </w:tc>
        <w:tc>
          <w:tcPr>
            <w:tcW w:w="1258" w:type="dxa"/>
            <w:shd w:val="clear" w:color="auto" w:fill="BFBFBF" w:themeFill="background1" w:themeFillShade="BF"/>
          </w:tcPr>
          <w:p w14:paraId="0511F469"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 (2018)</w:t>
            </w:r>
          </w:p>
        </w:tc>
        <w:tc>
          <w:tcPr>
            <w:tcW w:w="1352" w:type="dxa"/>
            <w:shd w:val="clear" w:color="auto" w:fill="BFBFBF" w:themeFill="background1" w:themeFillShade="BF"/>
          </w:tcPr>
          <w:p w14:paraId="1CDA0529"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Above/Below</w:t>
            </w:r>
          </w:p>
        </w:tc>
      </w:tr>
      <w:tr w:rsidR="00C3312E" w:rsidRPr="00C3312E" w14:paraId="2DA0298F" w14:textId="77777777" w:rsidTr="00CF7974">
        <w:tc>
          <w:tcPr>
            <w:tcW w:w="2134" w:type="dxa"/>
          </w:tcPr>
          <w:p w14:paraId="191582D2"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74" w:type="dxa"/>
          </w:tcPr>
          <w:p w14:paraId="69485E92" w14:textId="77777777" w:rsidR="00C3312E" w:rsidRPr="00C3312E" w:rsidRDefault="00C3312E" w:rsidP="00C3312E">
            <w:pPr>
              <w:spacing w:after="0" w:line="240" w:lineRule="auto"/>
              <w:jc w:val="center"/>
              <w:rPr>
                <w:sz w:val="20"/>
                <w:szCs w:val="20"/>
              </w:rPr>
            </w:pPr>
            <w:r w:rsidRPr="00C3312E">
              <w:rPr>
                <w:sz w:val="20"/>
                <w:szCs w:val="20"/>
              </w:rPr>
              <w:t>274</w:t>
            </w:r>
          </w:p>
        </w:tc>
        <w:tc>
          <w:tcPr>
            <w:tcW w:w="1175" w:type="dxa"/>
          </w:tcPr>
          <w:p w14:paraId="1860EE4B" w14:textId="77777777" w:rsidR="00C3312E" w:rsidRPr="00C3312E" w:rsidRDefault="00C3312E" w:rsidP="00C3312E">
            <w:pPr>
              <w:spacing w:after="0" w:line="240" w:lineRule="auto"/>
              <w:jc w:val="center"/>
              <w:rPr>
                <w:sz w:val="20"/>
                <w:szCs w:val="20"/>
              </w:rPr>
            </w:pPr>
            <w:r w:rsidRPr="00C3312E">
              <w:rPr>
                <w:sz w:val="20"/>
                <w:szCs w:val="20"/>
              </w:rPr>
              <w:t>484.6</w:t>
            </w:r>
          </w:p>
        </w:tc>
        <w:tc>
          <w:tcPr>
            <w:tcW w:w="1175" w:type="dxa"/>
          </w:tcPr>
          <w:p w14:paraId="59A27242" w14:textId="77777777" w:rsidR="00C3312E" w:rsidRPr="00C3312E" w:rsidRDefault="00C3312E" w:rsidP="00C3312E">
            <w:pPr>
              <w:spacing w:after="0" w:line="240" w:lineRule="auto"/>
              <w:jc w:val="center"/>
              <w:rPr>
                <w:sz w:val="20"/>
                <w:szCs w:val="20"/>
              </w:rPr>
            </w:pPr>
            <w:r w:rsidRPr="00C3312E">
              <w:rPr>
                <w:sz w:val="20"/>
                <w:szCs w:val="20"/>
              </w:rPr>
              <w:t>486.8</w:t>
            </w:r>
          </w:p>
        </w:tc>
        <w:tc>
          <w:tcPr>
            <w:tcW w:w="1092" w:type="dxa"/>
          </w:tcPr>
          <w:p w14:paraId="480644F6" w14:textId="77777777" w:rsidR="00C3312E" w:rsidRPr="00C3312E" w:rsidRDefault="00C3312E" w:rsidP="00C3312E">
            <w:pPr>
              <w:spacing w:after="0" w:line="240" w:lineRule="auto"/>
              <w:jc w:val="center"/>
              <w:rPr>
                <w:sz w:val="20"/>
                <w:szCs w:val="20"/>
              </w:rPr>
            </w:pPr>
            <w:r w:rsidRPr="00C3312E">
              <w:rPr>
                <w:sz w:val="20"/>
                <w:szCs w:val="20"/>
              </w:rPr>
              <w:t>2.2</w:t>
            </w:r>
          </w:p>
        </w:tc>
        <w:tc>
          <w:tcPr>
            <w:tcW w:w="1258" w:type="dxa"/>
          </w:tcPr>
          <w:p w14:paraId="33907C4A" w14:textId="77777777" w:rsidR="00C3312E" w:rsidRPr="00C3312E" w:rsidRDefault="00C3312E" w:rsidP="00C3312E">
            <w:pPr>
              <w:spacing w:after="0" w:line="240" w:lineRule="auto"/>
              <w:jc w:val="center"/>
              <w:rPr>
                <w:sz w:val="20"/>
                <w:szCs w:val="20"/>
              </w:rPr>
            </w:pPr>
            <w:r w:rsidRPr="00C3312E">
              <w:rPr>
                <w:sz w:val="20"/>
                <w:szCs w:val="20"/>
              </w:rPr>
              <w:t>490.3</w:t>
            </w:r>
          </w:p>
        </w:tc>
        <w:tc>
          <w:tcPr>
            <w:tcW w:w="1352" w:type="dxa"/>
          </w:tcPr>
          <w:p w14:paraId="48FD0470" w14:textId="77777777" w:rsidR="00C3312E" w:rsidRPr="00C3312E" w:rsidRDefault="00C3312E" w:rsidP="00C3312E">
            <w:pPr>
              <w:spacing w:after="0" w:line="240" w:lineRule="auto"/>
              <w:jc w:val="center"/>
              <w:rPr>
                <w:sz w:val="20"/>
                <w:szCs w:val="20"/>
              </w:rPr>
            </w:pPr>
            <w:r w:rsidRPr="00C3312E">
              <w:rPr>
                <w:sz w:val="20"/>
                <w:szCs w:val="20"/>
              </w:rPr>
              <w:t>-3.5</w:t>
            </w:r>
          </w:p>
        </w:tc>
      </w:tr>
      <w:tr w:rsidR="00C3312E" w:rsidRPr="00C3312E" w14:paraId="5BD4BB49" w14:textId="77777777" w:rsidTr="00CF7974">
        <w:tc>
          <w:tcPr>
            <w:tcW w:w="2134" w:type="dxa"/>
            <w:shd w:val="clear" w:color="auto" w:fill="BFBFBF" w:themeFill="background1" w:themeFillShade="BF"/>
          </w:tcPr>
          <w:p w14:paraId="746729DD" w14:textId="77777777" w:rsidR="00C3312E" w:rsidRPr="00C3312E" w:rsidRDefault="00C3312E" w:rsidP="00C3312E">
            <w:pPr>
              <w:spacing w:after="0" w:line="240" w:lineRule="auto"/>
              <w:rPr>
                <w:sz w:val="20"/>
                <w:szCs w:val="20"/>
              </w:rPr>
            </w:pPr>
            <w:r w:rsidRPr="00C3312E">
              <w:rPr>
                <w:sz w:val="20"/>
                <w:szCs w:val="20"/>
              </w:rPr>
              <w:t>Asian</w:t>
            </w:r>
          </w:p>
        </w:tc>
        <w:tc>
          <w:tcPr>
            <w:tcW w:w="1174" w:type="dxa"/>
            <w:shd w:val="clear" w:color="auto" w:fill="BFBFBF" w:themeFill="background1" w:themeFillShade="BF"/>
          </w:tcPr>
          <w:p w14:paraId="34BDF819" w14:textId="77777777" w:rsidR="00C3312E" w:rsidRPr="00C3312E" w:rsidRDefault="00C3312E" w:rsidP="00C3312E">
            <w:pPr>
              <w:spacing w:after="0" w:line="240" w:lineRule="auto"/>
              <w:jc w:val="center"/>
              <w:rPr>
                <w:sz w:val="20"/>
                <w:szCs w:val="20"/>
              </w:rPr>
            </w:pPr>
            <w:r w:rsidRPr="00C3312E">
              <w:rPr>
                <w:sz w:val="20"/>
                <w:szCs w:val="20"/>
              </w:rPr>
              <w:t>181</w:t>
            </w:r>
          </w:p>
        </w:tc>
        <w:tc>
          <w:tcPr>
            <w:tcW w:w="1175" w:type="dxa"/>
            <w:shd w:val="clear" w:color="auto" w:fill="BFBFBF" w:themeFill="background1" w:themeFillShade="BF"/>
          </w:tcPr>
          <w:p w14:paraId="76E3B7D0" w14:textId="77777777" w:rsidR="00C3312E" w:rsidRPr="00C3312E" w:rsidRDefault="00C3312E" w:rsidP="00C3312E">
            <w:pPr>
              <w:spacing w:after="0" w:line="240" w:lineRule="auto"/>
              <w:jc w:val="center"/>
              <w:rPr>
                <w:sz w:val="20"/>
                <w:szCs w:val="20"/>
              </w:rPr>
            </w:pPr>
            <w:r w:rsidRPr="00C3312E">
              <w:rPr>
                <w:sz w:val="20"/>
                <w:szCs w:val="20"/>
              </w:rPr>
              <w:t>505.3</w:t>
            </w:r>
          </w:p>
        </w:tc>
        <w:tc>
          <w:tcPr>
            <w:tcW w:w="1175" w:type="dxa"/>
            <w:shd w:val="clear" w:color="auto" w:fill="BFBFBF" w:themeFill="background1" w:themeFillShade="BF"/>
          </w:tcPr>
          <w:p w14:paraId="190F9383" w14:textId="77777777" w:rsidR="00C3312E" w:rsidRPr="00C3312E" w:rsidRDefault="00C3312E" w:rsidP="00C3312E">
            <w:pPr>
              <w:spacing w:after="0" w:line="240" w:lineRule="auto"/>
              <w:jc w:val="center"/>
              <w:rPr>
                <w:sz w:val="20"/>
                <w:szCs w:val="20"/>
              </w:rPr>
            </w:pPr>
            <w:r w:rsidRPr="00C3312E">
              <w:rPr>
                <w:sz w:val="20"/>
                <w:szCs w:val="20"/>
              </w:rPr>
              <w:t>508.8</w:t>
            </w:r>
          </w:p>
        </w:tc>
        <w:tc>
          <w:tcPr>
            <w:tcW w:w="1092" w:type="dxa"/>
            <w:shd w:val="clear" w:color="auto" w:fill="BFBFBF" w:themeFill="background1" w:themeFillShade="BF"/>
          </w:tcPr>
          <w:p w14:paraId="059AC044" w14:textId="77777777" w:rsidR="00C3312E" w:rsidRPr="00C3312E" w:rsidRDefault="00C3312E" w:rsidP="00C3312E">
            <w:pPr>
              <w:spacing w:after="0" w:line="240" w:lineRule="auto"/>
              <w:jc w:val="center"/>
              <w:rPr>
                <w:sz w:val="20"/>
                <w:szCs w:val="20"/>
              </w:rPr>
            </w:pPr>
            <w:r w:rsidRPr="00C3312E">
              <w:rPr>
                <w:sz w:val="20"/>
                <w:szCs w:val="20"/>
              </w:rPr>
              <w:t>3.5</w:t>
            </w:r>
          </w:p>
        </w:tc>
        <w:tc>
          <w:tcPr>
            <w:tcW w:w="1258" w:type="dxa"/>
            <w:shd w:val="clear" w:color="auto" w:fill="BFBFBF" w:themeFill="background1" w:themeFillShade="BF"/>
          </w:tcPr>
          <w:p w14:paraId="1CCEA29C" w14:textId="77777777" w:rsidR="00C3312E" w:rsidRPr="00C3312E" w:rsidRDefault="00C3312E" w:rsidP="00C3312E">
            <w:pPr>
              <w:spacing w:after="0" w:line="240" w:lineRule="auto"/>
              <w:jc w:val="center"/>
              <w:rPr>
                <w:sz w:val="20"/>
                <w:szCs w:val="20"/>
              </w:rPr>
            </w:pPr>
            <w:r w:rsidRPr="00C3312E">
              <w:rPr>
                <w:sz w:val="20"/>
                <w:szCs w:val="20"/>
              </w:rPr>
              <w:t>511.6</w:t>
            </w:r>
          </w:p>
        </w:tc>
        <w:tc>
          <w:tcPr>
            <w:tcW w:w="1352" w:type="dxa"/>
            <w:shd w:val="clear" w:color="auto" w:fill="BFBFBF" w:themeFill="background1" w:themeFillShade="BF"/>
          </w:tcPr>
          <w:p w14:paraId="3E40ED19" w14:textId="77777777" w:rsidR="00C3312E" w:rsidRPr="00C3312E" w:rsidRDefault="00C3312E" w:rsidP="00C3312E">
            <w:pPr>
              <w:spacing w:after="0" w:line="240" w:lineRule="auto"/>
              <w:jc w:val="center"/>
              <w:rPr>
                <w:sz w:val="20"/>
                <w:szCs w:val="20"/>
              </w:rPr>
            </w:pPr>
            <w:r w:rsidRPr="00C3312E">
              <w:rPr>
                <w:sz w:val="20"/>
                <w:szCs w:val="20"/>
              </w:rPr>
              <w:t>-2.8</w:t>
            </w:r>
          </w:p>
        </w:tc>
      </w:tr>
      <w:tr w:rsidR="00C3312E" w:rsidRPr="00C3312E" w14:paraId="7955FE92" w14:textId="77777777" w:rsidTr="00CF7974">
        <w:tc>
          <w:tcPr>
            <w:tcW w:w="2134" w:type="dxa"/>
          </w:tcPr>
          <w:p w14:paraId="0B21CC3E" w14:textId="77777777" w:rsidR="00C3312E" w:rsidRPr="00C3312E" w:rsidRDefault="00C3312E" w:rsidP="00C3312E">
            <w:pPr>
              <w:spacing w:after="0" w:line="240" w:lineRule="auto"/>
              <w:rPr>
                <w:sz w:val="20"/>
                <w:szCs w:val="20"/>
              </w:rPr>
            </w:pPr>
            <w:r w:rsidRPr="00C3312E">
              <w:rPr>
                <w:sz w:val="20"/>
                <w:szCs w:val="20"/>
              </w:rPr>
              <w:t>Hispanic or Latino</w:t>
            </w:r>
          </w:p>
        </w:tc>
        <w:tc>
          <w:tcPr>
            <w:tcW w:w="1174" w:type="dxa"/>
          </w:tcPr>
          <w:p w14:paraId="2AA52F81" w14:textId="77777777" w:rsidR="00C3312E" w:rsidRPr="00C3312E" w:rsidRDefault="00C3312E" w:rsidP="00C3312E">
            <w:pPr>
              <w:spacing w:after="0" w:line="240" w:lineRule="auto"/>
              <w:jc w:val="center"/>
              <w:rPr>
                <w:sz w:val="20"/>
                <w:szCs w:val="20"/>
              </w:rPr>
            </w:pPr>
            <w:r w:rsidRPr="00C3312E">
              <w:rPr>
                <w:sz w:val="20"/>
                <w:szCs w:val="20"/>
              </w:rPr>
              <w:t>1,164</w:t>
            </w:r>
          </w:p>
        </w:tc>
        <w:tc>
          <w:tcPr>
            <w:tcW w:w="1175" w:type="dxa"/>
          </w:tcPr>
          <w:p w14:paraId="1E1C3E8F" w14:textId="77777777" w:rsidR="00C3312E" w:rsidRPr="00C3312E" w:rsidRDefault="00C3312E" w:rsidP="00C3312E">
            <w:pPr>
              <w:spacing w:after="0" w:line="240" w:lineRule="auto"/>
              <w:jc w:val="center"/>
              <w:rPr>
                <w:sz w:val="20"/>
                <w:szCs w:val="20"/>
              </w:rPr>
            </w:pPr>
            <w:r w:rsidRPr="00C3312E">
              <w:rPr>
                <w:sz w:val="20"/>
                <w:szCs w:val="20"/>
              </w:rPr>
              <w:t>482.7</w:t>
            </w:r>
          </w:p>
        </w:tc>
        <w:tc>
          <w:tcPr>
            <w:tcW w:w="1175" w:type="dxa"/>
          </w:tcPr>
          <w:p w14:paraId="3C98AD7F" w14:textId="77777777" w:rsidR="00C3312E" w:rsidRPr="00C3312E" w:rsidRDefault="00C3312E" w:rsidP="00C3312E">
            <w:pPr>
              <w:spacing w:after="0" w:line="240" w:lineRule="auto"/>
              <w:jc w:val="center"/>
              <w:rPr>
                <w:sz w:val="20"/>
                <w:szCs w:val="20"/>
              </w:rPr>
            </w:pPr>
            <w:r w:rsidRPr="00C3312E">
              <w:rPr>
                <w:sz w:val="20"/>
                <w:szCs w:val="20"/>
              </w:rPr>
              <w:t>483.1</w:t>
            </w:r>
          </w:p>
        </w:tc>
        <w:tc>
          <w:tcPr>
            <w:tcW w:w="1092" w:type="dxa"/>
          </w:tcPr>
          <w:p w14:paraId="4844A7CB" w14:textId="77777777" w:rsidR="00C3312E" w:rsidRPr="00C3312E" w:rsidRDefault="00C3312E" w:rsidP="00C3312E">
            <w:pPr>
              <w:spacing w:after="0" w:line="240" w:lineRule="auto"/>
              <w:jc w:val="center"/>
              <w:rPr>
                <w:sz w:val="20"/>
                <w:szCs w:val="20"/>
              </w:rPr>
            </w:pPr>
            <w:r w:rsidRPr="00C3312E">
              <w:rPr>
                <w:sz w:val="20"/>
                <w:szCs w:val="20"/>
              </w:rPr>
              <w:t>0.4</w:t>
            </w:r>
          </w:p>
        </w:tc>
        <w:tc>
          <w:tcPr>
            <w:tcW w:w="1258" w:type="dxa"/>
          </w:tcPr>
          <w:p w14:paraId="0CE5FB9A" w14:textId="77777777" w:rsidR="00C3312E" w:rsidRPr="00C3312E" w:rsidRDefault="00C3312E" w:rsidP="00C3312E">
            <w:pPr>
              <w:spacing w:after="0" w:line="240" w:lineRule="auto"/>
              <w:jc w:val="center"/>
              <w:rPr>
                <w:sz w:val="20"/>
                <w:szCs w:val="20"/>
              </w:rPr>
            </w:pPr>
            <w:r w:rsidRPr="00C3312E">
              <w:rPr>
                <w:sz w:val="20"/>
                <w:szCs w:val="20"/>
              </w:rPr>
              <w:t>489.7</w:t>
            </w:r>
          </w:p>
        </w:tc>
        <w:tc>
          <w:tcPr>
            <w:tcW w:w="1352" w:type="dxa"/>
          </w:tcPr>
          <w:p w14:paraId="6DF20927" w14:textId="77777777" w:rsidR="00C3312E" w:rsidRPr="00C3312E" w:rsidRDefault="00C3312E" w:rsidP="00C3312E">
            <w:pPr>
              <w:spacing w:after="0" w:line="240" w:lineRule="auto"/>
              <w:jc w:val="center"/>
              <w:rPr>
                <w:sz w:val="20"/>
                <w:szCs w:val="20"/>
              </w:rPr>
            </w:pPr>
            <w:r w:rsidRPr="00C3312E">
              <w:rPr>
                <w:sz w:val="20"/>
                <w:szCs w:val="20"/>
              </w:rPr>
              <w:t>-6.6</w:t>
            </w:r>
          </w:p>
        </w:tc>
      </w:tr>
      <w:tr w:rsidR="00C3312E" w:rsidRPr="00C3312E" w14:paraId="43587953" w14:textId="77777777" w:rsidTr="00CF7974">
        <w:tc>
          <w:tcPr>
            <w:tcW w:w="2134" w:type="dxa"/>
            <w:shd w:val="clear" w:color="auto" w:fill="BFBFBF" w:themeFill="background1" w:themeFillShade="BF"/>
          </w:tcPr>
          <w:p w14:paraId="73142C55" w14:textId="77777777" w:rsidR="00C3312E" w:rsidRPr="00C3312E" w:rsidRDefault="00C3312E" w:rsidP="00C3312E">
            <w:pPr>
              <w:spacing w:after="0" w:line="240" w:lineRule="auto"/>
              <w:rPr>
                <w:sz w:val="20"/>
                <w:szCs w:val="20"/>
              </w:rPr>
            </w:pPr>
            <w:r w:rsidRPr="00C3312E">
              <w:rPr>
                <w:sz w:val="20"/>
                <w:szCs w:val="20"/>
              </w:rPr>
              <w:t>Multi-Race</w:t>
            </w:r>
          </w:p>
        </w:tc>
        <w:tc>
          <w:tcPr>
            <w:tcW w:w="1174" w:type="dxa"/>
            <w:shd w:val="clear" w:color="auto" w:fill="BFBFBF" w:themeFill="background1" w:themeFillShade="BF"/>
          </w:tcPr>
          <w:p w14:paraId="67F5BE79" w14:textId="77777777" w:rsidR="00C3312E" w:rsidRPr="00C3312E" w:rsidRDefault="00C3312E" w:rsidP="00C3312E">
            <w:pPr>
              <w:spacing w:after="0" w:line="240" w:lineRule="auto"/>
              <w:jc w:val="center"/>
              <w:rPr>
                <w:sz w:val="20"/>
                <w:szCs w:val="20"/>
              </w:rPr>
            </w:pPr>
            <w:r w:rsidRPr="00C3312E">
              <w:rPr>
                <w:sz w:val="20"/>
                <w:szCs w:val="20"/>
              </w:rPr>
              <w:t>147</w:t>
            </w:r>
          </w:p>
        </w:tc>
        <w:tc>
          <w:tcPr>
            <w:tcW w:w="1175" w:type="dxa"/>
            <w:shd w:val="clear" w:color="auto" w:fill="BFBFBF" w:themeFill="background1" w:themeFillShade="BF"/>
          </w:tcPr>
          <w:p w14:paraId="59992310" w14:textId="77777777" w:rsidR="00C3312E" w:rsidRPr="00C3312E" w:rsidRDefault="00C3312E" w:rsidP="00C3312E">
            <w:pPr>
              <w:spacing w:after="0" w:line="240" w:lineRule="auto"/>
              <w:jc w:val="center"/>
              <w:rPr>
                <w:sz w:val="20"/>
                <w:szCs w:val="20"/>
              </w:rPr>
            </w:pPr>
            <w:r w:rsidRPr="00C3312E">
              <w:rPr>
                <w:sz w:val="20"/>
                <w:szCs w:val="20"/>
              </w:rPr>
              <w:t>500.8</w:t>
            </w:r>
          </w:p>
        </w:tc>
        <w:tc>
          <w:tcPr>
            <w:tcW w:w="1175" w:type="dxa"/>
            <w:shd w:val="clear" w:color="auto" w:fill="BFBFBF" w:themeFill="background1" w:themeFillShade="BF"/>
          </w:tcPr>
          <w:p w14:paraId="62E3075C" w14:textId="77777777" w:rsidR="00C3312E" w:rsidRPr="00C3312E" w:rsidRDefault="00C3312E" w:rsidP="00C3312E">
            <w:pPr>
              <w:spacing w:after="0" w:line="240" w:lineRule="auto"/>
              <w:jc w:val="center"/>
              <w:rPr>
                <w:sz w:val="20"/>
                <w:szCs w:val="20"/>
              </w:rPr>
            </w:pPr>
            <w:r w:rsidRPr="00C3312E">
              <w:rPr>
                <w:sz w:val="20"/>
                <w:szCs w:val="20"/>
              </w:rPr>
              <w:t>500.3</w:t>
            </w:r>
          </w:p>
        </w:tc>
        <w:tc>
          <w:tcPr>
            <w:tcW w:w="1092" w:type="dxa"/>
            <w:shd w:val="clear" w:color="auto" w:fill="BFBFBF" w:themeFill="background1" w:themeFillShade="BF"/>
          </w:tcPr>
          <w:p w14:paraId="3A9E3980" w14:textId="77777777" w:rsidR="00C3312E" w:rsidRPr="00C3312E" w:rsidRDefault="00C3312E" w:rsidP="00C3312E">
            <w:pPr>
              <w:spacing w:after="0" w:line="240" w:lineRule="auto"/>
              <w:jc w:val="center"/>
              <w:rPr>
                <w:sz w:val="20"/>
                <w:szCs w:val="20"/>
              </w:rPr>
            </w:pPr>
            <w:r w:rsidRPr="00C3312E">
              <w:rPr>
                <w:sz w:val="20"/>
                <w:szCs w:val="20"/>
              </w:rPr>
              <w:t>-0.5</w:t>
            </w:r>
          </w:p>
        </w:tc>
        <w:tc>
          <w:tcPr>
            <w:tcW w:w="1258" w:type="dxa"/>
            <w:shd w:val="clear" w:color="auto" w:fill="BFBFBF" w:themeFill="background1" w:themeFillShade="BF"/>
          </w:tcPr>
          <w:p w14:paraId="6310BE9C" w14:textId="77777777" w:rsidR="00C3312E" w:rsidRPr="00C3312E" w:rsidRDefault="00C3312E" w:rsidP="00C3312E">
            <w:pPr>
              <w:spacing w:after="0" w:line="240" w:lineRule="auto"/>
              <w:jc w:val="center"/>
              <w:rPr>
                <w:sz w:val="20"/>
                <w:szCs w:val="20"/>
              </w:rPr>
            </w:pPr>
            <w:r w:rsidRPr="00C3312E">
              <w:rPr>
                <w:sz w:val="20"/>
                <w:szCs w:val="20"/>
              </w:rPr>
              <w:t>502.8</w:t>
            </w:r>
          </w:p>
        </w:tc>
        <w:tc>
          <w:tcPr>
            <w:tcW w:w="1352" w:type="dxa"/>
            <w:shd w:val="clear" w:color="auto" w:fill="BFBFBF" w:themeFill="background1" w:themeFillShade="BF"/>
          </w:tcPr>
          <w:p w14:paraId="146D6215" w14:textId="77777777" w:rsidR="00C3312E" w:rsidRPr="00C3312E" w:rsidRDefault="00C3312E" w:rsidP="00C3312E">
            <w:pPr>
              <w:spacing w:after="0" w:line="240" w:lineRule="auto"/>
              <w:jc w:val="center"/>
              <w:rPr>
                <w:sz w:val="20"/>
                <w:szCs w:val="20"/>
              </w:rPr>
            </w:pPr>
            <w:r w:rsidRPr="00C3312E">
              <w:rPr>
                <w:sz w:val="20"/>
                <w:szCs w:val="20"/>
              </w:rPr>
              <w:t>-2.5</w:t>
            </w:r>
          </w:p>
        </w:tc>
      </w:tr>
      <w:tr w:rsidR="00C3312E" w:rsidRPr="00C3312E" w14:paraId="1FE41208" w14:textId="77777777" w:rsidTr="00CF7974">
        <w:tc>
          <w:tcPr>
            <w:tcW w:w="2134" w:type="dxa"/>
          </w:tcPr>
          <w:p w14:paraId="343339BF" w14:textId="77777777" w:rsidR="00C3312E" w:rsidRPr="00C3312E" w:rsidRDefault="00C3312E" w:rsidP="00C3312E">
            <w:pPr>
              <w:spacing w:after="0" w:line="240" w:lineRule="auto"/>
              <w:rPr>
                <w:sz w:val="20"/>
                <w:szCs w:val="20"/>
              </w:rPr>
            </w:pPr>
            <w:r w:rsidRPr="00C3312E">
              <w:rPr>
                <w:sz w:val="20"/>
                <w:szCs w:val="20"/>
              </w:rPr>
              <w:t>White</w:t>
            </w:r>
          </w:p>
        </w:tc>
        <w:tc>
          <w:tcPr>
            <w:tcW w:w="1174" w:type="dxa"/>
          </w:tcPr>
          <w:p w14:paraId="2C3B3100" w14:textId="77777777" w:rsidR="00C3312E" w:rsidRPr="00C3312E" w:rsidRDefault="00C3312E" w:rsidP="00C3312E">
            <w:pPr>
              <w:spacing w:after="0" w:line="240" w:lineRule="auto"/>
              <w:jc w:val="center"/>
              <w:rPr>
                <w:sz w:val="20"/>
                <w:szCs w:val="20"/>
              </w:rPr>
            </w:pPr>
            <w:r w:rsidRPr="00C3312E">
              <w:rPr>
                <w:sz w:val="20"/>
                <w:szCs w:val="20"/>
              </w:rPr>
              <w:t>2,308</w:t>
            </w:r>
          </w:p>
        </w:tc>
        <w:tc>
          <w:tcPr>
            <w:tcW w:w="1175" w:type="dxa"/>
          </w:tcPr>
          <w:p w14:paraId="75D393F4" w14:textId="77777777" w:rsidR="00C3312E" w:rsidRPr="00C3312E" w:rsidRDefault="00C3312E" w:rsidP="00C3312E">
            <w:pPr>
              <w:spacing w:after="0" w:line="240" w:lineRule="auto"/>
              <w:jc w:val="center"/>
              <w:rPr>
                <w:sz w:val="20"/>
                <w:szCs w:val="20"/>
              </w:rPr>
            </w:pPr>
            <w:r w:rsidRPr="00C3312E">
              <w:rPr>
                <w:sz w:val="20"/>
                <w:szCs w:val="20"/>
              </w:rPr>
              <w:t>496.6</w:t>
            </w:r>
          </w:p>
        </w:tc>
        <w:tc>
          <w:tcPr>
            <w:tcW w:w="1175" w:type="dxa"/>
          </w:tcPr>
          <w:p w14:paraId="50DFF85E" w14:textId="77777777" w:rsidR="00C3312E" w:rsidRPr="00C3312E" w:rsidRDefault="00C3312E" w:rsidP="00C3312E">
            <w:pPr>
              <w:spacing w:after="0" w:line="240" w:lineRule="auto"/>
              <w:jc w:val="center"/>
              <w:rPr>
                <w:sz w:val="20"/>
                <w:szCs w:val="20"/>
              </w:rPr>
            </w:pPr>
            <w:r w:rsidRPr="00C3312E">
              <w:rPr>
                <w:sz w:val="20"/>
                <w:szCs w:val="20"/>
              </w:rPr>
              <w:t>498.0</w:t>
            </w:r>
          </w:p>
        </w:tc>
        <w:tc>
          <w:tcPr>
            <w:tcW w:w="1092" w:type="dxa"/>
          </w:tcPr>
          <w:p w14:paraId="3B480A63" w14:textId="77777777" w:rsidR="00C3312E" w:rsidRPr="00C3312E" w:rsidRDefault="00C3312E" w:rsidP="00C3312E">
            <w:pPr>
              <w:spacing w:after="0" w:line="240" w:lineRule="auto"/>
              <w:jc w:val="center"/>
              <w:rPr>
                <w:sz w:val="20"/>
                <w:szCs w:val="20"/>
              </w:rPr>
            </w:pPr>
            <w:r w:rsidRPr="00C3312E">
              <w:rPr>
                <w:sz w:val="20"/>
                <w:szCs w:val="20"/>
              </w:rPr>
              <w:t>1.4</w:t>
            </w:r>
          </w:p>
        </w:tc>
        <w:tc>
          <w:tcPr>
            <w:tcW w:w="1258" w:type="dxa"/>
          </w:tcPr>
          <w:p w14:paraId="55C34271" w14:textId="77777777" w:rsidR="00C3312E" w:rsidRPr="00C3312E" w:rsidRDefault="00C3312E" w:rsidP="00C3312E">
            <w:pPr>
              <w:spacing w:after="0" w:line="240" w:lineRule="auto"/>
              <w:jc w:val="center"/>
              <w:rPr>
                <w:sz w:val="20"/>
                <w:szCs w:val="20"/>
              </w:rPr>
            </w:pPr>
            <w:r w:rsidRPr="00C3312E">
              <w:rPr>
                <w:sz w:val="20"/>
                <w:szCs w:val="20"/>
              </w:rPr>
              <w:t>504.2</w:t>
            </w:r>
          </w:p>
        </w:tc>
        <w:tc>
          <w:tcPr>
            <w:tcW w:w="1352" w:type="dxa"/>
          </w:tcPr>
          <w:p w14:paraId="3ED8D805" w14:textId="77777777" w:rsidR="00C3312E" w:rsidRPr="00C3312E" w:rsidRDefault="00C3312E" w:rsidP="00C3312E">
            <w:pPr>
              <w:spacing w:after="0" w:line="240" w:lineRule="auto"/>
              <w:jc w:val="center"/>
              <w:rPr>
                <w:sz w:val="20"/>
                <w:szCs w:val="20"/>
              </w:rPr>
            </w:pPr>
            <w:r w:rsidRPr="00C3312E">
              <w:rPr>
                <w:sz w:val="20"/>
                <w:szCs w:val="20"/>
              </w:rPr>
              <w:t>-6.2</w:t>
            </w:r>
          </w:p>
        </w:tc>
      </w:tr>
      <w:tr w:rsidR="00C3312E" w:rsidRPr="00C3312E" w14:paraId="609DDBCF" w14:textId="77777777" w:rsidTr="00CF7974">
        <w:trPr>
          <w:trHeight w:val="215"/>
        </w:trPr>
        <w:tc>
          <w:tcPr>
            <w:tcW w:w="2134" w:type="dxa"/>
            <w:shd w:val="clear" w:color="auto" w:fill="BFBFBF" w:themeFill="background1" w:themeFillShade="BF"/>
          </w:tcPr>
          <w:p w14:paraId="0B948B0F"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74" w:type="dxa"/>
            <w:shd w:val="clear" w:color="auto" w:fill="BFBFBF" w:themeFill="background1" w:themeFillShade="BF"/>
          </w:tcPr>
          <w:p w14:paraId="5CA7833B" w14:textId="77777777" w:rsidR="00C3312E" w:rsidRPr="00C3312E" w:rsidRDefault="00C3312E" w:rsidP="00C3312E">
            <w:pPr>
              <w:spacing w:after="0" w:line="240" w:lineRule="auto"/>
              <w:jc w:val="center"/>
              <w:rPr>
                <w:sz w:val="20"/>
                <w:szCs w:val="20"/>
              </w:rPr>
            </w:pPr>
            <w:r w:rsidRPr="00C3312E">
              <w:rPr>
                <w:sz w:val="20"/>
                <w:szCs w:val="20"/>
              </w:rPr>
              <w:t>2,587</w:t>
            </w:r>
          </w:p>
        </w:tc>
        <w:tc>
          <w:tcPr>
            <w:tcW w:w="1175" w:type="dxa"/>
            <w:shd w:val="clear" w:color="auto" w:fill="BFBFBF" w:themeFill="background1" w:themeFillShade="BF"/>
          </w:tcPr>
          <w:p w14:paraId="216264E6" w14:textId="77777777" w:rsidR="00C3312E" w:rsidRPr="00C3312E" w:rsidRDefault="00C3312E" w:rsidP="00C3312E">
            <w:pPr>
              <w:spacing w:after="0" w:line="240" w:lineRule="auto"/>
              <w:jc w:val="center"/>
              <w:rPr>
                <w:sz w:val="20"/>
                <w:szCs w:val="20"/>
              </w:rPr>
            </w:pPr>
            <w:r w:rsidRPr="00C3312E">
              <w:rPr>
                <w:sz w:val="20"/>
                <w:szCs w:val="20"/>
              </w:rPr>
              <w:t>482.6</w:t>
            </w:r>
          </w:p>
        </w:tc>
        <w:tc>
          <w:tcPr>
            <w:tcW w:w="1175" w:type="dxa"/>
            <w:shd w:val="clear" w:color="auto" w:fill="BFBFBF" w:themeFill="background1" w:themeFillShade="BF"/>
          </w:tcPr>
          <w:p w14:paraId="56C585B3" w14:textId="77777777" w:rsidR="00C3312E" w:rsidRPr="00C3312E" w:rsidRDefault="00C3312E" w:rsidP="00C3312E">
            <w:pPr>
              <w:spacing w:after="0" w:line="240" w:lineRule="auto"/>
              <w:jc w:val="center"/>
              <w:rPr>
                <w:sz w:val="20"/>
                <w:szCs w:val="20"/>
              </w:rPr>
            </w:pPr>
            <w:r w:rsidRPr="00C3312E">
              <w:rPr>
                <w:sz w:val="20"/>
                <w:szCs w:val="20"/>
              </w:rPr>
              <w:t>483.9</w:t>
            </w:r>
          </w:p>
        </w:tc>
        <w:tc>
          <w:tcPr>
            <w:tcW w:w="1092" w:type="dxa"/>
            <w:shd w:val="clear" w:color="auto" w:fill="BFBFBF" w:themeFill="background1" w:themeFillShade="BF"/>
          </w:tcPr>
          <w:p w14:paraId="72A6FC11" w14:textId="77777777" w:rsidR="00C3312E" w:rsidRPr="00C3312E" w:rsidRDefault="00C3312E" w:rsidP="00C3312E">
            <w:pPr>
              <w:spacing w:after="0" w:line="240" w:lineRule="auto"/>
              <w:jc w:val="center"/>
              <w:rPr>
                <w:sz w:val="20"/>
                <w:szCs w:val="20"/>
              </w:rPr>
            </w:pPr>
            <w:r w:rsidRPr="00C3312E">
              <w:rPr>
                <w:sz w:val="20"/>
                <w:szCs w:val="20"/>
              </w:rPr>
              <w:t>1.3</w:t>
            </w:r>
          </w:p>
        </w:tc>
        <w:tc>
          <w:tcPr>
            <w:tcW w:w="1258" w:type="dxa"/>
            <w:shd w:val="clear" w:color="auto" w:fill="BFBFBF" w:themeFill="background1" w:themeFillShade="BF"/>
          </w:tcPr>
          <w:p w14:paraId="0B21026D" w14:textId="77777777" w:rsidR="00C3312E" w:rsidRPr="00C3312E" w:rsidRDefault="00C3312E" w:rsidP="00C3312E">
            <w:pPr>
              <w:spacing w:after="0" w:line="240" w:lineRule="auto"/>
              <w:jc w:val="center"/>
              <w:rPr>
                <w:sz w:val="20"/>
                <w:szCs w:val="20"/>
              </w:rPr>
            </w:pPr>
            <w:r w:rsidRPr="00C3312E">
              <w:rPr>
                <w:sz w:val="20"/>
                <w:szCs w:val="20"/>
              </w:rPr>
              <w:t>490.1</w:t>
            </w:r>
          </w:p>
        </w:tc>
        <w:tc>
          <w:tcPr>
            <w:tcW w:w="1352" w:type="dxa"/>
            <w:shd w:val="clear" w:color="auto" w:fill="BFBFBF" w:themeFill="background1" w:themeFillShade="BF"/>
          </w:tcPr>
          <w:p w14:paraId="0C66D8F5" w14:textId="77777777" w:rsidR="00C3312E" w:rsidRPr="00C3312E" w:rsidRDefault="00C3312E" w:rsidP="00C3312E">
            <w:pPr>
              <w:spacing w:after="0" w:line="240" w:lineRule="auto"/>
              <w:jc w:val="center"/>
              <w:rPr>
                <w:sz w:val="20"/>
                <w:szCs w:val="20"/>
              </w:rPr>
            </w:pPr>
            <w:r w:rsidRPr="00C3312E">
              <w:rPr>
                <w:sz w:val="20"/>
                <w:szCs w:val="20"/>
              </w:rPr>
              <w:t>-6.2</w:t>
            </w:r>
          </w:p>
        </w:tc>
      </w:tr>
      <w:tr w:rsidR="00C3312E" w:rsidRPr="00C3312E" w14:paraId="11E517C7" w14:textId="77777777" w:rsidTr="00CF7974">
        <w:tc>
          <w:tcPr>
            <w:tcW w:w="2134" w:type="dxa"/>
          </w:tcPr>
          <w:p w14:paraId="230685DE"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74" w:type="dxa"/>
          </w:tcPr>
          <w:p w14:paraId="4C4A5E2E" w14:textId="77777777" w:rsidR="00C3312E" w:rsidRPr="00C3312E" w:rsidRDefault="00C3312E" w:rsidP="00C3312E">
            <w:pPr>
              <w:spacing w:after="0" w:line="240" w:lineRule="auto"/>
              <w:jc w:val="center"/>
              <w:rPr>
                <w:sz w:val="20"/>
                <w:szCs w:val="20"/>
              </w:rPr>
            </w:pPr>
            <w:r w:rsidRPr="00C3312E">
              <w:rPr>
                <w:sz w:val="20"/>
                <w:szCs w:val="20"/>
              </w:rPr>
              <w:t>1,703</w:t>
            </w:r>
          </w:p>
        </w:tc>
        <w:tc>
          <w:tcPr>
            <w:tcW w:w="1175" w:type="dxa"/>
          </w:tcPr>
          <w:p w14:paraId="5C0BDDF4" w14:textId="77777777" w:rsidR="00C3312E" w:rsidRPr="00C3312E" w:rsidRDefault="00C3312E" w:rsidP="00C3312E">
            <w:pPr>
              <w:spacing w:after="0" w:line="240" w:lineRule="auto"/>
              <w:jc w:val="center"/>
              <w:rPr>
                <w:sz w:val="20"/>
                <w:szCs w:val="20"/>
              </w:rPr>
            </w:pPr>
            <w:r w:rsidRPr="00C3312E">
              <w:rPr>
                <w:sz w:val="20"/>
                <w:szCs w:val="20"/>
              </w:rPr>
              <w:t>482.2</w:t>
            </w:r>
          </w:p>
        </w:tc>
        <w:tc>
          <w:tcPr>
            <w:tcW w:w="1175" w:type="dxa"/>
          </w:tcPr>
          <w:p w14:paraId="4E4ED246" w14:textId="77777777" w:rsidR="00C3312E" w:rsidRPr="00C3312E" w:rsidRDefault="00C3312E" w:rsidP="00C3312E">
            <w:pPr>
              <w:spacing w:after="0" w:line="240" w:lineRule="auto"/>
              <w:jc w:val="center"/>
              <w:rPr>
                <w:sz w:val="20"/>
                <w:szCs w:val="20"/>
              </w:rPr>
            </w:pPr>
            <w:r w:rsidRPr="00C3312E">
              <w:rPr>
                <w:sz w:val="20"/>
                <w:szCs w:val="20"/>
              </w:rPr>
              <w:t>483.2</w:t>
            </w:r>
          </w:p>
        </w:tc>
        <w:tc>
          <w:tcPr>
            <w:tcW w:w="1092" w:type="dxa"/>
          </w:tcPr>
          <w:p w14:paraId="40E5B234" w14:textId="77777777" w:rsidR="00C3312E" w:rsidRPr="00C3312E" w:rsidRDefault="00C3312E" w:rsidP="00C3312E">
            <w:pPr>
              <w:spacing w:after="0" w:line="240" w:lineRule="auto"/>
              <w:jc w:val="center"/>
              <w:rPr>
                <w:sz w:val="20"/>
                <w:szCs w:val="20"/>
              </w:rPr>
            </w:pPr>
            <w:r w:rsidRPr="00C3312E">
              <w:rPr>
                <w:sz w:val="20"/>
                <w:szCs w:val="20"/>
              </w:rPr>
              <w:t>1.0</w:t>
            </w:r>
          </w:p>
        </w:tc>
        <w:tc>
          <w:tcPr>
            <w:tcW w:w="1258" w:type="dxa"/>
          </w:tcPr>
          <w:p w14:paraId="46F24883" w14:textId="77777777" w:rsidR="00C3312E" w:rsidRPr="00C3312E" w:rsidRDefault="00C3312E" w:rsidP="00C3312E">
            <w:pPr>
              <w:spacing w:after="0" w:line="240" w:lineRule="auto"/>
              <w:jc w:val="center"/>
              <w:rPr>
                <w:sz w:val="20"/>
                <w:szCs w:val="20"/>
              </w:rPr>
            </w:pPr>
            <w:r w:rsidRPr="00C3312E">
              <w:rPr>
                <w:sz w:val="20"/>
                <w:szCs w:val="20"/>
              </w:rPr>
              <w:t>490.2</w:t>
            </w:r>
          </w:p>
        </w:tc>
        <w:tc>
          <w:tcPr>
            <w:tcW w:w="1352" w:type="dxa"/>
          </w:tcPr>
          <w:p w14:paraId="57D49857" w14:textId="77777777" w:rsidR="00C3312E" w:rsidRPr="00C3312E" w:rsidRDefault="00C3312E" w:rsidP="00C3312E">
            <w:pPr>
              <w:spacing w:after="0" w:line="240" w:lineRule="auto"/>
              <w:jc w:val="center"/>
              <w:rPr>
                <w:sz w:val="20"/>
                <w:szCs w:val="20"/>
              </w:rPr>
            </w:pPr>
            <w:r w:rsidRPr="00C3312E">
              <w:rPr>
                <w:sz w:val="20"/>
                <w:szCs w:val="20"/>
              </w:rPr>
              <w:t>-7.0</w:t>
            </w:r>
          </w:p>
        </w:tc>
      </w:tr>
      <w:tr w:rsidR="00C3312E" w:rsidRPr="00C3312E" w14:paraId="6B971754" w14:textId="77777777" w:rsidTr="00CF7974">
        <w:tc>
          <w:tcPr>
            <w:tcW w:w="2134" w:type="dxa"/>
            <w:shd w:val="clear" w:color="auto" w:fill="BFBFBF" w:themeFill="background1" w:themeFillShade="BF"/>
          </w:tcPr>
          <w:p w14:paraId="1CCDDC6D"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74" w:type="dxa"/>
            <w:shd w:val="clear" w:color="auto" w:fill="BFBFBF" w:themeFill="background1" w:themeFillShade="BF"/>
          </w:tcPr>
          <w:p w14:paraId="208DFEBE" w14:textId="77777777" w:rsidR="00C3312E" w:rsidRPr="00C3312E" w:rsidRDefault="00C3312E" w:rsidP="00C3312E">
            <w:pPr>
              <w:spacing w:after="0" w:line="240" w:lineRule="auto"/>
              <w:jc w:val="center"/>
              <w:rPr>
                <w:sz w:val="20"/>
                <w:szCs w:val="20"/>
              </w:rPr>
            </w:pPr>
            <w:r w:rsidRPr="00C3312E">
              <w:rPr>
                <w:sz w:val="20"/>
                <w:szCs w:val="20"/>
              </w:rPr>
              <w:t>1,160</w:t>
            </w:r>
          </w:p>
        </w:tc>
        <w:tc>
          <w:tcPr>
            <w:tcW w:w="1175" w:type="dxa"/>
            <w:shd w:val="clear" w:color="auto" w:fill="BFBFBF" w:themeFill="background1" w:themeFillShade="BF"/>
          </w:tcPr>
          <w:p w14:paraId="02727AE5" w14:textId="77777777" w:rsidR="00C3312E" w:rsidRPr="00C3312E" w:rsidRDefault="00C3312E" w:rsidP="00C3312E">
            <w:pPr>
              <w:spacing w:after="0" w:line="240" w:lineRule="auto"/>
              <w:jc w:val="center"/>
              <w:rPr>
                <w:sz w:val="20"/>
                <w:szCs w:val="20"/>
              </w:rPr>
            </w:pPr>
            <w:r w:rsidRPr="00C3312E">
              <w:rPr>
                <w:sz w:val="20"/>
                <w:szCs w:val="20"/>
              </w:rPr>
              <w:t>475.6</w:t>
            </w:r>
          </w:p>
        </w:tc>
        <w:tc>
          <w:tcPr>
            <w:tcW w:w="1175" w:type="dxa"/>
            <w:shd w:val="clear" w:color="auto" w:fill="BFBFBF" w:themeFill="background1" w:themeFillShade="BF"/>
          </w:tcPr>
          <w:p w14:paraId="7CE15BAF" w14:textId="77777777" w:rsidR="00C3312E" w:rsidRPr="00C3312E" w:rsidRDefault="00C3312E" w:rsidP="00C3312E">
            <w:pPr>
              <w:spacing w:after="0" w:line="240" w:lineRule="auto"/>
              <w:jc w:val="center"/>
              <w:rPr>
                <w:sz w:val="20"/>
                <w:szCs w:val="20"/>
              </w:rPr>
            </w:pPr>
            <w:r w:rsidRPr="00C3312E">
              <w:rPr>
                <w:sz w:val="20"/>
                <w:szCs w:val="20"/>
              </w:rPr>
              <w:t>475.8</w:t>
            </w:r>
          </w:p>
        </w:tc>
        <w:tc>
          <w:tcPr>
            <w:tcW w:w="1092" w:type="dxa"/>
            <w:shd w:val="clear" w:color="auto" w:fill="BFBFBF" w:themeFill="background1" w:themeFillShade="BF"/>
          </w:tcPr>
          <w:p w14:paraId="6C874721" w14:textId="77777777" w:rsidR="00C3312E" w:rsidRPr="00C3312E" w:rsidRDefault="00C3312E" w:rsidP="00C3312E">
            <w:pPr>
              <w:spacing w:after="0" w:line="240" w:lineRule="auto"/>
              <w:jc w:val="center"/>
              <w:rPr>
                <w:sz w:val="20"/>
                <w:szCs w:val="20"/>
              </w:rPr>
            </w:pPr>
            <w:r w:rsidRPr="00C3312E">
              <w:rPr>
                <w:sz w:val="20"/>
                <w:szCs w:val="20"/>
              </w:rPr>
              <w:t>0.2</w:t>
            </w:r>
          </w:p>
        </w:tc>
        <w:tc>
          <w:tcPr>
            <w:tcW w:w="1258" w:type="dxa"/>
            <w:shd w:val="clear" w:color="auto" w:fill="BFBFBF" w:themeFill="background1" w:themeFillShade="BF"/>
          </w:tcPr>
          <w:p w14:paraId="1CC0A5D1" w14:textId="77777777" w:rsidR="00C3312E" w:rsidRPr="00C3312E" w:rsidRDefault="00C3312E" w:rsidP="00C3312E">
            <w:pPr>
              <w:spacing w:after="0" w:line="240" w:lineRule="auto"/>
              <w:jc w:val="center"/>
              <w:rPr>
                <w:sz w:val="20"/>
                <w:szCs w:val="20"/>
              </w:rPr>
            </w:pPr>
            <w:r w:rsidRPr="00C3312E">
              <w:rPr>
                <w:sz w:val="20"/>
                <w:szCs w:val="20"/>
              </w:rPr>
              <w:t>480.8</w:t>
            </w:r>
          </w:p>
        </w:tc>
        <w:tc>
          <w:tcPr>
            <w:tcW w:w="1352" w:type="dxa"/>
            <w:shd w:val="clear" w:color="auto" w:fill="BFBFBF" w:themeFill="background1" w:themeFillShade="BF"/>
          </w:tcPr>
          <w:p w14:paraId="25A5FAE6" w14:textId="77777777" w:rsidR="00C3312E" w:rsidRPr="00C3312E" w:rsidRDefault="00C3312E" w:rsidP="00C3312E">
            <w:pPr>
              <w:spacing w:after="0" w:line="240" w:lineRule="auto"/>
              <w:jc w:val="center"/>
              <w:rPr>
                <w:sz w:val="20"/>
                <w:szCs w:val="20"/>
              </w:rPr>
            </w:pPr>
            <w:r w:rsidRPr="00C3312E">
              <w:rPr>
                <w:sz w:val="20"/>
                <w:szCs w:val="20"/>
              </w:rPr>
              <w:t>-5.0</w:t>
            </w:r>
          </w:p>
        </w:tc>
      </w:tr>
      <w:tr w:rsidR="00C3312E" w:rsidRPr="00C3312E" w14:paraId="4FBA79A6" w14:textId="77777777" w:rsidTr="00CF7974">
        <w:tc>
          <w:tcPr>
            <w:tcW w:w="2134" w:type="dxa"/>
          </w:tcPr>
          <w:p w14:paraId="1E66E030" w14:textId="11D2B5F0"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1174" w:type="dxa"/>
          </w:tcPr>
          <w:p w14:paraId="6BB34FDA" w14:textId="77777777" w:rsidR="00C3312E" w:rsidRPr="00C3312E" w:rsidRDefault="00C3312E" w:rsidP="00C3312E">
            <w:pPr>
              <w:spacing w:after="0" w:line="240" w:lineRule="auto"/>
              <w:jc w:val="center"/>
              <w:rPr>
                <w:sz w:val="20"/>
                <w:szCs w:val="20"/>
              </w:rPr>
            </w:pPr>
            <w:r w:rsidRPr="00C3312E">
              <w:rPr>
                <w:sz w:val="20"/>
                <w:szCs w:val="20"/>
              </w:rPr>
              <w:t>1,313</w:t>
            </w:r>
          </w:p>
        </w:tc>
        <w:tc>
          <w:tcPr>
            <w:tcW w:w="1175" w:type="dxa"/>
          </w:tcPr>
          <w:p w14:paraId="590B43CC" w14:textId="77777777" w:rsidR="00C3312E" w:rsidRPr="00C3312E" w:rsidRDefault="00C3312E" w:rsidP="00C3312E">
            <w:pPr>
              <w:spacing w:after="0" w:line="240" w:lineRule="auto"/>
              <w:jc w:val="center"/>
              <w:rPr>
                <w:sz w:val="20"/>
                <w:szCs w:val="20"/>
              </w:rPr>
            </w:pPr>
            <w:r w:rsidRPr="00C3312E">
              <w:rPr>
                <w:sz w:val="20"/>
                <w:szCs w:val="20"/>
              </w:rPr>
              <w:t>477.9</w:t>
            </w:r>
          </w:p>
        </w:tc>
        <w:tc>
          <w:tcPr>
            <w:tcW w:w="1175" w:type="dxa"/>
          </w:tcPr>
          <w:p w14:paraId="2034CEA4" w14:textId="77777777" w:rsidR="00C3312E" w:rsidRPr="00C3312E" w:rsidRDefault="00C3312E" w:rsidP="00C3312E">
            <w:pPr>
              <w:spacing w:after="0" w:line="240" w:lineRule="auto"/>
              <w:jc w:val="center"/>
              <w:rPr>
                <w:sz w:val="20"/>
                <w:szCs w:val="20"/>
              </w:rPr>
            </w:pPr>
            <w:r w:rsidRPr="00C3312E">
              <w:rPr>
                <w:sz w:val="20"/>
                <w:szCs w:val="20"/>
              </w:rPr>
              <w:t>481.7</w:t>
            </w:r>
          </w:p>
        </w:tc>
        <w:tc>
          <w:tcPr>
            <w:tcW w:w="1092" w:type="dxa"/>
          </w:tcPr>
          <w:p w14:paraId="24E821C7" w14:textId="77777777" w:rsidR="00C3312E" w:rsidRPr="00C3312E" w:rsidRDefault="00C3312E" w:rsidP="00C3312E">
            <w:pPr>
              <w:spacing w:after="0" w:line="240" w:lineRule="auto"/>
              <w:jc w:val="center"/>
              <w:rPr>
                <w:sz w:val="20"/>
                <w:szCs w:val="20"/>
              </w:rPr>
            </w:pPr>
            <w:r w:rsidRPr="00C3312E">
              <w:rPr>
                <w:sz w:val="20"/>
                <w:szCs w:val="20"/>
              </w:rPr>
              <w:t>3.8</w:t>
            </w:r>
          </w:p>
        </w:tc>
        <w:tc>
          <w:tcPr>
            <w:tcW w:w="1258" w:type="dxa"/>
          </w:tcPr>
          <w:p w14:paraId="78648B9B" w14:textId="77777777" w:rsidR="00C3312E" w:rsidRPr="00C3312E" w:rsidRDefault="00C3312E" w:rsidP="00C3312E">
            <w:pPr>
              <w:spacing w:after="0" w:line="240" w:lineRule="auto"/>
              <w:jc w:val="center"/>
              <w:rPr>
                <w:sz w:val="20"/>
                <w:szCs w:val="20"/>
              </w:rPr>
            </w:pPr>
            <w:r w:rsidRPr="00C3312E">
              <w:rPr>
                <w:sz w:val="20"/>
                <w:szCs w:val="20"/>
              </w:rPr>
              <w:t>488.4</w:t>
            </w:r>
          </w:p>
        </w:tc>
        <w:tc>
          <w:tcPr>
            <w:tcW w:w="1352" w:type="dxa"/>
          </w:tcPr>
          <w:p w14:paraId="444CC1FA" w14:textId="77777777" w:rsidR="00C3312E" w:rsidRPr="00C3312E" w:rsidRDefault="00C3312E" w:rsidP="00C3312E">
            <w:pPr>
              <w:spacing w:after="0" w:line="240" w:lineRule="auto"/>
              <w:jc w:val="center"/>
              <w:rPr>
                <w:sz w:val="20"/>
                <w:szCs w:val="20"/>
              </w:rPr>
            </w:pPr>
            <w:r w:rsidRPr="00C3312E">
              <w:rPr>
                <w:sz w:val="20"/>
                <w:szCs w:val="20"/>
              </w:rPr>
              <w:t>-6.7</w:t>
            </w:r>
          </w:p>
        </w:tc>
      </w:tr>
      <w:tr w:rsidR="00C3312E" w:rsidRPr="00C3312E" w14:paraId="2FA0F35D" w14:textId="77777777" w:rsidTr="00CF7974">
        <w:tc>
          <w:tcPr>
            <w:tcW w:w="2134" w:type="dxa"/>
            <w:tcBorders>
              <w:bottom w:val="single" w:sz="4" w:space="0" w:color="auto"/>
            </w:tcBorders>
            <w:shd w:val="clear" w:color="auto" w:fill="BFBFBF" w:themeFill="background1" w:themeFillShade="BF"/>
          </w:tcPr>
          <w:p w14:paraId="3FD9A960"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74" w:type="dxa"/>
            <w:tcBorders>
              <w:bottom w:val="single" w:sz="4" w:space="0" w:color="auto"/>
            </w:tcBorders>
            <w:shd w:val="clear" w:color="auto" w:fill="BFBFBF" w:themeFill="background1" w:themeFillShade="BF"/>
          </w:tcPr>
          <w:p w14:paraId="1C439A13" w14:textId="77777777" w:rsidR="00C3312E" w:rsidRPr="00C3312E" w:rsidRDefault="00C3312E" w:rsidP="00C3312E">
            <w:pPr>
              <w:spacing w:after="0" w:line="240" w:lineRule="auto"/>
              <w:jc w:val="center"/>
              <w:rPr>
                <w:sz w:val="20"/>
                <w:szCs w:val="20"/>
              </w:rPr>
            </w:pPr>
            <w:r w:rsidRPr="00C3312E">
              <w:rPr>
                <w:sz w:val="20"/>
                <w:szCs w:val="20"/>
              </w:rPr>
              <w:t>4,080</w:t>
            </w:r>
          </w:p>
        </w:tc>
        <w:tc>
          <w:tcPr>
            <w:tcW w:w="1175" w:type="dxa"/>
            <w:tcBorders>
              <w:bottom w:val="single" w:sz="4" w:space="0" w:color="auto"/>
            </w:tcBorders>
            <w:shd w:val="clear" w:color="auto" w:fill="BFBFBF" w:themeFill="background1" w:themeFillShade="BF"/>
          </w:tcPr>
          <w:p w14:paraId="687A8857" w14:textId="77777777" w:rsidR="00C3312E" w:rsidRPr="00C3312E" w:rsidRDefault="00C3312E" w:rsidP="00C3312E">
            <w:pPr>
              <w:spacing w:after="0" w:line="240" w:lineRule="auto"/>
              <w:jc w:val="center"/>
              <w:rPr>
                <w:sz w:val="20"/>
                <w:szCs w:val="20"/>
              </w:rPr>
            </w:pPr>
            <w:r w:rsidRPr="00C3312E">
              <w:rPr>
                <w:sz w:val="20"/>
                <w:szCs w:val="20"/>
              </w:rPr>
              <w:t>492.5</w:t>
            </w:r>
          </w:p>
        </w:tc>
        <w:tc>
          <w:tcPr>
            <w:tcW w:w="1175" w:type="dxa"/>
            <w:tcBorders>
              <w:bottom w:val="single" w:sz="4" w:space="0" w:color="auto"/>
            </w:tcBorders>
            <w:shd w:val="clear" w:color="auto" w:fill="BFBFBF" w:themeFill="background1" w:themeFillShade="BF"/>
          </w:tcPr>
          <w:p w14:paraId="3FCD6FB6" w14:textId="77777777" w:rsidR="00C3312E" w:rsidRPr="00C3312E" w:rsidRDefault="00C3312E" w:rsidP="00C3312E">
            <w:pPr>
              <w:spacing w:after="0" w:line="240" w:lineRule="auto"/>
              <w:jc w:val="center"/>
              <w:rPr>
                <w:sz w:val="20"/>
                <w:szCs w:val="20"/>
              </w:rPr>
            </w:pPr>
            <w:r w:rsidRPr="00C3312E">
              <w:rPr>
                <w:sz w:val="20"/>
                <w:szCs w:val="20"/>
              </w:rPr>
              <w:t>493.6</w:t>
            </w:r>
          </w:p>
        </w:tc>
        <w:tc>
          <w:tcPr>
            <w:tcW w:w="1092" w:type="dxa"/>
            <w:tcBorders>
              <w:bottom w:val="single" w:sz="4" w:space="0" w:color="auto"/>
            </w:tcBorders>
            <w:shd w:val="clear" w:color="auto" w:fill="BFBFBF" w:themeFill="background1" w:themeFillShade="BF"/>
          </w:tcPr>
          <w:p w14:paraId="4743677E" w14:textId="77777777" w:rsidR="00C3312E" w:rsidRPr="00C3312E" w:rsidRDefault="00C3312E" w:rsidP="00C3312E">
            <w:pPr>
              <w:spacing w:after="0" w:line="240" w:lineRule="auto"/>
              <w:jc w:val="center"/>
              <w:rPr>
                <w:sz w:val="20"/>
                <w:szCs w:val="20"/>
              </w:rPr>
            </w:pPr>
            <w:r w:rsidRPr="00C3312E">
              <w:rPr>
                <w:sz w:val="20"/>
                <w:szCs w:val="20"/>
              </w:rPr>
              <w:t>1.1</w:t>
            </w:r>
          </w:p>
        </w:tc>
        <w:tc>
          <w:tcPr>
            <w:tcW w:w="1258" w:type="dxa"/>
            <w:tcBorders>
              <w:bottom w:val="single" w:sz="4" w:space="0" w:color="auto"/>
            </w:tcBorders>
            <w:shd w:val="clear" w:color="auto" w:fill="BFBFBF" w:themeFill="background1" w:themeFillShade="BF"/>
          </w:tcPr>
          <w:p w14:paraId="7FE62676" w14:textId="77777777" w:rsidR="00C3312E" w:rsidRPr="00C3312E" w:rsidRDefault="00C3312E" w:rsidP="00C3312E">
            <w:pPr>
              <w:spacing w:after="0" w:line="240" w:lineRule="auto"/>
              <w:jc w:val="center"/>
              <w:rPr>
                <w:sz w:val="20"/>
                <w:szCs w:val="20"/>
              </w:rPr>
            </w:pPr>
            <w:r w:rsidRPr="00C3312E">
              <w:rPr>
                <w:sz w:val="20"/>
                <w:szCs w:val="20"/>
              </w:rPr>
              <w:t>500.5</w:t>
            </w:r>
          </w:p>
        </w:tc>
        <w:tc>
          <w:tcPr>
            <w:tcW w:w="1352" w:type="dxa"/>
            <w:tcBorders>
              <w:bottom w:val="single" w:sz="4" w:space="0" w:color="auto"/>
            </w:tcBorders>
            <w:shd w:val="clear" w:color="auto" w:fill="BFBFBF" w:themeFill="background1" w:themeFillShade="BF"/>
          </w:tcPr>
          <w:p w14:paraId="3B5E66F7" w14:textId="77777777" w:rsidR="00C3312E" w:rsidRPr="00C3312E" w:rsidRDefault="00C3312E" w:rsidP="00C3312E">
            <w:pPr>
              <w:spacing w:after="0" w:line="240" w:lineRule="auto"/>
              <w:jc w:val="center"/>
              <w:rPr>
                <w:sz w:val="20"/>
                <w:szCs w:val="20"/>
              </w:rPr>
            </w:pPr>
            <w:r w:rsidRPr="00C3312E">
              <w:rPr>
                <w:sz w:val="20"/>
                <w:szCs w:val="20"/>
              </w:rPr>
              <w:t>-6.9</w:t>
            </w:r>
          </w:p>
        </w:tc>
      </w:tr>
      <w:tr w:rsidR="00C3312E" w:rsidRPr="00C3312E" w14:paraId="71A15122" w14:textId="77777777" w:rsidTr="00CF7974">
        <w:tc>
          <w:tcPr>
            <w:tcW w:w="9360" w:type="dxa"/>
            <w:gridSpan w:val="7"/>
            <w:tcBorders>
              <w:left w:val="nil"/>
              <w:bottom w:val="nil"/>
              <w:right w:val="nil"/>
            </w:tcBorders>
          </w:tcPr>
          <w:p w14:paraId="4CA50443" w14:textId="7694D4F6" w:rsidR="00C3312E" w:rsidRPr="00C3312E" w:rsidRDefault="00C3312E" w:rsidP="00EC5B5A">
            <w:pPr>
              <w:spacing w:before="60" w:after="0" w:line="240" w:lineRule="auto"/>
              <w:rPr>
                <w:rFonts w:cs="Times New Roman"/>
              </w:rPr>
            </w:pPr>
            <w:r w:rsidRPr="00C3312E">
              <w:rPr>
                <w:rFonts w:ascii="Calibri" w:hAnsi="Calibri"/>
                <w:sz w:val="18"/>
                <w:szCs w:val="18"/>
              </w:rPr>
              <w:t>Next Generation MCAS Achievement Levels: 440</w:t>
            </w:r>
            <w:r w:rsidR="000F7DAF">
              <w:rPr>
                <w:rFonts w:ascii="Calibri" w:hAnsi="Calibri"/>
                <w:sz w:val="18"/>
                <w:szCs w:val="18"/>
              </w:rPr>
              <w:t>–</w:t>
            </w:r>
            <w:r w:rsidRPr="00C3312E">
              <w:rPr>
                <w:rFonts w:ascii="Calibri" w:hAnsi="Calibri"/>
                <w:sz w:val="18"/>
                <w:szCs w:val="18"/>
              </w:rPr>
              <w:t>470 Not Meeting Expectations; 470</w:t>
            </w:r>
            <w:r w:rsidR="000F7DAF">
              <w:rPr>
                <w:rFonts w:ascii="Calibri" w:hAnsi="Calibri"/>
                <w:sz w:val="18"/>
                <w:szCs w:val="18"/>
              </w:rPr>
              <w:t>–</w:t>
            </w:r>
            <w:r w:rsidRPr="00C3312E">
              <w:rPr>
                <w:rFonts w:ascii="Calibri" w:hAnsi="Calibri"/>
                <w:sz w:val="18"/>
                <w:szCs w:val="18"/>
              </w:rPr>
              <w:t>500 Partially Meeting Expectations; 500</w:t>
            </w:r>
            <w:r w:rsidR="000F7DAF">
              <w:rPr>
                <w:rFonts w:ascii="Calibri" w:hAnsi="Calibri"/>
                <w:sz w:val="18"/>
                <w:szCs w:val="18"/>
              </w:rPr>
              <w:t>–</w:t>
            </w:r>
            <w:r w:rsidRPr="00C3312E">
              <w:rPr>
                <w:rFonts w:ascii="Calibri" w:hAnsi="Calibri"/>
                <w:sz w:val="18"/>
                <w:szCs w:val="18"/>
              </w:rPr>
              <w:t>530 Meeting Expectations; 530</w:t>
            </w:r>
            <w:r w:rsidR="000F7DAF">
              <w:rPr>
                <w:rFonts w:ascii="Calibri" w:hAnsi="Calibri"/>
                <w:sz w:val="18"/>
                <w:szCs w:val="18"/>
              </w:rPr>
              <w:t>–</w:t>
            </w:r>
            <w:r w:rsidRPr="00C3312E">
              <w:rPr>
                <w:rFonts w:ascii="Calibri" w:hAnsi="Calibri"/>
                <w:sz w:val="18"/>
                <w:szCs w:val="18"/>
              </w:rPr>
              <w:t>560 Exceeding Expectations</w:t>
            </w:r>
          </w:p>
        </w:tc>
      </w:tr>
    </w:tbl>
    <w:p w14:paraId="54B27A8A" w14:textId="77777777" w:rsidR="00C3312E" w:rsidRPr="00C3312E" w:rsidRDefault="00C3312E" w:rsidP="00C3312E">
      <w:pPr>
        <w:spacing w:after="0"/>
        <w:rPr>
          <w:rFonts w:cs="Times New Roman"/>
        </w:rPr>
      </w:pPr>
    </w:p>
    <w:tbl>
      <w:tblPr>
        <w:tblStyle w:val="TableGrid5"/>
        <w:tblW w:w="0" w:type="auto"/>
        <w:tblLook w:val="00A0" w:firstRow="1" w:lastRow="0" w:firstColumn="1" w:lastColumn="0" w:noHBand="0" w:noVBand="0"/>
        <w:tblCaption w:val="Table 4: Framingham Public Schools  "/>
        <w:tblDescription w:val="Next-Generation MCAS Math Scaled Scores Grades 3–8, 2017–2018&#10;"/>
      </w:tblPr>
      <w:tblGrid>
        <w:gridCol w:w="2159"/>
        <w:gridCol w:w="1169"/>
        <w:gridCol w:w="1170"/>
        <w:gridCol w:w="1170"/>
        <w:gridCol w:w="1082"/>
        <w:gridCol w:w="1258"/>
        <w:gridCol w:w="1352"/>
      </w:tblGrid>
      <w:tr w:rsidR="00C3312E" w:rsidRPr="00C3312E" w14:paraId="4D38B991" w14:textId="77777777" w:rsidTr="00CF7974">
        <w:tc>
          <w:tcPr>
            <w:tcW w:w="9360" w:type="dxa"/>
            <w:gridSpan w:val="7"/>
            <w:tcBorders>
              <w:top w:val="nil"/>
              <w:left w:val="nil"/>
              <w:right w:val="nil"/>
            </w:tcBorders>
          </w:tcPr>
          <w:p w14:paraId="5E13DD44"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4: Framingham Public Schools</w:t>
            </w:r>
          </w:p>
          <w:p w14:paraId="3B1C7170" w14:textId="0784AF8E" w:rsidR="00C3312E" w:rsidRPr="00C3312E" w:rsidRDefault="00C3312E" w:rsidP="00864680">
            <w:pPr>
              <w:spacing w:after="0" w:line="240" w:lineRule="auto"/>
              <w:jc w:val="center"/>
              <w:rPr>
                <w:rFonts w:cs="Times New Roman"/>
              </w:rPr>
            </w:pPr>
            <w:r w:rsidRPr="00C3312E">
              <w:rPr>
                <w:rFonts w:cs="Times New Roman"/>
                <w:b/>
                <w:sz w:val="20"/>
                <w:szCs w:val="20"/>
              </w:rPr>
              <w:t xml:space="preserve">Next-Generation MCAS Math Scaled Scores </w:t>
            </w:r>
            <w:r w:rsidR="005C0876">
              <w:rPr>
                <w:rFonts w:cs="Times New Roman"/>
                <w:b/>
                <w:sz w:val="20"/>
                <w:szCs w:val="20"/>
              </w:rPr>
              <w:t>G</w:t>
            </w:r>
            <w:r w:rsidR="005C0876" w:rsidRPr="00C3312E">
              <w:rPr>
                <w:rFonts w:cs="Times New Roman"/>
                <w:b/>
                <w:sz w:val="20"/>
                <w:szCs w:val="20"/>
              </w:rPr>
              <w:t xml:space="preserve">rades </w:t>
            </w:r>
            <w:r w:rsidRPr="00C3312E">
              <w:rPr>
                <w:rFonts w:cs="Times New Roman"/>
                <w:b/>
                <w:sz w:val="20"/>
                <w:szCs w:val="20"/>
              </w:rPr>
              <w:t>3</w:t>
            </w:r>
            <w:r w:rsidR="000F7DAF">
              <w:rPr>
                <w:rFonts w:cs="Times New Roman"/>
                <w:b/>
                <w:sz w:val="20"/>
                <w:szCs w:val="20"/>
              </w:rPr>
              <w:t>–</w:t>
            </w:r>
            <w:r w:rsidRPr="00C3312E">
              <w:rPr>
                <w:rFonts w:cs="Times New Roman"/>
                <w:b/>
                <w:sz w:val="20"/>
                <w:szCs w:val="20"/>
              </w:rPr>
              <w:t>8, 2017</w:t>
            </w:r>
            <w:r w:rsidR="000F7DAF">
              <w:rPr>
                <w:rFonts w:cs="Times New Roman"/>
                <w:b/>
                <w:sz w:val="20"/>
                <w:szCs w:val="20"/>
              </w:rPr>
              <w:t>–</w:t>
            </w:r>
            <w:r w:rsidRPr="00C3312E">
              <w:rPr>
                <w:rFonts w:cs="Times New Roman"/>
                <w:b/>
                <w:sz w:val="20"/>
                <w:szCs w:val="20"/>
              </w:rPr>
              <w:t>2018</w:t>
            </w:r>
          </w:p>
        </w:tc>
      </w:tr>
      <w:tr w:rsidR="00C3312E" w:rsidRPr="00C3312E" w14:paraId="725D392E" w14:textId="77777777" w:rsidTr="00CF7974">
        <w:tc>
          <w:tcPr>
            <w:tcW w:w="2159" w:type="dxa"/>
            <w:shd w:val="clear" w:color="auto" w:fill="BFBFBF" w:themeFill="background1" w:themeFillShade="BF"/>
          </w:tcPr>
          <w:p w14:paraId="1433CE63" w14:textId="77777777" w:rsidR="00C3312E" w:rsidRPr="00C3312E" w:rsidRDefault="00C3312E" w:rsidP="00EC5B5A">
            <w:pPr>
              <w:spacing w:after="0" w:line="240" w:lineRule="auto"/>
              <w:rPr>
                <w:rFonts w:cs="Times New Roman"/>
                <w:b/>
                <w:sz w:val="20"/>
                <w:szCs w:val="20"/>
              </w:rPr>
            </w:pPr>
            <w:r w:rsidRPr="00C3312E">
              <w:rPr>
                <w:rFonts w:cs="Times New Roman"/>
                <w:b/>
                <w:sz w:val="20"/>
                <w:szCs w:val="20"/>
              </w:rPr>
              <w:t>Group</w:t>
            </w:r>
          </w:p>
        </w:tc>
        <w:tc>
          <w:tcPr>
            <w:tcW w:w="1169" w:type="dxa"/>
            <w:shd w:val="clear" w:color="auto" w:fill="BFBFBF" w:themeFill="background1" w:themeFillShade="BF"/>
          </w:tcPr>
          <w:p w14:paraId="22817639"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170" w:type="dxa"/>
            <w:shd w:val="clear" w:color="auto" w:fill="BFBFBF" w:themeFill="background1" w:themeFillShade="BF"/>
          </w:tcPr>
          <w:p w14:paraId="5BA11C68"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2017</w:t>
            </w:r>
          </w:p>
        </w:tc>
        <w:tc>
          <w:tcPr>
            <w:tcW w:w="1170" w:type="dxa"/>
            <w:shd w:val="clear" w:color="auto" w:fill="BFBFBF" w:themeFill="background1" w:themeFillShade="BF"/>
          </w:tcPr>
          <w:p w14:paraId="4ECBA85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082" w:type="dxa"/>
            <w:shd w:val="clear" w:color="auto" w:fill="BFBFBF" w:themeFill="background1" w:themeFillShade="BF"/>
          </w:tcPr>
          <w:p w14:paraId="76069E72"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Change</w:t>
            </w:r>
          </w:p>
        </w:tc>
        <w:tc>
          <w:tcPr>
            <w:tcW w:w="1258" w:type="dxa"/>
            <w:shd w:val="clear" w:color="auto" w:fill="BFBFBF" w:themeFill="background1" w:themeFillShade="BF"/>
          </w:tcPr>
          <w:p w14:paraId="76F97120"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 (2018)</w:t>
            </w:r>
          </w:p>
        </w:tc>
        <w:tc>
          <w:tcPr>
            <w:tcW w:w="1352" w:type="dxa"/>
            <w:shd w:val="clear" w:color="auto" w:fill="BFBFBF" w:themeFill="background1" w:themeFillShade="BF"/>
          </w:tcPr>
          <w:p w14:paraId="5A75C040"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Above/Below</w:t>
            </w:r>
          </w:p>
        </w:tc>
      </w:tr>
      <w:tr w:rsidR="00C3312E" w:rsidRPr="00C3312E" w14:paraId="4A182B29" w14:textId="77777777" w:rsidTr="00CF7974">
        <w:tc>
          <w:tcPr>
            <w:tcW w:w="2159" w:type="dxa"/>
          </w:tcPr>
          <w:p w14:paraId="7D67830F"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69" w:type="dxa"/>
          </w:tcPr>
          <w:p w14:paraId="071BBF47" w14:textId="77777777" w:rsidR="00C3312E" w:rsidRPr="00C3312E" w:rsidRDefault="00C3312E" w:rsidP="00C3312E">
            <w:pPr>
              <w:spacing w:after="0" w:line="240" w:lineRule="auto"/>
              <w:jc w:val="center"/>
              <w:rPr>
                <w:sz w:val="20"/>
                <w:szCs w:val="20"/>
              </w:rPr>
            </w:pPr>
            <w:r w:rsidRPr="00C3312E">
              <w:rPr>
                <w:sz w:val="20"/>
                <w:szCs w:val="20"/>
              </w:rPr>
              <w:t>274</w:t>
            </w:r>
          </w:p>
        </w:tc>
        <w:tc>
          <w:tcPr>
            <w:tcW w:w="1170" w:type="dxa"/>
          </w:tcPr>
          <w:p w14:paraId="4E85BEC4" w14:textId="77777777" w:rsidR="00C3312E" w:rsidRPr="00C3312E" w:rsidRDefault="00C3312E" w:rsidP="00C3312E">
            <w:pPr>
              <w:spacing w:after="0" w:line="240" w:lineRule="auto"/>
              <w:jc w:val="center"/>
              <w:rPr>
                <w:sz w:val="20"/>
                <w:szCs w:val="20"/>
              </w:rPr>
            </w:pPr>
            <w:r w:rsidRPr="00C3312E">
              <w:rPr>
                <w:sz w:val="20"/>
                <w:szCs w:val="20"/>
              </w:rPr>
              <w:t>482.7</w:t>
            </w:r>
          </w:p>
        </w:tc>
        <w:tc>
          <w:tcPr>
            <w:tcW w:w="1170" w:type="dxa"/>
          </w:tcPr>
          <w:p w14:paraId="7BF432FA" w14:textId="77777777" w:rsidR="00C3312E" w:rsidRPr="00C3312E" w:rsidRDefault="00C3312E" w:rsidP="00C3312E">
            <w:pPr>
              <w:spacing w:after="0" w:line="240" w:lineRule="auto"/>
              <w:jc w:val="center"/>
              <w:rPr>
                <w:sz w:val="20"/>
                <w:szCs w:val="20"/>
              </w:rPr>
            </w:pPr>
            <w:r w:rsidRPr="00C3312E">
              <w:rPr>
                <w:sz w:val="20"/>
                <w:szCs w:val="20"/>
              </w:rPr>
              <w:t>484.1</w:t>
            </w:r>
          </w:p>
        </w:tc>
        <w:tc>
          <w:tcPr>
            <w:tcW w:w="1082" w:type="dxa"/>
          </w:tcPr>
          <w:p w14:paraId="62548F7D" w14:textId="77777777" w:rsidR="00C3312E" w:rsidRPr="00C3312E" w:rsidRDefault="00C3312E" w:rsidP="00C3312E">
            <w:pPr>
              <w:spacing w:after="0" w:line="240" w:lineRule="auto"/>
              <w:jc w:val="center"/>
              <w:rPr>
                <w:sz w:val="20"/>
                <w:szCs w:val="20"/>
              </w:rPr>
            </w:pPr>
            <w:r w:rsidRPr="00C3312E">
              <w:rPr>
                <w:sz w:val="20"/>
                <w:szCs w:val="20"/>
              </w:rPr>
              <w:t>1.4</w:t>
            </w:r>
          </w:p>
        </w:tc>
        <w:tc>
          <w:tcPr>
            <w:tcW w:w="1258" w:type="dxa"/>
          </w:tcPr>
          <w:p w14:paraId="61119330" w14:textId="77777777" w:rsidR="00C3312E" w:rsidRPr="00C3312E" w:rsidRDefault="00C3312E" w:rsidP="00C3312E">
            <w:pPr>
              <w:spacing w:after="0" w:line="240" w:lineRule="auto"/>
              <w:jc w:val="center"/>
              <w:rPr>
                <w:sz w:val="20"/>
                <w:szCs w:val="20"/>
              </w:rPr>
            </w:pPr>
            <w:r w:rsidRPr="00C3312E">
              <w:rPr>
                <w:sz w:val="20"/>
                <w:szCs w:val="20"/>
              </w:rPr>
              <w:t>486.9</w:t>
            </w:r>
          </w:p>
        </w:tc>
        <w:tc>
          <w:tcPr>
            <w:tcW w:w="1352" w:type="dxa"/>
          </w:tcPr>
          <w:p w14:paraId="7A487E09" w14:textId="77777777" w:rsidR="00C3312E" w:rsidRPr="00C3312E" w:rsidRDefault="00C3312E" w:rsidP="00C3312E">
            <w:pPr>
              <w:spacing w:after="0" w:line="240" w:lineRule="auto"/>
              <w:jc w:val="center"/>
              <w:rPr>
                <w:sz w:val="20"/>
                <w:szCs w:val="20"/>
              </w:rPr>
            </w:pPr>
            <w:r w:rsidRPr="00C3312E">
              <w:rPr>
                <w:sz w:val="20"/>
                <w:szCs w:val="20"/>
              </w:rPr>
              <w:t>-2.8</w:t>
            </w:r>
          </w:p>
        </w:tc>
      </w:tr>
      <w:tr w:rsidR="00C3312E" w:rsidRPr="00C3312E" w14:paraId="1D871CA6" w14:textId="77777777" w:rsidTr="00CF7974">
        <w:tc>
          <w:tcPr>
            <w:tcW w:w="2159" w:type="dxa"/>
            <w:shd w:val="clear" w:color="auto" w:fill="BFBFBF" w:themeFill="background1" w:themeFillShade="BF"/>
          </w:tcPr>
          <w:p w14:paraId="1C3CA288" w14:textId="77777777" w:rsidR="00C3312E" w:rsidRPr="00C3312E" w:rsidRDefault="00C3312E" w:rsidP="00C3312E">
            <w:pPr>
              <w:spacing w:after="0" w:line="240" w:lineRule="auto"/>
              <w:rPr>
                <w:sz w:val="20"/>
                <w:szCs w:val="20"/>
              </w:rPr>
            </w:pPr>
            <w:r w:rsidRPr="00C3312E">
              <w:rPr>
                <w:sz w:val="20"/>
                <w:szCs w:val="20"/>
              </w:rPr>
              <w:t>Asian</w:t>
            </w:r>
          </w:p>
        </w:tc>
        <w:tc>
          <w:tcPr>
            <w:tcW w:w="1169" w:type="dxa"/>
            <w:shd w:val="clear" w:color="auto" w:fill="BFBFBF" w:themeFill="background1" w:themeFillShade="BF"/>
          </w:tcPr>
          <w:p w14:paraId="5D33FEB1" w14:textId="77777777" w:rsidR="00C3312E" w:rsidRPr="00C3312E" w:rsidRDefault="00C3312E" w:rsidP="00C3312E">
            <w:pPr>
              <w:spacing w:after="0" w:line="240" w:lineRule="auto"/>
              <w:jc w:val="center"/>
              <w:rPr>
                <w:sz w:val="20"/>
                <w:szCs w:val="20"/>
              </w:rPr>
            </w:pPr>
            <w:r w:rsidRPr="00C3312E">
              <w:rPr>
                <w:sz w:val="20"/>
                <w:szCs w:val="20"/>
              </w:rPr>
              <w:t>181</w:t>
            </w:r>
          </w:p>
        </w:tc>
        <w:tc>
          <w:tcPr>
            <w:tcW w:w="1170" w:type="dxa"/>
            <w:shd w:val="clear" w:color="auto" w:fill="BFBFBF" w:themeFill="background1" w:themeFillShade="BF"/>
          </w:tcPr>
          <w:p w14:paraId="2EBEAA7D" w14:textId="77777777" w:rsidR="00C3312E" w:rsidRPr="00C3312E" w:rsidRDefault="00C3312E" w:rsidP="00C3312E">
            <w:pPr>
              <w:spacing w:after="0" w:line="240" w:lineRule="auto"/>
              <w:jc w:val="center"/>
              <w:rPr>
                <w:sz w:val="20"/>
                <w:szCs w:val="20"/>
              </w:rPr>
            </w:pPr>
            <w:r w:rsidRPr="00C3312E">
              <w:rPr>
                <w:sz w:val="20"/>
                <w:szCs w:val="20"/>
              </w:rPr>
              <w:t>508.7</w:t>
            </w:r>
          </w:p>
        </w:tc>
        <w:tc>
          <w:tcPr>
            <w:tcW w:w="1170" w:type="dxa"/>
            <w:shd w:val="clear" w:color="auto" w:fill="BFBFBF" w:themeFill="background1" w:themeFillShade="BF"/>
          </w:tcPr>
          <w:p w14:paraId="639F3D3F" w14:textId="77777777" w:rsidR="00C3312E" w:rsidRPr="00C3312E" w:rsidRDefault="00C3312E" w:rsidP="00C3312E">
            <w:pPr>
              <w:spacing w:after="0" w:line="240" w:lineRule="auto"/>
              <w:jc w:val="center"/>
              <w:rPr>
                <w:sz w:val="20"/>
                <w:szCs w:val="20"/>
              </w:rPr>
            </w:pPr>
            <w:r w:rsidRPr="00C3312E">
              <w:rPr>
                <w:sz w:val="20"/>
                <w:szCs w:val="20"/>
              </w:rPr>
              <w:t>509.8</w:t>
            </w:r>
          </w:p>
        </w:tc>
        <w:tc>
          <w:tcPr>
            <w:tcW w:w="1082" w:type="dxa"/>
            <w:shd w:val="clear" w:color="auto" w:fill="BFBFBF" w:themeFill="background1" w:themeFillShade="BF"/>
          </w:tcPr>
          <w:p w14:paraId="6EFD90CC" w14:textId="77777777" w:rsidR="00C3312E" w:rsidRPr="00C3312E" w:rsidRDefault="00C3312E" w:rsidP="00C3312E">
            <w:pPr>
              <w:spacing w:after="0" w:line="240" w:lineRule="auto"/>
              <w:jc w:val="center"/>
              <w:rPr>
                <w:sz w:val="20"/>
                <w:szCs w:val="20"/>
              </w:rPr>
            </w:pPr>
            <w:r w:rsidRPr="00C3312E">
              <w:rPr>
                <w:sz w:val="20"/>
                <w:szCs w:val="20"/>
              </w:rPr>
              <w:t>1.1</w:t>
            </w:r>
          </w:p>
        </w:tc>
        <w:tc>
          <w:tcPr>
            <w:tcW w:w="1258" w:type="dxa"/>
            <w:shd w:val="clear" w:color="auto" w:fill="BFBFBF" w:themeFill="background1" w:themeFillShade="BF"/>
          </w:tcPr>
          <w:p w14:paraId="10A8C611" w14:textId="77777777" w:rsidR="00C3312E" w:rsidRPr="00C3312E" w:rsidRDefault="00C3312E" w:rsidP="00C3312E">
            <w:pPr>
              <w:spacing w:after="0" w:line="240" w:lineRule="auto"/>
              <w:jc w:val="center"/>
              <w:rPr>
                <w:sz w:val="20"/>
                <w:szCs w:val="20"/>
              </w:rPr>
            </w:pPr>
            <w:r w:rsidRPr="00C3312E">
              <w:rPr>
                <w:sz w:val="20"/>
                <w:szCs w:val="20"/>
              </w:rPr>
              <w:t>514.3</w:t>
            </w:r>
          </w:p>
        </w:tc>
        <w:tc>
          <w:tcPr>
            <w:tcW w:w="1352" w:type="dxa"/>
            <w:shd w:val="clear" w:color="auto" w:fill="BFBFBF" w:themeFill="background1" w:themeFillShade="BF"/>
          </w:tcPr>
          <w:p w14:paraId="35C339A4" w14:textId="77777777" w:rsidR="00C3312E" w:rsidRPr="00C3312E" w:rsidRDefault="00C3312E" w:rsidP="00C3312E">
            <w:pPr>
              <w:spacing w:after="0" w:line="240" w:lineRule="auto"/>
              <w:jc w:val="center"/>
              <w:rPr>
                <w:sz w:val="20"/>
                <w:szCs w:val="20"/>
              </w:rPr>
            </w:pPr>
            <w:r w:rsidRPr="00C3312E">
              <w:rPr>
                <w:sz w:val="20"/>
                <w:szCs w:val="20"/>
              </w:rPr>
              <w:t>-4.5</w:t>
            </w:r>
          </w:p>
        </w:tc>
      </w:tr>
      <w:tr w:rsidR="00C3312E" w:rsidRPr="00C3312E" w14:paraId="1D53935D" w14:textId="77777777" w:rsidTr="00CF7974">
        <w:tc>
          <w:tcPr>
            <w:tcW w:w="2159" w:type="dxa"/>
          </w:tcPr>
          <w:p w14:paraId="6362DE80" w14:textId="77777777" w:rsidR="00C3312E" w:rsidRPr="00C3312E" w:rsidRDefault="00C3312E" w:rsidP="00C3312E">
            <w:pPr>
              <w:spacing w:after="0" w:line="240" w:lineRule="auto"/>
              <w:rPr>
                <w:sz w:val="20"/>
                <w:szCs w:val="20"/>
              </w:rPr>
            </w:pPr>
            <w:r w:rsidRPr="00C3312E">
              <w:rPr>
                <w:sz w:val="20"/>
                <w:szCs w:val="20"/>
              </w:rPr>
              <w:t>Hispanic or Latino</w:t>
            </w:r>
          </w:p>
        </w:tc>
        <w:tc>
          <w:tcPr>
            <w:tcW w:w="1169" w:type="dxa"/>
          </w:tcPr>
          <w:p w14:paraId="62FEB84D" w14:textId="77777777" w:rsidR="00C3312E" w:rsidRPr="00C3312E" w:rsidRDefault="00C3312E" w:rsidP="00C3312E">
            <w:pPr>
              <w:spacing w:after="0" w:line="240" w:lineRule="auto"/>
              <w:jc w:val="center"/>
              <w:rPr>
                <w:sz w:val="20"/>
                <w:szCs w:val="20"/>
              </w:rPr>
            </w:pPr>
            <w:r w:rsidRPr="00C3312E">
              <w:rPr>
                <w:sz w:val="20"/>
                <w:szCs w:val="20"/>
              </w:rPr>
              <w:t>1,168</w:t>
            </w:r>
          </w:p>
        </w:tc>
        <w:tc>
          <w:tcPr>
            <w:tcW w:w="1170" w:type="dxa"/>
          </w:tcPr>
          <w:p w14:paraId="60F16013" w14:textId="77777777" w:rsidR="00C3312E" w:rsidRPr="00C3312E" w:rsidRDefault="00C3312E" w:rsidP="00C3312E">
            <w:pPr>
              <w:spacing w:after="0" w:line="240" w:lineRule="auto"/>
              <w:jc w:val="center"/>
              <w:rPr>
                <w:sz w:val="20"/>
                <w:szCs w:val="20"/>
              </w:rPr>
            </w:pPr>
            <w:r w:rsidRPr="00C3312E">
              <w:rPr>
                <w:sz w:val="20"/>
                <w:szCs w:val="20"/>
              </w:rPr>
              <w:t>481.3</w:t>
            </w:r>
          </w:p>
        </w:tc>
        <w:tc>
          <w:tcPr>
            <w:tcW w:w="1170" w:type="dxa"/>
          </w:tcPr>
          <w:p w14:paraId="26FFADA4" w14:textId="77777777" w:rsidR="00C3312E" w:rsidRPr="00C3312E" w:rsidRDefault="00C3312E" w:rsidP="00C3312E">
            <w:pPr>
              <w:spacing w:after="0" w:line="240" w:lineRule="auto"/>
              <w:jc w:val="center"/>
              <w:rPr>
                <w:sz w:val="20"/>
                <w:szCs w:val="20"/>
              </w:rPr>
            </w:pPr>
            <w:r w:rsidRPr="00C3312E">
              <w:rPr>
                <w:sz w:val="20"/>
                <w:szCs w:val="20"/>
              </w:rPr>
              <w:t>481.2</w:t>
            </w:r>
          </w:p>
        </w:tc>
        <w:tc>
          <w:tcPr>
            <w:tcW w:w="1082" w:type="dxa"/>
          </w:tcPr>
          <w:p w14:paraId="39B54645" w14:textId="77777777" w:rsidR="00C3312E" w:rsidRPr="00C3312E" w:rsidRDefault="00C3312E" w:rsidP="00C3312E">
            <w:pPr>
              <w:spacing w:after="0" w:line="240" w:lineRule="auto"/>
              <w:jc w:val="center"/>
              <w:rPr>
                <w:sz w:val="20"/>
                <w:szCs w:val="20"/>
              </w:rPr>
            </w:pPr>
            <w:r w:rsidRPr="00C3312E">
              <w:rPr>
                <w:sz w:val="20"/>
                <w:szCs w:val="20"/>
              </w:rPr>
              <w:t>-0.1</w:t>
            </w:r>
          </w:p>
        </w:tc>
        <w:tc>
          <w:tcPr>
            <w:tcW w:w="1258" w:type="dxa"/>
          </w:tcPr>
          <w:p w14:paraId="7A5588CC" w14:textId="77777777" w:rsidR="00C3312E" w:rsidRPr="00C3312E" w:rsidRDefault="00C3312E" w:rsidP="00C3312E">
            <w:pPr>
              <w:spacing w:after="0" w:line="240" w:lineRule="auto"/>
              <w:jc w:val="center"/>
              <w:rPr>
                <w:sz w:val="20"/>
                <w:szCs w:val="20"/>
              </w:rPr>
            </w:pPr>
            <w:r w:rsidRPr="00C3312E">
              <w:rPr>
                <w:sz w:val="20"/>
                <w:szCs w:val="20"/>
              </w:rPr>
              <w:t>487.4</w:t>
            </w:r>
          </w:p>
        </w:tc>
        <w:tc>
          <w:tcPr>
            <w:tcW w:w="1352" w:type="dxa"/>
          </w:tcPr>
          <w:p w14:paraId="3E6E021B" w14:textId="77777777" w:rsidR="00C3312E" w:rsidRPr="00C3312E" w:rsidRDefault="00C3312E" w:rsidP="00C3312E">
            <w:pPr>
              <w:spacing w:after="0" w:line="240" w:lineRule="auto"/>
              <w:jc w:val="center"/>
              <w:rPr>
                <w:sz w:val="20"/>
                <w:szCs w:val="20"/>
              </w:rPr>
            </w:pPr>
            <w:r w:rsidRPr="00C3312E">
              <w:rPr>
                <w:sz w:val="20"/>
                <w:szCs w:val="20"/>
              </w:rPr>
              <w:t>-6.2</w:t>
            </w:r>
          </w:p>
        </w:tc>
      </w:tr>
      <w:tr w:rsidR="00C3312E" w:rsidRPr="00C3312E" w14:paraId="70D5552E" w14:textId="77777777" w:rsidTr="00CF7974">
        <w:tc>
          <w:tcPr>
            <w:tcW w:w="2159" w:type="dxa"/>
            <w:shd w:val="clear" w:color="auto" w:fill="BFBFBF" w:themeFill="background1" w:themeFillShade="BF"/>
          </w:tcPr>
          <w:p w14:paraId="2A490A30" w14:textId="77777777" w:rsidR="00C3312E" w:rsidRPr="00C3312E" w:rsidRDefault="00C3312E" w:rsidP="00C3312E">
            <w:pPr>
              <w:spacing w:after="0" w:line="240" w:lineRule="auto"/>
              <w:rPr>
                <w:sz w:val="20"/>
                <w:szCs w:val="20"/>
              </w:rPr>
            </w:pPr>
            <w:r w:rsidRPr="00C3312E">
              <w:rPr>
                <w:sz w:val="20"/>
                <w:szCs w:val="20"/>
              </w:rPr>
              <w:t>Multi-Race</w:t>
            </w:r>
          </w:p>
        </w:tc>
        <w:tc>
          <w:tcPr>
            <w:tcW w:w="1169" w:type="dxa"/>
            <w:shd w:val="clear" w:color="auto" w:fill="BFBFBF" w:themeFill="background1" w:themeFillShade="BF"/>
          </w:tcPr>
          <w:p w14:paraId="4F189E24" w14:textId="77777777" w:rsidR="00C3312E" w:rsidRPr="00C3312E" w:rsidRDefault="00C3312E" w:rsidP="00C3312E">
            <w:pPr>
              <w:spacing w:after="0" w:line="240" w:lineRule="auto"/>
              <w:jc w:val="center"/>
              <w:rPr>
                <w:sz w:val="20"/>
                <w:szCs w:val="20"/>
              </w:rPr>
            </w:pPr>
            <w:r w:rsidRPr="00C3312E">
              <w:rPr>
                <w:sz w:val="20"/>
                <w:szCs w:val="20"/>
              </w:rPr>
              <w:t>147</w:t>
            </w:r>
          </w:p>
        </w:tc>
        <w:tc>
          <w:tcPr>
            <w:tcW w:w="1170" w:type="dxa"/>
            <w:shd w:val="clear" w:color="auto" w:fill="BFBFBF" w:themeFill="background1" w:themeFillShade="BF"/>
          </w:tcPr>
          <w:p w14:paraId="7E77A896" w14:textId="77777777" w:rsidR="00C3312E" w:rsidRPr="00C3312E" w:rsidRDefault="00C3312E" w:rsidP="00C3312E">
            <w:pPr>
              <w:spacing w:after="0" w:line="240" w:lineRule="auto"/>
              <w:jc w:val="center"/>
              <w:rPr>
                <w:sz w:val="20"/>
                <w:szCs w:val="20"/>
              </w:rPr>
            </w:pPr>
            <w:r w:rsidRPr="00C3312E">
              <w:rPr>
                <w:sz w:val="20"/>
                <w:szCs w:val="20"/>
              </w:rPr>
              <w:t>497.7</w:t>
            </w:r>
          </w:p>
        </w:tc>
        <w:tc>
          <w:tcPr>
            <w:tcW w:w="1170" w:type="dxa"/>
            <w:shd w:val="clear" w:color="auto" w:fill="BFBFBF" w:themeFill="background1" w:themeFillShade="BF"/>
          </w:tcPr>
          <w:p w14:paraId="4F8B76B5" w14:textId="77777777" w:rsidR="00C3312E" w:rsidRPr="00C3312E" w:rsidRDefault="00C3312E" w:rsidP="00C3312E">
            <w:pPr>
              <w:spacing w:after="0" w:line="240" w:lineRule="auto"/>
              <w:jc w:val="center"/>
              <w:rPr>
                <w:sz w:val="20"/>
                <w:szCs w:val="20"/>
              </w:rPr>
            </w:pPr>
            <w:r w:rsidRPr="00C3312E">
              <w:rPr>
                <w:sz w:val="20"/>
                <w:szCs w:val="20"/>
              </w:rPr>
              <w:t>494.6</w:t>
            </w:r>
          </w:p>
        </w:tc>
        <w:tc>
          <w:tcPr>
            <w:tcW w:w="1082" w:type="dxa"/>
            <w:shd w:val="clear" w:color="auto" w:fill="BFBFBF" w:themeFill="background1" w:themeFillShade="BF"/>
          </w:tcPr>
          <w:p w14:paraId="3455CD1B" w14:textId="77777777" w:rsidR="00C3312E" w:rsidRPr="00C3312E" w:rsidRDefault="00C3312E" w:rsidP="00C3312E">
            <w:pPr>
              <w:spacing w:after="0" w:line="240" w:lineRule="auto"/>
              <w:jc w:val="center"/>
              <w:rPr>
                <w:sz w:val="20"/>
                <w:szCs w:val="20"/>
              </w:rPr>
            </w:pPr>
            <w:r w:rsidRPr="00C3312E">
              <w:rPr>
                <w:sz w:val="20"/>
                <w:szCs w:val="20"/>
              </w:rPr>
              <w:t>-3.1</w:t>
            </w:r>
          </w:p>
        </w:tc>
        <w:tc>
          <w:tcPr>
            <w:tcW w:w="1258" w:type="dxa"/>
            <w:shd w:val="clear" w:color="auto" w:fill="BFBFBF" w:themeFill="background1" w:themeFillShade="BF"/>
          </w:tcPr>
          <w:p w14:paraId="5AAA45FF" w14:textId="77777777" w:rsidR="00C3312E" w:rsidRPr="00C3312E" w:rsidRDefault="00C3312E" w:rsidP="00C3312E">
            <w:pPr>
              <w:spacing w:after="0" w:line="240" w:lineRule="auto"/>
              <w:jc w:val="center"/>
              <w:rPr>
                <w:sz w:val="20"/>
                <w:szCs w:val="20"/>
              </w:rPr>
            </w:pPr>
            <w:r w:rsidRPr="00C3312E">
              <w:rPr>
                <w:sz w:val="20"/>
                <w:szCs w:val="20"/>
              </w:rPr>
              <w:t>499.7</w:t>
            </w:r>
          </w:p>
        </w:tc>
        <w:tc>
          <w:tcPr>
            <w:tcW w:w="1352" w:type="dxa"/>
            <w:shd w:val="clear" w:color="auto" w:fill="BFBFBF" w:themeFill="background1" w:themeFillShade="BF"/>
          </w:tcPr>
          <w:p w14:paraId="514C2286" w14:textId="77777777" w:rsidR="00C3312E" w:rsidRPr="00C3312E" w:rsidRDefault="00C3312E" w:rsidP="00C3312E">
            <w:pPr>
              <w:spacing w:after="0" w:line="240" w:lineRule="auto"/>
              <w:jc w:val="center"/>
              <w:rPr>
                <w:sz w:val="20"/>
                <w:szCs w:val="20"/>
              </w:rPr>
            </w:pPr>
            <w:r w:rsidRPr="00C3312E">
              <w:rPr>
                <w:sz w:val="20"/>
                <w:szCs w:val="20"/>
              </w:rPr>
              <w:t>-5.1</w:t>
            </w:r>
          </w:p>
        </w:tc>
      </w:tr>
      <w:tr w:rsidR="00C3312E" w:rsidRPr="00C3312E" w14:paraId="3B030C35" w14:textId="77777777" w:rsidTr="00CF7974">
        <w:tc>
          <w:tcPr>
            <w:tcW w:w="2159" w:type="dxa"/>
          </w:tcPr>
          <w:p w14:paraId="4331B222" w14:textId="77777777" w:rsidR="00C3312E" w:rsidRPr="00C3312E" w:rsidRDefault="00C3312E" w:rsidP="00C3312E">
            <w:pPr>
              <w:spacing w:after="0" w:line="240" w:lineRule="auto"/>
              <w:rPr>
                <w:sz w:val="20"/>
                <w:szCs w:val="20"/>
              </w:rPr>
            </w:pPr>
            <w:r w:rsidRPr="00C3312E">
              <w:rPr>
                <w:sz w:val="20"/>
                <w:szCs w:val="20"/>
              </w:rPr>
              <w:t>White</w:t>
            </w:r>
          </w:p>
        </w:tc>
        <w:tc>
          <w:tcPr>
            <w:tcW w:w="1169" w:type="dxa"/>
          </w:tcPr>
          <w:p w14:paraId="648B95E5" w14:textId="77777777" w:rsidR="00C3312E" w:rsidRPr="00C3312E" w:rsidRDefault="00C3312E" w:rsidP="00C3312E">
            <w:pPr>
              <w:spacing w:after="0" w:line="240" w:lineRule="auto"/>
              <w:jc w:val="center"/>
              <w:rPr>
                <w:sz w:val="20"/>
                <w:szCs w:val="20"/>
              </w:rPr>
            </w:pPr>
            <w:r w:rsidRPr="00C3312E">
              <w:rPr>
                <w:sz w:val="20"/>
                <w:szCs w:val="20"/>
              </w:rPr>
              <w:t>2,310</w:t>
            </w:r>
          </w:p>
        </w:tc>
        <w:tc>
          <w:tcPr>
            <w:tcW w:w="1170" w:type="dxa"/>
          </w:tcPr>
          <w:p w14:paraId="5A026056" w14:textId="77777777" w:rsidR="00C3312E" w:rsidRPr="00C3312E" w:rsidRDefault="00C3312E" w:rsidP="00C3312E">
            <w:pPr>
              <w:spacing w:after="0" w:line="240" w:lineRule="auto"/>
              <w:jc w:val="center"/>
              <w:rPr>
                <w:sz w:val="20"/>
                <w:szCs w:val="20"/>
              </w:rPr>
            </w:pPr>
            <w:r w:rsidRPr="00C3312E">
              <w:rPr>
                <w:sz w:val="20"/>
                <w:szCs w:val="20"/>
              </w:rPr>
              <w:t>496.6</w:t>
            </w:r>
          </w:p>
        </w:tc>
        <w:tc>
          <w:tcPr>
            <w:tcW w:w="1170" w:type="dxa"/>
          </w:tcPr>
          <w:p w14:paraId="28369D88" w14:textId="77777777" w:rsidR="00C3312E" w:rsidRPr="00C3312E" w:rsidRDefault="00C3312E" w:rsidP="00C3312E">
            <w:pPr>
              <w:spacing w:after="0" w:line="240" w:lineRule="auto"/>
              <w:jc w:val="center"/>
              <w:rPr>
                <w:sz w:val="20"/>
                <w:szCs w:val="20"/>
              </w:rPr>
            </w:pPr>
            <w:r w:rsidRPr="00C3312E">
              <w:rPr>
                <w:sz w:val="20"/>
                <w:szCs w:val="20"/>
              </w:rPr>
              <w:t>496.8</w:t>
            </w:r>
          </w:p>
        </w:tc>
        <w:tc>
          <w:tcPr>
            <w:tcW w:w="1082" w:type="dxa"/>
          </w:tcPr>
          <w:p w14:paraId="52463F86" w14:textId="77777777" w:rsidR="00C3312E" w:rsidRPr="00C3312E" w:rsidRDefault="00C3312E" w:rsidP="00C3312E">
            <w:pPr>
              <w:spacing w:after="0" w:line="240" w:lineRule="auto"/>
              <w:jc w:val="center"/>
              <w:rPr>
                <w:sz w:val="20"/>
                <w:szCs w:val="20"/>
              </w:rPr>
            </w:pPr>
            <w:r w:rsidRPr="00C3312E">
              <w:rPr>
                <w:sz w:val="20"/>
                <w:szCs w:val="20"/>
              </w:rPr>
              <w:t>0.2</w:t>
            </w:r>
          </w:p>
        </w:tc>
        <w:tc>
          <w:tcPr>
            <w:tcW w:w="1258" w:type="dxa"/>
          </w:tcPr>
          <w:p w14:paraId="6BFFDEB4" w14:textId="77777777" w:rsidR="00C3312E" w:rsidRPr="00C3312E" w:rsidRDefault="00C3312E" w:rsidP="00C3312E">
            <w:pPr>
              <w:spacing w:after="0" w:line="240" w:lineRule="auto"/>
              <w:jc w:val="center"/>
              <w:rPr>
                <w:sz w:val="20"/>
                <w:szCs w:val="20"/>
              </w:rPr>
            </w:pPr>
            <w:r w:rsidRPr="00C3312E">
              <w:rPr>
                <w:sz w:val="20"/>
                <w:szCs w:val="20"/>
              </w:rPr>
              <w:t>501.8</w:t>
            </w:r>
          </w:p>
        </w:tc>
        <w:tc>
          <w:tcPr>
            <w:tcW w:w="1352" w:type="dxa"/>
          </w:tcPr>
          <w:p w14:paraId="520F963A" w14:textId="77777777" w:rsidR="00C3312E" w:rsidRPr="00C3312E" w:rsidRDefault="00C3312E" w:rsidP="00C3312E">
            <w:pPr>
              <w:spacing w:after="0" w:line="240" w:lineRule="auto"/>
              <w:jc w:val="center"/>
              <w:rPr>
                <w:sz w:val="20"/>
                <w:szCs w:val="20"/>
              </w:rPr>
            </w:pPr>
            <w:r w:rsidRPr="00C3312E">
              <w:rPr>
                <w:sz w:val="20"/>
                <w:szCs w:val="20"/>
              </w:rPr>
              <w:t>-5.0</w:t>
            </w:r>
          </w:p>
        </w:tc>
      </w:tr>
      <w:tr w:rsidR="00C3312E" w:rsidRPr="00C3312E" w14:paraId="62D6B8F8" w14:textId="77777777" w:rsidTr="00CF7974">
        <w:tc>
          <w:tcPr>
            <w:tcW w:w="2159" w:type="dxa"/>
            <w:shd w:val="clear" w:color="auto" w:fill="BFBFBF" w:themeFill="background1" w:themeFillShade="BF"/>
          </w:tcPr>
          <w:p w14:paraId="7EF81E9F"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69" w:type="dxa"/>
            <w:shd w:val="clear" w:color="auto" w:fill="BFBFBF" w:themeFill="background1" w:themeFillShade="BF"/>
          </w:tcPr>
          <w:p w14:paraId="0FBBC402" w14:textId="77777777" w:rsidR="00C3312E" w:rsidRPr="00C3312E" w:rsidRDefault="00C3312E" w:rsidP="00C3312E">
            <w:pPr>
              <w:spacing w:after="0" w:line="240" w:lineRule="auto"/>
              <w:jc w:val="center"/>
              <w:rPr>
                <w:sz w:val="20"/>
                <w:szCs w:val="20"/>
              </w:rPr>
            </w:pPr>
            <w:r w:rsidRPr="00C3312E">
              <w:rPr>
                <w:sz w:val="20"/>
                <w:szCs w:val="20"/>
              </w:rPr>
              <w:t>2,596</w:t>
            </w:r>
          </w:p>
        </w:tc>
        <w:tc>
          <w:tcPr>
            <w:tcW w:w="1170" w:type="dxa"/>
            <w:shd w:val="clear" w:color="auto" w:fill="BFBFBF" w:themeFill="background1" w:themeFillShade="BF"/>
          </w:tcPr>
          <w:p w14:paraId="315B3926" w14:textId="77777777" w:rsidR="00C3312E" w:rsidRPr="00C3312E" w:rsidRDefault="00C3312E" w:rsidP="00C3312E">
            <w:pPr>
              <w:spacing w:after="0" w:line="240" w:lineRule="auto"/>
              <w:jc w:val="center"/>
              <w:rPr>
                <w:sz w:val="20"/>
                <w:szCs w:val="20"/>
              </w:rPr>
            </w:pPr>
            <w:r w:rsidRPr="00C3312E">
              <w:rPr>
                <w:sz w:val="20"/>
                <w:szCs w:val="20"/>
              </w:rPr>
              <w:t>481.6</w:t>
            </w:r>
          </w:p>
        </w:tc>
        <w:tc>
          <w:tcPr>
            <w:tcW w:w="1170" w:type="dxa"/>
            <w:shd w:val="clear" w:color="auto" w:fill="BFBFBF" w:themeFill="background1" w:themeFillShade="BF"/>
          </w:tcPr>
          <w:p w14:paraId="13AC3808" w14:textId="77777777" w:rsidR="00C3312E" w:rsidRPr="00C3312E" w:rsidRDefault="00C3312E" w:rsidP="00C3312E">
            <w:pPr>
              <w:spacing w:after="0" w:line="240" w:lineRule="auto"/>
              <w:jc w:val="center"/>
              <w:rPr>
                <w:sz w:val="20"/>
                <w:szCs w:val="20"/>
              </w:rPr>
            </w:pPr>
            <w:r w:rsidRPr="00C3312E">
              <w:rPr>
                <w:sz w:val="20"/>
                <w:szCs w:val="20"/>
              </w:rPr>
              <w:t>482.9</w:t>
            </w:r>
          </w:p>
        </w:tc>
        <w:tc>
          <w:tcPr>
            <w:tcW w:w="1082" w:type="dxa"/>
            <w:shd w:val="clear" w:color="auto" w:fill="BFBFBF" w:themeFill="background1" w:themeFillShade="BF"/>
          </w:tcPr>
          <w:p w14:paraId="50EE3A7C" w14:textId="77777777" w:rsidR="00C3312E" w:rsidRPr="00C3312E" w:rsidRDefault="00C3312E" w:rsidP="00C3312E">
            <w:pPr>
              <w:spacing w:after="0" w:line="240" w:lineRule="auto"/>
              <w:jc w:val="center"/>
              <w:rPr>
                <w:sz w:val="20"/>
                <w:szCs w:val="20"/>
              </w:rPr>
            </w:pPr>
            <w:r w:rsidRPr="00C3312E">
              <w:rPr>
                <w:sz w:val="20"/>
                <w:szCs w:val="20"/>
              </w:rPr>
              <w:t>1.3</w:t>
            </w:r>
          </w:p>
        </w:tc>
        <w:tc>
          <w:tcPr>
            <w:tcW w:w="1258" w:type="dxa"/>
            <w:shd w:val="clear" w:color="auto" w:fill="BFBFBF" w:themeFill="background1" w:themeFillShade="BF"/>
          </w:tcPr>
          <w:p w14:paraId="5E468DFF" w14:textId="77777777" w:rsidR="00C3312E" w:rsidRPr="00C3312E" w:rsidRDefault="00C3312E" w:rsidP="00C3312E">
            <w:pPr>
              <w:spacing w:after="0" w:line="240" w:lineRule="auto"/>
              <w:jc w:val="center"/>
              <w:rPr>
                <w:sz w:val="20"/>
                <w:szCs w:val="20"/>
              </w:rPr>
            </w:pPr>
            <w:r w:rsidRPr="00C3312E">
              <w:rPr>
                <w:sz w:val="20"/>
                <w:szCs w:val="20"/>
              </w:rPr>
              <w:t>488.2</w:t>
            </w:r>
          </w:p>
        </w:tc>
        <w:tc>
          <w:tcPr>
            <w:tcW w:w="1352" w:type="dxa"/>
            <w:shd w:val="clear" w:color="auto" w:fill="BFBFBF" w:themeFill="background1" w:themeFillShade="BF"/>
          </w:tcPr>
          <w:p w14:paraId="53C25F81" w14:textId="77777777" w:rsidR="00C3312E" w:rsidRPr="00C3312E" w:rsidRDefault="00C3312E" w:rsidP="00C3312E">
            <w:pPr>
              <w:spacing w:after="0" w:line="240" w:lineRule="auto"/>
              <w:jc w:val="center"/>
              <w:rPr>
                <w:sz w:val="20"/>
                <w:szCs w:val="20"/>
              </w:rPr>
            </w:pPr>
            <w:r w:rsidRPr="00C3312E">
              <w:rPr>
                <w:sz w:val="20"/>
                <w:szCs w:val="20"/>
              </w:rPr>
              <w:t>-5.3</w:t>
            </w:r>
          </w:p>
        </w:tc>
      </w:tr>
      <w:tr w:rsidR="00C3312E" w:rsidRPr="00C3312E" w14:paraId="0BCD38C3" w14:textId="77777777" w:rsidTr="00CF7974">
        <w:tc>
          <w:tcPr>
            <w:tcW w:w="2159" w:type="dxa"/>
          </w:tcPr>
          <w:p w14:paraId="6282EB84"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69" w:type="dxa"/>
          </w:tcPr>
          <w:p w14:paraId="53921698" w14:textId="77777777" w:rsidR="00C3312E" w:rsidRPr="00C3312E" w:rsidRDefault="00C3312E" w:rsidP="00C3312E">
            <w:pPr>
              <w:spacing w:after="0" w:line="240" w:lineRule="auto"/>
              <w:jc w:val="center"/>
              <w:rPr>
                <w:sz w:val="20"/>
                <w:szCs w:val="20"/>
              </w:rPr>
            </w:pPr>
            <w:r w:rsidRPr="00C3312E">
              <w:rPr>
                <w:sz w:val="20"/>
                <w:szCs w:val="20"/>
              </w:rPr>
              <w:t>1,709</w:t>
            </w:r>
          </w:p>
        </w:tc>
        <w:tc>
          <w:tcPr>
            <w:tcW w:w="1170" w:type="dxa"/>
          </w:tcPr>
          <w:p w14:paraId="2679B7C9" w14:textId="77777777" w:rsidR="00C3312E" w:rsidRPr="00C3312E" w:rsidRDefault="00C3312E" w:rsidP="00C3312E">
            <w:pPr>
              <w:spacing w:after="0" w:line="240" w:lineRule="auto"/>
              <w:jc w:val="center"/>
              <w:rPr>
                <w:sz w:val="20"/>
                <w:szCs w:val="20"/>
              </w:rPr>
            </w:pPr>
            <w:r w:rsidRPr="00C3312E">
              <w:rPr>
                <w:sz w:val="20"/>
                <w:szCs w:val="20"/>
              </w:rPr>
              <w:t>480.8</w:t>
            </w:r>
          </w:p>
        </w:tc>
        <w:tc>
          <w:tcPr>
            <w:tcW w:w="1170" w:type="dxa"/>
          </w:tcPr>
          <w:p w14:paraId="268C6972" w14:textId="77777777" w:rsidR="00C3312E" w:rsidRPr="00C3312E" w:rsidRDefault="00C3312E" w:rsidP="00C3312E">
            <w:pPr>
              <w:spacing w:after="0" w:line="240" w:lineRule="auto"/>
              <w:jc w:val="center"/>
              <w:rPr>
                <w:sz w:val="20"/>
                <w:szCs w:val="20"/>
              </w:rPr>
            </w:pPr>
            <w:r w:rsidRPr="00C3312E">
              <w:rPr>
                <w:sz w:val="20"/>
                <w:szCs w:val="20"/>
              </w:rPr>
              <w:t>481.0</w:t>
            </w:r>
          </w:p>
        </w:tc>
        <w:tc>
          <w:tcPr>
            <w:tcW w:w="1082" w:type="dxa"/>
          </w:tcPr>
          <w:p w14:paraId="73B60291" w14:textId="77777777" w:rsidR="00C3312E" w:rsidRPr="00C3312E" w:rsidRDefault="00C3312E" w:rsidP="00C3312E">
            <w:pPr>
              <w:spacing w:after="0" w:line="240" w:lineRule="auto"/>
              <w:jc w:val="center"/>
              <w:rPr>
                <w:sz w:val="20"/>
                <w:szCs w:val="20"/>
              </w:rPr>
            </w:pPr>
            <w:r w:rsidRPr="00C3312E">
              <w:rPr>
                <w:sz w:val="20"/>
                <w:szCs w:val="20"/>
              </w:rPr>
              <w:t>0.2</w:t>
            </w:r>
          </w:p>
        </w:tc>
        <w:tc>
          <w:tcPr>
            <w:tcW w:w="1258" w:type="dxa"/>
          </w:tcPr>
          <w:p w14:paraId="288D71CF" w14:textId="77777777" w:rsidR="00C3312E" w:rsidRPr="00C3312E" w:rsidRDefault="00C3312E" w:rsidP="00C3312E">
            <w:pPr>
              <w:spacing w:after="0" w:line="240" w:lineRule="auto"/>
              <w:jc w:val="center"/>
              <w:rPr>
                <w:sz w:val="20"/>
                <w:szCs w:val="20"/>
              </w:rPr>
            </w:pPr>
            <w:r w:rsidRPr="00C3312E">
              <w:rPr>
                <w:sz w:val="20"/>
                <w:szCs w:val="20"/>
              </w:rPr>
              <w:t>487.7</w:t>
            </w:r>
          </w:p>
        </w:tc>
        <w:tc>
          <w:tcPr>
            <w:tcW w:w="1352" w:type="dxa"/>
          </w:tcPr>
          <w:p w14:paraId="5553D2DD" w14:textId="77777777" w:rsidR="00C3312E" w:rsidRPr="00C3312E" w:rsidRDefault="00C3312E" w:rsidP="00C3312E">
            <w:pPr>
              <w:spacing w:after="0" w:line="240" w:lineRule="auto"/>
              <w:jc w:val="center"/>
              <w:rPr>
                <w:sz w:val="20"/>
                <w:szCs w:val="20"/>
              </w:rPr>
            </w:pPr>
            <w:r w:rsidRPr="00C3312E">
              <w:rPr>
                <w:sz w:val="20"/>
                <w:szCs w:val="20"/>
              </w:rPr>
              <w:t>-6.7</w:t>
            </w:r>
          </w:p>
        </w:tc>
      </w:tr>
      <w:tr w:rsidR="00C3312E" w:rsidRPr="00C3312E" w14:paraId="6FF68FB5" w14:textId="77777777" w:rsidTr="00CF7974">
        <w:tc>
          <w:tcPr>
            <w:tcW w:w="2159" w:type="dxa"/>
            <w:shd w:val="clear" w:color="auto" w:fill="BFBFBF" w:themeFill="background1" w:themeFillShade="BF"/>
          </w:tcPr>
          <w:p w14:paraId="5B074776"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69" w:type="dxa"/>
            <w:shd w:val="clear" w:color="auto" w:fill="BFBFBF" w:themeFill="background1" w:themeFillShade="BF"/>
          </w:tcPr>
          <w:p w14:paraId="414D63AB" w14:textId="77777777" w:rsidR="00C3312E" w:rsidRPr="00C3312E" w:rsidRDefault="00C3312E" w:rsidP="00C3312E">
            <w:pPr>
              <w:spacing w:after="0" w:line="240" w:lineRule="auto"/>
              <w:jc w:val="center"/>
              <w:rPr>
                <w:sz w:val="20"/>
                <w:szCs w:val="20"/>
              </w:rPr>
            </w:pPr>
            <w:r w:rsidRPr="00C3312E">
              <w:rPr>
                <w:sz w:val="20"/>
                <w:szCs w:val="20"/>
              </w:rPr>
              <w:t>1,155</w:t>
            </w:r>
          </w:p>
        </w:tc>
        <w:tc>
          <w:tcPr>
            <w:tcW w:w="1170" w:type="dxa"/>
            <w:shd w:val="clear" w:color="auto" w:fill="BFBFBF" w:themeFill="background1" w:themeFillShade="BF"/>
          </w:tcPr>
          <w:p w14:paraId="50F55CE1" w14:textId="77777777" w:rsidR="00C3312E" w:rsidRPr="00C3312E" w:rsidRDefault="00C3312E" w:rsidP="00C3312E">
            <w:pPr>
              <w:spacing w:after="0" w:line="240" w:lineRule="auto"/>
              <w:jc w:val="center"/>
              <w:rPr>
                <w:sz w:val="20"/>
                <w:szCs w:val="20"/>
              </w:rPr>
            </w:pPr>
            <w:r w:rsidRPr="00C3312E">
              <w:rPr>
                <w:sz w:val="20"/>
                <w:szCs w:val="20"/>
              </w:rPr>
              <w:t>474.4</w:t>
            </w:r>
          </w:p>
        </w:tc>
        <w:tc>
          <w:tcPr>
            <w:tcW w:w="1170" w:type="dxa"/>
            <w:shd w:val="clear" w:color="auto" w:fill="BFBFBF" w:themeFill="background1" w:themeFillShade="BF"/>
          </w:tcPr>
          <w:p w14:paraId="6FF901B2" w14:textId="77777777" w:rsidR="00C3312E" w:rsidRPr="00C3312E" w:rsidRDefault="00C3312E" w:rsidP="00C3312E">
            <w:pPr>
              <w:spacing w:after="0" w:line="240" w:lineRule="auto"/>
              <w:jc w:val="center"/>
              <w:rPr>
                <w:sz w:val="20"/>
                <w:szCs w:val="20"/>
              </w:rPr>
            </w:pPr>
            <w:r w:rsidRPr="00C3312E">
              <w:rPr>
                <w:sz w:val="20"/>
                <w:szCs w:val="20"/>
              </w:rPr>
              <w:t>474.9</w:t>
            </w:r>
          </w:p>
        </w:tc>
        <w:tc>
          <w:tcPr>
            <w:tcW w:w="1082" w:type="dxa"/>
            <w:shd w:val="clear" w:color="auto" w:fill="BFBFBF" w:themeFill="background1" w:themeFillShade="BF"/>
          </w:tcPr>
          <w:p w14:paraId="3EC30153" w14:textId="77777777" w:rsidR="00C3312E" w:rsidRPr="00C3312E" w:rsidRDefault="00C3312E" w:rsidP="00C3312E">
            <w:pPr>
              <w:spacing w:after="0" w:line="240" w:lineRule="auto"/>
              <w:jc w:val="center"/>
              <w:rPr>
                <w:sz w:val="20"/>
                <w:szCs w:val="20"/>
              </w:rPr>
            </w:pPr>
            <w:r w:rsidRPr="00C3312E">
              <w:rPr>
                <w:sz w:val="20"/>
                <w:szCs w:val="20"/>
              </w:rPr>
              <w:t>0.5</w:t>
            </w:r>
          </w:p>
        </w:tc>
        <w:tc>
          <w:tcPr>
            <w:tcW w:w="1258" w:type="dxa"/>
            <w:shd w:val="clear" w:color="auto" w:fill="BFBFBF" w:themeFill="background1" w:themeFillShade="BF"/>
          </w:tcPr>
          <w:p w14:paraId="5A16AA23" w14:textId="77777777" w:rsidR="00C3312E" w:rsidRPr="00C3312E" w:rsidRDefault="00C3312E" w:rsidP="00C3312E">
            <w:pPr>
              <w:spacing w:after="0" w:line="240" w:lineRule="auto"/>
              <w:jc w:val="center"/>
              <w:rPr>
                <w:sz w:val="20"/>
                <w:szCs w:val="20"/>
              </w:rPr>
            </w:pPr>
            <w:r w:rsidRPr="00C3312E">
              <w:rPr>
                <w:sz w:val="20"/>
                <w:szCs w:val="20"/>
              </w:rPr>
              <w:t>479.2</w:t>
            </w:r>
          </w:p>
        </w:tc>
        <w:tc>
          <w:tcPr>
            <w:tcW w:w="1352" w:type="dxa"/>
            <w:shd w:val="clear" w:color="auto" w:fill="BFBFBF" w:themeFill="background1" w:themeFillShade="BF"/>
          </w:tcPr>
          <w:p w14:paraId="3289EA84" w14:textId="77777777" w:rsidR="00C3312E" w:rsidRPr="00C3312E" w:rsidRDefault="00C3312E" w:rsidP="00C3312E">
            <w:pPr>
              <w:spacing w:after="0" w:line="240" w:lineRule="auto"/>
              <w:jc w:val="center"/>
              <w:rPr>
                <w:sz w:val="20"/>
                <w:szCs w:val="20"/>
              </w:rPr>
            </w:pPr>
            <w:r w:rsidRPr="00C3312E">
              <w:rPr>
                <w:sz w:val="20"/>
                <w:szCs w:val="20"/>
              </w:rPr>
              <w:t>-4.3</w:t>
            </w:r>
          </w:p>
        </w:tc>
      </w:tr>
      <w:tr w:rsidR="00C3312E" w:rsidRPr="00C3312E" w14:paraId="6DD6FD95" w14:textId="77777777" w:rsidTr="00CF7974">
        <w:tc>
          <w:tcPr>
            <w:tcW w:w="2159" w:type="dxa"/>
          </w:tcPr>
          <w:p w14:paraId="60F41713" w14:textId="084F9868"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1169" w:type="dxa"/>
          </w:tcPr>
          <w:p w14:paraId="0F262BB7" w14:textId="77777777" w:rsidR="00C3312E" w:rsidRPr="00C3312E" w:rsidRDefault="00C3312E" w:rsidP="00C3312E">
            <w:pPr>
              <w:spacing w:after="0" w:line="240" w:lineRule="auto"/>
              <w:jc w:val="center"/>
              <w:rPr>
                <w:sz w:val="20"/>
                <w:szCs w:val="20"/>
              </w:rPr>
            </w:pPr>
            <w:r w:rsidRPr="00C3312E">
              <w:rPr>
                <w:sz w:val="20"/>
                <w:szCs w:val="20"/>
              </w:rPr>
              <w:t>1,324</w:t>
            </w:r>
          </w:p>
        </w:tc>
        <w:tc>
          <w:tcPr>
            <w:tcW w:w="1170" w:type="dxa"/>
          </w:tcPr>
          <w:p w14:paraId="4667CFF7" w14:textId="77777777" w:rsidR="00C3312E" w:rsidRPr="00C3312E" w:rsidRDefault="00C3312E" w:rsidP="00C3312E">
            <w:pPr>
              <w:spacing w:after="0" w:line="240" w:lineRule="auto"/>
              <w:jc w:val="center"/>
              <w:rPr>
                <w:sz w:val="20"/>
                <w:szCs w:val="20"/>
              </w:rPr>
            </w:pPr>
            <w:r w:rsidRPr="00C3312E">
              <w:rPr>
                <w:sz w:val="20"/>
                <w:szCs w:val="20"/>
              </w:rPr>
              <w:t>479.1</w:t>
            </w:r>
          </w:p>
        </w:tc>
        <w:tc>
          <w:tcPr>
            <w:tcW w:w="1170" w:type="dxa"/>
          </w:tcPr>
          <w:p w14:paraId="17A21152" w14:textId="77777777" w:rsidR="00C3312E" w:rsidRPr="00C3312E" w:rsidRDefault="00C3312E" w:rsidP="00C3312E">
            <w:pPr>
              <w:spacing w:after="0" w:line="240" w:lineRule="auto"/>
              <w:jc w:val="center"/>
              <w:rPr>
                <w:sz w:val="20"/>
                <w:szCs w:val="20"/>
              </w:rPr>
            </w:pPr>
            <w:r w:rsidRPr="00C3312E">
              <w:rPr>
                <w:sz w:val="20"/>
                <w:szCs w:val="20"/>
              </w:rPr>
              <w:t>481.4</w:t>
            </w:r>
          </w:p>
        </w:tc>
        <w:tc>
          <w:tcPr>
            <w:tcW w:w="1082" w:type="dxa"/>
          </w:tcPr>
          <w:p w14:paraId="3F7F416B" w14:textId="77777777" w:rsidR="00C3312E" w:rsidRPr="00C3312E" w:rsidRDefault="00C3312E" w:rsidP="00C3312E">
            <w:pPr>
              <w:spacing w:after="0" w:line="240" w:lineRule="auto"/>
              <w:jc w:val="center"/>
              <w:rPr>
                <w:sz w:val="20"/>
                <w:szCs w:val="20"/>
              </w:rPr>
            </w:pPr>
            <w:r w:rsidRPr="00C3312E">
              <w:rPr>
                <w:sz w:val="20"/>
                <w:szCs w:val="20"/>
              </w:rPr>
              <w:t>2.3</w:t>
            </w:r>
          </w:p>
        </w:tc>
        <w:tc>
          <w:tcPr>
            <w:tcW w:w="1258" w:type="dxa"/>
          </w:tcPr>
          <w:p w14:paraId="0FFD7C6B" w14:textId="77777777" w:rsidR="00C3312E" w:rsidRPr="00C3312E" w:rsidRDefault="00C3312E" w:rsidP="00C3312E">
            <w:pPr>
              <w:spacing w:after="0" w:line="240" w:lineRule="auto"/>
              <w:jc w:val="center"/>
              <w:rPr>
                <w:sz w:val="20"/>
                <w:szCs w:val="20"/>
              </w:rPr>
            </w:pPr>
            <w:r w:rsidRPr="00C3312E">
              <w:rPr>
                <w:sz w:val="20"/>
                <w:szCs w:val="20"/>
              </w:rPr>
              <w:t>488.5</w:t>
            </w:r>
          </w:p>
        </w:tc>
        <w:tc>
          <w:tcPr>
            <w:tcW w:w="1352" w:type="dxa"/>
          </w:tcPr>
          <w:p w14:paraId="0A9AC07C" w14:textId="77777777" w:rsidR="00C3312E" w:rsidRPr="00C3312E" w:rsidRDefault="00C3312E" w:rsidP="00C3312E">
            <w:pPr>
              <w:spacing w:after="0" w:line="240" w:lineRule="auto"/>
              <w:jc w:val="center"/>
              <w:rPr>
                <w:sz w:val="20"/>
                <w:szCs w:val="20"/>
              </w:rPr>
            </w:pPr>
            <w:r w:rsidRPr="00C3312E">
              <w:rPr>
                <w:sz w:val="20"/>
                <w:szCs w:val="20"/>
              </w:rPr>
              <w:t>-7.1</w:t>
            </w:r>
          </w:p>
        </w:tc>
      </w:tr>
      <w:tr w:rsidR="00C3312E" w:rsidRPr="00C3312E" w14:paraId="68A9F024" w14:textId="77777777" w:rsidTr="00CF7974">
        <w:tc>
          <w:tcPr>
            <w:tcW w:w="2159" w:type="dxa"/>
            <w:tcBorders>
              <w:bottom w:val="single" w:sz="4" w:space="0" w:color="auto"/>
            </w:tcBorders>
            <w:shd w:val="clear" w:color="auto" w:fill="BFBFBF" w:themeFill="background1" w:themeFillShade="BF"/>
          </w:tcPr>
          <w:p w14:paraId="6BCB213B"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69" w:type="dxa"/>
            <w:tcBorders>
              <w:bottom w:val="single" w:sz="4" w:space="0" w:color="auto"/>
            </w:tcBorders>
            <w:shd w:val="clear" w:color="auto" w:fill="BFBFBF" w:themeFill="background1" w:themeFillShade="BF"/>
          </w:tcPr>
          <w:p w14:paraId="6AC6C80C" w14:textId="77777777" w:rsidR="00C3312E" w:rsidRPr="00C3312E" w:rsidRDefault="00C3312E" w:rsidP="00C3312E">
            <w:pPr>
              <w:spacing w:after="0" w:line="240" w:lineRule="auto"/>
              <w:jc w:val="center"/>
              <w:rPr>
                <w:sz w:val="20"/>
                <w:szCs w:val="20"/>
              </w:rPr>
            </w:pPr>
            <w:r w:rsidRPr="00C3312E">
              <w:rPr>
                <w:sz w:val="20"/>
                <w:szCs w:val="20"/>
              </w:rPr>
              <w:t>4,087</w:t>
            </w:r>
          </w:p>
        </w:tc>
        <w:tc>
          <w:tcPr>
            <w:tcW w:w="1170" w:type="dxa"/>
            <w:tcBorders>
              <w:bottom w:val="single" w:sz="4" w:space="0" w:color="auto"/>
            </w:tcBorders>
            <w:shd w:val="clear" w:color="auto" w:fill="BFBFBF" w:themeFill="background1" w:themeFillShade="BF"/>
          </w:tcPr>
          <w:p w14:paraId="66F558B0" w14:textId="77777777" w:rsidR="00C3312E" w:rsidRPr="00C3312E" w:rsidRDefault="00C3312E" w:rsidP="00C3312E">
            <w:pPr>
              <w:spacing w:after="0" w:line="240" w:lineRule="auto"/>
              <w:jc w:val="center"/>
              <w:rPr>
                <w:sz w:val="20"/>
                <w:szCs w:val="20"/>
              </w:rPr>
            </w:pPr>
            <w:r w:rsidRPr="00C3312E">
              <w:rPr>
                <w:sz w:val="20"/>
                <w:szCs w:val="20"/>
              </w:rPr>
              <w:t>492.0</w:t>
            </w:r>
          </w:p>
        </w:tc>
        <w:tc>
          <w:tcPr>
            <w:tcW w:w="1170" w:type="dxa"/>
            <w:tcBorders>
              <w:bottom w:val="single" w:sz="4" w:space="0" w:color="auto"/>
            </w:tcBorders>
            <w:shd w:val="clear" w:color="auto" w:fill="BFBFBF" w:themeFill="background1" w:themeFillShade="BF"/>
          </w:tcPr>
          <w:p w14:paraId="6D583A2B" w14:textId="77777777" w:rsidR="00C3312E" w:rsidRPr="00C3312E" w:rsidRDefault="00C3312E" w:rsidP="00C3312E">
            <w:pPr>
              <w:spacing w:after="0" w:line="240" w:lineRule="auto"/>
              <w:jc w:val="center"/>
              <w:rPr>
                <w:sz w:val="20"/>
                <w:szCs w:val="20"/>
              </w:rPr>
            </w:pPr>
            <w:r w:rsidRPr="00C3312E">
              <w:rPr>
                <w:sz w:val="20"/>
                <w:szCs w:val="20"/>
              </w:rPr>
              <w:t>492.0</w:t>
            </w:r>
          </w:p>
        </w:tc>
        <w:tc>
          <w:tcPr>
            <w:tcW w:w="1082" w:type="dxa"/>
            <w:tcBorders>
              <w:bottom w:val="single" w:sz="4" w:space="0" w:color="auto"/>
            </w:tcBorders>
            <w:shd w:val="clear" w:color="auto" w:fill="BFBFBF" w:themeFill="background1" w:themeFillShade="BF"/>
          </w:tcPr>
          <w:p w14:paraId="6CBC627A" w14:textId="77777777" w:rsidR="00C3312E" w:rsidRPr="00C3312E" w:rsidRDefault="00C3312E" w:rsidP="00C3312E">
            <w:pPr>
              <w:spacing w:after="0" w:line="240" w:lineRule="auto"/>
              <w:jc w:val="center"/>
              <w:rPr>
                <w:sz w:val="20"/>
                <w:szCs w:val="20"/>
              </w:rPr>
            </w:pPr>
            <w:r w:rsidRPr="00C3312E">
              <w:rPr>
                <w:sz w:val="20"/>
                <w:szCs w:val="20"/>
              </w:rPr>
              <w:t>0.0</w:t>
            </w:r>
          </w:p>
        </w:tc>
        <w:tc>
          <w:tcPr>
            <w:tcW w:w="1258" w:type="dxa"/>
            <w:tcBorders>
              <w:bottom w:val="single" w:sz="4" w:space="0" w:color="auto"/>
            </w:tcBorders>
            <w:shd w:val="clear" w:color="auto" w:fill="BFBFBF" w:themeFill="background1" w:themeFillShade="BF"/>
          </w:tcPr>
          <w:p w14:paraId="121AE107" w14:textId="77777777" w:rsidR="00C3312E" w:rsidRPr="00C3312E" w:rsidRDefault="00C3312E" w:rsidP="00C3312E">
            <w:pPr>
              <w:spacing w:after="0" w:line="240" w:lineRule="auto"/>
              <w:jc w:val="center"/>
              <w:rPr>
                <w:sz w:val="20"/>
                <w:szCs w:val="20"/>
              </w:rPr>
            </w:pPr>
            <w:r w:rsidRPr="00C3312E">
              <w:rPr>
                <w:sz w:val="20"/>
                <w:szCs w:val="20"/>
              </w:rPr>
              <w:t>498.4</w:t>
            </w:r>
          </w:p>
        </w:tc>
        <w:tc>
          <w:tcPr>
            <w:tcW w:w="1352" w:type="dxa"/>
            <w:tcBorders>
              <w:bottom w:val="single" w:sz="4" w:space="0" w:color="auto"/>
            </w:tcBorders>
            <w:shd w:val="clear" w:color="auto" w:fill="BFBFBF" w:themeFill="background1" w:themeFillShade="BF"/>
          </w:tcPr>
          <w:p w14:paraId="2C378304" w14:textId="77777777" w:rsidR="00C3312E" w:rsidRPr="00C3312E" w:rsidRDefault="00C3312E" w:rsidP="00C3312E">
            <w:pPr>
              <w:spacing w:after="0" w:line="240" w:lineRule="auto"/>
              <w:jc w:val="center"/>
              <w:rPr>
                <w:sz w:val="20"/>
                <w:szCs w:val="20"/>
              </w:rPr>
            </w:pPr>
            <w:r w:rsidRPr="00C3312E">
              <w:rPr>
                <w:sz w:val="20"/>
                <w:szCs w:val="20"/>
              </w:rPr>
              <w:t>-6.4</w:t>
            </w:r>
          </w:p>
        </w:tc>
      </w:tr>
      <w:tr w:rsidR="00C3312E" w:rsidRPr="00C3312E" w14:paraId="5BE6A4EB" w14:textId="77777777" w:rsidTr="00CF7974">
        <w:tc>
          <w:tcPr>
            <w:tcW w:w="9360" w:type="dxa"/>
            <w:gridSpan w:val="7"/>
            <w:tcBorders>
              <w:left w:val="nil"/>
              <w:bottom w:val="nil"/>
              <w:right w:val="nil"/>
            </w:tcBorders>
          </w:tcPr>
          <w:p w14:paraId="5A6E7E0D" w14:textId="4826B28D" w:rsidR="00C3312E" w:rsidRPr="00C3312E" w:rsidRDefault="00C3312E" w:rsidP="00EC5B5A">
            <w:pPr>
              <w:spacing w:before="60" w:after="0" w:line="240" w:lineRule="auto"/>
              <w:rPr>
                <w:rFonts w:cs="Times New Roman"/>
              </w:rPr>
            </w:pPr>
            <w:r w:rsidRPr="00C3312E">
              <w:rPr>
                <w:rFonts w:ascii="Calibri" w:hAnsi="Calibri"/>
                <w:sz w:val="18"/>
                <w:szCs w:val="18"/>
              </w:rPr>
              <w:t>Next Generation MCAS Achievement Levels: 440</w:t>
            </w:r>
            <w:r w:rsidR="0001674A">
              <w:rPr>
                <w:rFonts w:ascii="Calibri" w:hAnsi="Calibri"/>
                <w:sz w:val="18"/>
                <w:szCs w:val="18"/>
              </w:rPr>
              <w:t>–</w:t>
            </w:r>
            <w:r w:rsidRPr="00C3312E">
              <w:rPr>
                <w:rFonts w:ascii="Calibri" w:hAnsi="Calibri"/>
                <w:sz w:val="18"/>
                <w:szCs w:val="18"/>
              </w:rPr>
              <w:t>470 Not Meeting Expectations; 470</w:t>
            </w:r>
            <w:r w:rsidR="0001674A">
              <w:rPr>
                <w:rFonts w:ascii="Calibri" w:hAnsi="Calibri"/>
                <w:sz w:val="18"/>
                <w:szCs w:val="18"/>
              </w:rPr>
              <w:t>–</w:t>
            </w:r>
            <w:r w:rsidRPr="00C3312E">
              <w:rPr>
                <w:rFonts w:ascii="Calibri" w:hAnsi="Calibri"/>
                <w:sz w:val="18"/>
                <w:szCs w:val="18"/>
              </w:rPr>
              <w:t>500 Partially Meeting Expectations; 500</w:t>
            </w:r>
            <w:r w:rsidR="0001674A">
              <w:rPr>
                <w:rFonts w:ascii="Calibri" w:hAnsi="Calibri"/>
                <w:sz w:val="18"/>
                <w:szCs w:val="18"/>
              </w:rPr>
              <w:t>–</w:t>
            </w:r>
            <w:r w:rsidRPr="00C3312E">
              <w:rPr>
                <w:rFonts w:ascii="Calibri" w:hAnsi="Calibri"/>
                <w:sz w:val="18"/>
                <w:szCs w:val="18"/>
              </w:rPr>
              <w:t>530 Meeting Expectations; 530</w:t>
            </w:r>
            <w:r w:rsidR="0001674A">
              <w:rPr>
                <w:rFonts w:ascii="Calibri" w:hAnsi="Calibri"/>
                <w:sz w:val="18"/>
                <w:szCs w:val="18"/>
              </w:rPr>
              <w:t>–</w:t>
            </w:r>
            <w:r w:rsidRPr="00C3312E">
              <w:rPr>
                <w:rFonts w:ascii="Calibri" w:hAnsi="Calibri"/>
                <w:sz w:val="18"/>
                <w:szCs w:val="18"/>
              </w:rPr>
              <w:t>560 Exceeding Expectations</w:t>
            </w:r>
          </w:p>
        </w:tc>
      </w:tr>
    </w:tbl>
    <w:p w14:paraId="3A51B04D" w14:textId="0AE3C669" w:rsidR="00C3312E" w:rsidRDefault="00C3312E" w:rsidP="00C3312E">
      <w:pPr>
        <w:spacing w:after="0"/>
        <w:rPr>
          <w:rFonts w:cs="Times New Roman"/>
        </w:rPr>
      </w:pPr>
    </w:p>
    <w:p w14:paraId="5F3F705A" w14:textId="77777777" w:rsidR="0089512A" w:rsidRPr="00C3312E" w:rsidRDefault="0089512A" w:rsidP="00C3312E">
      <w:pPr>
        <w:spacing w:after="0"/>
        <w:rPr>
          <w:rFonts w:cs="Times New Roman"/>
        </w:rPr>
      </w:pPr>
    </w:p>
    <w:tbl>
      <w:tblPr>
        <w:tblStyle w:val="TableGrid5"/>
        <w:tblW w:w="0" w:type="auto"/>
        <w:tblLook w:val="00A0" w:firstRow="1" w:lastRow="0" w:firstColumn="1" w:lastColumn="0" w:noHBand="0" w:noVBand="0"/>
        <w:tblCaption w:val="Table 5: Framingham Public Schools"/>
        <w:tblDescription w:val="Next-Generation MCAS ELA Percent Meeting or Exceeding Expectations Grades 3–8, 2017–2018&#10;"/>
      </w:tblPr>
      <w:tblGrid>
        <w:gridCol w:w="2159"/>
        <w:gridCol w:w="1169"/>
        <w:gridCol w:w="1170"/>
        <w:gridCol w:w="1170"/>
        <w:gridCol w:w="1082"/>
        <w:gridCol w:w="1258"/>
        <w:gridCol w:w="1352"/>
      </w:tblGrid>
      <w:tr w:rsidR="00C3312E" w:rsidRPr="00C3312E" w14:paraId="5E7803BD" w14:textId="77777777" w:rsidTr="00CF7974">
        <w:tc>
          <w:tcPr>
            <w:tcW w:w="9360" w:type="dxa"/>
            <w:gridSpan w:val="7"/>
            <w:tcBorders>
              <w:top w:val="nil"/>
              <w:left w:val="nil"/>
              <w:right w:val="nil"/>
            </w:tcBorders>
          </w:tcPr>
          <w:p w14:paraId="6AE54726"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5: Framingham Public Schools</w:t>
            </w:r>
          </w:p>
          <w:p w14:paraId="78E75A16" w14:textId="2A61D37A" w:rsidR="00C3312E" w:rsidRPr="00C3312E" w:rsidRDefault="00C3312E" w:rsidP="002E1150">
            <w:pPr>
              <w:spacing w:after="0" w:line="240" w:lineRule="auto"/>
              <w:jc w:val="center"/>
              <w:rPr>
                <w:rFonts w:cs="Times New Roman"/>
              </w:rPr>
            </w:pPr>
            <w:r w:rsidRPr="00C3312E">
              <w:rPr>
                <w:rFonts w:cs="Times New Roman"/>
                <w:b/>
                <w:sz w:val="20"/>
                <w:szCs w:val="20"/>
              </w:rPr>
              <w:t>Next-Generation MCAS ELA Percent Meeting or Exceeding Expectations Grades 3</w:t>
            </w:r>
            <w:r w:rsidR="000F7DAF">
              <w:rPr>
                <w:rFonts w:cs="Times New Roman"/>
                <w:b/>
                <w:sz w:val="20"/>
                <w:szCs w:val="20"/>
              </w:rPr>
              <w:t>–</w:t>
            </w:r>
            <w:r w:rsidRPr="00C3312E">
              <w:rPr>
                <w:rFonts w:cs="Times New Roman"/>
                <w:b/>
                <w:sz w:val="20"/>
                <w:szCs w:val="20"/>
              </w:rPr>
              <w:t>8, 2017</w:t>
            </w:r>
            <w:r w:rsidR="002E1150">
              <w:rPr>
                <w:rFonts w:cs="Times New Roman"/>
                <w:b/>
                <w:sz w:val="20"/>
                <w:szCs w:val="20"/>
              </w:rPr>
              <w:t>–</w:t>
            </w:r>
            <w:r w:rsidRPr="00C3312E">
              <w:rPr>
                <w:rFonts w:cs="Times New Roman"/>
                <w:b/>
                <w:sz w:val="20"/>
                <w:szCs w:val="20"/>
              </w:rPr>
              <w:t>2018</w:t>
            </w:r>
          </w:p>
        </w:tc>
      </w:tr>
      <w:tr w:rsidR="00C3312E" w:rsidRPr="00C3312E" w14:paraId="5947EBD5" w14:textId="77777777" w:rsidTr="00CF7974">
        <w:tc>
          <w:tcPr>
            <w:tcW w:w="2159" w:type="dxa"/>
            <w:shd w:val="clear" w:color="auto" w:fill="BFBFBF" w:themeFill="background1" w:themeFillShade="BF"/>
          </w:tcPr>
          <w:p w14:paraId="3D344C57" w14:textId="77777777" w:rsidR="00C3312E" w:rsidRPr="00C3312E" w:rsidRDefault="00C3312E" w:rsidP="00EC5B5A">
            <w:pPr>
              <w:spacing w:after="0" w:line="240" w:lineRule="auto"/>
              <w:rPr>
                <w:rFonts w:cs="Times New Roman"/>
                <w:b/>
                <w:sz w:val="20"/>
                <w:szCs w:val="20"/>
              </w:rPr>
            </w:pPr>
            <w:r w:rsidRPr="00C3312E">
              <w:rPr>
                <w:rFonts w:cs="Times New Roman"/>
                <w:b/>
                <w:sz w:val="20"/>
                <w:szCs w:val="20"/>
              </w:rPr>
              <w:t>Group</w:t>
            </w:r>
          </w:p>
        </w:tc>
        <w:tc>
          <w:tcPr>
            <w:tcW w:w="1169" w:type="dxa"/>
            <w:shd w:val="clear" w:color="auto" w:fill="BFBFBF" w:themeFill="background1" w:themeFillShade="BF"/>
          </w:tcPr>
          <w:p w14:paraId="1A6187EA"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170" w:type="dxa"/>
            <w:shd w:val="clear" w:color="auto" w:fill="BFBFBF" w:themeFill="background1" w:themeFillShade="BF"/>
          </w:tcPr>
          <w:p w14:paraId="2AA7DB79"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2017</w:t>
            </w:r>
          </w:p>
        </w:tc>
        <w:tc>
          <w:tcPr>
            <w:tcW w:w="1170" w:type="dxa"/>
            <w:shd w:val="clear" w:color="auto" w:fill="BFBFBF" w:themeFill="background1" w:themeFillShade="BF"/>
          </w:tcPr>
          <w:p w14:paraId="049B8508"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082" w:type="dxa"/>
            <w:shd w:val="clear" w:color="auto" w:fill="BFBFBF" w:themeFill="background1" w:themeFillShade="BF"/>
          </w:tcPr>
          <w:p w14:paraId="5D4B2FBD"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Change</w:t>
            </w:r>
          </w:p>
        </w:tc>
        <w:tc>
          <w:tcPr>
            <w:tcW w:w="1258" w:type="dxa"/>
            <w:shd w:val="clear" w:color="auto" w:fill="BFBFBF" w:themeFill="background1" w:themeFillShade="BF"/>
          </w:tcPr>
          <w:p w14:paraId="28734977"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 (2018)</w:t>
            </w:r>
          </w:p>
        </w:tc>
        <w:tc>
          <w:tcPr>
            <w:tcW w:w="1352" w:type="dxa"/>
            <w:shd w:val="clear" w:color="auto" w:fill="BFBFBF" w:themeFill="background1" w:themeFillShade="BF"/>
          </w:tcPr>
          <w:p w14:paraId="69D631F8"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Above/Below</w:t>
            </w:r>
          </w:p>
        </w:tc>
      </w:tr>
      <w:tr w:rsidR="00C3312E" w:rsidRPr="00C3312E" w14:paraId="6ADC1427" w14:textId="77777777" w:rsidTr="00CF7974">
        <w:tc>
          <w:tcPr>
            <w:tcW w:w="2159" w:type="dxa"/>
          </w:tcPr>
          <w:p w14:paraId="372F2412"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69" w:type="dxa"/>
          </w:tcPr>
          <w:p w14:paraId="26878A47" w14:textId="77777777" w:rsidR="00C3312E" w:rsidRPr="00C3312E" w:rsidRDefault="00C3312E" w:rsidP="00C3312E">
            <w:pPr>
              <w:spacing w:after="0" w:line="240" w:lineRule="auto"/>
              <w:jc w:val="center"/>
              <w:rPr>
                <w:sz w:val="20"/>
                <w:szCs w:val="20"/>
              </w:rPr>
            </w:pPr>
            <w:r w:rsidRPr="00C3312E">
              <w:rPr>
                <w:sz w:val="20"/>
                <w:szCs w:val="20"/>
              </w:rPr>
              <w:t>274</w:t>
            </w:r>
          </w:p>
        </w:tc>
        <w:tc>
          <w:tcPr>
            <w:tcW w:w="1170" w:type="dxa"/>
          </w:tcPr>
          <w:p w14:paraId="38D08110" w14:textId="77777777" w:rsidR="00C3312E" w:rsidRPr="00C3312E" w:rsidRDefault="00C3312E" w:rsidP="00C3312E">
            <w:pPr>
              <w:spacing w:after="0" w:line="240" w:lineRule="auto"/>
              <w:jc w:val="center"/>
              <w:rPr>
                <w:sz w:val="20"/>
                <w:szCs w:val="20"/>
              </w:rPr>
            </w:pPr>
            <w:r w:rsidRPr="00C3312E">
              <w:rPr>
                <w:sz w:val="20"/>
                <w:szCs w:val="20"/>
              </w:rPr>
              <w:t>21%</w:t>
            </w:r>
          </w:p>
        </w:tc>
        <w:tc>
          <w:tcPr>
            <w:tcW w:w="1170" w:type="dxa"/>
          </w:tcPr>
          <w:p w14:paraId="31F4104A" w14:textId="77777777" w:rsidR="00C3312E" w:rsidRPr="00C3312E" w:rsidRDefault="00C3312E" w:rsidP="00C3312E">
            <w:pPr>
              <w:spacing w:after="0" w:line="240" w:lineRule="auto"/>
              <w:jc w:val="center"/>
              <w:rPr>
                <w:sz w:val="20"/>
                <w:szCs w:val="20"/>
              </w:rPr>
            </w:pPr>
            <w:r w:rsidRPr="00C3312E">
              <w:rPr>
                <w:sz w:val="20"/>
                <w:szCs w:val="20"/>
              </w:rPr>
              <w:t>25%</w:t>
            </w:r>
          </w:p>
        </w:tc>
        <w:tc>
          <w:tcPr>
            <w:tcW w:w="1082" w:type="dxa"/>
          </w:tcPr>
          <w:p w14:paraId="7B21B9AD" w14:textId="77777777" w:rsidR="00C3312E" w:rsidRPr="00C3312E" w:rsidRDefault="00C3312E" w:rsidP="00C3312E">
            <w:pPr>
              <w:spacing w:after="0" w:line="240" w:lineRule="auto"/>
              <w:jc w:val="center"/>
              <w:rPr>
                <w:sz w:val="20"/>
                <w:szCs w:val="20"/>
              </w:rPr>
            </w:pPr>
            <w:r w:rsidRPr="00C3312E">
              <w:rPr>
                <w:sz w:val="20"/>
                <w:szCs w:val="20"/>
              </w:rPr>
              <w:t>4%</w:t>
            </w:r>
          </w:p>
        </w:tc>
        <w:tc>
          <w:tcPr>
            <w:tcW w:w="1258" w:type="dxa"/>
          </w:tcPr>
          <w:p w14:paraId="57DD1709" w14:textId="77777777" w:rsidR="00C3312E" w:rsidRPr="00C3312E" w:rsidRDefault="00C3312E" w:rsidP="00C3312E">
            <w:pPr>
              <w:spacing w:after="0" w:line="240" w:lineRule="auto"/>
              <w:jc w:val="center"/>
              <w:rPr>
                <w:sz w:val="20"/>
                <w:szCs w:val="20"/>
              </w:rPr>
            </w:pPr>
            <w:r w:rsidRPr="00C3312E">
              <w:rPr>
                <w:sz w:val="20"/>
                <w:szCs w:val="20"/>
              </w:rPr>
              <w:t>31%</w:t>
            </w:r>
          </w:p>
        </w:tc>
        <w:tc>
          <w:tcPr>
            <w:tcW w:w="1352" w:type="dxa"/>
          </w:tcPr>
          <w:p w14:paraId="57C99167" w14:textId="77777777" w:rsidR="00C3312E" w:rsidRPr="00C3312E" w:rsidRDefault="00C3312E" w:rsidP="00C3312E">
            <w:pPr>
              <w:spacing w:after="0" w:line="240" w:lineRule="auto"/>
              <w:jc w:val="center"/>
              <w:rPr>
                <w:sz w:val="20"/>
                <w:szCs w:val="20"/>
              </w:rPr>
            </w:pPr>
            <w:r w:rsidRPr="00C3312E">
              <w:rPr>
                <w:sz w:val="20"/>
                <w:szCs w:val="20"/>
              </w:rPr>
              <w:t>-6%</w:t>
            </w:r>
          </w:p>
        </w:tc>
      </w:tr>
      <w:tr w:rsidR="00C3312E" w:rsidRPr="00C3312E" w14:paraId="4C458D9F" w14:textId="77777777" w:rsidTr="00CF7974">
        <w:tc>
          <w:tcPr>
            <w:tcW w:w="2159" w:type="dxa"/>
            <w:shd w:val="clear" w:color="auto" w:fill="BFBFBF" w:themeFill="background1" w:themeFillShade="BF"/>
          </w:tcPr>
          <w:p w14:paraId="17FE000D" w14:textId="77777777" w:rsidR="00C3312E" w:rsidRPr="00C3312E" w:rsidRDefault="00C3312E" w:rsidP="00C3312E">
            <w:pPr>
              <w:spacing w:after="0" w:line="240" w:lineRule="auto"/>
              <w:rPr>
                <w:sz w:val="20"/>
                <w:szCs w:val="20"/>
              </w:rPr>
            </w:pPr>
            <w:r w:rsidRPr="00C3312E">
              <w:rPr>
                <w:sz w:val="20"/>
                <w:szCs w:val="20"/>
              </w:rPr>
              <w:t>Asian</w:t>
            </w:r>
          </w:p>
        </w:tc>
        <w:tc>
          <w:tcPr>
            <w:tcW w:w="1169" w:type="dxa"/>
            <w:shd w:val="clear" w:color="auto" w:fill="BFBFBF" w:themeFill="background1" w:themeFillShade="BF"/>
          </w:tcPr>
          <w:p w14:paraId="0654AB26" w14:textId="77777777" w:rsidR="00C3312E" w:rsidRPr="00C3312E" w:rsidRDefault="00C3312E" w:rsidP="00C3312E">
            <w:pPr>
              <w:spacing w:after="0" w:line="240" w:lineRule="auto"/>
              <w:jc w:val="center"/>
              <w:rPr>
                <w:sz w:val="20"/>
                <w:szCs w:val="20"/>
              </w:rPr>
            </w:pPr>
            <w:r w:rsidRPr="00C3312E">
              <w:rPr>
                <w:sz w:val="20"/>
                <w:szCs w:val="20"/>
              </w:rPr>
              <w:t>181</w:t>
            </w:r>
          </w:p>
        </w:tc>
        <w:tc>
          <w:tcPr>
            <w:tcW w:w="1170" w:type="dxa"/>
            <w:shd w:val="clear" w:color="auto" w:fill="BFBFBF" w:themeFill="background1" w:themeFillShade="BF"/>
          </w:tcPr>
          <w:p w14:paraId="79367BA9" w14:textId="77777777" w:rsidR="00C3312E" w:rsidRPr="00C3312E" w:rsidRDefault="00C3312E" w:rsidP="00C3312E">
            <w:pPr>
              <w:spacing w:after="0" w:line="240" w:lineRule="auto"/>
              <w:jc w:val="center"/>
              <w:rPr>
                <w:sz w:val="20"/>
                <w:szCs w:val="20"/>
              </w:rPr>
            </w:pPr>
            <w:r w:rsidRPr="00C3312E">
              <w:rPr>
                <w:sz w:val="20"/>
                <w:szCs w:val="20"/>
              </w:rPr>
              <w:t>58%</w:t>
            </w:r>
          </w:p>
        </w:tc>
        <w:tc>
          <w:tcPr>
            <w:tcW w:w="1170" w:type="dxa"/>
            <w:shd w:val="clear" w:color="auto" w:fill="BFBFBF" w:themeFill="background1" w:themeFillShade="BF"/>
          </w:tcPr>
          <w:p w14:paraId="3A32FEB4" w14:textId="77777777" w:rsidR="00C3312E" w:rsidRPr="00C3312E" w:rsidRDefault="00C3312E" w:rsidP="00C3312E">
            <w:pPr>
              <w:spacing w:after="0" w:line="240" w:lineRule="auto"/>
              <w:jc w:val="center"/>
              <w:rPr>
                <w:sz w:val="20"/>
                <w:szCs w:val="20"/>
              </w:rPr>
            </w:pPr>
            <w:r w:rsidRPr="00C3312E">
              <w:rPr>
                <w:sz w:val="20"/>
                <w:szCs w:val="20"/>
              </w:rPr>
              <w:t>60%</w:t>
            </w:r>
          </w:p>
        </w:tc>
        <w:tc>
          <w:tcPr>
            <w:tcW w:w="1082" w:type="dxa"/>
            <w:shd w:val="clear" w:color="auto" w:fill="BFBFBF" w:themeFill="background1" w:themeFillShade="BF"/>
          </w:tcPr>
          <w:p w14:paraId="5162000E" w14:textId="77777777" w:rsidR="00C3312E" w:rsidRPr="00C3312E" w:rsidRDefault="00C3312E" w:rsidP="00C3312E">
            <w:pPr>
              <w:spacing w:after="0" w:line="240" w:lineRule="auto"/>
              <w:jc w:val="center"/>
              <w:rPr>
                <w:sz w:val="20"/>
                <w:szCs w:val="20"/>
              </w:rPr>
            </w:pPr>
            <w:r w:rsidRPr="00C3312E">
              <w:rPr>
                <w:sz w:val="20"/>
                <w:szCs w:val="20"/>
              </w:rPr>
              <w:t>2%</w:t>
            </w:r>
          </w:p>
        </w:tc>
        <w:tc>
          <w:tcPr>
            <w:tcW w:w="1258" w:type="dxa"/>
            <w:shd w:val="clear" w:color="auto" w:fill="BFBFBF" w:themeFill="background1" w:themeFillShade="BF"/>
          </w:tcPr>
          <w:p w14:paraId="37A8E98F" w14:textId="77777777" w:rsidR="00C3312E" w:rsidRPr="00C3312E" w:rsidRDefault="00C3312E" w:rsidP="00C3312E">
            <w:pPr>
              <w:spacing w:after="0" w:line="240" w:lineRule="auto"/>
              <w:jc w:val="center"/>
              <w:rPr>
                <w:sz w:val="20"/>
                <w:szCs w:val="20"/>
              </w:rPr>
            </w:pPr>
            <w:r w:rsidRPr="00C3312E">
              <w:rPr>
                <w:sz w:val="20"/>
                <w:szCs w:val="20"/>
              </w:rPr>
              <w:t>71%</w:t>
            </w:r>
          </w:p>
        </w:tc>
        <w:tc>
          <w:tcPr>
            <w:tcW w:w="1352" w:type="dxa"/>
            <w:shd w:val="clear" w:color="auto" w:fill="BFBFBF" w:themeFill="background1" w:themeFillShade="BF"/>
          </w:tcPr>
          <w:p w14:paraId="6614EFEF" w14:textId="77777777" w:rsidR="00C3312E" w:rsidRPr="00C3312E" w:rsidRDefault="00C3312E" w:rsidP="00C3312E">
            <w:pPr>
              <w:spacing w:after="0" w:line="240" w:lineRule="auto"/>
              <w:jc w:val="center"/>
              <w:rPr>
                <w:sz w:val="20"/>
                <w:szCs w:val="20"/>
              </w:rPr>
            </w:pPr>
            <w:r w:rsidRPr="00C3312E">
              <w:rPr>
                <w:sz w:val="20"/>
                <w:szCs w:val="20"/>
              </w:rPr>
              <w:t>-11%</w:t>
            </w:r>
          </w:p>
        </w:tc>
      </w:tr>
      <w:tr w:rsidR="00C3312E" w:rsidRPr="00C3312E" w14:paraId="132B6F47" w14:textId="77777777" w:rsidTr="00CF7974">
        <w:tc>
          <w:tcPr>
            <w:tcW w:w="2159" w:type="dxa"/>
          </w:tcPr>
          <w:p w14:paraId="2356F8E3" w14:textId="77777777" w:rsidR="00C3312E" w:rsidRPr="00C3312E" w:rsidRDefault="00C3312E" w:rsidP="00C3312E">
            <w:pPr>
              <w:spacing w:after="0" w:line="240" w:lineRule="auto"/>
              <w:rPr>
                <w:sz w:val="20"/>
                <w:szCs w:val="20"/>
              </w:rPr>
            </w:pPr>
            <w:r w:rsidRPr="00C3312E">
              <w:rPr>
                <w:sz w:val="20"/>
                <w:szCs w:val="20"/>
              </w:rPr>
              <w:t>Hispanic or Latino</w:t>
            </w:r>
          </w:p>
        </w:tc>
        <w:tc>
          <w:tcPr>
            <w:tcW w:w="1169" w:type="dxa"/>
          </w:tcPr>
          <w:p w14:paraId="5A96D40F" w14:textId="77777777" w:rsidR="00C3312E" w:rsidRPr="00C3312E" w:rsidRDefault="00C3312E" w:rsidP="00C3312E">
            <w:pPr>
              <w:spacing w:after="0" w:line="240" w:lineRule="auto"/>
              <w:jc w:val="center"/>
              <w:rPr>
                <w:sz w:val="20"/>
                <w:szCs w:val="20"/>
              </w:rPr>
            </w:pPr>
            <w:r w:rsidRPr="00C3312E">
              <w:rPr>
                <w:sz w:val="20"/>
                <w:szCs w:val="20"/>
              </w:rPr>
              <w:t>1,164</w:t>
            </w:r>
          </w:p>
        </w:tc>
        <w:tc>
          <w:tcPr>
            <w:tcW w:w="1170" w:type="dxa"/>
          </w:tcPr>
          <w:p w14:paraId="67523B1C" w14:textId="77777777" w:rsidR="00C3312E" w:rsidRPr="00C3312E" w:rsidRDefault="00C3312E" w:rsidP="00C3312E">
            <w:pPr>
              <w:spacing w:after="0" w:line="240" w:lineRule="auto"/>
              <w:jc w:val="center"/>
              <w:rPr>
                <w:sz w:val="20"/>
                <w:szCs w:val="20"/>
              </w:rPr>
            </w:pPr>
            <w:r w:rsidRPr="00C3312E">
              <w:rPr>
                <w:sz w:val="20"/>
                <w:szCs w:val="20"/>
              </w:rPr>
              <w:t>20%</w:t>
            </w:r>
          </w:p>
        </w:tc>
        <w:tc>
          <w:tcPr>
            <w:tcW w:w="1170" w:type="dxa"/>
          </w:tcPr>
          <w:p w14:paraId="58B27E15" w14:textId="77777777" w:rsidR="00C3312E" w:rsidRPr="00C3312E" w:rsidRDefault="00C3312E" w:rsidP="00C3312E">
            <w:pPr>
              <w:spacing w:after="0" w:line="240" w:lineRule="auto"/>
              <w:jc w:val="center"/>
              <w:rPr>
                <w:sz w:val="20"/>
                <w:szCs w:val="20"/>
              </w:rPr>
            </w:pPr>
            <w:r w:rsidRPr="00C3312E">
              <w:rPr>
                <w:sz w:val="20"/>
                <w:szCs w:val="20"/>
              </w:rPr>
              <w:t>20%</w:t>
            </w:r>
          </w:p>
        </w:tc>
        <w:tc>
          <w:tcPr>
            <w:tcW w:w="1082" w:type="dxa"/>
          </w:tcPr>
          <w:p w14:paraId="529BCE75" w14:textId="77777777" w:rsidR="00C3312E" w:rsidRPr="00C3312E" w:rsidRDefault="00C3312E" w:rsidP="00C3312E">
            <w:pPr>
              <w:spacing w:after="0" w:line="240" w:lineRule="auto"/>
              <w:jc w:val="center"/>
              <w:rPr>
                <w:sz w:val="20"/>
                <w:szCs w:val="20"/>
              </w:rPr>
            </w:pPr>
            <w:r w:rsidRPr="00C3312E">
              <w:rPr>
                <w:sz w:val="20"/>
                <w:szCs w:val="20"/>
              </w:rPr>
              <w:t>0%</w:t>
            </w:r>
          </w:p>
        </w:tc>
        <w:tc>
          <w:tcPr>
            <w:tcW w:w="1258" w:type="dxa"/>
          </w:tcPr>
          <w:p w14:paraId="3E4C4EBF" w14:textId="77777777" w:rsidR="00C3312E" w:rsidRPr="00C3312E" w:rsidRDefault="00C3312E" w:rsidP="00C3312E">
            <w:pPr>
              <w:spacing w:after="0" w:line="240" w:lineRule="auto"/>
              <w:jc w:val="center"/>
              <w:rPr>
                <w:sz w:val="20"/>
                <w:szCs w:val="20"/>
              </w:rPr>
            </w:pPr>
            <w:r w:rsidRPr="00C3312E">
              <w:rPr>
                <w:sz w:val="20"/>
                <w:szCs w:val="20"/>
              </w:rPr>
              <w:t>31%</w:t>
            </w:r>
          </w:p>
        </w:tc>
        <w:tc>
          <w:tcPr>
            <w:tcW w:w="1352" w:type="dxa"/>
          </w:tcPr>
          <w:p w14:paraId="1075D2FA" w14:textId="77777777" w:rsidR="00C3312E" w:rsidRPr="00C3312E" w:rsidRDefault="00C3312E" w:rsidP="00C3312E">
            <w:pPr>
              <w:spacing w:after="0" w:line="240" w:lineRule="auto"/>
              <w:jc w:val="center"/>
              <w:rPr>
                <w:sz w:val="20"/>
                <w:szCs w:val="20"/>
              </w:rPr>
            </w:pPr>
            <w:r w:rsidRPr="00C3312E">
              <w:rPr>
                <w:sz w:val="20"/>
                <w:szCs w:val="20"/>
              </w:rPr>
              <w:t>-11%</w:t>
            </w:r>
          </w:p>
        </w:tc>
      </w:tr>
      <w:tr w:rsidR="00C3312E" w:rsidRPr="00C3312E" w14:paraId="68A0A381" w14:textId="77777777" w:rsidTr="00CF7974">
        <w:tc>
          <w:tcPr>
            <w:tcW w:w="2159" w:type="dxa"/>
            <w:shd w:val="clear" w:color="auto" w:fill="BFBFBF" w:themeFill="background1" w:themeFillShade="BF"/>
          </w:tcPr>
          <w:p w14:paraId="0458C1F3" w14:textId="77777777" w:rsidR="00C3312E" w:rsidRPr="00C3312E" w:rsidRDefault="00C3312E" w:rsidP="00C3312E">
            <w:pPr>
              <w:spacing w:after="0" w:line="240" w:lineRule="auto"/>
              <w:rPr>
                <w:sz w:val="20"/>
                <w:szCs w:val="20"/>
              </w:rPr>
            </w:pPr>
            <w:r w:rsidRPr="00C3312E">
              <w:rPr>
                <w:sz w:val="20"/>
                <w:szCs w:val="20"/>
              </w:rPr>
              <w:t>Multi-Race</w:t>
            </w:r>
          </w:p>
        </w:tc>
        <w:tc>
          <w:tcPr>
            <w:tcW w:w="1169" w:type="dxa"/>
            <w:shd w:val="clear" w:color="auto" w:fill="BFBFBF" w:themeFill="background1" w:themeFillShade="BF"/>
          </w:tcPr>
          <w:p w14:paraId="5C1541DF" w14:textId="77777777" w:rsidR="00C3312E" w:rsidRPr="00C3312E" w:rsidRDefault="00C3312E" w:rsidP="00C3312E">
            <w:pPr>
              <w:spacing w:after="0" w:line="240" w:lineRule="auto"/>
              <w:jc w:val="center"/>
              <w:rPr>
                <w:sz w:val="20"/>
                <w:szCs w:val="20"/>
              </w:rPr>
            </w:pPr>
            <w:r w:rsidRPr="00C3312E">
              <w:rPr>
                <w:sz w:val="20"/>
                <w:szCs w:val="20"/>
              </w:rPr>
              <w:t>147</w:t>
            </w:r>
          </w:p>
        </w:tc>
        <w:tc>
          <w:tcPr>
            <w:tcW w:w="1170" w:type="dxa"/>
            <w:shd w:val="clear" w:color="auto" w:fill="BFBFBF" w:themeFill="background1" w:themeFillShade="BF"/>
          </w:tcPr>
          <w:p w14:paraId="368CE380" w14:textId="77777777" w:rsidR="00C3312E" w:rsidRPr="00C3312E" w:rsidRDefault="00C3312E" w:rsidP="00C3312E">
            <w:pPr>
              <w:spacing w:after="0" w:line="240" w:lineRule="auto"/>
              <w:jc w:val="center"/>
              <w:rPr>
                <w:sz w:val="20"/>
                <w:szCs w:val="20"/>
              </w:rPr>
            </w:pPr>
            <w:r w:rsidRPr="00C3312E">
              <w:rPr>
                <w:sz w:val="20"/>
                <w:szCs w:val="20"/>
              </w:rPr>
              <w:t>51%</w:t>
            </w:r>
          </w:p>
        </w:tc>
        <w:tc>
          <w:tcPr>
            <w:tcW w:w="1170" w:type="dxa"/>
            <w:shd w:val="clear" w:color="auto" w:fill="BFBFBF" w:themeFill="background1" w:themeFillShade="BF"/>
          </w:tcPr>
          <w:p w14:paraId="56007705" w14:textId="77777777" w:rsidR="00C3312E" w:rsidRPr="00C3312E" w:rsidRDefault="00C3312E" w:rsidP="00C3312E">
            <w:pPr>
              <w:spacing w:after="0" w:line="240" w:lineRule="auto"/>
              <w:jc w:val="center"/>
              <w:rPr>
                <w:sz w:val="20"/>
                <w:szCs w:val="20"/>
              </w:rPr>
            </w:pPr>
            <w:r w:rsidRPr="00C3312E">
              <w:rPr>
                <w:sz w:val="20"/>
                <w:szCs w:val="20"/>
              </w:rPr>
              <w:t>49%</w:t>
            </w:r>
          </w:p>
        </w:tc>
        <w:tc>
          <w:tcPr>
            <w:tcW w:w="1082" w:type="dxa"/>
            <w:shd w:val="clear" w:color="auto" w:fill="BFBFBF" w:themeFill="background1" w:themeFillShade="BF"/>
          </w:tcPr>
          <w:p w14:paraId="6AE2ECA1" w14:textId="77777777" w:rsidR="00C3312E" w:rsidRPr="00C3312E" w:rsidRDefault="00C3312E" w:rsidP="00C3312E">
            <w:pPr>
              <w:spacing w:after="0" w:line="240" w:lineRule="auto"/>
              <w:jc w:val="center"/>
              <w:rPr>
                <w:sz w:val="20"/>
                <w:szCs w:val="20"/>
              </w:rPr>
            </w:pPr>
            <w:r w:rsidRPr="00C3312E">
              <w:rPr>
                <w:sz w:val="20"/>
                <w:szCs w:val="20"/>
              </w:rPr>
              <w:t>-2%</w:t>
            </w:r>
          </w:p>
        </w:tc>
        <w:tc>
          <w:tcPr>
            <w:tcW w:w="1258" w:type="dxa"/>
            <w:shd w:val="clear" w:color="auto" w:fill="BFBFBF" w:themeFill="background1" w:themeFillShade="BF"/>
          </w:tcPr>
          <w:p w14:paraId="1E9CD952" w14:textId="77777777" w:rsidR="00C3312E" w:rsidRPr="00C3312E" w:rsidRDefault="00C3312E" w:rsidP="00C3312E">
            <w:pPr>
              <w:spacing w:after="0" w:line="240" w:lineRule="auto"/>
              <w:jc w:val="center"/>
              <w:rPr>
                <w:sz w:val="20"/>
                <w:szCs w:val="20"/>
              </w:rPr>
            </w:pPr>
            <w:r w:rsidRPr="00C3312E">
              <w:rPr>
                <w:sz w:val="20"/>
                <w:szCs w:val="20"/>
              </w:rPr>
              <w:t>54%</w:t>
            </w:r>
          </w:p>
        </w:tc>
        <w:tc>
          <w:tcPr>
            <w:tcW w:w="1352" w:type="dxa"/>
            <w:shd w:val="clear" w:color="auto" w:fill="BFBFBF" w:themeFill="background1" w:themeFillShade="BF"/>
          </w:tcPr>
          <w:p w14:paraId="0249E9F2"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14CDE254" w14:textId="77777777" w:rsidTr="00CF7974">
        <w:tc>
          <w:tcPr>
            <w:tcW w:w="2159" w:type="dxa"/>
          </w:tcPr>
          <w:p w14:paraId="75AD8DB7" w14:textId="77777777" w:rsidR="00C3312E" w:rsidRPr="00C3312E" w:rsidRDefault="00C3312E" w:rsidP="00C3312E">
            <w:pPr>
              <w:spacing w:after="0" w:line="240" w:lineRule="auto"/>
              <w:rPr>
                <w:sz w:val="20"/>
                <w:szCs w:val="20"/>
              </w:rPr>
            </w:pPr>
            <w:r w:rsidRPr="00C3312E">
              <w:rPr>
                <w:sz w:val="20"/>
                <w:szCs w:val="20"/>
              </w:rPr>
              <w:t>White</w:t>
            </w:r>
          </w:p>
        </w:tc>
        <w:tc>
          <w:tcPr>
            <w:tcW w:w="1169" w:type="dxa"/>
          </w:tcPr>
          <w:p w14:paraId="1E228E02" w14:textId="77777777" w:rsidR="00C3312E" w:rsidRPr="00C3312E" w:rsidRDefault="00C3312E" w:rsidP="00C3312E">
            <w:pPr>
              <w:spacing w:after="0" w:line="240" w:lineRule="auto"/>
              <w:jc w:val="center"/>
              <w:rPr>
                <w:sz w:val="20"/>
                <w:szCs w:val="20"/>
              </w:rPr>
            </w:pPr>
            <w:r w:rsidRPr="00C3312E">
              <w:rPr>
                <w:sz w:val="20"/>
                <w:szCs w:val="20"/>
              </w:rPr>
              <w:t>2,308</w:t>
            </w:r>
          </w:p>
        </w:tc>
        <w:tc>
          <w:tcPr>
            <w:tcW w:w="1170" w:type="dxa"/>
          </w:tcPr>
          <w:p w14:paraId="2EAEA530" w14:textId="77777777" w:rsidR="00C3312E" w:rsidRPr="00C3312E" w:rsidRDefault="00C3312E" w:rsidP="00C3312E">
            <w:pPr>
              <w:spacing w:after="0" w:line="240" w:lineRule="auto"/>
              <w:jc w:val="center"/>
              <w:rPr>
                <w:sz w:val="20"/>
                <w:szCs w:val="20"/>
              </w:rPr>
            </w:pPr>
            <w:r w:rsidRPr="00C3312E">
              <w:rPr>
                <w:sz w:val="20"/>
                <w:szCs w:val="20"/>
              </w:rPr>
              <w:t>44%</w:t>
            </w:r>
          </w:p>
        </w:tc>
        <w:tc>
          <w:tcPr>
            <w:tcW w:w="1170" w:type="dxa"/>
          </w:tcPr>
          <w:p w14:paraId="7D0400B2" w14:textId="77777777" w:rsidR="00C3312E" w:rsidRPr="00C3312E" w:rsidRDefault="00C3312E" w:rsidP="00C3312E">
            <w:pPr>
              <w:spacing w:after="0" w:line="240" w:lineRule="auto"/>
              <w:jc w:val="center"/>
              <w:rPr>
                <w:sz w:val="20"/>
                <w:szCs w:val="20"/>
              </w:rPr>
            </w:pPr>
            <w:r w:rsidRPr="00C3312E">
              <w:rPr>
                <w:sz w:val="20"/>
                <w:szCs w:val="20"/>
              </w:rPr>
              <w:t>46%</w:t>
            </w:r>
          </w:p>
        </w:tc>
        <w:tc>
          <w:tcPr>
            <w:tcW w:w="1082" w:type="dxa"/>
          </w:tcPr>
          <w:p w14:paraId="1D9B99D6" w14:textId="77777777" w:rsidR="00C3312E" w:rsidRPr="00C3312E" w:rsidRDefault="00C3312E" w:rsidP="00C3312E">
            <w:pPr>
              <w:spacing w:after="0" w:line="240" w:lineRule="auto"/>
              <w:jc w:val="center"/>
              <w:rPr>
                <w:sz w:val="20"/>
                <w:szCs w:val="20"/>
              </w:rPr>
            </w:pPr>
            <w:r w:rsidRPr="00C3312E">
              <w:rPr>
                <w:sz w:val="20"/>
                <w:szCs w:val="20"/>
              </w:rPr>
              <w:t>2%</w:t>
            </w:r>
          </w:p>
        </w:tc>
        <w:tc>
          <w:tcPr>
            <w:tcW w:w="1258" w:type="dxa"/>
          </w:tcPr>
          <w:p w14:paraId="7569733E" w14:textId="77777777" w:rsidR="00C3312E" w:rsidRPr="00C3312E" w:rsidRDefault="00C3312E" w:rsidP="00C3312E">
            <w:pPr>
              <w:spacing w:after="0" w:line="240" w:lineRule="auto"/>
              <w:jc w:val="center"/>
              <w:rPr>
                <w:sz w:val="20"/>
                <w:szCs w:val="20"/>
              </w:rPr>
            </w:pPr>
            <w:r w:rsidRPr="00C3312E">
              <w:rPr>
                <w:sz w:val="20"/>
                <w:szCs w:val="20"/>
              </w:rPr>
              <w:t>58%</w:t>
            </w:r>
          </w:p>
        </w:tc>
        <w:tc>
          <w:tcPr>
            <w:tcW w:w="1352" w:type="dxa"/>
          </w:tcPr>
          <w:p w14:paraId="6976FCD2" w14:textId="77777777" w:rsidR="00C3312E" w:rsidRPr="00C3312E" w:rsidRDefault="00C3312E" w:rsidP="00C3312E">
            <w:pPr>
              <w:spacing w:after="0" w:line="240" w:lineRule="auto"/>
              <w:jc w:val="center"/>
              <w:rPr>
                <w:sz w:val="20"/>
                <w:szCs w:val="20"/>
              </w:rPr>
            </w:pPr>
            <w:r w:rsidRPr="00C3312E">
              <w:rPr>
                <w:sz w:val="20"/>
                <w:szCs w:val="20"/>
              </w:rPr>
              <w:t>-12%</w:t>
            </w:r>
          </w:p>
        </w:tc>
      </w:tr>
      <w:tr w:rsidR="00C3312E" w:rsidRPr="00C3312E" w14:paraId="4706EF90" w14:textId="77777777" w:rsidTr="00CF7974">
        <w:tc>
          <w:tcPr>
            <w:tcW w:w="2159" w:type="dxa"/>
            <w:shd w:val="clear" w:color="auto" w:fill="BFBFBF" w:themeFill="background1" w:themeFillShade="BF"/>
          </w:tcPr>
          <w:p w14:paraId="3970626B"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69" w:type="dxa"/>
            <w:shd w:val="clear" w:color="auto" w:fill="BFBFBF" w:themeFill="background1" w:themeFillShade="BF"/>
          </w:tcPr>
          <w:p w14:paraId="277C7BAA" w14:textId="77777777" w:rsidR="00C3312E" w:rsidRPr="00C3312E" w:rsidRDefault="00C3312E" w:rsidP="00C3312E">
            <w:pPr>
              <w:spacing w:after="0" w:line="240" w:lineRule="auto"/>
              <w:jc w:val="center"/>
              <w:rPr>
                <w:sz w:val="20"/>
                <w:szCs w:val="20"/>
              </w:rPr>
            </w:pPr>
            <w:r w:rsidRPr="00C3312E">
              <w:rPr>
                <w:sz w:val="20"/>
                <w:szCs w:val="20"/>
              </w:rPr>
              <w:t>2,587</w:t>
            </w:r>
          </w:p>
        </w:tc>
        <w:tc>
          <w:tcPr>
            <w:tcW w:w="1170" w:type="dxa"/>
            <w:shd w:val="clear" w:color="auto" w:fill="BFBFBF" w:themeFill="background1" w:themeFillShade="BF"/>
          </w:tcPr>
          <w:p w14:paraId="6DA0E599" w14:textId="77777777" w:rsidR="00C3312E" w:rsidRPr="00C3312E" w:rsidRDefault="00C3312E" w:rsidP="00C3312E">
            <w:pPr>
              <w:spacing w:after="0" w:line="240" w:lineRule="auto"/>
              <w:jc w:val="center"/>
              <w:rPr>
                <w:sz w:val="20"/>
                <w:szCs w:val="20"/>
              </w:rPr>
            </w:pPr>
            <w:r w:rsidRPr="00C3312E">
              <w:rPr>
                <w:sz w:val="20"/>
                <w:szCs w:val="20"/>
              </w:rPr>
              <w:t>18%</w:t>
            </w:r>
          </w:p>
        </w:tc>
        <w:tc>
          <w:tcPr>
            <w:tcW w:w="1170" w:type="dxa"/>
            <w:shd w:val="clear" w:color="auto" w:fill="BFBFBF" w:themeFill="background1" w:themeFillShade="BF"/>
          </w:tcPr>
          <w:p w14:paraId="50950B4D" w14:textId="77777777" w:rsidR="00C3312E" w:rsidRPr="00C3312E" w:rsidRDefault="00C3312E" w:rsidP="00C3312E">
            <w:pPr>
              <w:spacing w:after="0" w:line="240" w:lineRule="auto"/>
              <w:jc w:val="center"/>
              <w:rPr>
                <w:sz w:val="20"/>
                <w:szCs w:val="20"/>
              </w:rPr>
            </w:pPr>
            <w:r w:rsidRPr="00C3312E">
              <w:rPr>
                <w:sz w:val="20"/>
                <w:szCs w:val="20"/>
              </w:rPr>
              <w:t>21%</w:t>
            </w:r>
          </w:p>
        </w:tc>
        <w:tc>
          <w:tcPr>
            <w:tcW w:w="1082" w:type="dxa"/>
            <w:shd w:val="clear" w:color="auto" w:fill="BFBFBF" w:themeFill="background1" w:themeFillShade="BF"/>
          </w:tcPr>
          <w:p w14:paraId="00DF7865"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shd w:val="clear" w:color="auto" w:fill="BFBFBF" w:themeFill="background1" w:themeFillShade="BF"/>
          </w:tcPr>
          <w:p w14:paraId="181A71FE" w14:textId="77777777" w:rsidR="00C3312E" w:rsidRPr="00C3312E" w:rsidRDefault="00C3312E" w:rsidP="00C3312E">
            <w:pPr>
              <w:spacing w:after="0" w:line="240" w:lineRule="auto"/>
              <w:jc w:val="center"/>
              <w:rPr>
                <w:sz w:val="20"/>
                <w:szCs w:val="20"/>
              </w:rPr>
            </w:pPr>
            <w:r w:rsidRPr="00C3312E">
              <w:rPr>
                <w:sz w:val="20"/>
                <w:szCs w:val="20"/>
              </w:rPr>
              <w:t>31%</w:t>
            </w:r>
          </w:p>
        </w:tc>
        <w:tc>
          <w:tcPr>
            <w:tcW w:w="1352" w:type="dxa"/>
            <w:shd w:val="clear" w:color="auto" w:fill="BFBFBF" w:themeFill="background1" w:themeFillShade="BF"/>
          </w:tcPr>
          <w:p w14:paraId="4993D2B3" w14:textId="77777777" w:rsidR="00C3312E" w:rsidRPr="00C3312E" w:rsidRDefault="00C3312E" w:rsidP="00C3312E">
            <w:pPr>
              <w:spacing w:after="0" w:line="240" w:lineRule="auto"/>
              <w:jc w:val="center"/>
              <w:rPr>
                <w:sz w:val="20"/>
                <w:szCs w:val="20"/>
              </w:rPr>
            </w:pPr>
            <w:r w:rsidRPr="00C3312E">
              <w:rPr>
                <w:sz w:val="20"/>
                <w:szCs w:val="20"/>
              </w:rPr>
              <w:t>-10%</w:t>
            </w:r>
          </w:p>
        </w:tc>
      </w:tr>
      <w:tr w:rsidR="00C3312E" w:rsidRPr="00C3312E" w14:paraId="4A623D46" w14:textId="77777777" w:rsidTr="00CF7974">
        <w:tc>
          <w:tcPr>
            <w:tcW w:w="2159" w:type="dxa"/>
          </w:tcPr>
          <w:p w14:paraId="702130E4"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69" w:type="dxa"/>
          </w:tcPr>
          <w:p w14:paraId="445D82E7" w14:textId="77777777" w:rsidR="00C3312E" w:rsidRPr="00C3312E" w:rsidRDefault="00C3312E" w:rsidP="00C3312E">
            <w:pPr>
              <w:spacing w:after="0" w:line="240" w:lineRule="auto"/>
              <w:jc w:val="center"/>
              <w:rPr>
                <w:sz w:val="20"/>
                <w:szCs w:val="20"/>
              </w:rPr>
            </w:pPr>
            <w:r w:rsidRPr="00C3312E">
              <w:rPr>
                <w:sz w:val="20"/>
                <w:szCs w:val="20"/>
              </w:rPr>
              <w:t>1,703</w:t>
            </w:r>
          </w:p>
        </w:tc>
        <w:tc>
          <w:tcPr>
            <w:tcW w:w="1170" w:type="dxa"/>
          </w:tcPr>
          <w:p w14:paraId="5273BD4C" w14:textId="77777777" w:rsidR="00C3312E" w:rsidRPr="00C3312E" w:rsidRDefault="00C3312E" w:rsidP="00C3312E">
            <w:pPr>
              <w:spacing w:after="0" w:line="240" w:lineRule="auto"/>
              <w:jc w:val="center"/>
              <w:rPr>
                <w:sz w:val="20"/>
                <w:szCs w:val="20"/>
              </w:rPr>
            </w:pPr>
            <w:r w:rsidRPr="00C3312E">
              <w:rPr>
                <w:sz w:val="20"/>
                <w:szCs w:val="20"/>
              </w:rPr>
              <w:t>19%</w:t>
            </w:r>
          </w:p>
        </w:tc>
        <w:tc>
          <w:tcPr>
            <w:tcW w:w="1170" w:type="dxa"/>
          </w:tcPr>
          <w:p w14:paraId="3D31DD3C" w14:textId="77777777" w:rsidR="00C3312E" w:rsidRPr="00C3312E" w:rsidRDefault="00C3312E" w:rsidP="00C3312E">
            <w:pPr>
              <w:spacing w:after="0" w:line="240" w:lineRule="auto"/>
              <w:jc w:val="center"/>
              <w:rPr>
                <w:sz w:val="20"/>
                <w:szCs w:val="20"/>
              </w:rPr>
            </w:pPr>
            <w:r w:rsidRPr="00C3312E">
              <w:rPr>
                <w:sz w:val="20"/>
                <w:szCs w:val="20"/>
              </w:rPr>
              <w:t>20%</w:t>
            </w:r>
          </w:p>
        </w:tc>
        <w:tc>
          <w:tcPr>
            <w:tcW w:w="1082" w:type="dxa"/>
          </w:tcPr>
          <w:p w14:paraId="3D010B5B"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6C1D839D" w14:textId="77777777" w:rsidR="00C3312E" w:rsidRPr="00C3312E" w:rsidRDefault="00C3312E" w:rsidP="00C3312E">
            <w:pPr>
              <w:spacing w:after="0" w:line="240" w:lineRule="auto"/>
              <w:jc w:val="center"/>
              <w:rPr>
                <w:sz w:val="20"/>
                <w:szCs w:val="20"/>
              </w:rPr>
            </w:pPr>
            <w:r w:rsidRPr="00C3312E">
              <w:rPr>
                <w:sz w:val="20"/>
                <w:szCs w:val="20"/>
              </w:rPr>
              <w:t>32%</w:t>
            </w:r>
          </w:p>
        </w:tc>
        <w:tc>
          <w:tcPr>
            <w:tcW w:w="1352" w:type="dxa"/>
          </w:tcPr>
          <w:p w14:paraId="434F0AE8" w14:textId="77777777" w:rsidR="00C3312E" w:rsidRPr="00C3312E" w:rsidRDefault="00C3312E" w:rsidP="00C3312E">
            <w:pPr>
              <w:spacing w:after="0" w:line="240" w:lineRule="auto"/>
              <w:jc w:val="center"/>
              <w:rPr>
                <w:sz w:val="20"/>
                <w:szCs w:val="20"/>
              </w:rPr>
            </w:pPr>
            <w:r w:rsidRPr="00C3312E">
              <w:rPr>
                <w:sz w:val="20"/>
                <w:szCs w:val="20"/>
              </w:rPr>
              <w:t>-12%</w:t>
            </w:r>
          </w:p>
        </w:tc>
      </w:tr>
      <w:tr w:rsidR="00C3312E" w:rsidRPr="00C3312E" w14:paraId="09EC239C" w14:textId="77777777" w:rsidTr="00CF7974">
        <w:tc>
          <w:tcPr>
            <w:tcW w:w="2159" w:type="dxa"/>
            <w:shd w:val="clear" w:color="auto" w:fill="BFBFBF" w:themeFill="background1" w:themeFillShade="BF"/>
          </w:tcPr>
          <w:p w14:paraId="35D57BD9"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69" w:type="dxa"/>
            <w:shd w:val="clear" w:color="auto" w:fill="BFBFBF" w:themeFill="background1" w:themeFillShade="BF"/>
          </w:tcPr>
          <w:p w14:paraId="59FD105E" w14:textId="77777777" w:rsidR="00C3312E" w:rsidRPr="00C3312E" w:rsidRDefault="00C3312E" w:rsidP="00C3312E">
            <w:pPr>
              <w:spacing w:after="0" w:line="240" w:lineRule="auto"/>
              <w:jc w:val="center"/>
              <w:rPr>
                <w:sz w:val="20"/>
                <w:szCs w:val="20"/>
              </w:rPr>
            </w:pPr>
            <w:r w:rsidRPr="00C3312E">
              <w:rPr>
                <w:sz w:val="20"/>
                <w:szCs w:val="20"/>
              </w:rPr>
              <w:t>1,160</w:t>
            </w:r>
          </w:p>
        </w:tc>
        <w:tc>
          <w:tcPr>
            <w:tcW w:w="1170" w:type="dxa"/>
            <w:shd w:val="clear" w:color="auto" w:fill="BFBFBF" w:themeFill="background1" w:themeFillShade="BF"/>
          </w:tcPr>
          <w:p w14:paraId="5C69CC80" w14:textId="77777777" w:rsidR="00C3312E" w:rsidRPr="00C3312E" w:rsidRDefault="00C3312E" w:rsidP="00C3312E">
            <w:pPr>
              <w:spacing w:after="0" w:line="240" w:lineRule="auto"/>
              <w:jc w:val="center"/>
              <w:rPr>
                <w:sz w:val="20"/>
                <w:szCs w:val="20"/>
              </w:rPr>
            </w:pPr>
            <w:r w:rsidRPr="00C3312E">
              <w:rPr>
                <w:sz w:val="20"/>
                <w:szCs w:val="20"/>
              </w:rPr>
              <w:t>9%</w:t>
            </w:r>
          </w:p>
        </w:tc>
        <w:tc>
          <w:tcPr>
            <w:tcW w:w="1170" w:type="dxa"/>
            <w:shd w:val="clear" w:color="auto" w:fill="BFBFBF" w:themeFill="background1" w:themeFillShade="BF"/>
          </w:tcPr>
          <w:p w14:paraId="61D728FC" w14:textId="77777777" w:rsidR="00C3312E" w:rsidRPr="00C3312E" w:rsidRDefault="00C3312E" w:rsidP="00C3312E">
            <w:pPr>
              <w:spacing w:after="0" w:line="240" w:lineRule="auto"/>
              <w:jc w:val="center"/>
              <w:rPr>
                <w:sz w:val="20"/>
                <w:szCs w:val="20"/>
              </w:rPr>
            </w:pPr>
            <w:r w:rsidRPr="00C3312E">
              <w:rPr>
                <w:sz w:val="20"/>
                <w:szCs w:val="20"/>
              </w:rPr>
              <w:t>9%</w:t>
            </w:r>
          </w:p>
        </w:tc>
        <w:tc>
          <w:tcPr>
            <w:tcW w:w="1082" w:type="dxa"/>
            <w:shd w:val="clear" w:color="auto" w:fill="BFBFBF" w:themeFill="background1" w:themeFillShade="BF"/>
          </w:tcPr>
          <w:p w14:paraId="164C2743" w14:textId="77777777" w:rsidR="00C3312E" w:rsidRPr="00C3312E" w:rsidRDefault="00C3312E" w:rsidP="00C3312E">
            <w:pPr>
              <w:spacing w:after="0" w:line="240" w:lineRule="auto"/>
              <w:jc w:val="center"/>
              <w:rPr>
                <w:sz w:val="20"/>
                <w:szCs w:val="20"/>
              </w:rPr>
            </w:pPr>
            <w:r w:rsidRPr="00C3312E">
              <w:rPr>
                <w:sz w:val="20"/>
                <w:szCs w:val="20"/>
              </w:rPr>
              <w:t>0%</w:t>
            </w:r>
          </w:p>
        </w:tc>
        <w:tc>
          <w:tcPr>
            <w:tcW w:w="1258" w:type="dxa"/>
            <w:shd w:val="clear" w:color="auto" w:fill="BFBFBF" w:themeFill="background1" w:themeFillShade="BF"/>
          </w:tcPr>
          <w:p w14:paraId="028AF568" w14:textId="77777777" w:rsidR="00C3312E" w:rsidRPr="00C3312E" w:rsidRDefault="00C3312E" w:rsidP="00C3312E">
            <w:pPr>
              <w:spacing w:after="0" w:line="240" w:lineRule="auto"/>
              <w:jc w:val="center"/>
              <w:rPr>
                <w:sz w:val="20"/>
                <w:szCs w:val="20"/>
              </w:rPr>
            </w:pPr>
            <w:r w:rsidRPr="00C3312E">
              <w:rPr>
                <w:sz w:val="20"/>
                <w:szCs w:val="20"/>
              </w:rPr>
              <w:t>14%</w:t>
            </w:r>
          </w:p>
        </w:tc>
        <w:tc>
          <w:tcPr>
            <w:tcW w:w="1352" w:type="dxa"/>
            <w:shd w:val="clear" w:color="auto" w:fill="BFBFBF" w:themeFill="background1" w:themeFillShade="BF"/>
          </w:tcPr>
          <w:p w14:paraId="27F555DF"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26A41045" w14:textId="77777777" w:rsidTr="00CF7974">
        <w:tc>
          <w:tcPr>
            <w:tcW w:w="2159" w:type="dxa"/>
          </w:tcPr>
          <w:p w14:paraId="431EC8C0" w14:textId="05FABF7F"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1169" w:type="dxa"/>
          </w:tcPr>
          <w:p w14:paraId="0F08469E" w14:textId="77777777" w:rsidR="00C3312E" w:rsidRPr="00C3312E" w:rsidRDefault="00C3312E" w:rsidP="00C3312E">
            <w:pPr>
              <w:spacing w:after="0" w:line="240" w:lineRule="auto"/>
              <w:jc w:val="center"/>
              <w:rPr>
                <w:sz w:val="20"/>
                <w:szCs w:val="20"/>
              </w:rPr>
            </w:pPr>
            <w:r w:rsidRPr="00C3312E">
              <w:rPr>
                <w:sz w:val="20"/>
                <w:szCs w:val="20"/>
              </w:rPr>
              <w:t>1,313</w:t>
            </w:r>
          </w:p>
        </w:tc>
        <w:tc>
          <w:tcPr>
            <w:tcW w:w="1170" w:type="dxa"/>
          </w:tcPr>
          <w:p w14:paraId="4B89DF35" w14:textId="77777777" w:rsidR="00C3312E" w:rsidRPr="00C3312E" w:rsidRDefault="00C3312E" w:rsidP="00C3312E">
            <w:pPr>
              <w:spacing w:after="0" w:line="240" w:lineRule="auto"/>
              <w:jc w:val="center"/>
              <w:rPr>
                <w:sz w:val="20"/>
                <w:szCs w:val="20"/>
              </w:rPr>
            </w:pPr>
            <w:r w:rsidRPr="00C3312E">
              <w:rPr>
                <w:sz w:val="20"/>
                <w:szCs w:val="20"/>
              </w:rPr>
              <w:t>11%</w:t>
            </w:r>
          </w:p>
        </w:tc>
        <w:tc>
          <w:tcPr>
            <w:tcW w:w="1170" w:type="dxa"/>
          </w:tcPr>
          <w:p w14:paraId="0344DCDC" w14:textId="77777777" w:rsidR="00C3312E" w:rsidRPr="00C3312E" w:rsidRDefault="00C3312E" w:rsidP="00C3312E">
            <w:pPr>
              <w:spacing w:after="0" w:line="240" w:lineRule="auto"/>
              <w:jc w:val="center"/>
              <w:rPr>
                <w:sz w:val="20"/>
                <w:szCs w:val="20"/>
              </w:rPr>
            </w:pPr>
            <w:r w:rsidRPr="00C3312E">
              <w:rPr>
                <w:sz w:val="20"/>
                <w:szCs w:val="20"/>
              </w:rPr>
              <w:t>18%</w:t>
            </w:r>
          </w:p>
        </w:tc>
        <w:tc>
          <w:tcPr>
            <w:tcW w:w="1082" w:type="dxa"/>
          </w:tcPr>
          <w:p w14:paraId="03D986EB" w14:textId="77777777" w:rsidR="00C3312E" w:rsidRPr="00C3312E" w:rsidRDefault="00C3312E" w:rsidP="00C3312E">
            <w:pPr>
              <w:spacing w:after="0" w:line="240" w:lineRule="auto"/>
              <w:jc w:val="center"/>
              <w:rPr>
                <w:sz w:val="20"/>
                <w:szCs w:val="20"/>
              </w:rPr>
            </w:pPr>
            <w:r w:rsidRPr="00C3312E">
              <w:rPr>
                <w:sz w:val="20"/>
                <w:szCs w:val="20"/>
              </w:rPr>
              <w:t>7%</w:t>
            </w:r>
          </w:p>
        </w:tc>
        <w:tc>
          <w:tcPr>
            <w:tcW w:w="1258" w:type="dxa"/>
          </w:tcPr>
          <w:p w14:paraId="4B19922E" w14:textId="77777777" w:rsidR="00C3312E" w:rsidRPr="00C3312E" w:rsidRDefault="00C3312E" w:rsidP="00C3312E">
            <w:pPr>
              <w:spacing w:after="0" w:line="240" w:lineRule="auto"/>
              <w:jc w:val="center"/>
              <w:rPr>
                <w:sz w:val="20"/>
                <w:szCs w:val="20"/>
              </w:rPr>
            </w:pPr>
            <w:r w:rsidRPr="00C3312E">
              <w:rPr>
                <w:sz w:val="20"/>
                <w:szCs w:val="20"/>
              </w:rPr>
              <w:t>30%</w:t>
            </w:r>
          </w:p>
        </w:tc>
        <w:tc>
          <w:tcPr>
            <w:tcW w:w="1352" w:type="dxa"/>
          </w:tcPr>
          <w:p w14:paraId="2F09D102" w14:textId="77777777" w:rsidR="00C3312E" w:rsidRPr="00C3312E" w:rsidRDefault="00C3312E" w:rsidP="00C3312E">
            <w:pPr>
              <w:spacing w:after="0" w:line="240" w:lineRule="auto"/>
              <w:jc w:val="center"/>
              <w:rPr>
                <w:sz w:val="20"/>
                <w:szCs w:val="20"/>
              </w:rPr>
            </w:pPr>
            <w:r w:rsidRPr="00C3312E">
              <w:rPr>
                <w:sz w:val="20"/>
                <w:szCs w:val="20"/>
              </w:rPr>
              <w:t>-12%</w:t>
            </w:r>
          </w:p>
        </w:tc>
      </w:tr>
      <w:tr w:rsidR="00C3312E" w:rsidRPr="00C3312E" w14:paraId="20952E6B" w14:textId="77777777" w:rsidTr="00CF7974">
        <w:tc>
          <w:tcPr>
            <w:tcW w:w="2159" w:type="dxa"/>
            <w:shd w:val="clear" w:color="auto" w:fill="BFBFBF" w:themeFill="background1" w:themeFillShade="BF"/>
          </w:tcPr>
          <w:p w14:paraId="7F10F909"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69" w:type="dxa"/>
            <w:shd w:val="clear" w:color="auto" w:fill="BFBFBF" w:themeFill="background1" w:themeFillShade="BF"/>
          </w:tcPr>
          <w:p w14:paraId="492EC388" w14:textId="77777777" w:rsidR="00C3312E" w:rsidRPr="00C3312E" w:rsidRDefault="00C3312E" w:rsidP="00C3312E">
            <w:pPr>
              <w:spacing w:after="0" w:line="240" w:lineRule="auto"/>
              <w:jc w:val="center"/>
              <w:rPr>
                <w:sz w:val="20"/>
                <w:szCs w:val="20"/>
              </w:rPr>
            </w:pPr>
            <w:r w:rsidRPr="00C3312E">
              <w:rPr>
                <w:sz w:val="20"/>
                <w:szCs w:val="20"/>
              </w:rPr>
              <w:t>4,080</w:t>
            </w:r>
          </w:p>
        </w:tc>
        <w:tc>
          <w:tcPr>
            <w:tcW w:w="1170" w:type="dxa"/>
            <w:shd w:val="clear" w:color="auto" w:fill="BFBFBF" w:themeFill="background1" w:themeFillShade="BF"/>
          </w:tcPr>
          <w:p w14:paraId="22101C96" w14:textId="77777777" w:rsidR="00C3312E" w:rsidRPr="00C3312E" w:rsidRDefault="00C3312E" w:rsidP="00C3312E">
            <w:pPr>
              <w:spacing w:after="0" w:line="240" w:lineRule="auto"/>
              <w:jc w:val="center"/>
              <w:rPr>
                <w:sz w:val="20"/>
                <w:szCs w:val="20"/>
              </w:rPr>
            </w:pPr>
            <w:r w:rsidRPr="00C3312E">
              <w:rPr>
                <w:sz w:val="20"/>
                <w:szCs w:val="20"/>
              </w:rPr>
              <w:t>37%</w:t>
            </w:r>
          </w:p>
        </w:tc>
        <w:tc>
          <w:tcPr>
            <w:tcW w:w="1170" w:type="dxa"/>
            <w:shd w:val="clear" w:color="auto" w:fill="BFBFBF" w:themeFill="background1" w:themeFillShade="BF"/>
          </w:tcPr>
          <w:p w14:paraId="5F257AB6" w14:textId="77777777" w:rsidR="00C3312E" w:rsidRPr="00C3312E" w:rsidRDefault="00C3312E" w:rsidP="00C3312E">
            <w:pPr>
              <w:spacing w:after="0" w:line="240" w:lineRule="auto"/>
              <w:jc w:val="center"/>
              <w:rPr>
                <w:sz w:val="20"/>
                <w:szCs w:val="20"/>
              </w:rPr>
            </w:pPr>
            <w:r w:rsidRPr="00C3312E">
              <w:rPr>
                <w:sz w:val="20"/>
                <w:szCs w:val="20"/>
              </w:rPr>
              <w:t>38%</w:t>
            </w:r>
          </w:p>
        </w:tc>
        <w:tc>
          <w:tcPr>
            <w:tcW w:w="1082" w:type="dxa"/>
            <w:shd w:val="clear" w:color="auto" w:fill="BFBFBF" w:themeFill="background1" w:themeFillShade="BF"/>
          </w:tcPr>
          <w:p w14:paraId="3BE17840"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shd w:val="clear" w:color="auto" w:fill="BFBFBF" w:themeFill="background1" w:themeFillShade="BF"/>
          </w:tcPr>
          <w:p w14:paraId="53CF0AD0" w14:textId="77777777" w:rsidR="00C3312E" w:rsidRPr="00C3312E" w:rsidRDefault="00C3312E" w:rsidP="00C3312E">
            <w:pPr>
              <w:spacing w:after="0" w:line="240" w:lineRule="auto"/>
              <w:jc w:val="center"/>
              <w:rPr>
                <w:sz w:val="20"/>
                <w:szCs w:val="20"/>
              </w:rPr>
            </w:pPr>
            <w:r w:rsidRPr="00C3312E">
              <w:rPr>
                <w:sz w:val="20"/>
                <w:szCs w:val="20"/>
              </w:rPr>
              <w:t>51%</w:t>
            </w:r>
          </w:p>
        </w:tc>
        <w:tc>
          <w:tcPr>
            <w:tcW w:w="1352" w:type="dxa"/>
            <w:shd w:val="clear" w:color="auto" w:fill="BFBFBF" w:themeFill="background1" w:themeFillShade="BF"/>
          </w:tcPr>
          <w:p w14:paraId="48DEA60D" w14:textId="77777777" w:rsidR="00C3312E" w:rsidRPr="00C3312E" w:rsidRDefault="00C3312E" w:rsidP="00C3312E">
            <w:pPr>
              <w:spacing w:after="0" w:line="240" w:lineRule="auto"/>
              <w:jc w:val="center"/>
              <w:rPr>
                <w:sz w:val="20"/>
                <w:szCs w:val="20"/>
              </w:rPr>
            </w:pPr>
            <w:r w:rsidRPr="00C3312E">
              <w:rPr>
                <w:sz w:val="20"/>
                <w:szCs w:val="20"/>
              </w:rPr>
              <w:t>-13%</w:t>
            </w:r>
          </w:p>
        </w:tc>
      </w:tr>
    </w:tbl>
    <w:p w14:paraId="162295B7" w14:textId="77777777" w:rsidR="00C3312E" w:rsidRPr="00C3312E" w:rsidRDefault="00C3312E" w:rsidP="00C3312E">
      <w:pPr>
        <w:spacing w:after="0"/>
        <w:rPr>
          <w:rFonts w:cs="Times New Roman"/>
        </w:rPr>
      </w:pPr>
    </w:p>
    <w:p w14:paraId="47D654F6" w14:textId="77777777" w:rsidR="00C3312E" w:rsidRPr="00C3312E" w:rsidRDefault="00C3312E" w:rsidP="00C3312E">
      <w:pPr>
        <w:spacing w:after="0"/>
        <w:rPr>
          <w:rFonts w:cs="Times New Roman"/>
        </w:rPr>
      </w:pPr>
    </w:p>
    <w:p w14:paraId="7542893C" w14:textId="77777777" w:rsidR="00C3312E" w:rsidRPr="00C3312E" w:rsidRDefault="00C3312E" w:rsidP="00C3312E">
      <w:pPr>
        <w:spacing w:after="0"/>
        <w:rPr>
          <w:rFonts w:cs="Times New Roman"/>
        </w:rPr>
      </w:pPr>
    </w:p>
    <w:tbl>
      <w:tblPr>
        <w:tblStyle w:val="TableGrid5"/>
        <w:tblW w:w="0" w:type="auto"/>
        <w:tblLook w:val="00A0" w:firstRow="1" w:lastRow="0" w:firstColumn="1" w:lastColumn="0" w:noHBand="0" w:noVBand="0"/>
        <w:tblCaption w:val="Table 6: Framingham Public Schools"/>
        <w:tblDescription w:val="Next-Generation MCAS Math Percent Meeting or Exceeding Expectations Grades 3–8, 2017–2018&#10;"/>
      </w:tblPr>
      <w:tblGrid>
        <w:gridCol w:w="2159"/>
        <w:gridCol w:w="1169"/>
        <w:gridCol w:w="1170"/>
        <w:gridCol w:w="1170"/>
        <w:gridCol w:w="1082"/>
        <w:gridCol w:w="1258"/>
        <w:gridCol w:w="1352"/>
      </w:tblGrid>
      <w:tr w:rsidR="00C3312E" w:rsidRPr="00C3312E" w14:paraId="5D6B56D7" w14:textId="77777777" w:rsidTr="00CF7974">
        <w:tc>
          <w:tcPr>
            <w:tcW w:w="9360" w:type="dxa"/>
            <w:gridSpan w:val="7"/>
            <w:tcBorders>
              <w:top w:val="nil"/>
              <w:left w:val="nil"/>
              <w:right w:val="nil"/>
            </w:tcBorders>
          </w:tcPr>
          <w:p w14:paraId="1497CBD8"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6: Framingham Public Schools</w:t>
            </w:r>
          </w:p>
          <w:p w14:paraId="1E73D97D" w14:textId="7091C73E" w:rsidR="00C3312E" w:rsidRPr="00C3312E" w:rsidRDefault="00C3312E" w:rsidP="00864680">
            <w:pPr>
              <w:spacing w:after="0" w:line="240" w:lineRule="auto"/>
              <w:jc w:val="center"/>
              <w:rPr>
                <w:rFonts w:cs="Times New Roman"/>
              </w:rPr>
            </w:pPr>
            <w:r w:rsidRPr="00C3312E">
              <w:rPr>
                <w:rFonts w:cs="Times New Roman"/>
                <w:b/>
                <w:sz w:val="20"/>
                <w:szCs w:val="20"/>
              </w:rPr>
              <w:t xml:space="preserve">Next-Generation MCAS </w:t>
            </w:r>
            <w:r w:rsidR="005C0876">
              <w:rPr>
                <w:rFonts w:cs="Times New Roman"/>
                <w:b/>
                <w:sz w:val="20"/>
                <w:szCs w:val="20"/>
              </w:rPr>
              <w:t>M</w:t>
            </w:r>
            <w:r w:rsidR="005C0876" w:rsidRPr="00C3312E">
              <w:rPr>
                <w:rFonts w:cs="Times New Roman"/>
                <w:b/>
                <w:sz w:val="20"/>
                <w:szCs w:val="20"/>
              </w:rPr>
              <w:t xml:space="preserve">ath </w:t>
            </w:r>
            <w:r w:rsidRPr="00C3312E">
              <w:rPr>
                <w:rFonts w:cs="Times New Roman"/>
                <w:b/>
                <w:sz w:val="20"/>
                <w:szCs w:val="20"/>
              </w:rPr>
              <w:t>Percent Meeting or Exceeding Expectations Grades 3</w:t>
            </w:r>
            <w:r w:rsidR="000F7DAF">
              <w:rPr>
                <w:rFonts w:cs="Times New Roman"/>
                <w:b/>
                <w:sz w:val="20"/>
                <w:szCs w:val="20"/>
              </w:rPr>
              <w:t>–</w:t>
            </w:r>
            <w:r w:rsidRPr="00C3312E">
              <w:rPr>
                <w:rFonts w:cs="Times New Roman"/>
                <w:b/>
                <w:sz w:val="20"/>
                <w:szCs w:val="20"/>
              </w:rPr>
              <w:t>8, 2017</w:t>
            </w:r>
            <w:r w:rsidR="000F7DAF">
              <w:rPr>
                <w:rFonts w:cs="Times New Roman"/>
                <w:b/>
                <w:sz w:val="20"/>
                <w:szCs w:val="20"/>
              </w:rPr>
              <w:t>–</w:t>
            </w:r>
            <w:r w:rsidRPr="00C3312E">
              <w:rPr>
                <w:rFonts w:cs="Times New Roman"/>
                <w:b/>
                <w:sz w:val="20"/>
                <w:szCs w:val="20"/>
              </w:rPr>
              <w:t>2018</w:t>
            </w:r>
          </w:p>
        </w:tc>
      </w:tr>
      <w:tr w:rsidR="00C3312E" w:rsidRPr="00C3312E" w14:paraId="71EF7637" w14:textId="77777777" w:rsidTr="00CF7974">
        <w:tc>
          <w:tcPr>
            <w:tcW w:w="2159" w:type="dxa"/>
            <w:shd w:val="clear" w:color="auto" w:fill="BFBFBF" w:themeFill="background1" w:themeFillShade="BF"/>
          </w:tcPr>
          <w:p w14:paraId="79EF6C6A" w14:textId="77777777" w:rsidR="00C3312E" w:rsidRPr="00C3312E" w:rsidRDefault="00C3312E" w:rsidP="00EC5B5A">
            <w:pPr>
              <w:spacing w:after="0" w:line="240" w:lineRule="auto"/>
              <w:rPr>
                <w:rFonts w:cs="Times New Roman"/>
                <w:b/>
                <w:sz w:val="20"/>
                <w:szCs w:val="20"/>
              </w:rPr>
            </w:pPr>
            <w:r w:rsidRPr="00C3312E">
              <w:rPr>
                <w:rFonts w:cs="Times New Roman"/>
                <w:b/>
                <w:sz w:val="20"/>
                <w:szCs w:val="20"/>
              </w:rPr>
              <w:t>Group</w:t>
            </w:r>
          </w:p>
        </w:tc>
        <w:tc>
          <w:tcPr>
            <w:tcW w:w="1169" w:type="dxa"/>
            <w:shd w:val="clear" w:color="auto" w:fill="BFBFBF" w:themeFill="background1" w:themeFillShade="BF"/>
          </w:tcPr>
          <w:p w14:paraId="711F1770"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170" w:type="dxa"/>
            <w:shd w:val="clear" w:color="auto" w:fill="BFBFBF" w:themeFill="background1" w:themeFillShade="BF"/>
          </w:tcPr>
          <w:p w14:paraId="50D32A7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2017</w:t>
            </w:r>
          </w:p>
        </w:tc>
        <w:tc>
          <w:tcPr>
            <w:tcW w:w="1170" w:type="dxa"/>
            <w:shd w:val="clear" w:color="auto" w:fill="BFBFBF" w:themeFill="background1" w:themeFillShade="BF"/>
          </w:tcPr>
          <w:p w14:paraId="5011A832"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082" w:type="dxa"/>
            <w:shd w:val="clear" w:color="auto" w:fill="BFBFBF" w:themeFill="background1" w:themeFillShade="BF"/>
          </w:tcPr>
          <w:p w14:paraId="506E5523"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Change</w:t>
            </w:r>
          </w:p>
        </w:tc>
        <w:tc>
          <w:tcPr>
            <w:tcW w:w="1258" w:type="dxa"/>
            <w:shd w:val="clear" w:color="auto" w:fill="BFBFBF" w:themeFill="background1" w:themeFillShade="BF"/>
          </w:tcPr>
          <w:p w14:paraId="33C50ACA"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 (2018)</w:t>
            </w:r>
          </w:p>
        </w:tc>
        <w:tc>
          <w:tcPr>
            <w:tcW w:w="1352" w:type="dxa"/>
            <w:shd w:val="clear" w:color="auto" w:fill="BFBFBF" w:themeFill="background1" w:themeFillShade="BF"/>
          </w:tcPr>
          <w:p w14:paraId="293BB084"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Above/Below</w:t>
            </w:r>
          </w:p>
        </w:tc>
      </w:tr>
      <w:tr w:rsidR="00C3312E" w:rsidRPr="00C3312E" w14:paraId="6DEAE7CC" w14:textId="77777777" w:rsidTr="00CF7974">
        <w:tc>
          <w:tcPr>
            <w:tcW w:w="2159" w:type="dxa"/>
          </w:tcPr>
          <w:p w14:paraId="0A971A03"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69" w:type="dxa"/>
          </w:tcPr>
          <w:p w14:paraId="61CDACA5" w14:textId="77777777" w:rsidR="00C3312E" w:rsidRPr="00C3312E" w:rsidRDefault="00C3312E" w:rsidP="00C3312E">
            <w:pPr>
              <w:spacing w:after="0" w:line="240" w:lineRule="auto"/>
              <w:jc w:val="center"/>
              <w:rPr>
                <w:sz w:val="20"/>
                <w:szCs w:val="20"/>
              </w:rPr>
            </w:pPr>
            <w:r w:rsidRPr="00C3312E">
              <w:rPr>
                <w:sz w:val="20"/>
                <w:szCs w:val="20"/>
              </w:rPr>
              <w:t>274</w:t>
            </w:r>
          </w:p>
        </w:tc>
        <w:tc>
          <w:tcPr>
            <w:tcW w:w="1170" w:type="dxa"/>
          </w:tcPr>
          <w:p w14:paraId="2A6521B1" w14:textId="77777777" w:rsidR="00C3312E" w:rsidRPr="00C3312E" w:rsidRDefault="00C3312E" w:rsidP="00C3312E">
            <w:pPr>
              <w:spacing w:after="0" w:line="240" w:lineRule="auto"/>
              <w:jc w:val="center"/>
              <w:rPr>
                <w:sz w:val="20"/>
                <w:szCs w:val="20"/>
              </w:rPr>
            </w:pPr>
            <w:r w:rsidRPr="00C3312E">
              <w:rPr>
                <w:sz w:val="20"/>
                <w:szCs w:val="20"/>
              </w:rPr>
              <w:t>18%</w:t>
            </w:r>
          </w:p>
        </w:tc>
        <w:tc>
          <w:tcPr>
            <w:tcW w:w="1170" w:type="dxa"/>
          </w:tcPr>
          <w:p w14:paraId="04CA3E6C" w14:textId="77777777" w:rsidR="00C3312E" w:rsidRPr="00C3312E" w:rsidRDefault="00C3312E" w:rsidP="00C3312E">
            <w:pPr>
              <w:spacing w:after="0" w:line="240" w:lineRule="auto"/>
              <w:jc w:val="center"/>
              <w:rPr>
                <w:sz w:val="20"/>
                <w:szCs w:val="20"/>
              </w:rPr>
            </w:pPr>
            <w:r w:rsidRPr="00C3312E">
              <w:rPr>
                <w:sz w:val="20"/>
                <w:szCs w:val="20"/>
              </w:rPr>
              <w:t>19%</w:t>
            </w:r>
          </w:p>
        </w:tc>
        <w:tc>
          <w:tcPr>
            <w:tcW w:w="1082" w:type="dxa"/>
          </w:tcPr>
          <w:p w14:paraId="5DC974C6"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1491AAF8" w14:textId="77777777" w:rsidR="00C3312E" w:rsidRPr="00C3312E" w:rsidRDefault="00C3312E" w:rsidP="00C3312E">
            <w:pPr>
              <w:spacing w:after="0" w:line="240" w:lineRule="auto"/>
              <w:jc w:val="center"/>
              <w:rPr>
                <w:sz w:val="20"/>
                <w:szCs w:val="20"/>
              </w:rPr>
            </w:pPr>
            <w:r w:rsidRPr="00C3312E">
              <w:rPr>
                <w:sz w:val="20"/>
                <w:szCs w:val="20"/>
              </w:rPr>
              <w:t>26%</w:t>
            </w:r>
          </w:p>
        </w:tc>
        <w:tc>
          <w:tcPr>
            <w:tcW w:w="1352" w:type="dxa"/>
          </w:tcPr>
          <w:p w14:paraId="3358BA2C" w14:textId="77777777" w:rsidR="00C3312E" w:rsidRPr="00C3312E" w:rsidRDefault="00C3312E" w:rsidP="00C3312E">
            <w:pPr>
              <w:spacing w:after="0" w:line="240" w:lineRule="auto"/>
              <w:jc w:val="center"/>
              <w:rPr>
                <w:sz w:val="20"/>
                <w:szCs w:val="20"/>
              </w:rPr>
            </w:pPr>
            <w:r w:rsidRPr="00C3312E">
              <w:rPr>
                <w:sz w:val="20"/>
                <w:szCs w:val="20"/>
              </w:rPr>
              <w:t>-7%</w:t>
            </w:r>
          </w:p>
        </w:tc>
      </w:tr>
      <w:tr w:rsidR="00C3312E" w:rsidRPr="00C3312E" w14:paraId="23B57BBD" w14:textId="77777777" w:rsidTr="00CF7974">
        <w:tc>
          <w:tcPr>
            <w:tcW w:w="2159" w:type="dxa"/>
            <w:shd w:val="clear" w:color="auto" w:fill="BFBFBF" w:themeFill="background1" w:themeFillShade="BF"/>
          </w:tcPr>
          <w:p w14:paraId="67CB77B1" w14:textId="77777777" w:rsidR="00C3312E" w:rsidRPr="00C3312E" w:rsidRDefault="00C3312E" w:rsidP="00C3312E">
            <w:pPr>
              <w:spacing w:after="0" w:line="240" w:lineRule="auto"/>
              <w:rPr>
                <w:sz w:val="20"/>
                <w:szCs w:val="20"/>
              </w:rPr>
            </w:pPr>
            <w:r w:rsidRPr="00C3312E">
              <w:rPr>
                <w:sz w:val="20"/>
                <w:szCs w:val="20"/>
              </w:rPr>
              <w:t>Asian</w:t>
            </w:r>
          </w:p>
        </w:tc>
        <w:tc>
          <w:tcPr>
            <w:tcW w:w="1169" w:type="dxa"/>
            <w:shd w:val="clear" w:color="auto" w:fill="BFBFBF" w:themeFill="background1" w:themeFillShade="BF"/>
          </w:tcPr>
          <w:p w14:paraId="03BBA170" w14:textId="77777777" w:rsidR="00C3312E" w:rsidRPr="00C3312E" w:rsidRDefault="00C3312E" w:rsidP="00C3312E">
            <w:pPr>
              <w:spacing w:after="0" w:line="240" w:lineRule="auto"/>
              <w:jc w:val="center"/>
              <w:rPr>
                <w:sz w:val="20"/>
                <w:szCs w:val="20"/>
              </w:rPr>
            </w:pPr>
            <w:r w:rsidRPr="00C3312E">
              <w:rPr>
                <w:sz w:val="20"/>
                <w:szCs w:val="20"/>
              </w:rPr>
              <w:t>181</w:t>
            </w:r>
          </w:p>
        </w:tc>
        <w:tc>
          <w:tcPr>
            <w:tcW w:w="1170" w:type="dxa"/>
            <w:shd w:val="clear" w:color="auto" w:fill="BFBFBF" w:themeFill="background1" w:themeFillShade="BF"/>
          </w:tcPr>
          <w:p w14:paraId="502CFAE3" w14:textId="77777777" w:rsidR="00C3312E" w:rsidRPr="00C3312E" w:rsidRDefault="00C3312E" w:rsidP="00C3312E">
            <w:pPr>
              <w:spacing w:after="0" w:line="240" w:lineRule="auto"/>
              <w:jc w:val="center"/>
              <w:rPr>
                <w:sz w:val="20"/>
                <w:szCs w:val="20"/>
              </w:rPr>
            </w:pPr>
            <w:r w:rsidRPr="00C3312E">
              <w:rPr>
                <w:sz w:val="20"/>
                <w:szCs w:val="20"/>
              </w:rPr>
              <w:t>59%</w:t>
            </w:r>
          </w:p>
        </w:tc>
        <w:tc>
          <w:tcPr>
            <w:tcW w:w="1170" w:type="dxa"/>
            <w:shd w:val="clear" w:color="auto" w:fill="BFBFBF" w:themeFill="background1" w:themeFillShade="BF"/>
          </w:tcPr>
          <w:p w14:paraId="68A1AEF4" w14:textId="77777777" w:rsidR="00C3312E" w:rsidRPr="00C3312E" w:rsidRDefault="00C3312E" w:rsidP="00C3312E">
            <w:pPr>
              <w:spacing w:after="0" w:line="240" w:lineRule="auto"/>
              <w:jc w:val="center"/>
              <w:rPr>
                <w:sz w:val="20"/>
                <w:szCs w:val="20"/>
              </w:rPr>
            </w:pPr>
            <w:r w:rsidRPr="00C3312E">
              <w:rPr>
                <w:sz w:val="20"/>
                <w:szCs w:val="20"/>
              </w:rPr>
              <w:t>63%</w:t>
            </w:r>
          </w:p>
        </w:tc>
        <w:tc>
          <w:tcPr>
            <w:tcW w:w="1082" w:type="dxa"/>
            <w:shd w:val="clear" w:color="auto" w:fill="BFBFBF" w:themeFill="background1" w:themeFillShade="BF"/>
          </w:tcPr>
          <w:p w14:paraId="1DC1B457" w14:textId="77777777" w:rsidR="00C3312E" w:rsidRPr="00C3312E" w:rsidRDefault="00C3312E" w:rsidP="00C3312E">
            <w:pPr>
              <w:spacing w:after="0" w:line="240" w:lineRule="auto"/>
              <w:jc w:val="center"/>
              <w:rPr>
                <w:sz w:val="20"/>
                <w:szCs w:val="20"/>
              </w:rPr>
            </w:pPr>
            <w:r w:rsidRPr="00C3312E">
              <w:rPr>
                <w:sz w:val="20"/>
                <w:szCs w:val="20"/>
              </w:rPr>
              <w:t>4%</w:t>
            </w:r>
          </w:p>
        </w:tc>
        <w:tc>
          <w:tcPr>
            <w:tcW w:w="1258" w:type="dxa"/>
            <w:shd w:val="clear" w:color="auto" w:fill="BFBFBF" w:themeFill="background1" w:themeFillShade="BF"/>
          </w:tcPr>
          <w:p w14:paraId="2B301E16" w14:textId="77777777" w:rsidR="00C3312E" w:rsidRPr="00C3312E" w:rsidRDefault="00C3312E" w:rsidP="00C3312E">
            <w:pPr>
              <w:spacing w:after="0" w:line="240" w:lineRule="auto"/>
              <w:jc w:val="center"/>
              <w:rPr>
                <w:sz w:val="20"/>
                <w:szCs w:val="20"/>
              </w:rPr>
            </w:pPr>
            <w:r w:rsidRPr="00C3312E">
              <w:rPr>
                <w:sz w:val="20"/>
                <w:szCs w:val="20"/>
              </w:rPr>
              <w:t>74%</w:t>
            </w:r>
          </w:p>
        </w:tc>
        <w:tc>
          <w:tcPr>
            <w:tcW w:w="1352" w:type="dxa"/>
            <w:shd w:val="clear" w:color="auto" w:fill="BFBFBF" w:themeFill="background1" w:themeFillShade="BF"/>
          </w:tcPr>
          <w:p w14:paraId="6FFEF979" w14:textId="77777777" w:rsidR="00C3312E" w:rsidRPr="00C3312E" w:rsidRDefault="00C3312E" w:rsidP="00C3312E">
            <w:pPr>
              <w:spacing w:after="0" w:line="240" w:lineRule="auto"/>
              <w:jc w:val="center"/>
              <w:rPr>
                <w:sz w:val="20"/>
                <w:szCs w:val="20"/>
              </w:rPr>
            </w:pPr>
            <w:r w:rsidRPr="00C3312E">
              <w:rPr>
                <w:sz w:val="20"/>
                <w:szCs w:val="20"/>
              </w:rPr>
              <w:t>-11%</w:t>
            </w:r>
          </w:p>
        </w:tc>
      </w:tr>
      <w:tr w:rsidR="00C3312E" w:rsidRPr="00C3312E" w14:paraId="15499021" w14:textId="77777777" w:rsidTr="00CF7974">
        <w:tc>
          <w:tcPr>
            <w:tcW w:w="2159" w:type="dxa"/>
          </w:tcPr>
          <w:p w14:paraId="0458C0FB" w14:textId="77777777" w:rsidR="00C3312E" w:rsidRPr="00C3312E" w:rsidRDefault="00C3312E" w:rsidP="00C3312E">
            <w:pPr>
              <w:spacing w:after="0" w:line="240" w:lineRule="auto"/>
              <w:rPr>
                <w:sz w:val="20"/>
                <w:szCs w:val="20"/>
              </w:rPr>
            </w:pPr>
            <w:r w:rsidRPr="00C3312E">
              <w:rPr>
                <w:sz w:val="20"/>
                <w:szCs w:val="20"/>
              </w:rPr>
              <w:t>Hispanic or Latino</w:t>
            </w:r>
          </w:p>
        </w:tc>
        <w:tc>
          <w:tcPr>
            <w:tcW w:w="1169" w:type="dxa"/>
          </w:tcPr>
          <w:p w14:paraId="5BEFFCF4" w14:textId="77777777" w:rsidR="00C3312E" w:rsidRPr="00C3312E" w:rsidRDefault="00C3312E" w:rsidP="00C3312E">
            <w:pPr>
              <w:spacing w:after="0" w:line="240" w:lineRule="auto"/>
              <w:jc w:val="center"/>
              <w:rPr>
                <w:sz w:val="20"/>
                <w:szCs w:val="20"/>
              </w:rPr>
            </w:pPr>
            <w:r w:rsidRPr="00C3312E">
              <w:rPr>
                <w:sz w:val="20"/>
                <w:szCs w:val="20"/>
              </w:rPr>
              <w:t>1,168</w:t>
            </w:r>
          </w:p>
        </w:tc>
        <w:tc>
          <w:tcPr>
            <w:tcW w:w="1170" w:type="dxa"/>
          </w:tcPr>
          <w:p w14:paraId="20C7F715" w14:textId="77777777" w:rsidR="00C3312E" w:rsidRPr="00C3312E" w:rsidRDefault="00C3312E" w:rsidP="00C3312E">
            <w:pPr>
              <w:spacing w:after="0" w:line="240" w:lineRule="auto"/>
              <w:jc w:val="center"/>
              <w:rPr>
                <w:sz w:val="20"/>
                <w:szCs w:val="20"/>
              </w:rPr>
            </w:pPr>
            <w:r w:rsidRPr="00C3312E">
              <w:rPr>
                <w:sz w:val="20"/>
                <w:szCs w:val="20"/>
              </w:rPr>
              <w:t>17%</w:t>
            </w:r>
          </w:p>
        </w:tc>
        <w:tc>
          <w:tcPr>
            <w:tcW w:w="1170" w:type="dxa"/>
          </w:tcPr>
          <w:p w14:paraId="325E9D52" w14:textId="77777777" w:rsidR="00C3312E" w:rsidRPr="00C3312E" w:rsidRDefault="00C3312E" w:rsidP="00C3312E">
            <w:pPr>
              <w:spacing w:after="0" w:line="240" w:lineRule="auto"/>
              <w:jc w:val="center"/>
              <w:rPr>
                <w:sz w:val="20"/>
                <w:szCs w:val="20"/>
              </w:rPr>
            </w:pPr>
            <w:r w:rsidRPr="00C3312E">
              <w:rPr>
                <w:sz w:val="20"/>
                <w:szCs w:val="20"/>
              </w:rPr>
              <w:t>18%</w:t>
            </w:r>
          </w:p>
        </w:tc>
        <w:tc>
          <w:tcPr>
            <w:tcW w:w="1082" w:type="dxa"/>
          </w:tcPr>
          <w:p w14:paraId="72C63192"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3868A5A0" w14:textId="77777777" w:rsidR="00C3312E" w:rsidRPr="00C3312E" w:rsidRDefault="00C3312E" w:rsidP="00C3312E">
            <w:pPr>
              <w:spacing w:after="0" w:line="240" w:lineRule="auto"/>
              <w:jc w:val="center"/>
              <w:rPr>
                <w:sz w:val="20"/>
                <w:szCs w:val="20"/>
              </w:rPr>
            </w:pPr>
            <w:r w:rsidRPr="00C3312E">
              <w:rPr>
                <w:sz w:val="20"/>
                <w:szCs w:val="20"/>
              </w:rPr>
              <w:t>27%</w:t>
            </w:r>
          </w:p>
        </w:tc>
        <w:tc>
          <w:tcPr>
            <w:tcW w:w="1352" w:type="dxa"/>
          </w:tcPr>
          <w:p w14:paraId="21A6C112" w14:textId="77777777" w:rsidR="00C3312E" w:rsidRPr="00C3312E" w:rsidRDefault="00C3312E" w:rsidP="00C3312E">
            <w:pPr>
              <w:spacing w:after="0" w:line="240" w:lineRule="auto"/>
              <w:jc w:val="center"/>
              <w:rPr>
                <w:sz w:val="20"/>
                <w:szCs w:val="20"/>
              </w:rPr>
            </w:pPr>
            <w:r w:rsidRPr="00C3312E">
              <w:rPr>
                <w:sz w:val="20"/>
                <w:szCs w:val="20"/>
              </w:rPr>
              <w:t>-9%</w:t>
            </w:r>
          </w:p>
        </w:tc>
      </w:tr>
      <w:tr w:rsidR="00C3312E" w:rsidRPr="00C3312E" w14:paraId="07B6A090" w14:textId="77777777" w:rsidTr="00CF7974">
        <w:tc>
          <w:tcPr>
            <w:tcW w:w="2159" w:type="dxa"/>
            <w:shd w:val="clear" w:color="auto" w:fill="BFBFBF" w:themeFill="background1" w:themeFillShade="BF"/>
          </w:tcPr>
          <w:p w14:paraId="422B0B7E" w14:textId="77777777" w:rsidR="00C3312E" w:rsidRPr="00C3312E" w:rsidRDefault="00C3312E" w:rsidP="00C3312E">
            <w:pPr>
              <w:spacing w:after="0" w:line="240" w:lineRule="auto"/>
              <w:rPr>
                <w:sz w:val="20"/>
                <w:szCs w:val="20"/>
              </w:rPr>
            </w:pPr>
            <w:r w:rsidRPr="00C3312E">
              <w:rPr>
                <w:sz w:val="20"/>
                <w:szCs w:val="20"/>
              </w:rPr>
              <w:t>Multi-Race</w:t>
            </w:r>
          </w:p>
        </w:tc>
        <w:tc>
          <w:tcPr>
            <w:tcW w:w="1169" w:type="dxa"/>
            <w:shd w:val="clear" w:color="auto" w:fill="BFBFBF" w:themeFill="background1" w:themeFillShade="BF"/>
          </w:tcPr>
          <w:p w14:paraId="0864C1E2" w14:textId="77777777" w:rsidR="00C3312E" w:rsidRPr="00C3312E" w:rsidRDefault="00C3312E" w:rsidP="00C3312E">
            <w:pPr>
              <w:spacing w:after="0" w:line="240" w:lineRule="auto"/>
              <w:jc w:val="center"/>
              <w:rPr>
                <w:sz w:val="20"/>
                <w:szCs w:val="20"/>
              </w:rPr>
            </w:pPr>
            <w:r w:rsidRPr="00C3312E">
              <w:rPr>
                <w:sz w:val="20"/>
                <w:szCs w:val="20"/>
              </w:rPr>
              <w:t>147</w:t>
            </w:r>
          </w:p>
        </w:tc>
        <w:tc>
          <w:tcPr>
            <w:tcW w:w="1170" w:type="dxa"/>
            <w:shd w:val="clear" w:color="auto" w:fill="BFBFBF" w:themeFill="background1" w:themeFillShade="BF"/>
          </w:tcPr>
          <w:p w14:paraId="1C6EBE2A" w14:textId="77777777" w:rsidR="00C3312E" w:rsidRPr="00C3312E" w:rsidRDefault="00C3312E" w:rsidP="00C3312E">
            <w:pPr>
              <w:spacing w:after="0" w:line="240" w:lineRule="auto"/>
              <w:jc w:val="center"/>
              <w:rPr>
                <w:sz w:val="20"/>
                <w:szCs w:val="20"/>
              </w:rPr>
            </w:pPr>
            <w:r w:rsidRPr="00C3312E">
              <w:rPr>
                <w:sz w:val="20"/>
                <w:szCs w:val="20"/>
              </w:rPr>
              <w:t>45%</w:t>
            </w:r>
          </w:p>
        </w:tc>
        <w:tc>
          <w:tcPr>
            <w:tcW w:w="1170" w:type="dxa"/>
            <w:shd w:val="clear" w:color="auto" w:fill="BFBFBF" w:themeFill="background1" w:themeFillShade="BF"/>
          </w:tcPr>
          <w:p w14:paraId="5F821A89" w14:textId="77777777" w:rsidR="00C3312E" w:rsidRPr="00C3312E" w:rsidRDefault="00C3312E" w:rsidP="00C3312E">
            <w:pPr>
              <w:spacing w:after="0" w:line="240" w:lineRule="auto"/>
              <w:jc w:val="center"/>
              <w:rPr>
                <w:sz w:val="20"/>
                <w:szCs w:val="20"/>
              </w:rPr>
            </w:pPr>
            <w:r w:rsidRPr="00C3312E">
              <w:rPr>
                <w:sz w:val="20"/>
                <w:szCs w:val="20"/>
              </w:rPr>
              <w:t>42%</w:t>
            </w:r>
          </w:p>
        </w:tc>
        <w:tc>
          <w:tcPr>
            <w:tcW w:w="1082" w:type="dxa"/>
            <w:shd w:val="clear" w:color="auto" w:fill="BFBFBF" w:themeFill="background1" w:themeFillShade="BF"/>
          </w:tcPr>
          <w:p w14:paraId="1D40EC56"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shd w:val="clear" w:color="auto" w:fill="BFBFBF" w:themeFill="background1" w:themeFillShade="BF"/>
          </w:tcPr>
          <w:p w14:paraId="5EB76EAA" w14:textId="77777777" w:rsidR="00C3312E" w:rsidRPr="00C3312E" w:rsidRDefault="00C3312E" w:rsidP="00C3312E">
            <w:pPr>
              <w:spacing w:after="0" w:line="240" w:lineRule="auto"/>
              <w:jc w:val="center"/>
              <w:rPr>
                <w:sz w:val="20"/>
                <w:szCs w:val="20"/>
              </w:rPr>
            </w:pPr>
            <w:r w:rsidRPr="00C3312E">
              <w:rPr>
                <w:sz w:val="20"/>
                <w:szCs w:val="20"/>
              </w:rPr>
              <w:t>49%</w:t>
            </w:r>
          </w:p>
        </w:tc>
        <w:tc>
          <w:tcPr>
            <w:tcW w:w="1352" w:type="dxa"/>
            <w:shd w:val="clear" w:color="auto" w:fill="BFBFBF" w:themeFill="background1" w:themeFillShade="BF"/>
          </w:tcPr>
          <w:p w14:paraId="3E1D5E47" w14:textId="77777777" w:rsidR="00C3312E" w:rsidRPr="00C3312E" w:rsidRDefault="00C3312E" w:rsidP="00C3312E">
            <w:pPr>
              <w:spacing w:after="0" w:line="240" w:lineRule="auto"/>
              <w:jc w:val="center"/>
              <w:rPr>
                <w:sz w:val="20"/>
                <w:szCs w:val="20"/>
              </w:rPr>
            </w:pPr>
            <w:r w:rsidRPr="00C3312E">
              <w:rPr>
                <w:sz w:val="20"/>
                <w:szCs w:val="20"/>
              </w:rPr>
              <w:t>-7%</w:t>
            </w:r>
          </w:p>
        </w:tc>
      </w:tr>
      <w:tr w:rsidR="00C3312E" w:rsidRPr="00C3312E" w14:paraId="7C698F98" w14:textId="77777777" w:rsidTr="00CF7974">
        <w:tc>
          <w:tcPr>
            <w:tcW w:w="2159" w:type="dxa"/>
          </w:tcPr>
          <w:p w14:paraId="043A74D4" w14:textId="77777777" w:rsidR="00C3312E" w:rsidRPr="00C3312E" w:rsidRDefault="00C3312E" w:rsidP="00C3312E">
            <w:pPr>
              <w:spacing w:after="0" w:line="240" w:lineRule="auto"/>
              <w:rPr>
                <w:sz w:val="20"/>
                <w:szCs w:val="20"/>
              </w:rPr>
            </w:pPr>
            <w:r w:rsidRPr="00C3312E">
              <w:rPr>
                <w:sz w:val="20"/>
                <w:szCs w:val="20"/>
              </w:rPr>
              <w:t>White</w:t>
            </w:r>
          </w:p>
        </w:tc>
        <w:tc>
          <w:tcPr>
            <w:tcW w:w="1169" w:type="dxa"/>
          </w:tcPr>
          <w:p w14:paraId="51A0AB8D" w14:textId="77777777" w:rsidR="00C3312E" w:rsidRPr="00C3312E" w:rsidRDefault="00C3312E" w:rsidP="00C3312E">
            <w:pPr>
              <w:spacing w:after="0" w:line="240" w:lineRule="auto"/>
              <w:jc w:val="center"/>
              <w:rPr>
                <w:sz w:val="20"/>
                <w:szCs w:val="20"/>
              </w:rPr>
            </w:pPr>
            <w:r w:rsidRPr="00C3312E">
              <w:rPr>
                <w:sz w:val="20"/>
                <w:szCs w:val="20"/>
              </w:rPr>
              <w:t>2,310</w:t>
            </w:r>
          </w:p>
        </w:tc>
        <w:tc>
          <w:tcPr>
            <w:tcW w:w="1170" w:type="dxa"/>
          </w:tcPr>
          <w:p w14:paraId="1BE22574" w14:textId="77777777" w:rsidR="00C3312E" w:rsidRPr="00C3312E" w:rsidRDefault="00C3312E" w:rsidP="00C3312E">
            <w:pPr>
              <w:spacing w:after="0" w:line="240" w:lineRule="auto"/>
              <w:jc w:val="center"/>
              <w:rPr>
                <w:sz w:val="20"/>
                <w:szCs w:val="20"/>
              </w:rPr>
            </w:pPr>
            <w:r w:rsidRPr="00C3312E">
              <w:rPr>
                <w:sz w:val="20"/>
                <w:szCs w:val="20"/>
              </w:rPr>
              <w:t>45%</w:t>
            </w:r>
          </w:p>
        </w:tc>
        <w:tc>
          <w:tcPr>
            <w:tcW w:w="1170" w:type="dxa"/>
          </w:tcPr>
          <w:p w14:paraId="4DC395D4" w14:textId="77777777" w:rsidR="00C3312E" w:rsidRPr="00C3312E" w:rsidRDefault="00C3312E" w:rsidP="00C3312E">
            <w:pPr>
              <w:spacing w:after="0" w:line="240" w:lineRule="auto"/>
              <w:jc w:val="center"/>
              <w:rPr>
                <w:sz w:val="20"/>
                <w:szCs w:val="20"/>
              </w:rPr>
            </w:pPr>
            <w:r w:rsidRPr="00C3312E">
              <w:rPr>
                <w:sz w:val="20"/>
                <w:szCs w:val="20"/>
              </w:rPr>
              <w:t>46%</w:t>
            </w:r>
          </w:p>
        </w:tc>
        <w:tc>
          <w:tcPr>
            <w:tcW w:w="1082" w:type="dxa"/>
          </w:tcPr>
          <w:p w14:paraId="6357B2D1"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3673DCBC" w14:textId="77777777" w:rsidR="00C3312E" w:rsidRPr="00C3312E" w:rsidRDefault="00C3312E" w:rsidP="00C3312E">
            <w:pPr>
              <w:spacing w:after="0" w:line="240" w:lineRule="auto"/>
              <w:jc w:val="center"/>
              <w:rPr>
                <w:sz w:val="20"/>
                <w:szCs w:val="20"/>
              </w:rPr>
            </w:pPr>
            <w:r w:rsidRPr="00C3312E">
              <w:rPr>
                <w:sz w:val="20"/>
                <w:szCs w:val="20"/>
              </w:rPr>
              <w:t>55%</w:t>
            </w:r>
          </w:p>
        </w:tc>
        <w:tc>
          <w:tcPr>
            <w:tcW w:w="1352" w:type="dxa"/>
          </w:tcPr>
          <w:p w14:paraId="15E7E5DA" w14:textId="77777777" w:rsidR="00C3312E" w:rsidRPr="00C3312E" w:rsidRDefault="00C3312E" w:rsidP="00C3312E">
            <w:pPr>
              <w:spacing w:after="0" w:line="240" w:lineRule="auto"/>
              <w:jc w:val="center"/>
              <w:rPr>
                <w:sz w:val="20"/>
                <w:szCs w:val="20"/>
              </w:rPr>
            </w:pPr>
            <w:r w:rsidRPr="00C3312E">
              <w:rPr>
                <w:sz w:val="20"/>
                <w:szCs w:val="20"/>
              </w:rPr>
              <w:t>-9%</w:t>
            </w:r>
          </w:p>
        </w:tc>
      </w:tr>
      <w:tr w:rsidR="00C3312E" w:rsidRPr="00C3312E" w14:paraId="1DD7C6C1" w14:textId="77777777" w:rsidTr="00CF7974">
        <w:tc>
          <w:tcPr>
            <w:tcW w:w="2159" w:type="dxa"/>
            <w:shd w:val="clear" w:color="auto" w:fill="BFBFBF" w:themeFill="background1" w:themeFillShade="BF"/>
          </w:tcPr>
          <w:p w14:paraId="78B6AB48"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69" w:type="dxa"/>
            <w:shd w:val="clear" w:color="auto" w:fill="BFBFBF" w:themeFill="background1" w:themeFillShade="BF"/>
          </w:tcPr>
          <w:p w14:paraId="12D5ED1C" w14:textId="77777777" w:rsidR="00C3312E" w:rsidRPr="00C3312E" w:rsidRDefault="00C3312E" w:rsidP="00C3312E">
            <w:pPr>
              <w:spacing w:after="0" w:line="240" w:lineRule="auto"/>
              <w:jc w:val="center"/>
              <w:rPr>
                <w:sz w:val="20"/>
                <w:szCs w:val="20"/>
              </w:rPr>
            </w:pPr>
            <w:r w:rsidRPr="00C3312E">
              <w:rPr>
                <w:sz w:val="20"/>
                <w:szCs w:val="20"/>
              </w:rPr>
              <w:t>2,596</w:t>
            </w:r>
          </w:p>
        </w:tc>
        <w:tc>
          <w:tcPr>
            <w:tcW w:w="1170" w:type="dxa"/>
            <w:shd w:val="clear" w:color="auto" w:fill="BFBFBF" w:themeFill="background1" w:themeFillShade="BF"/>
          </w:tcPr>
          <w:p w14:paraId="33F5F9B4" w14:textId="77777777" w:rsidR="00C3312E" w:rsidRPr="00C3312E" w:rsidRDefault="00C3312E" w:rsidP="00C3312E">
            <w:pPr>
              <w:spacing w:after="0" w:line="240" w:lineRule="auto"/>
              <w:jc w:val="center"/>
              <w:rPr>
                <w:sz w:val="20"/>
                <w:szCs w:val="20"/>
              </w:rPr>
            </w:pPr>
            <w:r w:rsidRPr="00C3312E">
              <w:rPr>
                <w:sz w:val="20"/>
                <w:szCs w:val="20"/>
              </w:rPr>
              <w:t>17%</w:t>
            </w:r>
          </w:p>
        </w:tc>
        <w:tc>
          <w:tcPr>
            <w:tcW w:w="1170" w:type="dxa"/>
            <w:shd w:val="clear" w:color="auto" w:fill="BFBFBF" w:themeFill="background1" w:themeFillShade="BF"/>
          </w:tcPr>
          <w:p w14:paraId="7E794082" w14:textId="77777777" w:rsidR="00C3312E" w:rsidRPr="00C3312E" w:rsidRDefault="00C3312E" w:rsidP="00C3312E">
            <w:pPr>
              <w:spacing w:after="0" w:line="240" w:lineRule="auto"/>
              <w:jc w:val="center"/>
              <w:rPr>
                <w:sz w:val="20"/>
                <w:szCs w:val="20"/>
              </w:rPr>
            </w:pPr>
            <w:r w:rsidRPr="00C3312E">
              <w:rPr>
                <w:sz w:val="20"/>
                <w:szCs w:val="20"/>
              </w:rPr>
              <w:t>20%</w:t>
            </w:r>
          </w:p>
        </w:tc>
        <w:tc>
          <w:tcPr>
            <w:tcW w:w="1082" w:type="dxa"/>
            <w:shd w:val="clear" w:color="auto" w:fill="BFBFBF" w:themeFill="background1" w:themeFillShade="BF"/>
          </w:tcPr>
          <w:p w14:paraId="0CACBE6E"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shd w:val="clear" w:color="auto" w:fill="BFBFBF" w:themeFill="background1" w:themeFillShade="BF"/>
          </w:tcPr>
          <w:p w14:paraId="5A123789" w14:textId="77777777" w:rsidR="00C3312E" w:rsidRPr="00C3312E" w:rsidRDefault="00C3312E" w:rsidP="00C3312E">
            <w:pPr>
              <w:spacing w:after="0" w:line="240" w:lineRule="auto"/>
              <w:jc w:val="center"/>
              <w:rPr>
                <w:sz w:val="20"/>
                <w:szCs w:val="20"/>
              </w:rPr>
            </w:pPr>
            <w:r w:rsidRPr="00C3312E">
              <w:rPr>
                <w:sz w:val="20"/>
                <w:szCs w:val="20"/>
              </w:rPr>
              <w:t>28%</w:t>
            </w:r>
          </w:p>
        </w:tc>
        <w:tc>
          <w:tcPr>
            <w:tcW w:w="1352" w:type="dxa"/>
            <w:shd w:val="clear" w:color="auto" w:fill="BFBFBF" w:themeFill="background1" w:themeFillShade="BF"/>
          </w:tcPr>
          <w:p w14:paraId="07E957BE" w14:textId="77777777" w:rsidR="00C3312E" w:rsidRPr="00C3312E" w:rsidRDefault="00C3312E" w:rsidP="00C3312E">
            <w:pPr>
              <w:spacing w:after="0" w:line="240" w:lineRule="auto"/>
              <w:jc w:val="center"/>
              <w:rPr>
                <w:sz w:val="20"/>
                <w:szCs w:val="20"/>
              </w:rPr>
            </w:pPr>
            <w:r w:rsidRPr="00C3312E">
              <w:rPr>
                <w:sz w:val="20"/>
                <w:szCs w:val="20"/>
              </w:rPr>
              <w:t>-8%</w:t>
            </w:r>
          </w:p>
        </w:tc>
      </w:tr>
      <w:tr w:rsidR="00C3312E" w:rsidRPr="00C3312E" w14:paraId="735884DA" w14:textId="77777777" w:rsidTr="00CF7974">
        <w:tc>
          <w:tcPr>
            <w:tcW w:w="2159" w:type="dxa"/>
          </w:tcPr>
          <w:p w14:paraId="79F08C76"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69" w:type="dxa"/>
          </w:tcPr>
          <w:p w14:paraId="1C498D78" w14:textId="77777777" w:rsidR="00C3312E" w:rsidRPr="00C3312E" w:rsidRDefault="00C3312E" w:rsidP="00C3312E">
            <w:pPr>
              <w:spacing w:after="0" w:line="240" w:lineRule="auto"/>
              <w:jc w:val="center"/>
              <w:rPr>
                <w:sz w:val="20"/>
                <w:szCs w:val="20"/>
              </w:rPr>
            </w:pPr>
            <w:r w:rsidRPr="00C3312E">
              <w:rPr>
                <w:sz w:val="20"/>
                <w:szCs w:val="20"/>
              </w:rPr>
              <w:t>1,709</w:t>
            </w:r>
          </w:p>
        </w:tc>
        <w:tc>
          <w:tcPr>
            <w:tcW w:w="1170" w:type="dxa"/>
          </w:tcPr>
          <w:p w14:paraId="4CC4FF26" w14:textId="77777777" w:rsidR="00C3312E" w:rsidRPr="00C3312E" w:rsidRDefault="00C3312E" w:rsidP="00C3312E">
            <w:pPr>
              <w:spacing w:after="0" w:line="240" w:lineRule="auto"/>
              <w:jc w:val="center"/>
              <w:rPr>
                <w:sz w:val="20"/>
                <w:szCs w:val="20"/>
              </w:rPr>
            </w:pPr>
            <w:r w:rsidRPr="00C3312E">
              <w:rPr>
                <w:sz w:val="20"/>
                <w:szCs w:val="20"/>
              </w:rPr>
              <w:t>16%</w:t>
            </w:r>
          </w:p>
        </w:tc>
        <w:tc>
          <w:tcPr>
            <w:tcW w:w="1170" w:type="dxa"/>
          </w:tcPr>
          <w:p w14:paraId="3C7D2461" w14:textId="77777777" w:rsidR="00C3312E" w:rsidRPr="00C3312E" w:rsidRDefault="00C3312E" w:rsidP="00C3312E">
            <w:pPr>
              <w:spacing w:after="0" w:line="240" w:lineRule="auto"/>
              <w:jc w:val="center"/>
              <w:rPr>
                <w:sz w:val="20"/>
                <w:szCs w:val="20"/>
              </w:rPr>
            </w:pPr>
            <w:r w:rsidRPr="00C3312E">
              <w:rPr>
                <w:sz w:val="20"/>
                <w:szCs w:val="20"/>
              </w:rPr>
              <w:t>17%</w:t>
            </w:r>
          </w:p>
        </w:tc>
        <w:tc>
          <w:tcPr>
            <w:tcW w:w="1082" w:type="dxa"/>
          </w:tcPr>
          <w:p w14:paraId="27E97355"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41FA5267" w14:textId="77777777" w:rsidR="00C3312E" w:rsidRPr="00C3312E" w:rsidRDefault="00C3312E" w:rsidP="00C3312E">
            <w:pPr>
              <w:spacing w:after="0" w:line="240" w:lineRule="auto"/>
              <w:jc w:val="center"/>
              <w:rPr>
                <w:sz w:val="20"/>
                <w:szCs w:val="20"/>
              </w:rPr>
            </w:pPr>
            <w:r w:rsidRPr="00C3312E">
              <w:rPr>
                <w:sz w:val="20"/>
                <w:szCs w:val="20"/>
              </w:rPr>
              <w:t>27%</w:t>
            </w:r>
          </w:p>
        </w:tc>
        <w:tc>
          <w:tcPr>
            <w:tcW w:w="1352" w:type="dxa"/>
          </w:tcPr>
          <w:p w14:paraId="3B38210B" w14:textId="77777777" w:rsidR="00C3312E" w:rsidRPr="00C3312E" w:rsidRDefault="00C3312E" w:rsidP="00C3312E">
            <w:pPr>
              <w:spacing w:after="0" w:line="240" w:lineRule="auto"/>
              <w:jc w:val="center"/>
              <w:rPr>
                <w:sz w:val="20"/>
                <w:szCs w:val="20"/>
              </w:rPr>
            </w:pPr>
            <w:r w:rsidRPr="00C3312E">
              <w:rPr>
                <w:sz w:val="20"/>
                <w:szCs w:val="20"/>
              </w:rPr>
              <w:t>-10%</w:t>
            </w:r>
          </w:p>
        </w:tc>
      </w:tr>
      <w:tr w:rsidR="00C3312E" w:rsidRPr="00C3312E" w14:paraId="1C54A389" w14:textId="77777777" w:rsidTr="00CF7974">
        <w:tc>
          <w:tcPr>
            <w:tcW w:w="2159" w:type="dxa"/>
            <w:shd w:val="clear" w:color="auto" w:fill="BFBFBF" w:themeFill="background1" w:themeFillShade="BF"/>
          </w:tcPr>
          <w:p w14:paraId="25ED8194"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69" w:type="dxa"/>
            <w:shd w:val="clear" w:color="auto" w:fill="BFBFBF" w:themeFill="background1" w:themeFillShade="BF"/>
          </w:tcPr>
          <w:p w14:paraId="2390D146" w14:textId="77777777" w:rsidR="00C3312E" w:rsidRPr="00C3312E" w:rsidRDefault="00C3312E" w:rsidP="00C3312E">
            <w:pPr>
              <w:spacing w:after="0" w:line="240" w:lineRule="auto"/>
              <w:jc w:val="center"/>
              <w:rPr>
                <w:sz w:val="20"/>
                <w:szCs w:val="20"/>
              </w:rPr>
            </w:pPr>
            <w:r w:rsidRPr="00C3312E">
              <w:rPr>
                <w:sz w:val="20"/>
                <w:szCs w:val="20"/>
              </w:rPr>
              <w:t>1,155</w:t>
            </w:r>
          </w:p>
        </w:tc>
        <w:tc>
          <w:tcPr>
            <w:tcW w:w="1170" w:type="dxa"/>
            <w:shd w:val="clear" w:color="auto" w:fill="BFBFBF" w:themeFill="background1" w:themeFillShade="BF"/>
          </w:tcPr>
          <w:p w14:paraId="05B9415A" w14:textId="77777777" w:rsidR="00C3312E" w:rsidRPr="00C3312E" w:rsidRDefault="00C3312E" w:rsidP="00C3312E">
            <w:pPr>
              <w:spacing w:after="0" w:line="240" w:lineRule="auto"/>
              <w:jc w:val="center"/>
              <w:rPr>
                <w:sz w:val="20"/>
                <w:szCs w:val="20"/>
              </w:rPr>
            </w:pPr>
            <w:r w:rsidRPr="00C3312E">
              <w:rPr>
                <w:sz w:val="20"/>
                <w:szCs w:val="20"/>
              </w:rPr>
              <w:t>8%</w:t>
            </w:r>
          </w:p>
        </w:tc>
        <w:tc>
          <w:tcPr>
            <w:tcW w:w="1170" w:type="dxa"/>
            <w:shd w:val="clear" w:color="auto" w:fill="BFBFBF" w:themeFill="background1" w:themeFillShade="BF"/>
          </w:tcPr>
          <w:p w14:paraId="2F0CC1C9" w14:textId="77777777" w:rsidR="00C3312E" w:rsidRPr="00C3312E" w:rsidRDefault="00C3312E" w:rsidP="00C3312E">
            <w:pPr>
              <w:spacing w:after="0" w:line="240" w:lineRule="auto"/>
              <w:jc w:val="center"/>
              <w:rPr>
                <w:sz w:val="20"/>
                <w:szCs w:val="20"/>
              </w:rPr>
            </w:pPr>
            <w:r w:rsidRPr="00C3312E">
              <w:rPr>
                <w:sz w:val="20"/>
                <w:szCs w:val="20"/>
              </w:rPr>
              <w:t>9%</w:t>
            </w:r>
          </w:p>
        </w:tc>
        <w:tc>
          <w:tcPr>
            <w:tcW w:w="1082" w:type="dxa"/>
            <w:shd w:val="clear" w:color="auto" w:fill="BFBFBF" w:themeFill="background1" w:themeFillShade="BF"/>
          </w:tcPr>
          <w:p w14:paraId="1772F651"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shd w:val="clear" w:color="auto" w:fill="BFBFBF" w:themeFill="background1" w:themeFillShade="BF"/>
          </w:tcPr>
          <w:p w14:paraId="3060410B" w14:textId="77777777" w:rsidR="00C3312E" w:rsidRPr="00C3312E" w:rsidRDefault="00C3312E" w:rsidP="00C3312E">
            <w:pPr>
              <w:spacing w:after="0" w:line="240" w:lineRule="auto"/>
              <w:jc w:val="center"/>
              <w:rPr>
                <w:sz w:val="20"/>
                <w:szCs w:val="20"/>
              </w:rPr>
            </w:pPr>
            <w:r w:rsidRPr="00C3312E">
              <w:rPr>
                <w:sz w:val="20"/>
                <w:szCs w:val="20"/>
              </w:rPr>
              <w:t>14%</w:t>
            </w:r>
          </w:p>
        </w:tc>
        <w:tc>
          <w:tcPr>
            <w:tcW w:w="1352" w:type="dxa"/>
            <w:shd w:val="clear" w:color="auto" w:fill="BFBFBF" w:themeFill="background1" w:themeFillShade="BF"/>
          </w:tcPr>
          <w:p w14:paraId="77ABFEA3"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3AD2C850" w14:textId="77777777" w:rsidTr="00CF7974">
        <w:tc>
          <w:tcPr>
            <w:tcW w:w="2159" w:type="dxa"/>
          </w:tcPr>
          <w:p w14:paraId="76127D08" w14:textId="239581A6"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1169" w:type="dxa"/>
          </w:tcPr>
          <w:p w14:paraId="3E5399F0" w14:textId="77777777" w:rsidR="00C3312E" w:rsidRPr="00C3312E" w:rsidRDefault="00C3312E" w:rsidP="00C3312E">
            <w:pPr>
              <w:spacing w:after="0" w:line="240" w:lineRule="auto"/>
              <w:jc w:val="center"/>
              <w:rPr>
                <w:sz w:val="20"/>
                <w:szCs w:val="20"/>
              </w:rPr>
            </w:pPr>
            <w:r w:rsidRPr="00C3312E">
              <w:rPr>
                <w:sz w:val="20"/>
                <w:szCs w:val="20"/>
              </w:rPr>
              <w:t>1,324</w:t>
            </w:r>
          </w:p>
        </w:tc>
        <w:tc>
          <w:tcPr>
            <w:tcW w:w="1170" w:type="dxa"/>
          </w:tcPr>
          <w:p w14:paraId="284553BF" w14:textId="77777777" w:rsidR="00C3312E" w:rsidRPr="00C3312E" w:rsidRDefault="00C3312E" w:rsidP="00C3312E">
            <w:pPr>
              <w:spacing w:after="0" w:line="240" w:lineRule="auto"/>
              <w:jc w:val="center"/>
              <w:rPr>
                <w:sz w:val="20"/>
                <w:szCs w:val="20"/>
              </w:rPr>
            </w:pPr>
            <w:r w:rsidRPr="00C3312E">
              <w:rPr>
                <w:sz w:val="20"/>
                <w:szCs w:val="20"/>
              </w:rPr>
              <w:t>14%</w:t>
            </w:r>
          </w:p>
        </w:tc>
        <w:tc>
          <w:tcPr>
            <w:tcW w:w="1170" w:type="dxa"/>
          </w:tcPr>
          <w:p w14:paraId="06AA8BC6" w14:textId="77777777" w:rsidR="00C3312E" w:rsidRPr="00C3312E" w:rsidRDefault="00C3312E" w:rsidP="00C3312E">
            <w:pPr>
              <w:spacing w:after="0" w:line="240" w:lineRule="auto"/>
              <w:jc w:val="center"/>
              <w:rPr>
                <w:sz w:val="20"/>
                <w:szCs w:val="20"/>
              </w:rPr>
            </w:pPr>
            <w:r w:rsidRPr="00C3312E">
              <w:rPr>
                <w:sz w:val="20"/>
                <w:szCs w:val="20"/>
              </w:rPr>
              <w:t>19%</w:t>
            </w:r>
          </w:p>
        </w:tc>
        <w:tc>
          <w:tcPr>
            <w:tcW w:w="1082" w:type="dxa"/>
          </w:tcPr>
          <w:p w14:paraId="57C0E60C" w14:textId="77777777" w:rsidR="00C3312E" w:rsidRPr="00C3312E" w:rsidRDefault="00C3312E" w:rsidP="00C3312E">
            <w:pPr>
              <w:spacing w:after="0" w:line="240" w:lineRule="auto"/>
              <w:jc w:val="center"/>
              <w:rPr>
                <w:sz w:val="20"/>
                <w:szCs w:val="20"/>
              </w:rPr>
            </w:pPr>
            <w:r w:rsidRPr="00C3312E">
              <w:rPr>
                <w:sz w:val="20"/>
                <w:szCs w:val="20"/>
              </w:rPr>
              <w:t>5%</w:t>
            </w:r>
          </w:p>
        </w:tc>
        <w:tc>
          <w:tcPr>
            <w:tcW w:w="1258" w:type="dxa"/>
          </w:tcPr>
          <w:p w14:paraId="1E464044" w14:textId="77777777" w:rsidR="00C3312E" w:rsidRPr="00C3312E" w:rsidRDefault="00C3312E" w:rsidP="00C3312E">
            <w:pPr>
              <w:spacing w:after="0" w:line="240" w:lineRule="auto"/>
              <w:jc w:val="center"/>
              <w:rPr>
                <w:sz w:val="20"/>
                <w:szCs w:val="20"/>
              </w:rPr>
            </w:pPr>
            <w:r w:rsidRPr="00C3312E">
              <w:rPr>
                <w:sz w:val="20"/>
                <w:szCs w:val="20"/>
              </w:rPr>
              <w:t>30%</w:t>
            </w:r>
          </w:p>
        </w:tc>
        <w:tc>
          <w:tcPr>
            <w:tcW w:w="1352" w:type="dxa"/>
          </w:tcPr>
          <w:p w14:paraId="081C2562" w14:textId="77777777" w:rsidR="00C3312E" w:rsidRPr="00C3312E" w:rsidRDefault="00C3312E" w:rsidP="00C3312E">
            <w:pPr>
              <w:spacing w:after="0" w:line="240" w:lineRule="auto"/>
              <w:jc w:val="center"/>
              <w:rPr>
                <w:sz w:val="20"/>
                <w:szCs w:val="20"/>
              </w:rPr>
            </w:pPr>
            <w:r w:rsidRPr="00C3312E">
              <w:rPr>
                <w:sz w:val="20"/>
                <w:szCs w:val="20"/>
              </w:rPr>
              <w:t>-11%</w:t>
            </w:r>
          </w:p>
        </w:tc>
      </w:tr>
      <w:tr w:rsidR="00C3312E" w:rsidRPr="00C3312E" w14:paraId="058E16BF" w14:textId="77777777" w:rsidTr="00CF7974">
        <w:tc>
          <w:tcPr>
            <w:tcW w:w="2159" w:type="dxa"/>
            <w:shd w:val="clear" w:color="auto" w:fill="BFBFBF" w:themeFill="background1" w:themeFillShade="BF"/>
          </w:tcPr>
          <w:p w14:paraId="435B893E"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69" w:type="dxa"/>
            <w:shd w:val="clear" w:color="auto" w:fill="BFBFBF" w:themeFill="background1" w:themeFillShade="BF"/>
          </w:tcPr>
          <w:p w14:paraId="29ACE3BF" w14:textId="77777777" w:rsidR="00C3312E" w:rsidRPr="00C3312E" w:rsidRDefault="00C3312E" w:rsidP="00C3312E">
            <w:pPr>
              <w:spacing w:after="0" w:line="240" w:lineRule="auto"/>
              <w:jc w:val="center"/>
              <w:rPr>
                <w:sz w:val="20"/>
                <w:szCs w:val="20"/>
              </w:rPr>
            </w:pPr>
            <w:r w:rsidRPr="00C3312E">
              <w:rPr>
                <w:sz w:val="20"/>
                <w:szCs w:val="20"/>
              </w:rPr>
              <w:t>4,087</w:t>
            </w:r>
          </w:p>
        </w:tc>
        <w:tc>
          <w:tcPr>
            <w:tcW w:w="1170" w:type="dxa"/>
            <w:shd w:val="clear" w:color="auto" w:fill="BFBFBF" w:themeFill="background1" w:themeFillShade="BF"/>
          </w:tcPr>
          <w:p w14:paraId="68A9D027" w14:textId="77777777" w:rsidR="00C3312E" w:rsidRPr="00C3312E" w:rsidRDefault="00C3312E" w:rsidP="00C3312E">
            <w:pPr>
              <w:spacing w:after="0" w:line="240" w:lineRule="auto"/>
              <w:jc w:val="center"/>
              <w:rPr>
                <w:sz w:val="20"/>
                <w:szCs w:val="20"/>
              </w:rPr>
            </w:pPr>
            <w:r w:rsidRPr="00C3312E">
              <w:rPr>
                <w:sz w:val="20"/>
                <w:szCs w:val="20"/>
              </w:rPr>
              <w:t>36%</w:t>
            </w:r>
          </w:p>
        </w:tc>
        <w:tc>
          <w:tcPr>
            <w:tcW w:w="1170" w:type="dxa"/>
            <w:shd w:val="clear" w:color="auto" w:fill="BFBFBF" w:themeFill="background1" w:themeFillShade="BF"/>
          </w:tcPr>
          <w:p w14:paraId="55A36A18" w14:textId="77777777" w:rsidR="00C3312E" w:rsidRPr="00C3312E" w:rsidRDefault="00C3312E" w:rsidP="00C3312E">
            <w:pPr>
              <w:spacing w:after="0" w:line="240" w:lineRule="auto"/>
              <w:jc w:val="center"/>
              <w:rPr>
                <w:sz w:val="20"/>
                <w:szCs w:val="20"/>
              </w:rPr>
            </w:pPr>
            <w:r w:rsidRPr="00C3312E">
              <w:rPr>
                <w:sz w:val="20"/>
                <w:szCs w:val="20"/>
              </w:rPr>
              <w:t>37%</w:t>
            </w:r>
          </w:p>
        </w:tc>
        <w:tc>
          <w:tcPr>
            <w:tcW w:w="1082" w:type="dxa"/>
            <w:shd w:val="clear" w:color="auto" w:fill="BFBFBF" w:themeFill="background1" w:themeFillShade="BF"/>
          </w:tcPr>
          <w:p w14:paraId="7929F335"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shd w:val="clear" w:color="auto" w:fill="BFBFBF" w:themeFill="background1" w:themeFillShade="BF"/>
          </w:tcPr>
          <w:p w14:paraId="596425F3" w14:textId="77777777" w:rsidR="00C3312E" w:rsidRPr="00C3312E" w:rsidRDefault="00C3312E" w:rsidP="00C3312E">
            <w:pPr>
              <w:spacing w:after="0" w:line="240" w:lineRule="auto"/>
              <w:jc w:val="center"/>
              <w:rPr>
                <w:sz w:val="20"/>
                <w:szCs w:val="20"/>
              </w:rPr>
            </w:pPr>
            <w:r w:rsidRPr="00C3312E">
              <w:rPr>
                <w:sz w:val="20"/>
                <w:szCs w:val="20"/>
              </w:rPr>
              <w:t>48%</w:t>
            </w:r>
          </w:p>
        </w:tc>
        <w:tc>
          <w:tcPr>
            <w:tcW w:w="1352" w:type="dxa"/>
            <w:shd w:val="clear" w:color="auto" w:fill="BFBFBF" w:themeFill="background1" w:themeFillShade="BF"/>
          </w:tcPr>
          <w:p w14:paraId="7210B21E" w14:textId="77777777" w:rsidR="00C3312E" w:rsidRPr="00C3312E" w:rsidRDefault="00C3312E" w:rsidP="00C3312E">
            <w:pPr>
              <w:spacing w:after="0" w:line="240" w:lineRule="auto"/>
              <w:jc w:val="center"/>
              <w:rPr>
                <w:sz w:val="20"/>
                <w:szCs w:val="20"/>
              </w:rPr>
            </w:pPr>
            <w:r w:rsidRPr="00C3312E">
              <w:rPr>
                <w:sz w:val="20"/>
                <w:szCs w:val="20"/>
              </w:rPr>
              <w:t>-11%</w:t>
            </w:r>
          </w:p>
        </w:tc>
      </w:tr>
    </w:tbl>
    <w:p w14:paraId="370B5BF4" w14:textId="1FC60E1B" w:rsidR="00C3312E" w:rsidRDefault="00C3312E" w:rsidP="00C3312E">
      <w:pPr>
        <w:spacing w:after="0"/>
        <w:rPr>
          <w:rFonts w:cs="Times New Roman"/>
        </w:rPr>
      </w:pPr>
    </w:p>
    <w:p w14:paraId="0C17DA62" w14:textId="77777777" w:rsidR="0089512A" w:rsidRPr="00C3312E" w:rsidRDefault="0089512A" w:rsidP="00C3312E">
      <w:pPr>
        <w:spacing w:after="0"/>
        <w:rPr>
          <w:rFonts w:cs="Times New Roman"/>
        </w:rPr>
      </w:pPr>
    </w:p>
    <w:tbl>
      <w:tblPr>
        <w:tblStyle w:val="TableGrid5"/>
        <w:tblW w:w="0" w:type="auto"/>
        <w:tblLook w:val="00A0" w:firstRow="1" w:lastRow="0" w:firstColumn="1" w:lastColumn="0" w:noHBand="0" w:noVBand="0"/>
        <w:tblCaption w:val="Table 7: Framingham Public Schools"/>
        <w:tblDescription w:val="MCAS ELA Percent Scoring Proficient or Advanced in Grade 10, 2017–2018&#10;"/>
      </w:tblPr>
      <w:tblGrid>
        <w:gridCol w:w="2159"/>
        <w:gridCol w:w="1169"/>
        <w:gridCol w:w="1170"/>
        <w:gridCol w:w="1170"/>
        <w:gridCol w:w="1082"/>
        <w:gridCol w:w="1258"/>
        <w:gridCol w:w="1352"/>
      </w:tblGrid>
      <w:tr w:rsidR="00C3312E" w:rsidRPr="00C3312E" w14:paraId="2AD7D5ED" w14:textId="77777777" w:rsidTr="00697F37">
        <w:tc>
          <w:tcPr>
            <w:tcW w:w="9360" w:type="dxa"/>
            <w:gridSpan w:val="7"/>
            <w:tcBorders>
              <w:top w:val="nil"/>
              <w:left w:val="nil"/>
              <w:right w:val="nil"/>
            </w:tcBorders>
          </w:tcPr>
          <w:p w14:paraId="49D36CD1" w14:textId="77777777" w:rsidR="00C3312E" w:rsidRPr="00C3312E" w:rsidRDefault="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lastRenderedPageBreak/>
              <w:t xml:space="preserve">Table 7: </w:t>
            </w:r>
            <w:r w:rsidRPr="00C3312E">
              <w:rPr>
                <w:rFonts w:cs="Times New Roman"/>
                <w:b/>
                <w:sz w:val="20"/>
                <w:szCs w:val="20"/>
              </w:rPr>
              <w:t>Framingham Public Schools</w:t>
            </w:r>
          </w:p>
          <w:p w14:paraId="4F026B36" w14:textId="399B74FA" w:rsidR="00C3312E" w:rsidRPr="00C3312E" w:rsidRDefault="00C3312E">
            <w:pPr>
              <w:spacing w:after="0" w:line="240" w:lineRule="auto"/>
              <w:contextualSpacing/>
              <w:jc w:val="center"/>
              <w:rPr>
                <w:rFonts w:eastAsia="Times New Roman" w:cs="Times New Roman"/>
              </w:rPr>
            </w:pPr>
            <w:r w:rsidRPr="00C3312E">
              <w:rPr>
                <w:rFonts w:cs="Times New Roman"/>
                <w:b/>
                <w:sz w:val="20"/>
                <w:szCs w:val="20"/>
              </w:rPr>
              <w:t>MCAS ELA Percent Scoring Proficient or Advanced in Grade 10, 2017</w:t>
            </w:r>
            <w:r w:rsidR="000F7DAF">
              <w:rPr>
                <w:rFonts w:cs="Times New Roman"/>
                <w:b/>
                <w:sz w:val="20"/>
                <w:szCs w:val="20"/>
              </w:rPr>
              <w:t>–</w:t>
            </w:r>
            <w:r w:rsidRPr="00C3312E">
              <w:rPr>
                <w:rFonts w:cs="Times New Roman"/>
                <w:b/>
                <w:sz w:val="20"/>
                <w:szCs w:val="20"/>
              </w:rPr>
              <w:t>2018</w:t>
            </w:r>
          </w:p>
        </w:tc>
      </w:tr>
      <w:tr w:rsidR="00C3312E" w:rsidRPr="00C3312E" w14:paraId="0DD21D40" w14:textId="77777777" w:rsidTr="00697F37">
        <w:tc>
          <w:tcPr>
            <w:tcW w:w="2159" w:type="dxa"/>
            <w:shd w:val="clear" w:color="auto" w:fill="BFBFBF" w:themeFill="background1" w:themeFillShade="BF"/>
          </w:tcPr>
          <w:p w14:paraId="3536C0BC" w14:textId="77777777" w:rsidR="00C3312E" w:rsidRPr="00C3312E" w:rsidRDefault="00C3312E" w:rsidP="00EC5B5A">
            <w:pPr>
              <w:spacing w:after="0" w:line="240" w:lineRule="auto"/>
              <w:contextualSpacing/>
              <w:rPr>
                <w:rFonts w:eastAsia="Times New Roman" w:cs="Times New Roman"/>
                <w:b/>
                <w:sz w:val="20"/>
                <w:szCs w:val="20"/>
              </w:rPr>
            </w:pPr>
            <w:r w:rsidRPr="00C3312E">
              <w:rPr>
                <w:rFonts w:eastAsia="Times New Roman" w:cs="Times New Roman"/>
                <w:b/>
                <w:sz w:val="20"/>
                <w:szCs w:val="20"/>
              </w:rPr>
              <w:t>Group</w:t>
            </w:r>
          </w:p>
        </w:tc>
        <w:tc>
          <w:tcPr>
            <w:tcW w:w="1169" w:type="dxa"/>
            <w:shd w:val="clear" w:color="auto" w:fill="BFBFBF" w:themeFill="background1" w:themeFillShade="BF"/>
          </w:tcPr>
          <w:p w14:paraId="108CCBC2"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N (2018)</w:t>
            </w:r>
          </w:p>
        </w:tc>
        <w:tc>
          <w:tcPr>
            <w:tcW w:w="1170" w:type="dxa"/>
            <w:shd w:val="clear" w:color="auto" w:fill="BFBFBF" w:themeFill="background1" w:themeFillShade="BF"/>
          </w:tcPr>
          <w:p w14:paraId="047194B1"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2017</w:t>
            </w:r>
          </w:p>
        </w:tc>
        <w:tc>
          <w:tcPr>
            <w:tcW w:w="1170" w:type="dxa"/>
            <w:shd w:val="clear" w:color="auto" w:fill="BFBFBF" w:themeFill="background1" w:themeFillShade="BF"/>
          </w:tcPr>
          <w:p w14:paraId="1461FB28"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2018</w:t>
            </w:r>
          </w:p>
        </w:tc>
        <w:tc>
          <w:tcPr>
            <w:tcW w:w="1082" w:type="dxa"/>
            <w:shd w:val="clear" w:color="auto" w:fill="BFBFBF" w:themeFill="background1" w:themeFillShade="BF"/>
          </w:tcPr>
          <w:p w14:paraId="0DECF17F"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Change</w:t>
            </w:r>
          </w:p>
        </w:tc>
        <w:tc>
          <w:tcPr>
            <w:tcW w:w="1258" w:type="dxa"/>
            <w:shd w:val="clear" w:color="auto" w:fill="BFBFBF" w:themeFill="background1" w:themeFillShade="BF"/>
          </w:tcPr>
          <w:p w14:paraId="55F93EF2"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State (2018)</w:t>
            </w:r>
          </w:p>
        </w:tc>
        <w:tc>
          <w:tcPr>
            <w:tcW w:w="1352" w:type="dxa"/>
            <w:shd w:val="clear" w:color="auto" w:fill="BFBFBF" w:themeFill="background1" w:themeFillShade="BF"/>
          </w:tcPr>
          <w:p w14:paraId="55F0B164"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Above/Below</w:t>
            </w:r>
          </w:p>
        </w:tc>
      </w:tr>
      <w:tr w:rsidR="00C3312E" w:rsidRPr="00C3312E" w14:paraId="45708A33" w14:textId="77777777" w:rsidTr="00697F37">
        <w:tc>
          <w:tcPr>
            <w:tcW w:w="2159" w:type="dxa"/>
          </w:tcPr>
          <w:p w14:paraId="50B8E482"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69" w:type="dxa"/>
          </w:tcPr>
          <w:p w14:paraId="60233B46" w14:textId="77777777" w:rsidR="00C3312E" w:rsidRPr="00C3312E" w:rsidRDefault="00C3312E" w:rsidP="00C3312E">
            <w:pPr>
              <w:spacing w:after="0" w:line="240" w:lineRule="auto"/>
              <w:jc w:val="center"/>
              <w:rPr>
                <w:sz w:val="20"/>
                <w:szCs w:val="20"/>
              </w:rPr>
            </w:pPr>
            <w:r w:rsidRPr="00C3312E">
              <w:rPr>
                <w:sz w:val="20"/>
                <w:szCs w:val="20"/>
              </w:rPr>
              <w:t>22</w:t>
            </w:r>
          </w:p>
        </w:tc>
        <w:tc>
          <w:tcPr>
            <w:tcW w:w="1170" w:type="dxa"/>
          </w:tcPr>
          <w:p w14:paraId="42A5C36C" w14:textId="77777777" w:rsidR="00C3312E" w:rsidRPr="00C3312E" w:rsidRDefault="00C3312E" w:rsidP="00C3312E">
            <w:pPr>
              <w:spacing w:after="0" w:line="240" w:lineRule="auto"/>
              <w:jc w:val="center"/>
              <w:rPr>
                <w:sz w:val="20"/>
                <w:szCs w:val="20"/>
              </w:rPr>
            </w:pPr>
            <w:r w:rsidRPr="00C3312E">
              <w:rPr>
                <w:sz w:val="20"/>
                <w:szCs w:val="20"/>
              </w:rPr>
              <w:t>98%</w:t>
            </w:r>
          </w:p>
        </w:tc>
        <w:tc>
          <w:tcPr>
            <w:tcW w:w="1170" w:type="dxa"/>
          </w:tcPr>
          <w:p w14:paraId="6C46DBA6" w14:textId="77777777" w:rsidR="00C3312E" w:rsidRPr="00C3312E" w:rsidRDefault="00C3312E" w:rsidP="00C3312E">
            <w:pPr>
              <w:spacing w:after="0" w:line="240" w:lineRule="auto"/>
              <w:jc w:val="center"/>
              <w:rPr>
                <w:sz w:val="20"/>
                <w:szCs w:val="20"/>
              </w:rPr>
            </w:pPr>
            <w:r w:rsidRPr="00C3312E">
              <w:rPr>
                <w:sz w:val="20"/>
                <w:szCs w:val="20"/>
              </w:rPr>
              <w:t>86%</w:t>
            </w:r>
          </w:p>
        </w:tc>
        <w:tc>
          <w:tcPr>
            <w:tcW w:w="1082" w:type="dxa"/>
          </w:tcPr>
          <w:p w14:paraId="75657234" w14:textId="77777777" w:rsidR="00C3312E" w:rsidRPr="00C3312E" w:rsidRDefault="00C3312E" w:rsidP="00C3312E">
            <w:pPr>
              <w:spacing w:after="0" w:line="240" w:lineRule="auto"/>
              <w:jc w:val="center"/>
              <w:rPr>
                <w:sz w:val="20"/>
                <w:szCs w:val="20"/>
              </w:rPr>
            </w:pPr>
            <w:r w:rsidRPr="00C3312E">
              <w:rPr>
                <w:sz w:val="20"/>
                <w:szCs w:val="20"/>
              </w:rPr>
              <w:t>-12%</w:t>
            </w:r>
          </w:p>
        </w:tc>
        <w:tc>
          <w:tcPr>
            <w:tcW w:w="1258" w:type="dxa"/>
          </w:tcPr>
          <w:p w14:paraId="4FDB1B51" w14:textId="77777777" w:rsidR="00C3312E" w:rsidRPr="00C3312E" w:rsidRDefault="00C3312E" w:rsidP="00C3312E">
            <w:pPr>
              <w:spacing w:after="0" w:line="240" w:lineRule="auto"/>
              <w:jc w:val="center"/>
              <w:rPr>
                <w:sz w:val="20"/>
                <w:szCs w:val="20"/>
              </w:rPr>
            </w:pPr>
            <w:r w:rsidRPr="00C3312E">
              <w:rPr>
                <w:sz w:val="20"/>
                <w:szCs w:val="20"/>
              </w:rPr>
              <w:t>85%</w:t>
            </w:r>
          </w:p>
        </w:tc>
        <w:tc>
          <w:tcPr>
            <w:tcW w:w="1352" w:type="dxa"/>
          </w:tcPr>
          <w:p w14:paraId="23B3D7F5" w14:textId="77777777" w:rsidR="00C3312E" w:rsidRPr="00C3312E" w:rsidRDefault="00C3312E" w:rsidP="00C3312E">
            <w:pPr>
              <w:spacing w:after="0" w:line="240" w:lineRule="auto"/>
              <w:jc w:val="center"/>
              <w:rPr>
                <w:sz w:val="20"/>
                <w:szCs w:val="20"/>
              </w:rPr>
            </w:pPr>
            <w:r w:rsidRPr="00C3312E">
              <w:rPr>
                <w:sz w:val="20"/>
                <w:szCs w:val="20"/>
              </w:rPr>
              <w:t>1%</w:t>
            </w:r>
          </w:p>
        </w:tc>
      </w:tr>
      <w:tr w:rsidR="00C3312E" w:rsidRPr="00C3312E" w14:paraId="560E0C0B" w14:textId="77777777" w:rsidTr="00697F37">
        <w:tc>
          <w:tcPr>
            <w:tcW w:w="2159" w:type="dxa"/>
            <w:shd w:val="clear" w:color="auto" w:fill="BFBFBF" w:themeFill="background1" w:themeFillShade="BF"/>
          </w:tcPr>
          <w:p w14:paraId="0972A936" w14:textId="77777777" w:rsidR="00C3312E" w:rsidRPr="00C3312E" w:rsidRDefault="00C3312E" w:rsidP="00C3312E">
            <w:pPr>
              <w:spacing w:after="0" w:line="240" w:lineRule="auto"/>
              <w:rPr>
                <w:sz w:val="20"/>
                <w:szCs w:val="20"/>
              </w:rPr>
            </w:pPr>
            <w:r w:rsidRPr="00C3312E">
              <w:rPr>
                <w:sz w:val="20"/>
                <w:szCs w:val="20"/>
              </w:rPr>
              <w:t>Asian</w:t>
            </w:r>
          </w:p>
        </w:tc>
        <w:tc>
          <w:tcPr>
            <w:tcW w:w="1169" w:type="dxa"/>
            <w:shd w:val="clear" w:color="auto" w:fill="BFBFBF" w:themeFill="background1" w:themeFillShade="BF"/>
          </w:tcPr>
          <w:p w14:paraId="0ED23890" w14:textId="77777777" w:rsidR="00C3312E" w:rsidRPr="00C3312E" w:rsidRDefault="00C3312E" w:rsidP="00C3312E">
            <w:pPr>
              <w:spacing w:after="0" w:line="240" w:lineRule="auto"/>
              <w:jc w:val="center"/>
              <w:rPr>
                <w:sz w:val="20"/>
                <w:szCs w:val="20"/>
              </w:rPr>
            </w:pPr>
            <w:r w:rsidRPr="00C3312E">
              <w:rPr>
                <w:sz w:val="20"/>
                <w:szCs w:val="20"/>
              </w:rPr>
              <w:t>29</w:t>
            </w:r>
          </w:p>
        </w:tc>
        <w:tc>
          <w:tcPr>
            <w:tcW w:w="1170" w:type="dxa"/>
            <w:shd w:val="clear" w:color="auto" w:fill="BFBFBF" w:themeFill="background1" w:themeFillShade="BF"/>
          </w:tcPr>
          <w:p w14:paraId="31D0ABC7" w14:textId="77777777" w:rsidR="00C3312E" w:rsidRPr="00C3312E" w:rsidRDefault="00C3312E" w:rsidP="00C3312E">
            <w:pPr>
              <w:spacing w:after="0" w:line="240" w:lineRule="auto"/>
              <w:jc w:val="center"/>
              <w:rPr>
                <w:sz w:val="20"/>
                <w:szCs w:val="20"/>
              </w:rPr>
            </w:pPr>
            <w:r w:rsidRPr="00C3312E">
              <w:rPr>
                <w:sz w:val="20"/>
                <w:szCs w:val="20"/>
              </w:rPr>
              <w:t>97%</w:t>
            </w:r>
          </w:p>
        </w:tc>
        <w:tc>
          <w:tcPr>
            <w:tcW w:w="1170" w:type="dxa"/>
            <w:shd w:val="clear" w:color="auto" w:fill="BFBFBF" w:themeFill="background1" w:themeFillShade="BF"/>
          </w:tcPr>
          <w:p w14:paraId="2D5AC55D" w14:textId="77777777" w:rsidR="00C3312E" w:rsidRPr="00C3312E" w:rsidRDefault="00C3312E" w:rsidP="00C3312E">
            <w:pPr>
              <w:spacing w:after="0" w:line="240" w:lineRule="auto"/>
              <w:jc w:val="center"/>
              <w:rPr>
                <w:sz w:val="20"/>
                <w:szCs w:val="20"/>
              </w:rPr>
            </w:pPr>
            <w:r w:rsidRPr="00C3312E">
              <w:rPr>
                <w:sz w:val="20"/>
                <w:szCs w:val="20"/>
              </w:rPr>
              <w:t>97%</w:t>
            </w:r>
          </w:p>
        </w:tc>
        <w:tc>
          <w:tcPr>
            <w:tcW w:w="1082" w:type="dxa"/>
            <w:shd w:val="clear" w:color="auto" w:fill="BFBFBF" w:themeFill="background1" w:themeFillShade="BF"/>
          </w:tcPr>
          <w:p w14:paraId="0E5252FC" w14:textId="77777777" w:rsidR="00C3312E" w:rsidRPr="00C3312E" w:rsidRDefault="00C3312E" w:rsidP="00C3312E">
            <w:pPr>
              <w:spacing w:after="0" w:line="240" w:lineRule="auto"/>
              <w:jc w:val="center"/>
              <w:rPr>
                <w:sz w:val="20"/>
                <w:szCs w:val="20"/>
              </w:rPr>
            </w:pPr>
            <w:r w:rsidRPr="00C3312E">
              <w:rPr>
                <w:sz w:val="20"/>
                <w:szCs w:val="20"/>
              </w:rPr>
              <w:t>0%</w:t>
            </w:r>
          </w:p>
        </w:tc>
        <w:tc>
          <w:tcPr>
            <w:tcW w:w="1258" w:type="dxa"/>
            <w:shd w:val="clear" w:color="auto" w:fill="BFBFBF" w:themeFill="background1" w:themeFillShade="BF"/>
          </w:tcPr>
          <w:p w14:paraId="07464AFE" w14:textId="77777777" w:rsidR="00C3312E" w:rsidRPr="00C3312E" w:rsidRDefault="00C3312E" w:rsidP="00C3312E">
            <w:pPr>
              <w:spacing w:after="0" w:line="240" w:lineRule="auto"/>
              <w:jc w:val="center"/>
              <w:rPr>
                <w:sz w:val="20"/>
                <w:szCs w:val="20"/>
              </w:rPr>
            </w:pPr>
            <w:r w:rsidRPr="00C3312E">
              <w:rPr>
                <w:sz w:val="20"/>
                <w:szCs w:val="20"/>
              </w:rPr>
              <w:t>95%</w:t>
            </w:r>
          </w:p>
        </w:tc>
        <w:tc>
          <w:tcPr>
            <w:tcW w:w="1352" w:type="dxa"/>
            <w:shd w:val="clear" w:color="auto" w:fill="BFBFBF" w:themeFill="background1" w:themeFillShade="BF"/>
          </w:tcPr>
          <w:p w14:paraId="2EB7A3A7" w14:textId="77777777" w:rsidR="00C3312E" w:rsidRPr="00C3312E" w:rsidRDefault="00C3312E" w:rsidP="00C3312E">
            <w:pPr>
              <w:spacing w:after="0" w:line="240" w:lineRule="auto"/>
              <w:jc w:val="center"/>
              <w:rPr>
                <w:sz w:val="20"/>
                <w:szCs w:val="20"/>
              </w:rPr>
            </w:pPr>
            <w:r w:rsidRPr="00C3312E">
              <w:rPr>
                <w:sz w:val="20"/>
                <w:szCs w:val="20"/>
              </w:rPr>
              <w:t>2%</w:t>
            </w:r>
          </w:p>
        </w:tc>
      </w:tr>
      <w:tr w:rsidR="00C3312E" w:rsidRPr="00C3312E" w14:paraId="2E979144" w14:textId="77777777" w:rsidTr="00697F37">
        <w:tc>
          <w:tcPr>
            <w:tcW w:w="2159" w:type="dxa"/>
          </w:tcPr>
          <w:p w14:paraId="73F0DBAF" w14:textId="77777777" w:rsidR="00C3312E" w:rsidRPr="00C3312E" w:rsidRDefault="00C3312E" w:rsidP="00C3312E">
            <w:pPr>
              <w:spacing w:after="0" w:line="240" w:lineRule="auto"/>
              <w:rPr>
                <w:sz w:val="20"/>
                <w:szCs w:val="20"/>
              </w:rPr>
            </w:pPr>
            <w:r w:rsidRPr="00C3312E">
              <w:rPr>
                <w:sz w:val="20"/>
                <w:szCs w:val="20"/>
              </w:rPr>
              <w:t>Hispanic or Latino</w:t>
            </w:r>
          </w:p>
        </w:tc>
        <w:tc>
          <w:tcPr>
            <w:tcW w:w="1169" w:type="dxa"/>
          </w:tcPr>
          <w:p w14:paraId="7A28B2AB" w14:textId="77777777" w:rsidR="00C3312E" w:rsidRPr="00C3312E" w:rsidRDefault="00C3312E" w:rsidP="00C3312E">
            <w:pPr>
              <w:spacing w:after="0" w:line="240" w:lineRule="auto"/>
              <w:jc w:val="center"/>
              <w:rPr>
                <w:sz w:val="20"/>
                <w:szCs w:val="20"/>
              </w:rPr>
            </w:pPr>
            <w:r w:rsidRPr="00C3312E">
              <w:rPr>
                <w:sz w:val="20"/>
                <w:szCs w:val="20"/>
              </w:rPr>
              <w:t>113</w:t>
            </w:r>
          </w:p>
        </w:tc>
        <w:tc>
          <w:tcPr>
            <w:tcW w:w="1170" w:type="dxa"/>
          </w:tcPr>
          <w:p w14:paraId="065B521F" w14:textId="77777777" w:rsidR="00C3312E" w:rsidRPr="00C3312E" w:rsidRDefault="00C3312E" w:rsidP="00C3312E">
            <w:pPr>
              <w:spacing w:after="0" w:line="240" w:lineRule="auto"/>
              <w:jc w:val="center"/>
              <w:rPr>
                <w:sz w:val="20"/>
                <w:szCs w:val="20"/>
              </w:rPr>
            </w:pPr>
            <w:r w:rsidRPr="00C3312E">
              <w:rPr>
                <w:sz w:val="20"/>
                <w:szCs w:val="20"/>
              </w:rPr>
              <w:t>75%</w:t>
            </w:r>
          </w:p>
        </w:tc>
        <w:tc>
          <w:tcPr>
            <w:tcW w:w="1170" w:type="dxa"/>
          </w:tcPr>
          <w:p w14:paraId="786A1672" w14:textId="77777777" w:rsidR="00C3312E" w:rsidRPr="00C3312E" w:rsidRDefault="00C3312E" w:rsidP="00C3312E">
            <w:pPr>
              <w:spacing w:after="0" w:line="240" w:lineRule="auto"/>
              <w:jc w:val="center"/>
              <w:rPr>
                <w:sz w:val="20"/>
                <w:szCs w:val="20"/>
              </w:rPr>
            </w:pPr>
            <w:r w:rsidRPr="00C3312E">
              <w:rPr>
                <w:sz w:val="20"/>
                <w:szCs w:val="20"/>
              </w:rPr>
              <w:t>76%</w:t>
            </w:r>
          </w:p>
        </w:tc>
        <w:tc>
          <w:tcPr>
            <w:tcW w:w="1082" w:type="dxa"/>
          </w:tcPr>
          <w:p w14:paraId="18EC138B"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33B6865A" w14:textId="77777777" w:rsidR="00C3312E" w:rsidRPr="00C3312E" w:rsidRDefault="00C3312E" w:rsidP="00C3312E">
            <w:pPr>
              <w:spacing w:after="0" w:line="240" w:lineRule="auto"/>
              <w:jc w:val="center"/>
              <w:rPr>
                <w:sz w:val="20"/>
                <w:szCs w:val="20"/>
              </w:rPr>
            </w:pPr>
            <w:r w:rsidRPr="00C3312E">
              <w:rPr>
                <w:sz w:val="20"/>
                <w:szCs w:val="20"/>
              </w:rPr>
              <w:t>78%</w:t>
            </w:r>
          </w:p>
        </w:tc>
        <w:tc>
          <w:tcPr>
            <w:tcW w:w="1352" w:type="dxa"/>
          </w:tcPr>
          <w:p w14:paraId="7C4CEFC7" w14:textId="77777777" w:rsidR="00C3312E" w:rsidRPr="00C3312E" w:rsidRDefault="00C3312E" w:rsidP="00C3312E">
            <w:pPr>
              <w:spacing w:after="0" w:line="240" w:lineRule="auto"/>
              <w:jc w:val="center"/>
              <w:rPr>
                <w:sz w:val="20"/>
                <w:szCs w:val="20"/>
              </w:rPr>
            </w:pPr>
            <w:r w:rsidRPr="00C3312E">
              <w:rPr>
                <w:sz w:val="20"/>
                <w:szCs w:val="20"/>
              </w:rPr>
              <w:t>-2%</w:t>
            </w:r>
          </w:p>
        </w:tc>
      </w:tr>
      <w:tr w:rsidR="00C3312E" w:rsidRPr="00C3312E" w14:paraId="324950CE" w14:textId="77777777" w:rsidTr="00697F37">
        <w:tc>
          <w:tcPr>
            <w:tcW w:w="2159" w:type="dxa"/>
            <w:shd w:val="clear" w:color="auto" w:fill="BFBFBF" w:themeFill="background1" w:themeFillShade="BF"/>
          </w:tcPr>
          <w:p w14:paraId="07ACADCE" w14:textId="77777777" w:rsidR="00C3312E" w:rsidRPr="00C3312E" w:rsidRDefault="00C3312E" w:rsidP="00C3312E">
            <w:pPr>
              <w:spacing w:after="0" w:line="240" w:lineRule="auto"/>
              <w:rPr>
                <w:sz w:val="20"/>
                <w:szCs w:val="20"/>
              </w:rPr>
            </w:pPr>
            <w:r w:rsidRPr="00C3312E">
              <w:rPr>
                <w:sz w:val="20"/>
                <w:szCs w:val="20"/>
              </w:rPr>
              <w:t>Multi-Race</w:t>
            </w:r>
          </w:p>
        </w:tc>
        <w:tc>
          <w:tcPr>
            <w:tcW w:w="1169" w:type="dxa"/>
            <w:shd w:val="clear" w:color="auto" w:fill="BFBFBF" w:themeFill="background1" w:themeFillShade="BF"/>
          </w:tcPr>
          <w:p w14:paraId="069471FC" w14:textId="77777777" w:rsidR="00C3312E" w:rsidRPr="00C3312E" w:rsidRDefault="00C3312E" w:rsidP="00C3312E">
            <w:pPr>
              <w:spacing w:after="0" w:line="240" w:lineRule="auto"/>
              <w:jc w:val="center"/>
              <w:rPr>
                <w:sz w:val="20"/>
                <w:szCs w:val="20"/>
              </w:rPr>
            </w:pPr>
            <w:r w:rsidRPr="00C3312E">
              <w:rPr>
                <w:sz w:val="20"/>
                <w:szCs w:val="20"/>
              </w:rPr>
              <w:t>17</w:t>
            </w:r>
          </w:p>
        </w:tc>
        <w:tc>
          <w:tcPr>
            <w:tcW w:w="1170" w:type="dxa"/>
            <w:shd w:val="clear" w:color="auto" w:fill="BFBFBF" w:themeFill="background1" w:themeFillShade="BF"/>
          </w:tcPr>
          <w:p w14:paraId="07E5823A" w14:textId="77777777" w:rsidR="00C3312E" w:rsidRPr="00C3312E" w:rsidRDefault="00C3312E" w:rsidP="00C3312E">
            <w:pPr>
              <w:spacing w:after="0" w:line="240" w:lineRule="auto"/>
              <w:jc w:val="center"/>
              <w:rPr>
                <w:sz w:val="20"/>
                <w:szCs w:val="20"/>
              </w:rPr>
            </w:pPr>
            <w:r w:rsidRPr="00C3312E">
              <w:rPr>
                <w:sz w:val="20"/>
                <w:szCs w:val="20"/>
              </w:rPr>
              <w:t>100%</w:t>
            </w:r>
          </w:p>
        </w:tc>
        <w:tc>
          <w:tcPr>
            <w:tcW w:w="1170" w:type="dxa"/>
            <w:shd w:val="clear" w:color="auto" w:fill="BFBFBF" w:themeFill="background1" w:themeFillShade="BF"/>
          </w:tcPr>
          <w:p w14:paraId="0AC1AEF5" w14:textId="77777777" w:rsidR="00C3312E" w:rsidRPr="00C3312E" w:rsidRDefault="00C3312E" w:rsidP="00C3312E">
            <w:pPr>
              <w:spacing w:after="0" w:line="240" w:lineRule="auto"/>
              <w:jc w:val="center"/>
              <w:rPr>
                <w:sz w:val="20"/>
                <w:szCs w:val="20"/>
              </w:rPr>
            </w:pPr>
            <w:r w:rsidRPr="00C3312E">
              <w:rPr>
                <w:sz w:val="20"/>
                <w:szCs w:val="20"/>
              </w:rPr>
              <w:t>88%</w:t>
            </w:r>
          </w:p>
        </w:tc>
        <w:tc>
          <w:tcPr>
            <w:tcW w:w="1082" w:type="dxa"/>
            <w:shd w:val="clear" w:color="auto" w:fill="BFBFBF" w:themeFill="background1" w:themeFillShade="BF"/>
          </w:tcPr>
          <w:p w14:paraId="4361B635" w14:textId="77777777" w:rsidR="00C3312E" w:rsidRPr="00C3312E" w:rsidRDefault="00C3312E" w:rsidP="00C3312E">
            <w:pPr>
              <w:spacing w:after="0" w:line="240" w:lineRule="auto"/>
              <w:jc w:val="center"/>
              <w:rPr>
                <w:sz w:val="20"/>
                <w:szCs w:val="20"/>
              </w:rPr>
            </w:pPr>
            <w:r w:rsidRPr="00C3312E">
              <w:rPr>
                <w:sz w:val="20"/>
                <w:szCs w:val="20"/>
              </w:rPr>
              <w:t>-12%</w:t>
            </w:r>
          </w:p>
        </w:tc>
        <w:tc>
          <w:tcPr>
            <w:tcW w:w="1258" w:type="dxa"/>
            <w:shd w:val="clear" w:color="auto" w:fill="BFBFBF" w:themeFill="background1" w:themeFillShade="BF"/>
          </w:tcPr>
          <w:p w14:paraId="1697FADB" w14:textId="77777777" w:rsidR="00C3312E" w:rsidRPr="00C3312E" w:rsidRDefault="00C3312E" w:rsidP="00C3312E">
            <w:pPr>
              <w:spacing w:after="0" w:line="240" w:lineRule="auto"/>
              <w:jc w:val="center"/>
              <w:rPr>
                <w:sz w:val="20"/>
                <w:szCs w:val="20"/>
              </w:rPr>
            </w:pPr>
            <w:r w:rsidRPr="00C3312E">
              <w:rPr>
                <w:sz w:val="20"/>
                <w:szCs w:val="20"/>
              </w:rPr>
              <w:t>93%</w:t>
            </w:r>
          </w:p>
        </w:tc>
        <w:tc>
          <w:tcPr>
            <w:tcW w:w="1352" w:type="dxa"/>
            <w:shd w:val="clear" w:color="auto" w:fill="BFBFBF" w:themeFill="background1" w:themeFillShade="BF"/>
          </w:tcPr>
          <w:p w14:paraId="5F7F50BD"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1A465DE6" w14:textId="77777777" w:rsidTr="00697F37">
        <w:tc>
          <w:tcPr>
            <w:tcW w:w="2159" w:type="dxa"/>
          </w:tcPr>
          <w:p w14:paraId="41ADC920" w14:textId="77777777" w:rsidR="00C3312E" w:rsidRPr="00C3312E" w:rsidRDefault="00C3312E" w:rsidP="00C3312E">
            <w:pPr>
              <w:spacing w:after="0" w:line="240" w:lineRule="auto"/>
              <w:rPr>
                <w:sz w:val="20"/>
                <w:szCs w:val="20"/>
              </w:rPr>
            </w:pPr>
            <w:r w:rsidRPr="00C3312E">
              <w:rPr>
                <w:sz w:val="20"/>
                <w:szCs w:val="20"/>
              </w:rPr>
              <w:t>White</w:t>
            </w:r>
          </w:p>
        </w:tc>
        <w:tc>
          <w:tcPr>
            <w:tcW w:w="1169" w:type="dxa"/>
          </w:tcPr>
          <w:p w14:paraId="4309A5BE" w14:textId="77777777" w:rsidR="00C3312E" w:rsidRPr="00C3312E" w:rsidRDefault="00C3312E" w:rsidP="00C3312E">
            <w:pPr>
              <w:spacing w:after="0" w:line="240" w:lineRule="auto"/>
              <w:jc w:val="center"/>
              <w:rPr>
                <w:sz w:val="20"/>
                <w:szCs w:val="20"/>
              </w:rPr>
            </w:pPr>
            <w:r w:rsidRPr="00C3312E">
              <w:rPr>
                <w:sz w:val="20"/>
                <w:szCs w:val="20"/>
              </w:rPr>
              <w:t>324</w:t>
            </w:r>
          </w:p>
        </w:tc>
        <w:tc>
          <w:tcPr>
            <w:tcW w:w="1170" w:type="dxa"/>
          </w:tcPr>
          <w:p w14:paraId="6428510C" w14:textId="77777777" w:rsidR="00C3312E" w:rsidRPr="00C3312E" w:rsidRDefault="00C3312E" w:rsidP="00C3312E">
            <w:pPr>
              <w:spacing w:after="0" w:line="240" w:lineRule="auto"/>
              <w:jc w:val="center"/>
              <w:rPr>
                <w:sz w:val="20"/>
                <w:szCs w:val="20"/>
              </w:rPr>
            </w:pPr>
            <w:r w:rsidRPr="00C3312E">
              <w:rPr>
                <w:sz w:val="20"/>
                <w:szCs w:val="20"/>
              </w:rPr>
              <w:t>93%</w:t>
            </w:r>
          </w:p>
        </w:tc>
        <w:tc>
          <w:tcPr>
            <w:tcW w:w="1170" w:type="dxa"/>
          </w:tcPr>
          <w:p w14:paraId="79BA3031" w14:textId="77777777" w:rsidR="00C3312E" w:rsidRPr="00C3312E" w:rsidRDefault="00C3312E" w:rsidP="00C3312E">
            <w:pPr>
              <w:spacing w:after="0" w:line="240" w:lineRule="auto"/>
              <w:jc w:val="center"/>
              <w:rPr>
                <w:sz w:val="20"/>
                <w:szCs w:val="20"/>
              </w:rPr>
            </w:pPr>
            <w:r w:rsidRPr="00C3312E">
              <w:rPr>
                <w:sz w:val="20"/>
                <w:szCs w:val="20"/>
              </w:rPr>
              <w:t>90%</w:t>
            </w:r>
          </w:p>
        </w:tc>
        <w:tc>
          <w:tcPr>
            <w:tcW w:w="1082" w:type="dxa"/>
          </w:tcPr>
          <w:p w14:paraId="76D7CB26"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tcPr>
          <w:p w14:paraId="4F995AAE" w14:textId="77777777" w:rsidR="00C3312E" w:rsidRPr="00C3312E" w:rsidRDefault="00C3312E" w:rsidP="00C3312E">
            <w:pPr>
              <w:spacing w:after="0" w:line="240" w:lineRule="auto"/>
              <w:jc w:val="center"/>
              <w:rPr>
                <w:sz w:val="20"/>
                <w:szCs w:val="20"/>
              </w:rPr>
            </w:pPr>
            <w:r w:rsidRPr="00C3312E">
              <w:rPr>
                <w:sz w:val="20"/>
                <w:szCs w:val="20"/>
              </w:rPr>
              <w:t>94%</w:t>
            </w:r>
          </w:p>
        </w:tc>
        <w:tc>
          <w:tcPr>
            <w:tcW w:w="1352" w:type="dxa"/>
          </w:tcPr>
          <w:p w14:paraId="49389203" w14:textId="77777777" w:rsidR="00C3312E" w:rsidRPr="00C3312E" w:rsidRDefault="00C3312E" w:rsidP="00C3312E">
            <w:pPr>
              <w:spacing w:after="0" w:line="240" w:lineRule="auto"/>
              <w:jc w:val="center"/>
              <w:rPr>
                <w:sz w:val="20"/>
                <w:szCs w:val="20"/>
              </w:rPr>
            </w:pPr>
            <w:r w:rsidRPr="00C3312E">
              <w:rPr>
                <w:sz w:val="20"/>
                <w:szCs w:val="20"/>
              </w:rPr>
              <w:t>-4%</w:t>
            </w:r>
          </w:p>
        </w:tc>
      </w:tr>
      <w:tr w:rsidR="00C3312E" w:rsidRPr="00C3312E" w14:paraId="38BE92AC" w14:textId="77777777" w:rsidTr="00697F37">
        <w:tc>
          <w:tcPr>
            <w:tcW w:w="2159" w:type="dxa"/>
            <w:shd w:val="clear" w:color="auto" w:fill="BFBFBF" w:themeFill="background1" w:themeFillShade="BF"/>
          </w:tcPr>
          <w:p w14:paraId="188D0E1C"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69" w:type="dxa"/>
            <w:shd w:val="clear" w:color="auto" w:fill="BFBFBF" w:themeFill="background1" w:themeFillShade="BF"/>
          </w:tcPr>
          <w:p w14:paraId="7662FB92" w14:textId="77777777" w:rsidR="00C3312E" w:rsidRPr="00C3312E" w:rsidRDefault="00C3312E" w:rsidP="00C3312E">
            <w:pPr>
              <w:spacing w:after="0" w:line="240" w:lineRule="auto"/>
              <w:jc w:val="center"/>
              <w:rPr>
                <w:sz w:val="20"/>
                <w:szCs w:val="20"/>
              </w:rPr>
            </w:pPr>
            <w:r w:rsidRPr="00C3312E">
              <w:rPr>
                <w:sz w:val="20"/>
                <w:szCs w:val="20"/>
              </w:rPr>
              <w:t>231</w:t>
            </w:r>
          </w:p>
        </w:tc>
        <w:tc>
          <w:tcPr>
            <w:tcW w:w="1170" w:type="dxa"/>
            <w:shd w:val="clear" w:color="auto" w:fill="BFBFBF" w:themeFill="background1" w:themeFillShade="BF"/>
          </w:tcPr>
          <w:p w14:paraId="4E5A011B" w14:textId="77777777" w:rsidR="00C3312E" w:rsidRPr="00C3312E" w:rsidRDefault="00C3312E" w:rsidP="00C3312E">
            <w:pPr>
              <w:spacing w:after="0" w:line="240" w:lineRule="auto"/>
              <w:jc w:val="center"/>
              <w:rPr>
                <w:sz w:val="20"/>
                <w:szCs w:val="20"/>
              </w:rPr>
            </w:pPr>
            <w:r w:rsidRPr="00C3312E">
              <w:rPr>
                <w:sz w:val="20"/>
                <w:szCs w:val="20"/>
              </w:rPr>
              <w:t>78%</w:t>
            </w:r>
          </w:p>
        </w:tc>
        <w:tc>
          <w:tcPr>
            <w:tcW w:w="1170" w:type="dxa"/>
            <w:shd w:val="clear" w:color="auto" w:fill="BFBFBF" w:themeFill="background1" w:themeFillShade="BF"/>
          </w:tcPr>
          <w:p w14:paraId="6DE94664" w14:textId="77777777" w:rsidR="00C3312E" w:rsidRPr="00C3312E" w:rsidRDefault="00C3312E" w:rsidP="00C3312E">
            <w:pPr>
              <w:spacing w:after="0" w:line="240" w:lineRule="auto"/>
              <w:jc w:val="center"/>
              <w:rPr>
                <w:sz w:val="20"/>
                <w:szCs w:val="20"/>
              </w:rPr>
            </w:pPr>
            <w:r w:rsidRPr="00C3312E">
              <w:rPr>
                <w:sz w:val="20"/>
                <w:szCs w:val="20"/>
              </w:rPr>
              <w:t>73%</w:t>
            </w:r>
          </w:p>
        </w:tc>
        <w:tc>
          <w:tcPr>
            <w:tcW w:w="1082" w:type="dxa"/>
            <w:shd w:val="clear" w:color="auto" w:fill="BFBFBF" w:themeFill="background1" w:themeFillShade="BF"/>
          </w:tcPr>
          <w:p w14:paraId="293E6583" w14:textId="77777777" w:rsidR="00C3312E" w:rsidRPr="00C3312E" w:rsidRDefault="00C3312E" w:rsidP="00C3312E">
            <w:pPr>
              <w:spacing w:after="0" w:line="240" w:lineRule="auto"/>
              <w:jc w:val="center"/>
              <w:rPr>
                <w:sz w:val="20"/>
                <w:szCs w:val="20"/>
              </w:rPr>
            </w:pPr>
            <w:r w:rsidRPr="00C3312E">
              <w:rPr>
                <w:sz w:val="20"/>
                <w:szCs w:val="20"/>
              </w:rPr>
              <w:t>-5%</w:t>
            </w:r>
          </w:p>
        </w:tc>
        <w:tc>
          <w:tcPr>
            <w:tcW w:w="1258" w:type="dxa"/>
            <w:shd w:val="clear" w:color="auto" w:fill="BFBFBF" w:themeFill="background1" w:themeFillShade="BF"/>
          </w:tcPr>
          <w:p w14:paraId="59C91DBE" w14:textId="77777777" w:rsidR="00C3312E" w:rsidRPr="00C3312E" w:rsidRDefault="00C3312E" w:rsidP="00C3312E">
            <w:pPr>
              <w:spacing w:after="0" w:line="240" w:lineRule="auto"/>
              <w:jc w:val="center"/>
              <w:rPr>
                <w:sz w:val="20"/>
                <w:szCs w:val="20"/>
              </w:rPr>
            </w:pPr>
            <w:r w:rsidRPr="00C3312E">
              <w:rPr>
                <w:sz w:val="20"/>
                <w:szCs w:val="20"/>
              </w:rPr>
              <w:t>79%</w:t>
            </w:r>
          </w:p>
        </w:tc>
        <w:tc>
          <w:tcPr>
            <w:tcW w:w="1352" w:type="dxa"/>
            <w:shd w:val="clear" w:color="auto" w:fill="BFBFBF" w:themeFill="background1" w:themeFillShade="BF"/>
          </w:tcPr>
          <w:p w14:paraId="1386E2FC" w14:textId="77777777" w:rsidR="00C3312E" w:rsidRPr="00C3312E" w:rsidRDefault="00C3312E" w:rsidP="00C3312E">
            <w:pPr>
              <w:spacing w:after="0" w:line="240" w:lineRule="auto"/>
              <w:jc w:val="center"/>
              <w:rPr>
                <w:sz w:val="20"/>
                <w:szCs w:val="20"/>
              </w:rPr>
            </w:pPr>
            <w:r w:rsidRPr="00C3312E">
              <w:rPr>
                <w:sz w:val="20"/>
                <w:szCs w:val="20"/>
              </w:rPr>
              <w:t>-6%</w:t>
            </w:r>
          </w:p>
        </w:tc>
      </w:tr>
      <w:tr w:rsidR="00C3312E" w:rsidRPr="00C3312E" w14:paraId="18350F1C" w14:textId="77777777" w:rsidTr="00697F37">
        <w:tc>
          <w:tcPr>
            <w:tcW w:w="2159" w:type="dxa"/>
          </w:tcPr>
          <w:p w14:paraId="020DA203"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69" w:type="dxa"/>
          </w:tcPr>
          <w:p w14:paraId="600CF22D" w14:textId="77777777" w:rsidR="00C3312E" w:rsidRPr="00C3312E" w:rsidRDefault="00C3312E" w:rsidP="00C3312E">
            <w:pPr>
              <w:spacing w:after="0" w:line="240" w:lineRule="auto"/>
              <w:jc w:val="center"/>
              <w:rPr>
                <w:sz w:val="20"/>
                <w:szCs w:val="20"/>
              </w:rPr>
            </w:pPr>
            <w:r w:rsidRPr="00C3312E">
              <w:rPr>
                <w:sz w:val="20"/>
                <w:szCs w:val="20"/>
              </w:rPr>
              <w:t>148</w:t>
            </w:r>
          </w:p>
        </w:tc>
        <w:tc>
          <w:tcPr>
            <w:tcW w:w="1170" w:type="dxa"/>
          </w:tcPr>
          <w:p w14:paraId="6BB3A52E" w14:textId="77777777" w:rsidR="00C3312E" w:rsidRPr="00C3312E" w:rsidRDefault="00C3312E" w:rsidP="00C3312E">
            <w:pPr>
              <w:spacing w:after="0" w:line="240" w:lineRule="auto"/>
              <w:jc w:val="center"/>
              <w:rPr>
                <w:sz w:val="20"/>
                <w:szCs w:val="20"/>
              </w:rPr>
            </w:pPr>
            <w:r w:rsidRPr="00C3312E">
              <w:rPr>
                <w:sz w:val="20"/>
                <w:szCs w:val="20"/>
              </w:rPr>
              <w:t>80%</w:t>
            </w:r>
          </w:p>
        </w:tc>
        <w:tc>
          <w:tcPr>
            <w:tcW w:w="1170" w:type="dxa"/>
          </w:tcPr>
          <w:p w14:paraId="65D4B7B7" w14:textId="77777777" w:rsidR="00C3312E" w:rsidRPr="00C3312E" w:rsidRDefault="00C3312E" w:rsidP="00C3312E">
            <w:pPr>
              <w:spacing w:after="0" w:line="240" w:lineRule="auto"/>
              <w:jc w:val="center"/>
              <w:rPr>
                <w:sz w:val="20"/>
                <w:szCs w:val="20"/>
              </w:rPr>
            </w:pPr>
            <w:r w:rsidRPr="00C3312E">
              <w:rPr>
                <w:sz w:val="20"/>
                <w:szCs w:val="20"/>
              </w:rPr>
              <w:t>73%</w:t>
            </w:r>
          </w:p>
        </w:tc>
        <w:tc>
          <w:tcPr>
            <w:tcW w:w="1082" w:type="dxa"/>
          </w:tcPr>
          <w:p w14:paraId="2C98D7CD" w14:textId="77777777" w:rsidR="00C3312E" w:rsidRPr="00C3312E" w:rsidRDefault="00C3312E" w:rsidP="00C3312E">
            <w:pPr>
              <w:spacing w:after="0" w:line="240" w:lineRule="auto"/>
              <w:jc w:val="center"/>
              <w:rPr>
                <w:sz w:val="20"/>
                <w:szCs w:val="20"/>
              </w:rPr>
            </w:pPr>
            <w:r w:rsidRPr="00C3312E">
              <w:rPr>
                <w:sz w:val="20"/>
                <w:szCs w:val="20"/>
              </w:rPr>
              <w:t>-7%</w:t>
            </w:r>
          </w:p>
        </w:tc>
        <w:tc>
          <w:tcPr>
            <w:tcW w:w="1258" w:type="dxa"/>
          </w:tcPr>
          <w:p w14:paraId="7E9B91A9" w14:textId="77777777" w:rsidR="00C3312E" w:rsidRPr="00C3312E" w:rsidRDefault="00C3312E" w:rsidP="00C3312E">
            <w:pPr>
              <w:spacing w:after="0" w:line="240" w:lineRule="auto"/>
              <w:jc w:val="center"/>
              <w:rPr>
                <w:sz w:val="20"/>
                <w:szCs w:val="20"/>
              </w:rPr>
            </w:pPr>
            <w:r w:rsidRPr="00C3312E">
              <w:rPr>
                <w:sz w:val="20"/>
                <w:szCs w:val="20"/>
              </w:rPr>
              <w:t>81%</w:t>
            </w:r>
          </w:p>
        </w:tc>
        <w:tc>
          <w:tcPr>
            <w:tcW w:w="1352" w:type="dxa"/>
          </w:tcPr>
          <w:p w14:paraId="312FF775" w14:textId="77777777" w:rsidR="00C3312E" w:rsidRPr="00C3312E" w:rsidRDefault="00C3312E" w:rsidP="00C3312E">
            <w:pPr>
              <w:spacing w:after="0" w:line="240" w:lineRule="auto"/>
              <w:jc w:val="center"/>
              <w:rPr>
                <w:sz w:val="20"/>
                <w:szCs w:val="20"/>
              </w:rPr>
            </w:pPr>
            <w:r w:rsidRPr="00C3312E">
              <w:rPr>
                <w:sz w:val="20"/>
                <w:szCs w:val="20"/>
              </w:rPr>
              <w:t>-8%</w:t>
            </w:r>
          </w:p>
        </w:tc>
      </w:tr>
      <w:tr w:rsidR="00C3312E" w:rsidRPr="00C3312E" w14:paraId="3ED9EB2E" w14:textId="77777777" w:rsidTr="00697F37">
        <w:tc>
          <w:tcPr>
            <w:tcW w:w="2159" w:type="dxa"/>
            <w:shd w:val="clear" w:color="auto" w:fill="BFBFBF" w:themeFill="background1" w:themeFillShade="BF"/>
          </w:tcPr>
          <w:p w14:paraId="46916336"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69" w:type="dxa"/>
            <w:shd w:val="clear" w:color="auto" w:fill="BFBFBF" w:themeFill="background1" w:themeFillShade="BF"/>
          </w:tcPr>
          <w:p w14:paraId="5297F7BE" w14:textId="77777777" w:rsidR="00C3312E" w:rsidRPr="00C3312E" w:rsidRDefault="00C3312E" w:rsidP="00C3312E">
            <w:pPr>
              <w:spacing w:after="0" w:line="240" w:lineRule="auto"/>
              <w:jc w:val="center"/>
              <w:rPr>
                <w:sz w:val="20"/>
                <w:szCs w:val="20"/>
              </w:rPr>
            </w:pPr>
            <w:r w:rsidRPr="00C3312E">
              <w:rPr>
                <w:sz w:val="20"/>
                <w:szCs w:val="20"/>
              </w:rPr>
              <w:t>100</w:t>
            </w:r>
          </w:p>
        </w:tc>
        <w:tc>
          <w:tcPr>
            <w:tcW w:w="1170" w:type="dxa"/>
            <w:shd w:val="clear" w:color="auto" w:fill="BFBFBF" w:themeFill="background1" w:themeFillShade="BF"/>
          </w:tcPr>
          <w:p w14:paraId="2B0807CB" w14:textId="77777777" w:rsidR="00C3312E" w:rsidRPr="00C3312E" w:rsidRDefault="00C3312E" w:rsidP="00C3312E">
            <w:pPr>
              <w:spacing w:after="0" w:line="240" w:lineRule="auto"/>
              <w:jc w:val="center"/>
              <w:rPr>
                <w:sz w:val="20"/>
                <w:szCs w:val="20"/>
              </w:rPr>
            </w:pPr>
            <w:r w:rsidRPr="00C3312E">
              <w:rPr>
                <w:sz w:val="20"/>
                <w:szCs w:val="20"/>
              </w:rPr>
              <w:t>74%</w:t>
            </w:r>
          </w:p>
        </w:tc>
        <w:tc>
          <w:tcPr>
            <w:tcW w:w="1170" w:type="dxa"/>
            <w:shd w:val="clear" w:color="auto" w:fill="BFBFBF" w:themeFill="background1" w:themeFillShade="BF"/>
          </w:tcPr>
          <w:p w14:paraId="6E1FD36E" w14:textId="77777777" w:rsidR="00C3312E" w:rsidRPr="00C3312E" w:rsidRDefault="00C3312E" w:rsidP="00C3312E">
            <w:pPr>
              <w:spacing w:after="0" w:line="240" w:lineRule="auto"/>
              <w:jc w:val="center"/>
              <w:rPr>
                <w:sz w:val="20"/>
                <w:szCs w:val="20"/>
              </w:rPr>
            </w:pPr>
            <w:r w:rsidRPr="00C3312E">
              <w:rPr>
                <w:sz w:val="20"/>
                <w:szCs w:val="20"/>
              </w:rPr>
              <w:t>71%</w:t>
            </w:r>
          </w:p>
        </w:tc>
        <w:tc>
          <w:tcPr>
            <w:tcW w:w="1082" w:type="dxa"/>
            <w:shd w:val="clear" w:color="auto" w:fill="BFBFBF" w:themeFill="background1" w:themeFillShade="BF"/>
          </w:tcPr>
          <w:p w14:paraId="55FF1740"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shd w:val="clear" w:color="auto" w:fill="BFBFBF" w:themeFill="background1" w:themeFillShade="BF"/>
          </w:tcPr>
          <w:p w14:paraId="362BC87E" w14:textId="77777777" w:rsidR="00C3312E" w:rsidRPr="00C3312E" w:rsidRDefault="00C3312E" w:rsidP="00C3312E">
            <w:pPr>
              <w:spacing w:after="0" w:line="240" w:lineRule="auto"/>
              <w:jc w:val="center"/>
              <w:rPr>
                <w:sz w:val="20"/>
                <w:szCs w:val="20"/>
              </w:rPr>
            </w:pPr>
            <w:r w:rsidRPr="00C3312E">
              <w:rPr>
                <w:sz w:val="20"/>
                <w:szCs w:val="20"/>
              </w:rPr>
              <w:t>69%</w:t>
            </w:r>
          </w:p>
        </w:tc>
        <w:tc>
          <w:tcPr>
            <w:tcW w:w="1352" w:type="dxa"/>
            <w:shd w:val="clear" w:color="auto" w:fill="BFBFBF" w:themeFill="background1" w:themeFillShade="BF"/>
          </w:tcPr>
          <w:p w14:paraId="48B7663C" w14:textId="77777777" w:rsidR="00C3312E" w:rsidRPr="00C3312E" w:rsidRDefault="00C3312E" w:rsidP="00C3312E">
            <w:pPr>
              <w:spacing w:after="0" w:line="240" w:lineRule="auto"/>
              <w:jc w:val="center"/>
              <w:rPr>
                <w:sz w:val="20"/>
                <w:szCs w:val="20"/>
              </w:rPr>
            </w:pPr>
            <w:r w:rsidRPr="00C3312E">
              <w:rPr>
                <w:sz w:val="20"/>
                <w:szCs w:val="20"/>
              </w:rPr>
              <w:t>2%</w:t>
            </w:r>
          </w:p>
        </w:tc>
      </w:tr>
      <w:tr w:rsidR="00C3312E" w:rsidRPr="00C3312E" w14:paraId="799FB3A8" w14:textId="77777777" w:rsidTr="00697F37">
        <w:tc>
          <w:tcPr>
            <w:tcW w:w="2159" w:type="dxa"/>
          </w:tcPr>
          <w:p w14:paraId="49202651"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ELs</w:t>
            </w:r>
          </w:p>
        </w:tc>
        <w:tc>
          <w:tcPr>
            <w:tcW w:w="1169" w:type="dxa"/>
          </w:tcPr>
          <w:p w14:paraId="716ACCC3" w14:textId="77777777" w:rsidR="00C3312E" w:rsidRPr="00C3312E" w:rsidRDefault="00C3312E" w:rsidP="00C3312E">
            <w:pPr>
              <w:spacing w:after="0" w:line="240" w:lineRule="auto"/>
              <w:jc w:val="center"/>
              <w:rPr>
                <w:sz w:val="20"/>
                <w:szCs w:val="20"/>
              </w:rPr>
            </w:pPr>
            <w:r w:rsidRPr="00C3312E">
              <w:rPr>
                <w:sz w:val="20"/>
                <w:szCs w:val="20"/>
              </w:rPr>
              <w:t>77</w:t>
            </w:r>
          </w:p>
        </w:tc>
        <w:tc>
          <w:tcPr>
            <w:tcW w:w="1170" w:type="dxa"/>
          </w:tcPr>
          <w:p w14:paraId="293E3ECA" w14:textId="77777777" w:rsidR="00C3312E" w:rsidRPr="00C3312E" w:rsidRDefault="00C3312E" w:rsidP="00C3312E">
            <w:pPr>
              <w:spacing w:after="0" w:line="240" w:lineRule="auto"/>
              <w:jc w:val="center"/>
              <w:rPr>
                <w:sz w:val="20"/>
                <w:szCs w:val="20"/>
              </w:rPr>
            </w:pPr>
            <w:r w:rsidRPr="00C3312E">
              <w:rPr>
                <w:sz w:val="20"/>
                <w:szCs w:val="20"/>
              </w:rPr>
              <w:t>48%</w:t>
            </w:r>
          </w:p>
        </w:tc>
        <w:tc>
          <w:tcPr>
            <w:tcW w:w="1170" w:type="dxa"/>
          </w:tcPr>
          <w:p w14:paraId="53FB9F3A" w14:textId="77777777" w:rsidR="00C3312E" w:rsidRPr="00C3312E" w:rsidRDefault="00C3312E" w:rsidP="00C3312E">
            <w:pPr>
              <w:spacing w:after="0" w:line="240" w:lineRule="auto"/>
              <w:jc w:val="center"/>
              <w:rPr>
                <w:sz w:val="20"/>
                <w:szCs w:val="20"/>
              </w:rPr>
            </w:pPr>
            <w:r w:rsidRPr="00C3312E">
              <w:rPr>
                <w:sz w:val="20"/>
                <w:szCs w:val="20"/>
              </w:rPr>
              <w:t>49%</w:t>
            </w:r>
          </w:p>
        </w:tc>
        <w:tc>
          <w:tcPr>
            <w:tcW w:w="1082" w:type="dxa"/>
          </w:tcPr>
          <w:p w14:paraId="771857B9" w14:textId="77777777" w:rsidR="00C3312E" w:rsidRPr="00C3312E" w:rsidRDefault="00C3312E" w:rsidP="00C3312E">
            <w:pPr>
              <w:spacing w:after="0" w:line="240" w:lineRule="auto"/>
              <w:jc w:val="center"/>
              <w:rPr>
                <w:sz w:val="20"/>
                <w:szCs w:val="20"/>
              </w:rPr>
            </w:pPr>
            <w:r w:rsidRPr="00C3312E">
              <w:rPr>
                <w:sz w:val="20"/>
                <w:szCs w:val="20"/>
              </w:rPr>
              <w:t>1%</w:t>
            </w:r>
          </w:p>
        </w:tc>
        <w:tc>
          <w:tcPr>
            <w:tcW w:w="1258" w:type="dxa"/>
          </w:tcPr>
          <w:p w14:paraId="7BEA445F" w14:textId="77777777" w:rsidR="00C3312E" w:rsidRPr="00C3312E" w:rsidRDefault="00C3312E" w:rsidP="00C3312E">
            <w:pPr>
              <w:spacing w:after="0" w:line="240" w:lineRule="auto"/>
              <w:jc w:val="center"/>
              <w:rPr>
                <w:sz w:val="20"/>
                <w:szCs w:val="20"/>
              </w:rPr>
            </w:pPr>
            <w:r w:rsidRPr="00C3312E">
              <w:rPr>
                <w:sz w:val="20"/>
                <w:szCs w:val="20"/>
              </w:rPr>
              <w:t>64%</w:t>
            </w:r>
          </w:p>
        </w:tc>
        <w:tc>
          <w:tcPr>
            <w:tcW w:w="1352" w:type="dxa"/>
          </w:tcPr>
          <w:p w14:paraId="654DED91" w14:textId="77777777" w:rsidR="00C3312E" w:rsidRPr="00C3312E" w:rsidRDefault="00C3312E" w:rsidP="00C3312E">
            <w:pPr>
              <w:spacing w:after="0" w:line="240" w:lineRule="auto"/>
              <w:jc w:val="center"/>
              <w:rPr>
                <w:sz w:val="20"/>
                <w:szCs w:val="20"/>
              </w:rPr>
            </w:pPr>
            <w:r w:rsidRPr="00C3312E">
              <w:rPr>
                <w:sz w:val="20"/>
                <w:szCs w:val="20"/>
              </w:rPr>
              <w:t>-15%</w:t>
            </w:r>
          </w:p>
        </w:tc>
      </w:tr>
      <w:tr w:rsidR="00C3312E" w:rsidRPr="00C3312E" w14:paraId="0AEA22C6" w14:textId="77777777" w:rsidTr="00697F37">
        <w:tc>
          <w:tcPr>
            <w:tcW w:w="2159" w:type="dxa"/>
            <w:shd w:val="clear" w:color="auto" w:fill="BFBFBF" w:themeFill="background1" w:themeFillShade="BF"/>
          </w:tcPr>
          <w:p w14:paraId="7EBC2804"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69" w:type="dxa"/>
            <w:shd w:val="clear" w:color="auto" w:fill="BFBFBF" w:themeFill="background1" w:themeFillShade="BF"/>
          </w:tcPr>
          <w:p w14:paraId="1358288D" w14:textId="77777777" w:rsidR="00C3312E" w:rsidRPr="00C3312E" w:rsidRDefault="00C3312E" w:rsidP="00C3312E">
            <w:pPr>
              <w:spacing w:after="0" w:line="240" w:lineRule="auto"/>
              <w:jc w:val="center"/>
              <w:rPr>
                <w:sz w:val="20"/>
                <w:szCs w:val="20"/>
              </w:rPr>
            </w:pPr>
            <w:r w:rsidRPr="00C3312E">
              <w:rPr>
                <w:sz w:val="20"/>
                <w:szCs w:val="20"/>
              </w:rPr>
              <w:t>506</w:t>
            </w:r>
          </w:p>
        </w:tc>
        <w:tc>
          <w:tcPr>
            <w:tcW w:w="1170" w:type="dxa"/>
            <w:shd w:val="clear" w:color="auto" w:fill="BFBFBF" w:themeFill="background1" w:themeFillShade="BF"/>
          </w:tcPr>
          <w:p w14:paraId="38186FE1" w14:textId="77777777" w:rsidR="00C3312E" w:rsidRPr="00C3312E" w:rsidRDefault="00C3312E" w:rsidP="00C3312E">
            <w:pPr>
              <w:spacing w:after="0" w:line="240" w:lineRule="auto"/>
              <w:jc w:val="center"/>
              <w:rPr>
                <w:sz w:val="20"/>
                <w:szCs w:val="20"/>
              </w:rPr>
            </w:pPr>
            <w:r w:rsidRPr="00C3312E">
              <w:rPr>
                <w:sz w:val="20"/>
                <w:szCs w:val="20"/>
              </w:rPr>
              <w:t>90%</w:t>
            </w:r>
          </w:p>
        </w:tc>
        <w:tc>
          <w:tcPr>
            <w:tcW w:w="1170" w:type="dxa"/>
            <w:shd w:val="clear" w:color="auto" w:fill="BFBFBF" w:themeFill="background1" w:themeFillShade="BF"/>
          </w:tcPr>
          <w:p w14:paraId="1C88EF98" w14:textId="77777777" w:rsidR="00C3312E" w:rsidRPr="00C3312E" w:rsidRDefault="00C3312E" w:rsidP="00C3312E">
            <w:pPr>
              <w:spacing w:after="0" w:line="240" w:lineRule="auto"/>
              <w:jc w:val="center"/>
              <w:rPr>
                <w:sz w:val="20"/>
                <w:szCs w:val="20"/>
              </w:rPr>
            </w:pPr>
            <w:r w:rsidRPr="00C3312E">
              <w:rPr>
                <w:sz w:val="20"/>
                <w:szCs w:val="20"/>
              </w:rPr>
              <w:t>87%</w:t>
            </w:r>
          </w:p>
        </w:tc>
        <w:tc>
          <w:tcPr>
            <w:tcW w:w="1082" w:type="dxa"/>
            <w:shd w:val="clear" w:color="auto" w:fill="BFBFBF" w:themeFill="background1" w:themeFillShade="BF"/>
          </w:tcPr>
          <w:p w14:paraId="4C5C606D"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shd w:val="clear" w:color="auto" w:fill="BFBFBF" w:themeFill="background1" w:themeFillShade="BF"/>
          </w:tcPr>
          <w:p w14:paraId="0EEC1702" w14:textId="77777777" w:rsidR="00C3312E" w:rsidRPr="00C3312E" w:rsidRDefault="00C3312E" w:rsidP="00C3312E">
            <w:pPr>
              <w:spacing w:after="0" w:line="240" w:lineRule="auto"/>
              <w:jc w:val="center"/>
              <w:rPr>
                <w:sz w:val="20"/>
                <w:szCs w:val="20"/>
              </w:rPr>
            </w:pPr>
            <w:r w:rsidRPr="00C3312E">
              <w:rPr>
                <w:sz w:val="20"/>
                <w:szCs w:val="20"/>
              </w:rPr>
              <w:t>91%</w:t>
            </w:r>
          </w:p>
        </w:tc>
        <w:tc>
          <w:tcPr>
            <w:tcW w:w="1352" w:type="dxa"/>
            <w:shd w:val="clear" w:color="auto" w:fill="BFBFBF" w:themeFill="background1" w:themeFillShade="BF"/>
          </w:tcPr>
          <w:p w14:paraId="123B604D" w14:textId="77777777" w:rsidR="00C3312E" w:rsidRPr="00C3312E" w:rsidRDefault="00C3312E" w:rsidP="00C3312E">
            <w:pPr>
              <w:spacing w:after="0" w:line="240" w:lineRule="auto"/>
              <w:jc w:val="center"/>
              <w:rPr>
                <w:sz w:val="20"/>
                <w:szCs w:val="20"/>
              </w:rPr>
            </w:pPr>
            <w:r w:rsidRPr="00C3312E">
              <w:rPr>
                <w:sz w:val="20"/>
                <w:szCs w:val="20"/>
              </w:rPr>
              <w:t>-4%</w:t>
            </w:r>
          </w:p>
        </w:tc>
      </w:tr>
    </w:tbl>
    <w:p w14:paraId="5344AD44" w14:textId="0A219A67" w:rsidR="00C3312E" w:rsidRDefault="00C3312E" w:rsidP="00C3312E">
      <w:pPr>
        <w:spacing w:after="0"/>
        <w:rPr>
          <w:rFonts w:cs="Times New Roman"/>
        </w:rPr>
      </w:pPr>
    </w:p>
    <w:p w14:paraId="462D08C1" w14:textId="77777777" w:rsidR="0089512A" w:rsidRPr="00C3312E" w:rsidRDefault="0089512A" w:rsidP="00C3312E">
      <w:pPr>
        <w:spacing w:after="0"/>
        <w:rPr>
          <w:rFonts w:cs="Times New Roman"/>
        </w:rPr>
      </w:pPr>
    </w:p>
    <w:tbl>
      <w:tblPr>
        <w:tblStyle w:val="TableGrid5"/>
        <w:tblW w:w="0" w:type="auto"/>
        <w:tblLook w:val="00A0" w:firstRow="1" w:lastRow="0" w:firstColumn="1" w:lastColumn="0" w:noHBand="0" w:noVBand="0"/>
        <w:tblCaption w:val="Table 8: Framingham Public Schools"/>
        <w:tblDescription w:val="MCAS Math Percent Scoring Proficient or Advanced in Grade 10, 2017–2018&#10;"/>
      </w:tblPr>
      <w:tblGrid>
        <w:gridCol w:w="2159"/>
        <w:gridCol w:w="1169"/>
        <w:gridCol w:w="1170"/>
        <w:gridCol w:w="1170"/>
        <w:gridCol w:w="1082"/>
        <w:gridCol w:w="1258"/>
        <w:gridCol w:w="1352"/>
      </w:tblGrid>
      <w:tr w:rsidR="00C3312E" w:rsidRPr="00C3312E" w14:paraId="41CB59C9" w14:textId="77777777" w:rsidTr="00697F37">
        <w:tc>
          <w:tcPr>
            <w:tcW w:w="9360" w:type="dxa"/>
            <w:gridSpan w:val="7"/>
            <w:tcBorders>
              <w:top w:val="nil"/>
              <w:left w:val="nil"/>
              <w:right w:val="nil"/>
            </w:tcBorders>
          </w:tcPr>
          <w:p w14:paraId="0CB7F168"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 xml:space="preserve">Table 8: </w:t>
            </w:r>
            <w:r w:rsidRPr="00C3312E">
              <w:rPr>
                <w:rFonts w:cs="Times New Roman"/>
                <w:b/>
                <w:sz w:val="20"/>
                <w:szCs w:val="20"/>
              </w:rPr>
              <w:t>Framingham Public Schools</w:t>
            </w:r>
          </w:p>
          <w:p w14:paraId="07B4E53F" w14:textId="1BE37317" w:rsidR="00C3312E" w:rsidRPr="00C3312E" w:rsidRDefault="00C3312E" w:rsidP="000F7DAF">
            <w:pPr>
              <w:spacing w:after="0" w:line="240" w:lineRule="auto"/>
              <w:contextualSpacing/>
              <w:jc w:val="center"/>
              <w:rPr>
                <w:rFonts w:eastAsia="Times New Roman" w:cs="Times New Roman"/>
              </w:rPr>
            </w:pPr>
            <w:r w:rsidRPr="00C3312E">
              <w:rPr>
                <w:rFonts w:cs="Times New Roman"/>
                <w:b/>
                <w:sz w:val="20"/>
                <w:szCs w:val="20"/>
              </w:rPr>
              <w:t>MCAS Math Percent Scoring Proficient or Advanced in Grade 10, 2017</w:t>
            </w:r>
            <w:r w:rsidR="000F7DAF">
              <w:rPr>
                <w:rFonts w:cs="Times New Roman"/>
                <w:b/>
                <w:sz w:val="20"/>
                <w:szCs w:val="20"/>
              </w:rPr>
              <w:t>–</w:t>
            </w:r>
            <w:r w:rsidRPr="00C3312E">
              <w:rPr>
                <w:rFonts w:cs="Times New Roman"/>
                <w:b/>
                <w:sz w:val="20"/>
                <w:szCs w:val="20"/>
              </w:rPr>
              <w:t>2018</w:t>
            </w:r>
          </w:p>
        </w:tc>
      </w:tr>
      <w:tr w:rsidR="00C3312E" w:rsidRPr="00C3312E" w14:paraId="734E4221" w14:textId="77777777" w:rsidTr="00697F37">
        <w:tc>
          <w:tcPr>
            <w:tcW w:w="2159" w:type="dxa"/>
            <w:shd w:val="clear" w:color="auto" w:fill="BFBFBF" w:themeFill="background1" w:themeFillShade="BF"/>
          </w:tcPr>
          <w:p w14:paraId="31403AD4" w14:textId="77777777" w:rsidR="00C3312E" w:rsidRPr="00C3312E" w:rsidRDefault="00C3312E" w:rsidP="00EC5B5A">
            <w:pPr>
              <w:spacing w:after="0" w:line="240" w:lineRule="auto"/>
              <w:contextualSpacing/>
              <w:rPr>
                <w:rFonts w:eastAsia="Times New Roman" w:cs="Times New Roman"/>
                <w:b/>
                <w:sz w:val="20"/>
                <w:szCs w:val="20"/>
              </w:rPr>
            </w:pPr>
            <w:r w:rsidRPr="00C3312E">
              <w:rPr>
                <w:rFonts w:eastAsia="Times New Roman" w:cs="Times New Roman"/>
                <w:b/>
                <w:sz w:val="20"/>
                <w:szCs w:val="20"/>
              </w:rPr>
              <w:t>Group</w:t>
            </w:r>
          </w:p>
        </w:tc>
        <w:tc>
          <w:tcPr>
            <w:tcW w:w="1169" w:type="dxa"/>
            <w:shd w:val="clear" w:color="auto" w:fill="BFBFBF" w:themeFill="background1" w:themeFillShade="BF"/>
          </w:tcPr>
          <w:p w14:paraId="081DA372"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N (2018)</w:t>
            </w:r>
          </w:p>
        </w:tc>
        <w:tc>
          <w:tcPr>
            <w:tcW w:w="1170" w:type="dxa"/>
            <w:shd w:val="clear" w:color="auto" w:fill="BFBFBF" w:themeFill="background1" w:themeFillShade="BF"/>
          </w:tcPr>
          <w:p w14:paraId="74140A60"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2017</w:t>
            </w:r>
          </w:p>
        </w:tc>
        <w:tc>
          <w:tcPr>
            <w:tcW w:w="1170" w:type="dxa"/>
            <w:shd w:val="clear" w:color="auto" w:fill="BFBFBF" w:themeFill="background1" w:themeFillShade="BF"/>
          </w:tcPr>
          <w:p w14:paraId="3FDF0D65"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2018</w:t>
            </w:r>
          </w:p>
        </w:tc>
        <w:tc>
          <w:tcPr>
            <w:tcW w:w="1082" w:type="dxa"/>
            <w:shd w:val="clear" w:color="auto" w:fill="BFBFBF" w:themeFill="background1" w:themeFillShade="BF"/>
          </w:tcPr>
          <w:p w14:paraId="6B11B3BB"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Change</w:t>
            </w:r>
          </w:p>
        </w:tc>
        <w:tc>
          <w:tcPr>
            <w:tcW w:w="1258" w:type="dxa"/>
            <w:shd w:val="clear" w:color="auto" w:fill="BFBFBF" w:themeFill="background1" w:themeFillShade="BF"/>
          </w:tcPr>
          <w:p w14:paraId="2128F72F"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State (2018)</w:t>
            </w:r>
          </w:p>
        </w:tc>
        <w:tc>
          <w:tcPr>
            <w:tcW w:w="1352" w:type="dxa"/>
            <w:shd w:val="clear" w:color="auto" w:fill="BFBFBF" w:themeFill="background1" w:themeFillShade="BF"/>
          </w:tcPr>
          <w:p w14:paraId="3B9F8F6E"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Above/Below</w:t>
            </w:r>
          </w:p>
        </w:tc>
      </w:tr>
      <w:tr w:rsidR="00C3312E" w:rsidRPr="00C3312E" w14:paraId="24C44172" w14:textId="77777777" w:rsidTr="00697F37">
        <w:tc>
          <w:tcPr>
            <w:tcW w:w="2159" w:type="dxa"/>
          </w:tcPr>
          <w:p w14:paraId="1C4BDDA8" w14:textId="77777777" w:rsidR="00C3312E" w:rsidRPr="00C3312E" w:rsidRDefault="00C3312E" w:rsidP="00C3312E">
            <w:pPr>
              <w:spacing w:after="0" w:line="240" w:lineRule="auto"/>
              <w:rPr>
                <w:sz w:val="20"/>
                <w:szCs w:val="20"/>
              </w:rPr>
            </w:pPr>
            <w:r w:rsidRPr="00C3312E">
              <w:rPr>
                <w:sz w:val="20"/>
                <w:szCs w:val="20"/>
              </w:rPr>
              <w:t>African American/Black</w:t>
            </w:r>
          </w:p>
        </w:tc>
        <w:tc>
          <w:tcPr>
            <w:tcW w:w="1169" w:type="dxa"/>
          </w:tcPr>
          <w:p w14:paraId="25833EA4" w14:textId="77777777" w:rsidR="00C3312E" w:rsidRPr="00C3312E" w:rsidRDefault="00C3312E" w:rsidP="00C3312E">
            <w:pPr>
              <w:spacing w:after="0" w:line="240" w:lineRule="auto"/>
              <w:jc w:val="center"/>
              <w:rPr>
                <w:sz w:val="20"/>
                <w:szCs w:val="20"/>
              </w:rPr>
            </w:pPr>
            <w:r w:rsidRPr="00C3312E">
              <w:rPr>
                <w:sz w:val="20"/>
                <w:szCs w:val="20"/>
              </w:rPr>
              <w:t>23</w:t>
            </w:r>
          </w:p>
        </w:tc>
        <w:tc>
          <w:tcPr>
            <w:tcW w:w="1170" w:type="dxa"/>
          </w:tcPr>
          <w:p w14:paraId="3706CD6E" w14:textId="77777777" w:rsidR="00C3312E" w:rsidRPr="00C3312E" w:rsidRDefault="00C3312E" w:rsidP="00C3312E">
            <w:pPr>
              <w:spacing w:after="0" w:line="240" w:lineRule="auto"/>
              <w:jc w:val="center"/>
              <w:rPr>
                <w:sz w:val="20"/>
                <w:szCs w:val="20"/>
              </w:rPr>
            </w:pPr>
            <w:r w:rsidRPr="00C3312E">
              <w:rPr>
                <w:sz w:val="20"/>
                <w:szCs w:val="20"/>
              </w:rPr>
              <w:t>78%</w:t>
            </w:r>
          </w:p>
        </w:tc>
        <w:tc>
          <w:tcPr>
            <w:tcW w:w="1170" w:type="dxa"/>
          </w:tcPr>
          <w:p w14:paraId="1B03C31D" w14:textId="77777777" w:rsidR="00C3312E" w:rsidRPr="00C3312E" w:rsidRDefault="00C3312E" w:rsidP="00C3312E">
            <w:pPr>
              <w:spacing w:after="0" w:line="240" w:lineRule="auto"/>
              <w:jc w:val="center"/>
              <w:rPr>
                <w:sz w:val="20"/>
                <w:szCs w:val="20"/>
              </w:rPr>
            </w:pPr>
            <w:r w:rsidRPr="00C3312E">
              <w:rPr>
                <w:sz w:val="20"/>
                <w:szCs w:val="20"/>
              </w:rPr>
              <w:t>65%</w:t>
            </w:r>
          </w:p>
        </w:tc>
        <w:tc>
          <w:tcPr>
            <w:tcW w:w="1082" w:type="dxa"/>
          </w:tcPr>
          <w:p w14:paraId="7A60F451" w14:textId="77777777" w:rsidR="00C3312E" w:rsidRPr="00C3312E" w:rsidRDefault="00C3312E" w:rsidP="00C3312E">
            <w:pPr>
              <w:spacing w:after="0" w:line="240" w:lineRule="auto"/>
              <w:jc w:val="center"/>
              <w:rPr>
                <w:sz w:val="20"/>
                <w:szCs w:val="20"/>
              </w:rPr>
            </w:pPr>
            <w:r w:rsidRPr="00C3312E">
              <w:rPr>
                <w:sz w:val="20"/>
                <w:szCs w:val="20"/>
              </w:rPr>
              <w:t>-13%</w:t>
            </w:r>
          </w:p>
        </w:tc>
        <w:tc>
          <w:tcPr>
            <w:tcW w:w="1258" w:type="dxa"/>
          </w:tcPr>
          <w:p w14:paraId="7489BDE2" w14:textId="77777777" w:rsidR="00C3312E" w:rsidRPr="00C3312E" w:rsidRDefault="00C3312E" w:rsidP="00C3312E">
            <w:pPr>
              <w:spacing w:after="0" w:line="240" w:lineRule="auto"/>
              <w:jc w:val="center"/>
              <w:rPr>
                <w:sz w:val="20"/>
                <w:szCs w:val="20"/>
              </w:rPr>
            </w:pPr>
            <w:r w:rsidRPr="00C3312E">
              <w:rPr>
                <w:sz w:val="20"/>
                <w:szCs w:val="20"/>
              </w:rPr>
              <w:t>60%</w:t>
            </w:r>
          </w:p>
        </w:tc>
        <w:tc>
          <w:tcPr>
            <w:tcW w:w="1352" w:type="dxa"/>
          </w:tcPr>
          <w:p w14:paraId="63468E0C"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64617E58" w14:textId="77777777" w:rsidTr="00697F37">
        <w:tc>
          <w:tcPr>
            <w:tcW w:w="2159" w:type="dxa"/>
            <w:shd w:val="clear" w:color="auto" w:fill="BFBFBF" w:themeFill="background1" w:themeFillShade="BF"/>
          </w:tcPr>
          <w:p w14:paraId="180F7926" w14:textId="77777777" w:rsidR="00C3312E" w:rsidRPr="00C3312E" w:rsidRDefault="00C3312E" w:rsidP="00C3312E">
            <w:pPr>
              <w:spacing w:after="0" w:line="240" w:lineRule="auto"/>
              <w:rPr>
                <w:sz w:val="20"/>
                <w:szCs w:val="20"/>
              </w:rPr>
            </w:pPr>
            <w:r w:rsidRPr="00C3312E">
              <w:rPr>
                <w:sz w:val="20"/>
                <w:szCs w:val="20"/>
              </w:rPr>
              <w:t>Asian</w:t>
            </w:r>
          </w:p>
        </w:tc>
        <w:tc>
          <w:tcPr>
            <w:tcW w:w="1169" w:type="dxa"/>
            <w:shd w:val="clear" w:color="auto" w:fill="BFBFBF" w:themeFill="background1" w:themeFillShade="BF"/>
          </w:tcPr>
          <w:p w14:paraId="24A76C44" w14:textId="77777777" w:rsidR="00C3312E" w:rsidRPr="00C3312E" w:rsidRDefault="00C3312E" w:rsidP="00C3312E">
            <w:pPr>
              <w:spacing w:after="0" w:line="240" w:lineRule="auto"/>
              <w:jc w:val="center"/>
              <w:rPr>
                <w:sz w:val="20"/>
                <w:szCs w:val="20"/>
              </w:rPr>
            </w:pPr>
            <w:r w:rsidRPr="00C3312E">
              <w:rPr>
                <w:sz w:val="20"/>
                <w:szCs w:val="20"/>
              </w:rPr>
              <w:t>29</w:t>
            </w:r>
          </w:p>
        </w:tc>
        <w:tc>
          <w:tcPr>
            <w:tcW w:w="1170" w:type="dxa"/>
            <w:shd w:val="clear" w:color="auto" w:fill="BFBFBF" w:themeFill="background1" w:themeFillShade="BF"/>
          </w:tcPr>
          <w:p w14:paraId="45F12ECA" w14:textId="77777777" w:rsidR="00C3312E" w:rsidRPr="00C3312E" w:rsidRDefault="00C3312E" w:rsidP="00C3312E">
            <w:pPr>
              <w:spacing w:after="0" w:line="240" w:lineRule="auto"/>
              <w:jc w:val="center"/>
              <w:rPr>
                <w:sz w:val="20"/>
                <w:szCs w:val="20"/>
              </w:rPr>
            </w:pPr>
            <w:r w:rsidRPr="00C3312E">
              <w:rPr>
                <w:sz w:val="20"/>
                <w:szCs w:val="20"/>
              </w:rPr>
              <w:t>94%</w:t>
            </w:r>
          </w:p>
        </w:tc>
        <w:tc>
          <w:tcPr>
            <w:tcW w:w="1170" w:type="dxa"/>
            <w:shd w:val="clear" w:color="auto" w:fill="BFBFBF" w:themeFill="background1" w:themeFillShade="BF"/>
          </w:tcPr>
          <w:p w14:paraId="509CDD2A" w14:textId="77777777" w:rsidR="00C3312E" w:rsidRPr="00C3312E" w:rsidRDefault="00C3312E" w:rsidP="00C3312E">
            <w:pPr>
              <w:spacing w:after="0" w:line="240" w:lineRule="auto"/>
              <w:jc w:val="center"/>
              <w:rPr>
                <w:sz w:val="20"/>
                <w:szCs w:val="20"/>
              </w:rPr>
            </w:pPr>
            <w:r w:rsidRPr="00C3312E">
              <w:rPr>
                <w:sz w:val="20"/>
                <w:szCs w:val="20"/>
              </w:rPr>
              <w:t>86%</w:t>
            </w:r>
          </w:p>
        </w:tc>
        <w:tc>
          <w:tcPr>
            <w:tcW w:w="1082" w:type="dxa"/>
            <w:shd w:val="clear" w:color="auto" w:fill="BFBFBF" w:themeFill="background1" w:themeFillShade="BF"/>
          </w:tcPr>
          <w:p w14:paraId="2CDD6FAC" w14:textId="77777777" w:rsidR="00C3312E" w:rsidRPr="00C3312E" w:rsidRDefault="00C3312E" w:rsidP="00C3312E">
            <w:pPr>
              <w:spacing w:after="0" w:line="240" w:lineRule="auto"/>
              <w:jc w:val="center"/>
              <w:rPr>
                <w:sz w:val="20"/>
                <w:szCs w:val="20"/>
              </w:rPr>
            </w:pPr>
            <w:r w:rsidRPr="00C3312E">
              <w:rPr>
                <w:sz w:val="20"/>
                <w:szCs w:val="20"/>
              </w:rPr>
              <w:t>-8%</w:t>
            </w:r>
          </w:p>
        </w:tc>
        <w:tc>
          <w:tcPr>
            <w:tcW w:w="1258" w:type="dxa"/>
            <w:shd w:val="clear" w:color="auto" w:fill="BFBFBF" w:themeFill="background1" w:themeFillShade="BF"/>
          </w:tcPr>
          <w:p w14:paraId="4611E40A" w14:textId="77777777" w:rsidR="00C3312E" w:rsidRPr="00C3312E" w:rsidRDefault="00C3312E" w:rsidP="00C3312E">
            <w:pPr>
              <w:spacing w:after="0" w:line="240" w:lineRule="auto"/>
              <w:jc w:val="center"/>
              <w:rPr>
                <w:sz w:val="20"/>
                <w:szCs w:val="20"/>
              </w:rPr>
            </w:pPr>
            <w:r w:rsidRPr="00C3312E">
              <w:rPr>
                <w:sz w:val="20"/>
                <w:szCs w:val="20"/>
              </w:rPr>
              <w:t>91%</w:t>
            </w:r>
          </w:p>
        </w:tc>
        <w:tc>
          <w:tcPr>
            <w:tcW w:w="1352" w:type="dxa"/>
            <w:shd w:val="clear" w:color="auto" w:fill="BFBFBF" w:themeFill="background1" w:themeFillShade="BF"/>
          </w:tcPr>
          <w:p w14:paraId="37662335"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3554F3A1" w14:textId="77777777" w:rsidTr="00697F37">
        <w:tc>
          <w:tcPr>
            <w:tcW w:w="2159" w:type="dxa"/>
          </w:tcPr>
          <w:p w14:paraId="0B38EADC" w14:textId="77777777" w:rsidR="00C3312E" w:rsidRPr="00C3312E" w:rsidRDefault="00C3312E" w:rsidP="00C3312E">
            <w:pPr>
              <w:spacing w:after="0" w:line="240" w:lineRule="auto"/>
              <w:rPr>
                <w:sz w:val="20"/>
                <w:szCs w:val="20"/>
              </w:rPr>
            </w:pPr>
            <w:r w:rsidRPr="00C3312E">
              <w:rPr>
                <w:sz w:val="20"/>
                <w:szCs w:val="20"/>
              </w:rPr>
              <w:t>Hispanic or Latino</w:t>
            </w:r>
          </w:p>
        </w:tc>
        <w:tc>
          <w:tcPr>
            <w:tcW w:w="1169" w:type="dxa"/>
          </w:tcPr>
          <w:p w14:paraId="2196BB30" w14:textId="77777777" w:rsidR="00C3312E" w:rsidRPr="00C3312E" w:rsidRDefault="00C3312E" w:rsidP="00C3312E">
            <w:pPr>
              <w:spacing w:after="0" w:line="240" w:lineRule="auto"/>
              <w:jc w:val="center"/>
              <w:rPr>
                <w:sz w:val="20"/>
                <w:szCs w:val="20"/>
              </w:rPr>
            </w:pPr>
            <w:r w:rsidRPr="00C3312E">
              <w:rPr>
                <w:sz w:val="20"/>
                <w:szCs w:val="20"/>
              </w:rPr>
              <w:t>112</w:t>
            </w:r>
          </w:p>
        </w:tc>
        <w:tc>
          <w:tcPr>
            <w:tcW w:w="1170" w:type="dxa"/>
          </w:tcPr>
          <w:p w14:paraId="2E97DBEF" w14:textId="77777777" w:rsidR="00C3312E" w:rsidRPr="00C3312E" w:rsidRDefault="00C3312E" w:rsidP="00C3312E">
            <w:pPr>
              <w:spacing w:after="0" w:line="240" w:lineRule="auto"/>
              <w:jc w:val="center"/>
              <w:rPr>
                <w:sz w:val="20"/>
                <w:szCs w:val="20"/>
              </w:rPr>
            </w:pPr>
            <w:r w:rsidRPr="00C3312E">
              <w:rPr>
                <w:sz w:val="20"/>
                <w:szCs w:val="20"/>
              </w:rPr>
              <w:t>63%</w:t>
            </w:r>
          </w:p>
        </w:tc>
        <w:tc>
          <w:tcPr>
            <w:tcW w:w="1170" w:type="dxa"/>
          </w:tcPr>
          <w:p w14:paraId="12DD1BD8" w14:textId="77777777" w:rsidR="00C3312E" w:rsidRPr="00C3312E" w:rsidRDefault="00C3312E" w:rsidP="00C3312E">
            <w:pPr>
              <w:spacing w:after="0" w:line="240" w:lineRule="auto"/>
              <w:jc w:val="center"/>
              <w:rPr>
                <w:sz w:val="20"/>
                <w:szCs w:val="20"/>
              </w:rPr>
            </w:pPr>
            <w:r w:rsidRPr="00C3312E">
              <w:rPr>
                <w:sz w:val="20"/>
                <w:szCs w:val="20"/>
              </w:rPr>
              <w:t>57%</w:t>
            </w:r>
          </w:p>
        </w:tc>
        <w:tc>
          <w:tcPr>
            <w:tcW w:w="1082" w:type="dxa"/>
          </w:tcPr>
          <w:p w14:paraId="4781F3E7" w14:textId="77777777" w:rsidR="00C3312E" w:rsidRPr="00C3312E" w:rsidRDefault="00C3312E" w:rsidP="00C3312E">
            <w:pPr>
              <w:spacing w:after="0" w:line="240" w:lineRule="auto"/>
              <w:jc w:val="center"/>
              <w:rPr>
                <w:sz w:val="20"/>
                <w:szCs w:val="20"/>
              </w:rPr>
            </w:pPr>
            <w:r w:rsidRPr="00C3312E">
              <w:rPr>
                <w:sz w:val="20"/>
                <w:szCs w:val="20"/>
              </w:rPr>
              <w:t>-6%</w:t>
            </w:r>
          </w:p>
        </w:tc>
        <w:tc>
          <w:tcPr>
            <w:tcW w:w="1258" w:type="dxa"/>
          </w:tcPr>
          <w:p w14:paraId="5F76B4DD" w14:textId="77777777" w:rsidR="00C3312E" w:rsidRPr="00C3312E" w:rsidRDefault="00C3312E" w:rsidP="00C3312E">
            <w:pPr>
              <w:spacing w:after="0" w:line="240" w:lineRule="auto"/>
              <w:jc w:val="center"/>
              <w:rPr>
                <w:sz w:val="20"/>
                <w:szCs w:val="20"/>
              </w:rPr>
            </w:pPr>
            <w:r w:rsidRPr="00C3312E">
              <w:rPr>
                <w:sz w:val="20"/>
                <w:szCs w:val="20"/>
              </w:rPr>
              <w:t>56%</w:t>
            </w:r>
          </w:p>
        </w:tc>
        <w:tc>
          <w:tcPr>
            <w:tcW w:w="1352" w:type="dxa"/>
          </w:tcPr>
          <w:p w14:paraId="68057B38" w14:textId="77777777" w:rsidR="00C3312E" w:rsidRPr="00C3312E" w:rsidRDefault="00C3312E" w:rsidP="00C3312E">
            <w:pPr>
              <w:spacing w:after="0" w:line="240" w:lineRule="auto"/>
              <w:jc w:val="center"/>
              <w:rPr>
                <w:sz w:val="20"/>
                <w:szCs w:val="20"/>
              </w:rPr>
            </w:pPr>
            <w:r w:rsidRPr="00C3312E">
              <w:rPr>
                <w:sz w:val="20"/>
                <w:szCs w:val="20"/>
              </w:rPr>
              <w:t>1%</w:t>
            </w:r>
          </w:p>
        </w:tc>
      </w:tr>
      <w:tr w:rsidR="00C3312E" w:rsidRPr="00C3312E" w14:paraId="761FC998" w14:textId="77777777" w:rsidTr="00697F37">
        <w:tc>
          <w:tcPr>
            <w:tcW w:w="2159" w:type="dxa"/>
            <w:shd w:val="clear" w:color="auto" w:fill="BFBFBF" w:themeFill="background1" w:themeFillShade="BF"/>
          </w:tcPr>
          <w:p w14:paraId="17132AA0" w14:textId="77777777" w:rsidR="00C3312E" w:rsidRPr="00C3312E" w:rsidRDefault="00C3312E" w:rsidP="00C3312E">
            <w:pPr>
              <w:spacing w:after="0" w:line="240" w:lineRule="auto"/>
              <w:rPr>
                <w:sz w:val="20"/>
                <w:szCs w:val="20"/>
              </w:rPr>
            </w:pPr>
            <w:r w:rsidRPr="00C3312E">
              <w:rPr>
                <w:sz w:val="20"/>
                <w:szCs w:val="20"/>
              </w:rPr>
              <w:t>Multi-Race</w:t>
            </w:r>
          </w:p>
        </w:tc>
        <w:tc>
          <w:tcPr>
            <w:tcW w:w="1169" w:type="dxa"/>
            <w:shd w:val="clear" w:color="auto" w:fill="BFBFBF" w:themeFill="background1" w:themeFillShade="BF"/>
          </w:tcPr>
          <w:p w14:paraId="55570C5F" w14:textId="77777777" w:rsidR="00C3312E" w:rsidRPr="00C3312E" w:rsidRDefault="00C3312E" w:rsidP="00C3312E">
            <w:pPr>
              <w:spacing w:after="0" w:line="240" w:lineRule="auto"/>
              <w:jc w:val="center"/>
              <w:rPr>
                <w:sz w:val="20"/>
                <w:szCs w:val="20"/>
              </w:rPr>
            </w:pPr>
            <w:r w:rsidRPr="00C3312E">
              <w:rPr>
                <w:sz w:val="20"/>
                <w:szCs w:val="20"/>
              </w:rPr>
              <w:t>17</w:t>
            </w:r>
          </w:p>
        </w:tc>
        <w:tc>
          <w:tcPr>
            <w:tcW w:w="1170" w:type="dxa"/>
            <w:shd w:val="clear" w:color="auto" w:fill="BFBFBF" w:themeFill="background1" w:themeFillShade="BF"/>
          </w:tcPr>
          <w:p w14:paraId="078286F6" w14:textId="77777777" w:rsidR="00C3312E" w:rsidRPr="00C3312E" w:rsidRDefault="00C3312E" w:rsidP="00C3312E">
            <w:pPr>
              <w:spacing w:after="0" w:line="240" w:lineRule="auto"/>
              <w:jc w:val="center"/>
              <w:rPr>
                <w:sz w:val="20"/>
                <w:szCs w:val="20"/>
              </w:rPr>
            </w:pPr>
            <w:r w:rsidRPr="00C3312E">
              <w:rPr>
                <w:sz w:val="20"/>
                <w:szCs w:val="20"/>
              </w:rPr>
              <w:t>95%</w:t>
            </w:r>
          </w:p>
        </w:tc>
        <w:tc>
          <w:tcPr>
            <w:tcW w:w="1170" w:type="dxa"/>
            <w:shd w:val="clear" w:color="auto" w:fill="BFBFBF" w:themeFill="background1" w:themeFillShade="BF"/>
          </w:tcPr>
          <w:p w14:paraId="358034CE" w14:textId="77777777" w:rsidR="00C3312E" w:rsidRPr="00C3312E" w:rsidRDefault="00C3312E" w:rsidP="00C3312E">
            <w:pPr>
              <w:spacing w:after="0" w:line="240" w:lineRule="auto"/>
              <w:jc w:val="center"/>
              <w:rPr>
                <w:sz w:val="20"/>
                <w:szCs w:val="20"/>
              </w:rPr>
            </w:pPr>
            <w:r w:rsidRPr="00C3312E">
              <w:rPr>
                <w:sz w:val="20"/>
                <w:szCs w:val="20"/>
              </w:rPr>
              <w:t>88%</w:t>
            </w:r>
          </w:p>
        </w:tc>
        <w:tc>
          <w:tcPr>
            <w:tcW w:w="1082" w:type="dxa"/>
            <w:shd w:val="clear" w:color="auto" w:fill="BFBFBF" w:themeFill="background1" w:themeFillShade="BF"/>
          </w:tcPr>
          <w:p w14:paraId="12768779" w14:textId="77777777" w:rsidR="00C3312E" w:rsidRPr="00C3312E" w:rsidRDefault="00C3312E" w:rsidP="00C3312E">
            <w:pPr>
              <w:spacing w:after="0" w:line="240" w:lineRule="auto"/>
              <w:jc w:val="center"/>
              <w:rPr>
                <w:sz w:val="20"/>
                <w:szCs w:val="20"/>
              </w:rPr>
            </w:pPr>
            <w:r w:rsidRPr="00C3312E">
              <w:rPr>
                <w:sz w:val="20"/>
                <w:szCs w:val="20"/>
              </w:rPr>
              <w:t>-7%</w:t>
            </w:r>
          </w:p>
        </w:tc>
        <w:tc>
          <w:tcPr>
            <w:tcW w:w="1258" w:type="dxa"/>
            <w:shd w:val="clear" w:color="auto" w:fill="BFBFBF" w:themeFill="background1" w:themeFillShade="BF"/>
          </w:tcPr>
          <w:p w14:paraId="6837EF1E" w14:textId="77777777" w:rsidR="00C3312E" w:rsidRPr="00C3312E" w:rsidRDefault="00C3312E" w:rsidP="00C3312E">
            <w:pPr>
              <w:spacing w:after="0" w:line="240" w:lineRule="auto"/>
              <w:jc w:val="center"/>
              <w:rPr>
                <w:sz w:val="20"/>
                <w:szCs w:val="20"/>
              </w:rPr>
            </w:pPr>
            <w:r w:rsidRPr="00C3312E">
              <w:rPr>
                <w:sz w:val="20"/>
                <w:szCs w:val="20"/>
              </w:rPr>
              <w:t>79%</w:t>
            </w:r>
          </w:p>
        </w:tc>
        <w:tc>
          <w:tcPr>
            <w:tcW w:w="1352" w:type="dxa"/>
            <w:shd w:val="clear" w:color="auto" w:fill="BFBFBF" w:themeFill="background1" w:themeFillShade="BF"/>
          </w:tcPr>
          <w:p w14:paraId="44DD3AA6" w14:textId="77777777" w:rsidR="00C3312E" w:rsidRPr="00C3312E" w:rsidRDefault="00C3312E" w:rsidP="00C3312E">
            <w:pPr>
              <w:spacing w:after="0" w:line="240" w:lineRule="auto"/>
              <w:jc w:val="center"/>
              <w:rPr>
                <w:sz w:val="20"/>
                <w:szCs w:val="20"/>
              </w:rPr>
            </w:pPr>
            <w:r w:rsidRPr="00C3312E">
              <w:rPr>
                <w:sz w:val="20"/>
                <w:szCs w:val="20"/>
              </w:rPr>
              <w:t>9%</w:t>
            </w:r>
          </w:p>
        </w:tc>
      </w:tr>
      <w:tr w:rsidR="00C3312E" w:rsidRPr="00C3312E" w14:paraId="5111894E" w14:textId="77777777" w:rsidTr="00697F37">
        <w:tc>
          <w:tcPr>
            <w:tcW w:w="2159" w:type="dxa"/>
          </w:tcPr>
          <w:p w14:paraId="3C85BD83" w14:textId="77777777" w:rsidR="00C3312E" w:rsidRPr="00C3312E" w:rsidRDefault="00C3312E" w:rsidP="00C3312E">
            <w:pPr>
              <w:spacing w:after="0" w:line="240" w:lineRule="auto"/>
              <w:rPr>
                <w:sz w:val="20"/>
                <w:szCs w:val="20"/>
              </w:rPr>
            </w:pPr>
            <w:r w:rsidRPr="00C3312E">
              <w:rPr>
                <w:sz w:val="20"/>
                <w:szCs w:val="20"/>
              </w:rPr>
              <w:t>White</w:t>
            </w:r>
          </w:p>
        </w:tc>
        <w:tc>
          <w:tcPr>
            <w:tcW w:w="1169" w:type="dxa"/>
          </w:tcPr>
          <w:p w14:paraId="71C416A4" w14:textId="77777777" w:rsidR="00C3312E" w:rsidRPr="00C3312E" w:rsidRDefault="00C3312E" w:rsidP="00C3312E">
            <w:pPr>
              <w:spacing w:after="0" w:line="240" w:lineRule="auto"/>
              <w:jc w:val="center"/>
              <w:rPr>
                <w:sz w:val="20"/>
                <w:szCs w:val="20"/>
              </w:rPr>
            </w:pPr>
            <w:r w:rsidRPr="00C3312E">
              <w:rPr>
                <w:sz w:val="20"/>
                <w:szCs w:val="20"/>
              </w:rPr>
              <w:t>321</w:t>
            </w:r>
          </w:p>
        </w:tc>
        <w:tc>
          <w:tcPr>
            <w:tcW w:w="1170" w:type="dxa"/>
          </w:tcPr>
          <w:p w14:paraId="0AA5796F" w14:textId="77777777" w:rsidR="00C3312E" w:rsidRPr="00C3312E" w:rsidRDefault="00C3312E" w:rsidP="00C3312E">
            <w:pPr>
              <w:spacing w:after="0" w:line="240" w:lineRule="auto"/>
              <w:jc w:val="center"/>
              <w:rPr>
                <w:sz w:val="20"/>
                <w:szCs w:val="20"/>
              </w:rPr>
            </w:pPr>
            <w:r w:rsidRPr="00C3312E">
              <w:rPr>
                <w:sz w:val="20"/>
                <w:szCs w:val="20"/>
              </w:rPr>
              <w:t>89%</w:t>
            </w:r>
          </w:p>
        </w:tc>
        <w:tc>
          <w:tcPr>
            <w:tcW w:w="1170" w:type="dxa"/>
          </w:tcPr>
          <w:p w14:paraId="09304183" w14:textId="77777777" w:rsidR="00C3312E" w:rsidRPr="00C3312E" w:rsidRDefault="00C3312E" w:rsidP="00C3312E">
            <w:pPr>
              <w:spacing w:after="0" w:line="240" w:lineRule="auto"/>
              <w:jc w:val="center"/>
              <w:rPr>
                <w:sz w:val="20"/>
                <w:szCs w:val="20"/>
              </w:rPr>
            </w:pPr>
            <w:r w:rsidRPr="00C3312E">
              <w:rPr>
                <w:sz w:val="20"/>
                <w:szCs w:val="20"/>
              </w:rPr>
              <w:t>86%</w:t>
            </w:r>
          </w:p>
        </w:tc>
        <w:tc>
          <w:tcPr>
            <w:tcW w:w="1082" w:type="dxa"/>
          </w:tcPr>
          <w:p w14:paraId="1B4DFC2F" w14:textId="77777777" w:rsidR="00C3312E" w:rsidRPr="00C3312E" w:rsidRDefault="00C3312E" w:rsidP="00C3312E">
            <w:pPr>
              <w:spacing w:after="0" w:line="240" w:lineRule="auto"/>
              <w:jc w:val="center"/>
              <w:rPr>
                <w:sz w:val="20"/>
                <w:szCs w:val="20"/>
              </w:rPr>
            </w:pPr>
            <w:r w:rsidRPr="00C3312E">
              <w:rPr>
                <w:sz w:val="20"/>
                <w:szCs w:val="20"/>
              </w:rPr>
              <w:t>-3%</w:t>
            </w:r>
          </w:p>
        </w:tc>
        <w:tc>
          <w:tcPr>
            <w:tcW w:w="1258" w:type="dxa"/>
          </w:tcPr>
          <w:p w14:paraId="19D05664" w14:textId="77777777" w:rsidR="00C3312E" w:rsidRPr="00C3312E" w:rsidRDefault="00C3312E" w:rsidP="00C3312E">
            <w:pPr>
              <w:spacing w:after="0" w:line="240" w:lineRule="auto"/>
              <w:jc w:val="center"/>
              <w:rPr>
                <w:sz w:val="20"/>
                <w:szCs w:val="20"/>
              </w:rPr>
            </w:pPr>
            <w:r w:rsidRPr="00C3312E">
              <w:rPr>
                <w:sz w:val="20"/>
                <w:szCs w:val="20"/>
              </w:rPr>
              <w:t>85%</w:t>
            </w:r>
          </w:p>
        </w:tc>
        <w:tc>
          <w:tcPr>
            <w:tcW w:w="1352" w:type="dxa"/>
          </w:tcPr>
          <w:p w14:paraId="688F0075" w14:textId="77777777" w:rsidR="00C3312E" w:rsidRPr="00C3312E" w:rsidRDefault="00C3312E" w:rsidP="00C3312E">
            <w:pPr>
              <w:spacing w:after="0" w:line="240" w:lineRule="auto"/>
              <w:jc w:val="center"/>
              <w:rPr>
                <w:sz w:val="20"/>
                <w:szCs w:val="20"/>
              </w:rPr>
            </w:pPr>
            <w:r w:rsidRPr="00C3312E">
              <w:rPr>
                <w:sz w:val="20"/>
                <w:szCs w:val="20"/>
              </w:rPr>
              <w:t>1%</w:t>
            </w:r>
          </w:p>
        </w:tc>
      </w:tr>
      <w:tr w:rsidR="00C3312E" w:rsidRPr="00C3312E" w14:paraId="46CE585E" w14:textId="77777777" w:rsidTr="00697F37">
        <w:tc>
          <w:tcPr>
            <w:tcW w:w="2159" w:type="dxa"/>
            <w:shd w:val="clear" w:color="auto" w:fill="BFBFBF" w:themeFill="background1" w:themeFillShade="BF"/>
          </w:tcPr>
          <w:p w14:paraId="28CD5865"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1169" w:type="dxa"/>
            <w:shd w:val="clear" w:color="auto" w:fill="BFBFBF" w:themeFill="background1" w:themeFillShade="BF"/>
          </w:tcPr>
          <w:p w14:paraId="68C4D31C" w14:textId="77777777" w:rsidR="00C3312E" w:rsidRPr="00C3312E" w:rsidRDefault="00C3312E" w:rsidP="00C3312E">
            <w:pPr>
              <w:spacing w:after="0" w:line="240" w:lineRule="auto"/>
              <w:jc w:val="center"/>
              <w:rPr>
                <w:sz w:val="20"/>
                <w:szCs w:val="20"/>
              </w:rPr>
            </w:pPr>
            <w:r w:rsidRPr="00C3312E">
              <w:rPr>
                <w:sz w:val="20"/>
                <w:szCs w:val="20"/>
              </w:rPr>
              <w:t>229</w:t>
            </w:r>
          </w:p>
        </w:tc>
        <w:tc>
          <w:tcPr>
            <w:tcW w:w="1170" w:type="dxa"/>
            <w:shd w:val="clear" w:color="auto" w:fill="BFBFBF" w:themeFill="background1" w:themeFillShade="BF"/>
          </w:tcPr>
          <w:p w14:paraId="61E3D0C1" w14:textId="77777777" w:rsidR="00C3312E" w:rsidRPr="00C3312E" w:rsidRDefault="00C3312E" w:rsidP="00C3312E">
            <w:pPr>
              <w:spacing w:after="0" w:line="240" w:lineRule="auto"/>
              <w:jc w:val="center"/>
              <w:rPr>
                <w:sz w:val="20"/>
                <w:szCs w:val="20"/>
              </w:rPr>
            </w:pPr>
            <w:r w:rsidRPr="00C3312E">
              <w:rPr>
                <w:sz w:val="20"/>
                <w:szCs w:val="20"/>
              </w:rPr>
              <w:t>63%</w:t>
            </w:r>
          </w:p>
        </w:tc>
        <w:tc>
          <w:tcPr>
            <w:tcW w:w="1170" w:type="dxa"/>
            <w:shd w:val="clear" w:color="auto" w:fill="BFBFBF" w:themeFill="background1" w:themeFillShade="BF"/>
          </w:tcPr>
          <w:p w14:paraId="7BCC786A" w14:textId="77777777" w:rsidR="00C3312E" w:rsidRPr="00C3312E" w:rsidRDefault="00C3312E" w:rsidP="00C3312E">
            <w:pPr>
              <w:spacing w:after="0" w:line="240" w:lineRule="auto"/>
              <w:jc w:val="center"/>
              <w:rPr>
                <w:sz w:val="20"/>
                <w:szCs w:val="20"/>
              </w:rPr>
            </w:pPr>
            <w:r w:rsidRPr="00C3312E">
              <w:rPr>
                <w:sz w:val="20"/>
                <w:szCs w:val="20"/>
              </w:rPr>
              <w:t>57%</w:t>
            </w:r>
          </w:p>
        </w:tc>
        <w:tc>
          <w:tcPr>
            <w:tcW w:w="1082" w:type="dxa"/>
            <w:shd w:val="clear" w:color="auto" w:fill="BFBFBF" w:themeFill="background1" w:themeFillShade="BF"/>
          </w:tcPr>
          <w:p w14:paraId="6E3487D2" w14:textId="77777777" w:rsidR="00C3312E" w:rsidRPr="00C3312E" w:rsidRDefault="00C3312E" w:rsidP="00C3312E">
            <w:pPr>
              <w:spacing w:after="0" w:line="240" w:lineRule="auto"/>
              <w:jc w:val="center"/>
              <w:rPr>
                <w:sz w:val="20"/>
                <w:szCs w:val="20"/>
              </w:rPr>
            </w:pPr>
            <w:r w:rsidRPr="00C3312E">
              <w:rPr>
                <w:sz w:val="20"/>
                <w:szCs w:val="20"/>
              </w:rPr>
              <w:t>-6%</w:t>
            </w:r>
          </w:p>
        </w:tc>
        <w:tc>
          <w:tcPr>
            <w:tcW w:w="1258" w:type="dxa"/>
            <w:shd w:val="clear" w:color="auto" w:fill="BFBFBF" w:themeFill="background1" w:themeFillShade="BF"/>
          </w:tcPr>
          <w:p w14:paraId="704B734E" w14:textId="77777777" w:rsidR="00C3312E" w:rsidRPr="00C3312E" w:rsidRDefault="00C3312E" w:rsidP="00C3312E">
            <w:pPr>
              <w:spacing w:after="0" w:line="240" w:lineRule="auto"/>
              <w:jc w:val="center"/>
              <w:rPr>
                <w:sz w:val="20"/>
                <w:szCs w:val="20"/>
              </w:rPr>
            </w:pPr>
            <w:r w:rsidRPr="00C3312E">
              <w:rPr>
                <w:sz w:val="20"/>
                <w:szCs w:val="20"/>
              </w:rPr>
              <w:t>57%</w:t>
            </w:r>
          </w:p>
        </w:tc>
        <w:tc>
          <w:tcPr>
            <w:tcW w:w="1352" w:type="dxa"/>
            <w:shd w:val="clear" w:color="auto" w:fill="BFBFBF" w:themeFill="background1" w:themeFillShade="BF"/>
          </w:tcPr>
          <w:p w14:paraId="19936675" w14:textId="77777777" w:rsidR="00C3312E" w:rsidRPr="00C3312E" w:rsidRDefault="00C3312E" w:rsidP="00C3312E">
            <w:pPr>
              <w:spacing w:after="0" w:line="240" w:lineRule="auto"/>
              <w:jc w:val="center"/>
              <w:rPr>
                <w:sz w:val="20"/>
                <w:szCs w:val="20"/>
              </w:rPr>
            </w:pPr>
            <w:r w:rsidRPr="00C3312E">
              <w:rPr>
                <w:sz w:val="20"/>
                <w:szCs w:val="20"/>
              </w:rPr>
              <w:t>0%</w:t>
            </w:r>
          </w:p>
        </w:tc>
      </w:tr>
      <w:tr w:rsidR="00C3312E" w:rsidRPr="00C3312E" w14:paraId="2F88AF72" w14:textId="77777777" w:rsidTr="00697F37">
        <w:tc>
          <w:tcPr>
            <w:tcW w:w="2159" w:type="dxa"/>
          </w:tcPr>
          <w:p w14:paraId="7520DB06"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1169" w:type="dxa"/>
          </w:tcPr>
          <w:p w14:paraId="087F5CF6" w14:textId="77777777" w:rsidR="00C3312E" w:rsidRPr="00C3312E" w:rsidRDefault="00C3312E" w:rsidP="00C3312E">
            <w:pPr>
              <w:spacing w:after="0" w:line="240" w:lineRule="auto"/>
              <w:jc w:val="center"/>
              <w:rPr>
                <w:sz w:val="20"/>
                <w:szCs w:val="20"/>
              </w:rPr>
            </w:pPr>
            <w:r w:rsidRPr="00C3312E">
              <w:rPr>
                <w:sz w:val="20"/>
                <w:szCs w:val="20"/>
              </w:rPr>
              <w:t>147</w:t>
            </w:r>
          </w:p>
        </w:tc>
        <w:tc>
          <w:tcPr>
            <w:tcW w:w="1170" w:type="dxa"/>
          </w:tcPr>
          <w:p w14:paraId="191DEC83" w14:textId="77777777" w:rsidR="00C3312E" w:rsidRPr="00C3312E" w:rsidRDefault="00C3312E" w:rsidP="00C3312E">
            <w:pPr>
              <w:spacing w:after="0" w:line="240" w:lineRule="auto"/>
              <w:jc w:val="center"/>
              <w:rPr>
                <w:sz w:val="20"/>
                <w:szCs w:val="20"/>
              </w:rPr>
            </w:pPr>
            <w:r w:rsidRPr="00C3312E">
              <w:rPr>
                <w:sz w:val="20"/>
                <w:szCs w:val="20"/>
              </w:rPr>
              <w:t>66%</w:t>
            </w:r>
          </w:p>
        </w:tc>
        <w:tc>
          <w:tcPr>
            <w:tcW w:w="1170" w:type="dxa"/>
          </w:tcPr>
          <w:p w14:paraId="2C071856" w14:textId="77777777" w:rsidR="00C3312E" w:rsidRPr="00C3312E" w:rsidRDefault="00C3312E" w:rsidP="00C3312E">
            <w:pPr>
              <w:spacing w:after="0" w:line="240" w:lineRule="auto"/>
              <w:jc w:val="center"/>
              <w:rPr>
                <w:sz w:val="20"/>
                <w:szCs w:val="20"/>
              </w:rPr>
            </w:pPr>
            <w:r w:rsidRPr="00C3312E">
              <w:rPr>
                <w:sz w:val="20"/>
                <w:szCs w:val="20"/>
              </w:rPr>
              <w:t>57%</w:t>
            </w:r>
          </w:p>
        </w:tc>
        <w:tc>
          <w:tcPr>
            <w:tcW w:w="1082" w:type="dxa"/>
          </w:tcPr>
          <w:p w14:paraId="273D5E4E" w14:textId="77777777" w:rsidR="00C3312E" w:rsidRPr="00C3312E" w:rsidRDefault="00C3312E" w:rsidP="00C3312E">
            <w:pPr>
              <w:spacing w:after="0" w:line="240" w:lineRule="auto"/>
              <w:jc w:val="center"/>
              <w:rPr>
                <w:sz w:val="20"/>
                <w:szCs w:val="20"/>
              </w:rPr>
            </w:pPr>
            <w:r w:rsidRPr="00C3312E">
              <w:rPr>
                <w:sz w:val="20"/>
                <w:szCs w:val="20"/>
              </w:rPr>
              <w:t>-9%</w:t>
            </w:r>
          </w:p>
        </w:tc>
        <w:tc>
          <w:tcPr>
            <w:tcW w:w="1258" w:type="dxa"/>
          </w:tcPr>
          <w:p w14:paraId="78579F9D" w14:textId="77777777" w:rsidR="00C3312E" w:rsidRPr="00C3312E" w:rsidRDefault="00C3312E" w:rsidP="00C3312E">
            <w:pPr>
              <w:spacing w:after="0" w:line="240" w:lineRule="auto"/>
              <w:jc w:val="center"/>
              <w:rPr>
                <w:sz w:val="20"/>
                <w:szCs w:val="20"/>
              </w:rPr>
            </w:pPr>
            <w:r w:rsidRPr="00C3312E">
              <w:rPr>
                <w:sz w:val="20"/>
                <w:szCs w:val="20"/>
              </w:rPr>
              <w:t>59%</w:t>
            </w:r>
          </w:p>
        </w:tc>
        <w:tc>
          <w:tcPr>
            <w:tcW w:w="1352" w:type="dxa"/>
          </w:tcPr>
          <w:p w14:paraId="54933C99" w14:textId="77777777" w:rsidR="00C3312E" w:rsidRPr="00C3312E" w:rsidRDefault="00C3312E" w:rsidP="00C3312E">
            <w:pPr>
              <w:spacing w:after="0" w:line="240" w:lineRule="auto"/>
              <w:jc w:val="center"/>
              <w:rPr>
                <w:sz w:val="20"/>
                <w:szCs w:val="20"/>
              </w:rPr>
            </w:pPr>
            <w:r w:rsidRPr="00C3312E">
              <w:rPr>
                <w:sz w:val="20"/>
                <w:szCs w:val="20"/>
              </w:rPr>
              <w:t>-2%</w:t>
            </w:r>
          </w:p>
        </w:tc>
      </w:tr>
      <w:tr w:rsidR="00C3312E" w:rsidRPr="00C3312E" w14:paraId="7B9653BB" w14:textId="77777777" w:rsidTr="00697F37">
        <w:tc>
          <w:tcPr>
            <w:tcW w:w="2159" w:type="dxa"/>
            <w:shd w:val="clear" w:color="auto" w:fill="BFBFBF" w:themeFill="background1" w:themeFillShade="BF"/>
          </w:tcPr>
          <w:p w14:paraId="29BF778A"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1169" w:type="dxa"/>
            <w:shd w:val="clear" w:color="auto" w:fill="BFBFBF" w:themeFill="background1" w:themeFillShade="BF"/>
          </w:tcPr>
          <w:p w14:paraId="3159BBC8" w14:textId="77777777" w:rsidR="00C3312E" w:rsidRPr="00C3312E" w:rsidRDefault="00C3312E" w:rsidP="00C3312E">
            <w:pPr>
              <w:spacing w:after="0" w:line="240" w:lineRule="auto"/>
              <w:jc w:val="center"/>
              <w:rPr>
                <w:sz w:val="20"/>
                <w:szCs w:val="20"/>
              </w:rPr>
            </w:pPr>
            <w:r w:rsidRPr="00C3312E">
              <w:rPr>
                <w:sz w:val="20"/>
                <w:szCs w:val="20"/>
              </w:rPr>
              <w:t>100</w:t>
            </w:r>
          </w:p>
        </w:tc>
        <w:tc>
          <w:tcPr>
            <w:tcW w:w="1170" w:type="dxa"/>
            <w:shd w:val="clear" w:color="auto" w:fill="BFBFBF" w:themeFill="background1" w:themeFillShade="BF"/>
          </w:tcPr>
          <w:p w14:paraId="5A85A88B" w14:textId="77777777" w:rsidR="00C3312E" w:rsidRPr="00C3312E" w:rsidRDefault="00C3312E" w:rsidP="00C3312E">
            <w:pPr>
              <w:spacing w:after="0" w:line="240" w:lineRule="auto"/>
              <w:jc w:val="center"/>
              <w:rPr>
                <w:sz w:val="20"/>
                <w:szCs w:val="20"/>
              </w:rPr>
            </w:pPr>
            <w:r w:rsidRPr="00C3312E">
              <w:rPr>
                <w:sz w:val="20"/>
                <w:szCs w:val="20"/>
              </w:rPr>
              <w:t>57%</w:t>
            </w:r>
          </w:p>
        </w:tc>
        <w:tc>
          <w:tcPr>
            <w:tcW w:w="1170" w:type="dxa"/>
            <w:shd w:val="clear" w:color="auto" w:fill="BFBFBF" w:themeFill="background1" w:themeFillShade="BF"/>
          </w:tcPr>
          <w:p w14:paraId="549FC1E0" w14:textId="77777777" w:rsidR="00C3312E" w:rsidRPr="00C3312E" w:rsidRDefault="00C3312E" w:rsidP="00C3312E">
            <w:pPr>
              <w:spacing w:after="0" w:line="240" w:lineRule="auto"/>
              <w:jc w:val="center"/>
              <w:rPr>
                <w:sz w:val="20"/>
                <w:szCs w:val="20"/>
              </w:rPr>
            </w:pPr>
            <w:r w:rsidRPr="00C3312E">
              <w:rPr>
                <w:sz w:val="20"/>
                <w:szCs w:val="20"/>
              </w:rPr>
              <w:t>48%</w:t>
            </w:r>
          </w:p>
        </w:tc>
        <w:tc>
          <w:tcPr>
            <w:tcW w:w="1082" w:type="dxa"/>
            <w:shd w:val="clear" w:color="auto" w:fill="BFBFBF" w:themeFill="background1" w:themeFillShade="BF"/>
          </w:tcPr>
          <w:p w14:paraId="0FDD7F00" w14:textId="77777777" w:rsidR="00C3312E" w:rsidRPr="00C3312E" w:rsidRDefault="00C3312E" w:rsidP="00C3312E">
            <w:pPr>
              <w:spacing w:after="0" w:line="240" w:lineRule="auto"/>
              <w:jc w:val="center"/>
              <w:rPr>
                <w:sz w:val="20"/>
                <w:szCs w:val="20"/>
              </w:rPr>
            </w:pPr>
            <w:r w:rsidRPr="00C3312E">
              <w:rPr>
                <w:sz w:val="20"/>
                <w:szCs w:val="20"/>
              </w:rPr>
              <w:t>-9%</w:t>
            </w:r>
          </w:p>
        </w:tc>
        <w:tc>
          <w:tcPr>
            <w:tcW w:w="1258" w:type="dxa"/>
            <w:shd w:val="clear" w:color="auto" w:fill="BFBFBF" w:themeFill="background1" w:themeFillShade="BF"/>
          </w:tcPr>
          <w:p w14:paraId="3F5DE78F" w14:textId="77777777" w:rsidR="00C3312E" w:rsidRPr="00C3312E" w:rsidRDefault="00C3312E" w:rsidP="00C3312E">
            <w:pPr>
              <w:spacing w:after="0" w:line="240" w:lineRule="auto"/>
              <w:jc w:val="center"/>
              <w:rPr>
                <w:sz w:val="20"/>
                <w:szCs w:val="20"/>
              </w:rPr>
            </w:pPr>
            <w:r w:rsidRPr="00C3312E">
              <w:rPr>
                <w:sz w:val="20"/>
                <w:szCs w:val="20"/>
              </w:rPr>
              <w:t>40%</w:t>
            </w:r>
          </w:p>
        </w:tc>
        <w:tc>
          <w:tcPr>
            <w:tcW w:w="1352" w:type="dxa"/>
            <w:shd w:val="clear" w:color="auto" w:fill="BFBFBF" w:themeFill="background1" w:themeFillShade="BF"/>
          </w:tcPr>
          <w:p w14:paraId="10893A82" w14:textId="77777777" w:rsidR="00C3312E" w:rsidRPr="00C3312E" w:rsidRDefault="00C3312E" w:rsidP="00C3312E">
            <w:pPr>
              <w:spacing w:after="0" w:line="240" w:lineRule="auto"/>
              <w:jc w:val="center"/>
              <w:rPr>
                <w:sz w:val="20"/>
                <w:szCs w:val="20"/>
              </w:rPr>
            </w:pPr>
            <w:r w:rsidRPr="00C3312E">
              <w:rPr>
                <w:sz w:val="20"/>
                <w:szCs w:val="20"/>
              </w:rPr>
              <w:t>8%</w:t>
            </w:r>
          </w:p>
        </w:tc>
      </w:tr>
      <w:tr w:rsidR="00C3312E" w:rsidRPr="00C3312E" w14:paraId="68003887" w14:textId="77777777" w:rsidTr="00697F37">
        <w:tc>
          <w:tcPr>
            <w:tcW w:w="2159" w:type="dxa"/>
          </w:tcPr>
          <w:p w14:paraId="51172A37" w14:textId="7FC2EBC7"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1169" w:type="dxa"/>
          </w:tcPr>
          <w:p w14:paraId="00BB4E6F" w14:textId="77777777" w:rsidR="00C3312E" w:rsidRPr="00C3312E" w:rsidRDefault="00C3312E" w:rsidP="00C3312E">
            <w:pPr>
              <w:spacing w:after="0" w:line="240" w:lineRule="auto"/>
              <w:jc w:val="center"/>
              <w:rPr>
                <w:sz w:val="20"/>
                <w:szCs w:val="20"/>
              </w:rPr>
            </w:pPr>
            <w:r w:rsidRPr="00C3312E">
              <w:rPr>
                <w:sz w:val="20"/>
                <w:szCs w:val="20"/>
              </w:rPr>
              <w:t>76</w:t>
            </w:r>
          </w:p>
        </w:tc>
        <w:tc>
          <w:tcPr>
            <w:tcW w:w="1170" w:type="dxa"/>
          </w:tcPr>
          <w:p w14:paraId="2CBCB29F" w14:textId="77777777" w:rsidR="00C3312E" w:rsidRPr="00C3312E" w:rsidRDefault="00C3312E" w:rsidP="00C3312E">
            <w:pPr>
              <w:spacing w:after="0" w:line="240" w:lineRule="auto"/>
              <w:jc w:val="center"/>
              <w:rPr>
                <w:sz w:val="20"/>
                <w:szCs w:val="20"/>
              </w:rPr>
            </w:pPr>
            <w:r w:rsidRPr="00C3312E">
              <w:rPr>
                <w:sz w:val="20"/>
                <w:szCs w:val="20"/>
              </w:rPr>
              <w:t>35%</w:t>
            </w:r>
          </w:p>
        </w:tc>
        <w:tc>
          <w:tcPr>
            <w:tcW w:w="1170" w:type="dxa"/>
          </w:tcPr>
          <w:p w14:paraId="5E1D3D60" w14:textId="77777777" w:rsidR="00C3312E" w:rsidRPr="00C3312E" w:rsidRDefault="00C3312E" w:rsidP="00C3312E">
            <w:pPr>
              <w:spacing w:after="0" w:line="240" w:lineRule="auto"/>
              <w:jc w:val="center"/>
              <w:rPr>
                <w:sz w:val="20"/>
                <w:szCs w:val="20"/>
              </w:rPr>
            </w:pPr>
            <w:r w:rsidRPr="00C3312E">
              <w:rPr>
                <w:sz w:val="20"/>
                <w:szCs w:val="20"/>
              </w:rPr>
              <w:t>39%</w:t>
            </w:r>
          </w:p>
        </w:tc>
        <w:tc>
          <w:tcPr>
            <w:tcW w:w="1082" w:type="dxa"/>
          </w:tcPr>
          <w:p w14:paraId="22C87963" w14:textId="77777777" w:rsidR="00C3312E" w:rsidRPr="00C3312E" w:rsidRDefault="00C3312E" w:rsidP="00C3312E">
            <w:pPr>
              <w:spacing w:after="0" w:line="240" w:lineRule="auto"/>
              <w:jc w:val="center"/>
              <w:rPr>
                <w:sz w:val="20"/>
                <w:szCs w:val="20"/>
              </w:rPr>
            </w:pPr>
            <w:r w:rsidRPr="00C3312E">
              <w:rPr>
                <w:sz w:val="20"/>
                <w:szCs w:val="20"/>
              </w:rPr>
              <w:t>4%</w:t>
            </w:r>
          </w:p>
        </w:tc>
        <w:tc>
          <w:tcPr>
            <w:tcW w:w="1258" w:type="dxa"/>
          </w:tcPr>
          <w:p w14:paraId="7FE57D2A" w14:textId="77777777" w:rsidR="00C3312E" w:rsidRPr="00C3312E" w:rsidRDefault="00C3312E" w:rsidP="00C3312E">
            <w:pPr>
              <w:spacing w:after="0" w:line="240" w:lineRule="auto"/>
              <w:jc w:val="center"/>
              <w:rPr>
                <w:sz w:val="20"/>
                <w:szCs w:val="20"/>
              </w:rPr>
            </w:pPr>
            <w:r w:rsidRPr="00C3312E">
              <w:rPr>
                <w:sz w:val="20"/>
                <w:szCs w:val="20"/>
              </w:rPr>
              <w:t>44%</w:t>
            </w:r>
          </w:p>
        </w:tc>
        <w:tc>
          <w:tcPr>
            <w:tcW w:w="1352" w:type="dxa"/>
          </w:tcPr>
          <w:p w14:paraId="21FFA8EC"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4FDC8127" w14:textId="77777777" w:rsidTr="00697F37">
        <w:tc>
          <w:tcPr>
            <w:tcW w:w="2159" w:type="dxa"/>
            <w:shd w:val="clear" w:color="auto" w:fill="BFBFBF" w:themeFill="background1" w:themeFillShade="BF"/>
          </w:tcPr>
          <w:p w14:paraId="6B85883A"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1169" w:type="dxa"/>
            <w:shd w:val="clear" w:color="auto" w:fill="BFBFBF" w:themeFill="background1" w:themeFillShade="BF"/>
          </w:tcPr>
          <w:p w14:paraId="7CC81C91" w14:textId="77777777" w:rsidR="00C3312E" w:rsidRPr="00C3312E" w:rsidRDefault="00C3312E" w:rsidP="00C3312E">
            <w:pPr>
              <w:spacing w:after="0" w:line="240" w:lineRule="auto"/>
              <w:jc w:val="center"/>
              <w:rPr>
                <w:sz w:val="20"/>
                <w:szCs w:val="20"/>
              </w:rPr>
            </w:pPr>
            <w:r w:rsidRPr="00C3312E">
              <w:rPr>
                <w:sz w:val="20"/>
                <w:szCs w:val="20"/>
              </w:rPr>
              <w:t>503</w:t>
            </w:r>
          </w:p>
        </w:tc>
        <w:tc>
          <w:tcPr>
            <w:tcW w:w="1170" w:type="dxa"/>
            <w:shd w:val="clear" w:color="auto" w:fill="BFBFBF" w:themeFill="background1" w:themeFillShade="BF"/>
          </w:tcPr>
          <w:p w14:paraId="23FCDE7D" w14:textId="77777777" w:rsidR="00C3312E" w:rsidRPr="00C3312E" w:rsidRDefault="00C3312E" w:rsidP="00C3312E">
            <w:pPr>
              <w:spacing w:after="0" w:line="240" w:lineRule="auto"/>
              <w:jc w:val="center"/>
              <w:rPr>
                <w:sz w:val="20"/>
                <w:szCs w:val="20"/>
              </w:rPr>
            </w:pPr>
            <w:r w:rsidRPr="00C3312E">
              <w:rPr>
                <w:sz w:val="20"/>
                <w:szCs w:val="20"/>
              </w:rPr>
              <w:t>83%</w:t>
            </w:r>
          </w:p>
        </w:tc>
        <w:tc>
          <w:tcPr>
            <w:tcW w:w="1170" w:type="dxa"/>
            <w:shd w:val="clear" w:color="auto" w:fill="BFBFBF" w:themeFill="background1" w:themeFillShade="BF"/>
          </w:tcPr>
          <w:p w14:paraId="36F025F8" w14:textId="77777777" w:rsidR="00C3312E" w:rsidRPr="00C3312E" w:rsidRDefault="00C3312E" w:rsidP="00C3312E">
            <w:pPr>
              <w:spacing w:after="0" w:line="240" w:lineRule="auto"/>
              <w:jc w:val="center"/>
              <w:rPr>
                <w:sz w:val="20"/>
                <w:szCs w:val="20"/>
              </w:rPr>
            </w:pPr>
            <w:r w:rsidRPr="00C3312E">
              <w:rPr>
                <w:sz w:val="20"/>
                <w:szCs w:val="20"/>
              </w:rPr>
              <w:t>79%</w:t>
            </w:r>
          </w:p>
        </w:tc>
        <w:tc>
          <w:tcPr>
            <w:tcW w:w="1082" w:type="dxa"/>
            <w:shd w:val="clear" w:color="auto" w:fill="BFBFBF" w:themeFill="background1" w:themeFillShade="BF"/>
          </w:tcPr>
          <w:p w14:paraId="35ED7CA7" w14:textId="77777777" w:rsidR="00C3312E" w:rsidRPr="00C3312E" w:rsidRDefault="00C3312E" w:rsidP="00C3312E">
            <w:pPr>
              <w:spacing w:after="0" w:line="240" w:lineRule="auto"/>
              <w:jc w:val="center"/>
              <w:rPr>
                <w:sz w:val="20"/>
                <w:szCs w:val="20"/>
              </w:rPr>
            </w:pPr>
            <w:r w:rsidRPr="00C3312E">
              <w:rPr>
                <w:sz w:val="20"/>
                <w:szCs w:val="20"/>
              </w:rPr>
              <w:t>-4%</w:t>
            </w:r>
          </w:p>
        </w:tc>
        <w:tc>
          <w:tcPr>
            <w:tcW w:w="1258" w:type="dxa"/>
            <w:shd w:val="clear" w:color="auto" w:fill="BFBFBF" w:themeFill="background1" w:themeFillShade="BF"/>
          </w:tcPr>
          <w:p w14:paraId="72D3D92C" w14:textId="77777777" w:rsidR="00C3312E" w:rsidRPr="00C3312E" w:rsidRDefault="00C3312E" w:rsidP="00C3312E">
            <w:pPr>
              <w:spacing w:after="0" w:line="240" w:lineRule="auto"/>
              <w:jc w:val="center"/>
              <w:rPr>
                <w:sz w:val="20"/>
                <w:szCs w:val="20"/>
              </w:rPr>
            </w:pPr>
            <w:r w:rsidRPr="00C3312E">
              <w:rPr>
                <w:sz w:val="20"/>
                <w:szCs w:val="20"/>
              </w:rPr>
              <w:t>78%</w:t>
            </w:r>
          </w:p>
        </w:tc>
        <w:tc>
          <w:tcPr>
            <w:tcW w:w="1352" w:type="dxa"/>
            <w:shd w:val="clear" w:color="auto" w:fill="BFBFBF" w:themeFill="background1" w:themeFillShade="BF"/>
          </w:tcPr>
          <w:p w14:paraId="443F6A44" w14:textId="77777777" w:rsidR="00C3312E" w:rsidRPr="00C3312E" w:rsidRDefault="00C3312E" w:rsidP="00C3312E">
            <w:pPr>
              <w:spacing w:after="0" w:line="240" w:lineRule="auto"/>
              <w:jc w:val="center"/>
              <w:rPr>
                <w:sz w:val="20"/>
                <w:szCs w:val="20"/>
              </w:rPr>
            </w:pPr>
            <w:r w:rsidRPr="00C3312E">
              <w:rPr>
                <w:sz w:val="20"/>
                <w:szCs w:val="20"/>
              </w:rPr>
              <w:t>1%</w:t>
            </w:r>
          </w:p>
        </w:tc>
      </w:tr>
    </w:tbl>
    <w:p w14:paraId="18826BE9" w14:textId="77777777" w:rsidR="00C3312E" w:rsidRPr="00C3312E" w:rsidRDefault="00C3312E" w:rsidP="00C3312E">
      <w:pPr>
        <w:spacing w:after="0"/>
        <w:rPr>
          <w:rFonts w:cs="Times New Roman"/>
        </w:rPr>
      </w:pPr>
    </w:p>
    <w:p w14:paraId="5E729A7E" w14:textId="77777777" w:rsidR="00C3312E" w:rsidRPr="00C3312E" w:rsidRDefault="00C3312E" w:rsidP="00C3312E">
      <w:pPr>
        <w:spacing w:after="0"/>
        <w:rPr>
          <w:rFonts w:cs="Times New Roman"/>
        </w:rPr>
      </w:pPr>
    </w:p>
    <w:tbl>
      <w:tblPr>
        <w:tblStyle w:val="TableGrid5"/>
        <w:tblW w:w="0" w:type="auto"/>
        <w:jc w:val="center"/>
        <w:tblLook w:val="04A0" w:firstRow="1" w:lastRow="0" w:firstColumn="1" w:lastColumn="0" w:noHBand="0" w:noVBand="1"/>
        <w:tblCaption w:val="Table 9: Framingham Public Schools"/>
        <w:tblDescription w:val="MCAS Science Percent Scoring Proficient or Advanced in Grades 5, 8, and 10, 2015–2018&#10;"/>
      </w:tblPr>
      <w:tblGrid>
        <w:gridCol w:w="2090"/>
        <w:gridCol w:w="967"/>
        <w:gridCol w:w="955"/>
        <w:gridCol w:w="955"/>
        <w:gridCol w:w="955"/>
        <w:gridCol w:w="955"/>
        <w:gridCol w:w="1424"/>
        <w:gridCol w:w="1059"/>
      </w:tblGrid>
      <w:tr w:rsidR="00C3312E" w:rsidRPr="00C3312E" w14:paraId="0DD09687" w14:textId="77777777" w:rsidTr="00CF7974">
        <w:trPr>
          <w:jc w:val="center"/>
        </w:trPr>
        <w:tc>
          <w:tcPr>
            <w:tcW w:w="9360" w:type="dxa"/>
            <w:gridSpan w:val="8"/>
            <w:tcBorders>
              <w:top w:val="nil"/>
              <w:left w:val="nil"/>
              <w:right w:val="nil"/>
            </w:tcBorders>
          </w:tcPr>
          <w:p w14:paraId="550BD25A"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9: Framingham Public Schools</w:t>
            </w:r>
          </w:p>
          <w:p w14:paraId="4191B4C4" w14:textId="73DC3ADC" w:rsidR="00C3312E" w:rsidRPr="00C3312E" w:rsidRDefault="00C3312E" w:rsidP="000F7DAF">
            <w:pPr>
              <w:spacing w:after="0" w:line="240" w:lineRule="auto"/>
              <w:jc w:val="center"/>
              <w:rPr>
                <w:rFonts w:cs="Times New Roman"/>
                <w:sz w:val="20"/>
                <w:szCs w:val="20"/>
              </w:rPr>
            </w:pPr>
            <w:r w:rsidRPr="00C3312E">
              <w:rPr>
                <w:rFonts w:cs="Times New Roman"/>
                <w:b/>
                <w:sz w:val="20"/>
                <w:szCs w:val="20"/>
              </w:rPr>
              <w:t>MCAS Science Percent Scoring Proficient or Advanced in Grades 5, 8, and 10, 2015</w:t>
            </w:r>
            <w:r w:rsidR="000F7DAF">
              <w:rPr>
                <w:rFonts w:cs="Times New Roman"/>
                <w:b/>
                <w:sz w:val="20"/>
                <w:szCs w:val="20"/>
              </w:rPr>
              <w:t>–</w:t>
            </w:r>
            <w:r w:rsidRPr="00C3312E">
              <w:rPr>
                <w:rFonts w:cs="Times New Roman"/>
                <w:b/>
                <w:sz w:val="20"/>
                <w:szCs w:val="20"/>
              </w:rPr>
              <w:t>2018</w:t>
            </w:r>
          </w:p>
        </w:tc>
      </w:tr>
      <w:tr w:rsidR="00C3312E" w:rsidRPr="00C3312E" w14:paraId="15400DB0" w14:textId="77777777" w:rsidTr="00F37A4F">
        <w:trPr>
          <w:jc w:val="center"/>
        </w:trPr>
        <w:tc>
          <w:tcPr>
            <w:tcW w:w="2090" w:type="dxa"/>
            <w:shd w:val="clear" w:color="auto" w:fill="BFBFBF" w:themeFill="background1" w:themeFillShade="BF"/>
          </w:tcPr>
          <w:p w14:paraId="162B6BEC" w14:textId="77777777" w:rsidR="00C3312E" w:rsidRPr="00C3312E" w:rsidRDefault="00C3312E" w:rsidP="00EC5B5A">
            <w:pPr>
              <w:spacing w:after="0" w:line="240" w:lineRule="auto"/>
              <w:rPr>
                <w:rFonts w:cs="Times New Roman"/>
                <w:b/>
                <w:sz w:val="20"/>
                <w:szCs w:val="20"/>
              </w:rPr>
            </w:pPr>
            <w:r w:rsidRPr="00C3312E">
              <w:rPr>
                <w:rFonts w:cs="Times New Roman"/>
                <w:b/>
                <w:sz w:val="20"/>
                <w:szCs w:val="20"/>
              </w:rPr>
              <w:t>Group</w:t>
            </w:r>
          </w:p>
        </w:tc>
        <w:tc>
          <w:tcPr>
            <w:tcW w:w="967" w:type="dxa"/>
            <w:shd w:val="clear" w:color="auto" w:fill="BFBFBF" w:themeFill="background1" w:themeFillShade="BF"/>
            <w:vAlign w:val="center"/>
          </w:tcPr>
          <w:p w14:paraId="1AD7FD07"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N (2018)</w:t>
            </w:r>
          </w:p>
        </w:tc>
        <w:tc>
          <w:tcPr>
            <w:tcW w:w="955" w:type="dxa"/>
            <w:shd w:val="clear" w:color="auto" w:fill="BFBFBF" w:themeFill="background1" w:themeFillShade="BF"/>
            <w:vAlign w:val="center"/>
          </w:tcPr>
          <w:p w14:paraId="6B12A32C"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2015</w:t>
            </w:r>
          </w:p>
        </w:tc>
        <w:tc>
          <w:tcPr>
            <w:tcW w:w="955" w:type="dxa"/>
            <w:shd w:val="clear" w:color="auto" w:fill="BFBFBF" w:themeFill="background1" w:themeFillShade="BF"/>
            <w:vAlign w:val="center"/>
          </w:tcPr>
          <w:p w14:paraId="450AC093"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2016</w:t>
            </w:r>
          </w:p>
        </w:tc>
        <w:tc>
          <w:tcPr>
            <w:tcW w:w="955" w:type="dxa"/>
            <w:shd w:val="clear" w:color="auto" w:fill="BFBFBF" w:themeFill="background1" w:themeFillShade="BF"/>
            <w:vAlign w:val="center"/>
          </w:tcPr>
          <w:p w14:paraId="488AAF54"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2017</w:t>
            </w:r>
          </w:p>
        </w:tc>
        <w:tc>
          <w:tcPr>
            <w:tcW w:w="955" w:type="dxa"/>
            <w:shd w:val="clear" w:color="auto" w:fill="BFBFBF" w:themeFill="background1" w:themeFillShade="BF"/>
            <w:vAlign w:val="center"/>
          </w:tcPr>
          <w:p w14:paraId="0B7500E3"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2018</w:t>
            </w:r>
          </w:p>
        </w:tc>
        <w:tc>
          <w:tcPr>
            <w:tcW w:w="1424" w:type="dxa"/>
            <w:shd w:val="clear" w:color="auto" w:fill="BFBFBF" w:themeFill="background1" w:themeFillShade="BF"/>
            <w:vAlign w:val="center"/>
          </w:tcPr>
          <w:p w14:paraId="22AFB000" w14:textId="62CAF6A4"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 xml:space="preserve">4-yr </w:t>
            </w:r>
            <w:r w:rsidR="0001674A">
              <w:rPr>
                <w:rFonts w:cs="Times New Roman"/>
                <w:b/>
                <w:sz w:val="20"/>
                <w:szCs w:val="20"/>
              </w:rPr>
              <w:t>C</w:t>
            </w:r>
            <w:r w:rsidR="0001674A" w:rsidRPr="00C3312E">
              <w:rPr>
                <w:rFonts w:cs="Times New Roman"/>
                <w:b/>
                <w:sz w:val="20"/>
                <w:szCs w:val="20"/>
              </w:rPr>
              <w:t>hange</w:t>
            </w:r>
          </w:p>
        </w:tc>
        <w:tc>
          <w:tcPr>
            <w:tcW w:w="1059" w:type="dxa"/>
            <w:shd w:val="clear" w:color="auto" w:fill="BFBFBF" w:themeFill="background1" w:themeFillShade="BF"/>
            <w:vAlign w:val="center"/>
          </w:tcPr>
          <w:p w14:paraId="48FFB7EE" w14:textId="77777777" w:rsidR="00C3312E" w:rsidRPr="00C3312E" w:rsidRDefault="00C3312E" w:rsidP="00F37A4F">
            <w:pPr>
              <w:spacing w:after="0" w:line="240" w:lineRule="auto"/>
              <w:jc w:val="center"/>
              <w:rPr>
                <w:rFonts w:cs="Times New Roman"/>
                <w:b/>
                <w:sz w:val="20"/>
                <w:szCs w:val="20"/>
              </w:rPr>
            </w:pPr>
            <w:r w:rsidRPr="00C3312E">
              <w:rPr>
                <w:rFonts w:cs="Times New Roman"/>
                <w:b/>
                <w:sz w:val="20"/>
                <w:szCs w:val="20"/>
              </w:rPr>
              <w:t>State (2018)</w:t>
            </w:r>
          </w:p>
        </w:tc>
      </w:tr>
      <w:tr w:rsidR="00C3312E" w:rsidRPr="00C3312E" w14:paraId="1074B0F6" w14:textId="77777777" w:rsidTr="00F37A4F">
        <w:trPr>
          <w:jc w:val="center"/>
        </w:trPr>
        <w:tc>
          <w:tcPr>
            <w:tcW w:w="2090" w:type="dxa"/>
          </w:tcPr>
          <w:p w14:paraId="5559E5D0" w14:textId="77777777" w:rsidR="00C3312E" w:rsidRPr="00C3312E" w:rsidRDefault="00C3312E" w:rsidP="00C3312E">
            <w:pPr>
              <w:spacing w:after="0" w:line="240" w:lineRule="auto"/>
              <w:rPr>
                <w:sz w:val="20"/>
                <w:szCs w:val="20"/>
              </w:rPr>
            </w:pPr>
            <w:r w:rsidRPr="00C3312E">
              <w:rPr>
                <w:sz w:val="20"/>
                <w:szCs w:val="20"/>
              </w:rPr>
              <w:t>African American/Black</w:t>
            </w:r>
          </w:p>
        </w:tc>
        <w:tc>
          <w:tcPr>
            <w:tcW w:w="967" w:type="dxa"/>
            <w:vAlign w:val="center"/>
          </w:tcPr>
          <w:p w14:paraId="74D24456" w14:textId="77777777" w:rsidR="00C3312E" w:rsidRPr="00C3312E" w:rsidRDefault="00C3312E" w:rsidP="00F37A4F">
            <w:pPr>
              <w:spacing w:after="0" w:line="240" w:lineRule="auto"/>
              <w:jc w:val="center"/>
              <w:rPr>
                <w:sz w:val="20"/>
                <w:szCs w:val="20"/>
              </w:rPr>
            </w:pPr>
            <w:r w:rsidRPr="00C3312E">
              <w:rPr>
                <w:sz w:val="20"/>
                <w:szCs w:val="20"/>
              </w:rPr>
              <w:t>109</w:t>
            </w:r>
          </w:p>
        </w:tc>
        <w:tc>
          <w:tcPr>
            <w:tcW w:w="955" w:type="dxa"/>
            <w:vAlign w:val="center"/>
          </w:tcPr>
          <w:p w14:paraId="41948709" w14:textId="77777777" w:rsidR="00C3312E" w:rsidRPr="00C3312E" w:rsidRDefault="00C3312E" w:rsidP="00F37A4F">
            <w:pPr>
              <w:spacing w:after="0" w:line="240" w:lineRule="auto"/>
              <w:jc w:val="center"/>
              <w:rPr>
                <w:sz w:val="20"/>
                <w:szCs w:val="20"/>
              </w:rPr>
            </w:pPr>
            <w:r w:rsidRPr="00C3312E">
              <w:rPr>
                <w:sz w:val="20"/>
                <w:szCs w:val="20"/>
              </w:rPr>
              <w:t>30%</w:t>
            </w:r>
          </w:p>
        </w:tc>
        <w:tc>
          <w:tcPr>
            <w:tcW w:w="955" w:type="dxa"/>
            <w:vAlign w:val="center"/>
          </w:tcPr>
          <w:p w14:paraId="7A0D3E68" w14:textId="77777777" w:rsidR="00C3312E" w:rsidRPr="00C3312E" w:rsidRDefault="00C3312E" w:rsidP="00F37A4F">
            <w:pPr>
              <w:spacing w:after="0" w:line="240" w:lineRule="auto"/>
              <w:jc w:val="center"/>
              <w:rPr>
                <w:sz w:val="20"/>
                <w:szCs w:val="20"/>
              </w:rPr>
            </w:pPr>
            <w:r w:rsidRPr="00C3312E">
              <w:rPr>
                <w:sz w:val="20"/>
                <w:szCs w:val="20"/>
              </w:rPr>
              <w:t>24%</w:t>
            </w:r>
          </w:p>
        </w:tc>
        <w:tc>
          <w:tcPr>
            <w:tcW w:w="955" w:type="dxa"/>
            <w:vAlign w:val="center"/>
          </w:tcPr>
          <w:p w14:paraId="69200953" w14:textId="77777777" w:rsidR="00C3312E" w:rsidRPr="00C3312E" w:rsidRDefault="00C3312E" w:rsidP="00F37A4F">
            <w:pPr>
              <w:spacing w:after="0" w:line="240" w:lineRule="auto"/>
              <w:jc w:val="center"/>
              <w:rPr>
                <w:sz w:val="20"/>
                <w:szCs w:val="20"/>
              </w:rPr>
            </w:pPr>
            <w:r w:rsidRPr="00C3312E">
              <w:rPr>
                <w:sz w:val="20"/>
                <w:szCs w:val="20"/>
              </w:rPr>
              <w:t>38%</w:t>
            </w:r>
          </w:p>
        </w:tc>
        <w:tc>
          <w:tcPr>
            <w:tcW w:w="955" w:type="dxa"/>
            <w:vAlign w:val="center"/>
          </w:tcPr>
          <w:p w14:paraId="0D12A493" w14:textId="77777777" w:rsidR="00C3312E" w:rsidRPr="00C3312E" w:rsidRDefault="00C3312E" w:rsidP="00F37A4F">
            <w:pPr>
              <w:spacing w:after="0" w:line="240" w:lineRule="auto"/>
              <w:jc w:val="center"/>
              <w:rPr>
                <w:sz w:val="20"/>
                <w:szCs w:val="20"/>
              </w:rPr>
            </w:pPr>
            <w:r w:rsidRPr="00C3312E">
              <w:rPr>
                <w:sz w:val="20"/>
                <w:szCs w:val="20"/>
              </w:rPr>
              <w:t>27%</w:t>
            </w:r>
          </w:p>
        </w:tc>
        <w:tc>
          <w:tcPr>
            <w:tcW w:w="1424" w:type="dxa"/>
            <w:vAlign w:val="center"/>
          </w:tcPr>
          <w:p w14:paraId="1F4052B4" w14:textId="77777777" w:rsidR="00C3312E" w:rsidRPr="00C3312E" w:rsidRDefault="00C3312E" w:rsidP="00F37A4F">
            <w:pPr>
              <w:spacing w:after="0" w:line="240" w:lineRule="auto"/>
              <w:jc w:val="center"/>
              <w:rPr>
                <w:sz w:val="20"/>
                <w:szCs w:val="20"/>
              </w:rPr>
            </w:pPr>
            <w:r w:rsidRPr="00C3312E">
              <w:rPr>
                <w:sz w:val="20"/>
                <w:szCs w:val="20"/>
              </w:rPr>
              <w:t>-3%</w:t>
            </w:r>
          </w:p>
        </w:tc>
        <w:tc>
          <w:tcPr>
            <w:tcW w:w="1059" w:type="dxa"/>
            <w:vAlign w:val="center"/>
          </w:tcPr>
          <w:p w14:paraId="01B178D2" w14:textId="77777777" w:rsidR="00C3312E" w:rsidRPr="00C3312E" w:rsidRDefault="00C3312E" w:rsidP="00F37A4F">
            <w:pPr>
              <w:spacing w:after="0" w:line="240" w:lineRule="auto"/>
              <w:jc w:val="center"/>
              <w:rPr>
                <w:sz w:val="20"/>
                <w:szCs w:val="20"/>
              </w:rPr>
            </w:pPr>
            <w:r w:rsidRPr="00C3312E">
              <w:rPr>
                <w:sz w:val="20"/>
                <w:szCs w:val="20"/>
              </w:rPr>
              <w:t>30%</w:t>
            </w:r>
          </w:p>
        </w:tc>
      </w:tr>
      <w:tr w:rsidR="00C3312E" w:rsidRPr="00C3312E" w14:paraId="47152F72" w14:textId="77777777" w:rsidTr="00CF7974">
        <w:trPr>
          <w:jc w:val="center"/>
        </w:trPr>
        <w:tc>
          <w:tcPr>
            <w:tcW w:w="2090" w:type="dxa"/>
            <w:shd w:val="clear" w:color="auto" w:fill="BFBFBF" w:themeFill="background1" w:themeFillShade="BF"/>
          </w:tcPr>
          <w:p w14:paraId="67B58856" w14:textId="77777777" w:rsidR="00C3312E" w:rsidRPr="00C3312E" w:rsidRDefault="00C3312E" w:rsidP="00C3312E">
            <w:pPr>
              <w:spacing w:after="0" w:line="240" w:lineRule="auto"/>
              <w:rPr>
                <w:sz w:val="20"/>
                <w:szCs w:val="20"/>
              </w:rPr>
            </w:pPr>
            <w:r w:rsidRPr="00C3312E">
              <w:rPr>
                <w:sz w:val="20"/>
                <w:szCs w:val="20"/>
              </w:rPr>
              <w:t>Asian</w:t>
            </w:r>
          </w:p>
        </w:tc>
        <w:tc>
          <w:tcPr>
            <w:tcW w:w="967" w:type="dxa"/>
            <w:shd w:val="clear" w:color="auto" w:fill="BFBFBF" w:themeFill="background1" w:themeFillShade="BF"/>
          </w:tcPr>
          <w:p w14:paraId="3A3C3A36" w14:textId="77777777" w:rsidR="00C3312E" w:rsidRPr="00C3312E" w:rsidRDefault="00C3312E" w:rsidP="00C3312E">
            <w:pPr>
              <w:spacing w:after="0" w:line="240" w:lineRule="auto"/>
              <w:jc w:val="center"/>
              <w:rPr>
                <w:sz w:val="20"/>
                <w:szCs w:val="20"/>
              </w:rPr>
            </w:pPr>
            <w:r w:rsidRPr="00C3312E">
              <w:rPr>
                <w:sz w:val="20"/>
                <w:szCs w:val="20"/>
              </w:rPr>
              <w:t>90</w:t>
            </w:r>
          </w:p>
        </w:tc>
        <w:tc>
          <w:tcPr>
            <w:tcW w:w="955" w:type="dxa"/>
            <w:shd w:val="clear" w:color="auto" w:fill="BFBFBF" w:themeFill="background1" w:themeFillShade="BF"/>
          </w:tcPr>
          <w:p w14:paraId="339203D5" w14:textId="77777777" w:rsidR="00C3312E" w:rsidRPr="00C3312E" w:rsidRDefault="00C3312E" w:rsidP="00C3312E">
            <w:pPr>
              <w:spacing w:after="0" w:line="240" w:lineRule="auto"/>
              <w:jc w:val="center"/>
              <w:rPr>
                <w:sz w:val="20"/>
                <w:szCs w:val="20"/>
              </w:rPr>
            </w:pPr>
            <w:r w:rsidRPr="00C3312E">
              <w:rPr>
                <w:sz w:val="20"/>
                <w:szCs w:val="20"/>
              </w:rPr>
              <w:t>74%</w:t>
            </w:r>
          </w:p>
        </w:tc>
        <w:tc>
          <w:tcPr>
            <w:tcW w:w="955" w:type="dxa"/>
            <w:shd w:val="clear" w:color="auto" w:fill="BFBFBF" w:themeFill="background1" w:themeFillShade="BF"/>
          </w:tcPr>
          <w:p w14:paraId="03A9D088" w14:textId="77777777" w:rsidR="00C3312E" w:rsidRPr="00C3312E" w:rsidRDefault="00C3312E" w:rsidP="00C3312E">
            <w:pPr>
              <w:spacing w:after="0" w:line="240" w:lineRule="auto"/>
              <w:jc w:val="center"/>
              <w:rPr>
                <w:sz w:val="20"/>
                <w:szCs w:val="20"/>
              </w:rPr>
            </w:pPr>
            <w:r w:rsidRPr="00C3312E">
              <w:rPr>
                <w:sz w:val="20"/>
                <w:szCs w:val="20"/>
              </w:rPr>
              <w:t>72%</w:t>
            </w:r>
          </w:p>
        </w:tc>
        <w:tc>
          <w:tcPr>
            <w:tcW w:w="955" w:type="dxa"/>
            <w:shd w:val="clear" w:color="auto" w:fill="BFBFBF" w:themeFill="background1" w:themeFillShade="BF"/>
          </w:tcPr>
          <w:p w14:paraId="24B1B631" w14:textId="77777777" w:rsidR="00C3312E" w:rsidRPr="00C3312E" w:rsidRDefault="00C3312E" w:rsidP="00C3312E">
            <w:pPr>
              <w:spacing w:after="0" w:line="240" w:lineRule="auto"/>
              <w:jc w:val="center"/>
              <w:rPr>
                <w:sz w:val="20"/>
                <w:szCs w:val="20"/>
              </w:rPr>
            </w:pPr>
            <w:r w:rsidRPr="00C3312E">
              <w:rPr>
                <w:sz w:val="20"/>
                <w:szCs w:val="20"/>
              </w:rPr>
              <w:t>73%</w:t>
            </w:r>
          </w:p>
        </w:tc>
        <w:tc>
          <w:tcPr>
            <w:tcW w:w="955" w:type="dxa"/>
            <w:shd w:val="clear" w:color="auto" w:fill="BFBFBF" w:themeFill="background1" w:themeFillShade="BF"/>
          </w:tcPr>
          <w:p w14:paraId="50A745E6" w14:textId="77777777" w:rsidR="00C3312E" w:rsidRPr="00C3312E" w:rsidRDefault="00C3312E" w:rsidP="00C3312E">
            <w:pPr>
              <w:spacing w:after="0" w:line="240" w:lineRule="auto"/>
              <w:jc w:val="center"/>
              <w:rPr>
                <w:sz w:val="20"/>
                <w:szCs w:val="20"/>
              </w:rPr>
            </w:pPr>
            <w:r w:rsidRPr="00C3312E">
              <w:rPr>
                <w:sz w:val="20"/>
                <w:szCs w:val="20"/>
              </w:rPr>
              <w:t>57%</w:t>
            </w:r>
          </w:p>
        </w:tc>
        <w:tc>
          <w:tcPr>
            <w:tcW w:w="1424" w:type="dxa"/>
            <w:shd w:val="clear" w:color="auto" w:fill="BFBFBF" w:themeFill="background1" w:themeFillShade="BF"/>
          </w:tcPr>
          <w:p w14:paraId="3C316910" w14:textId="77777777" w:rsidR="00C3312E" w:rsidRPr="00C3312E" w:rsidRDefault="00C3312E" w:rsidP="00C3312E">
            <w:pPr>
              <w:spacing w:after="0" w:line="240" w:lineRule="auto"/>
              <w:jc w:val="center"/>
              <w:rPr>
                <w:sz w:val="20"/>
                <w:szCs w:val="20"/>
              </w:rPr>
            </w:pPr>
            <w:r w:rsidRPr="00C3312E">
              <w:rPr>
                <w:sz w:val="20"/>
                <w:szCs w:val="20"/>
              </w:rPr>
              <w:t>-17%</w:t>
            </w:r>
          </w:p>
        </w:tc>
        <w:tc>
          <w:tcPr>
            <w:tcW w:w="1059" w:type="dxa"/>
            <w:shd w:val="clear" w:color="auto" w:fill="BFBFBF" w:themeFill="background1" w:themeFillShade="BF"/>
          </w:tcPr>
          <w:p w14:paraId="4E9862DA" w14:textId="77777777" w:rsidR="00C3312E" w:rsidRPr="00C3312E" w:rsidRDefault="00C3312E" w:rsidP="00C3312E">
            <w:pPr>
              <w:spacing w:after="0" w:line="240" w:lineRule="auto"/>
              <w:jc w:val="center"/>
              <w:rPr>
                <w:sz w:val="20"/>
                <w:szCs w:val="20"/>
              </w:rPr>
            </w:pPr>
            <w:r w:rsidRPr="00C3312E">
              <w:rPr>
                <w:sz w:val="20"/>
                <w:szCs w:val="20"/>
              </w:rPr>
              <w:t>68%</w:t>
            </w:r>
          </w:p>
        </w:tc>
      </w:tr>
      <w:tr w:rsidR="00C3312E" w:rsidRPr="00C3312E" w14:paraId="3806C030" w14:textId="77777777" w:rsidTr="00CF7974">
        <w:trPr>
          <w:jc w:val="center"/>
        </w:trPr>
        <w:tc>
          <w:tcPr>
            <w:tcW w:w="2090" w:type="dxa"/>
          </w:tcPr>
          <w:p w14:paraId="12C9F19F" w14:textId="77777777" w:rsidR="00C3312E" w:rsidRPr="00C3312E" w:rsidRDefault="00C3312E" w:rsidP="00C3312E">
            <w:pPr>
              <w:spacing w:after="0" w:line="240" w:lineRule="auto"/>
              <w:rPr>
                <w:sz w:val="20"/>
                <w:szCs w:val="20"/>
              </w:rPr>
            </w:pPr>
            <w:r w:rsidRPr="00C3312E">
              <w:rPr>
                <w:sz w:val="20"/>
                <w:szCs w:val="20"/>
              </w:rPr>
              <w:t>Hispanic or Latino</w:t>
            </w:r>
          </w:p>
        </w:tc>
        <w:tc>
          <w:tcPr>
            <w:tcW w:w="967" w:type="dxa"/>
          </w:tcPr>
          <w:p w14:paraId="684725FE" w14:textId="77777777" w:rsidR="00C3312E" w:rsidRPr="00C3312E" w:rsidRDefault="00C3312E" w:rsidP="00C3312E">
            <w:pPr>
              <w:spacing w:after="0" w:line="240" w:lineRule="auto"/>
              <w:jc w:val="center"/>
              <w:rPr>
                <w:sz w:val="20"/>
                <w:szCs w:val="20"/>
              </w:rPr>
            </w:pPr>
            <w:r w:rsidRPr="00C3312E">
              <w:rPr>
                <w:sz w:val="20"/>
                <w:szCs w:val="20"/>
              </w:rPr>
              <w:t>462</w:t>
            </w:r>
          </w:p>
        </w:tc>
        <w:tc>
          <w:tcPr>
            <w:tcW w:w="955" w:type="dxa"/>
          </w:tcPr>
          <w:p w14:paraId="0C897B2F" w14:textId="77777777" w:rsidR="00C3312E" w:rsidRPr="00C3312E" w:rsidRDefault="00C3312E" w:rsidP="00C3312E">
            <w:pPr>
              <w:spacing w:after="0" w:line="240" w:lineRule="auto"/>
              <w:jc w:val="center"/>
              <w:rPr>
                <w:sz w:val="20"/>
                <w:szCs w:val="20"/>
              </w:rPr>
            </w:pPr>
            <w:r w:rsidRPr="00C3312E">
              <w:rPr>
                <w:sz w:val="20"/>
                <w:szCs w:val="20"/>
              </w:rPr>
              <w:t>24%</w:t>
            </w:r>
          </w:p>
        </w:tc>
        <w:tc>
          <w:tcPr>
            <w:tcW w:w="955" w:type="dxa"/>
          </w:tcPr>
          <w:p w14:paraId="114781DC" w14:textId="77777777" w:rsidR="00C3312E" w:rsidRPr="00C3312E" w:rsidRDefault="00C3312E" w:rsidP="00C3312E">
            <w:pPr>
              <w:spacing w:after="0" w:line="240" w:lineRule="auto"/>
              <w:jc w:val="center"/>
              <w:rPr>
                <w:sz w:val="20"/>
                <w:szCs w:val="20"/>
              </w:rPr>
            </w:pPr>
            <w:r w:rsidRPr="00C3312E">
              <w:rPr>
                <w:sz w:val="20"/>
                <w:szCs w:val="20"/>
              </w:rPr>
              <w:t>21%</w:t>
            </w:r>
          </w:p>
        </w:tc>
        <w:tc>
          <w:tcPr>
            <w:tcW w:w="955" w:type="dxa"/>
          </w:tcPr>
          <w:p w14:paraId="7F4D88D8" w14:textId="77777777" w:rsidR="00C3312E" w:rsidRPr="00C3312E" w:rsidRDefault="00C3312E" w:rsidP="00C3312E">
            <w:pPr>
              <w:spacing w:after="0" w:line="240" w:lineRule="auto"/>
              <w:jc w:val="center"/>
              <w:rPr>
                <w:sz w:val="20"/>
                <w:szCs w:val="20"/>
              </w:rPr>
            </w:pPr>
            <w:r w:rsidRPr="00C3312E">
              <w:rPr>
                <w:sz w:val="20"/>
                <w:szCs w:val="20"/>
              </w:rPr>
              <w:t>27%</w:t>
            </w:r>
          </w:p>
        </w:tc>
        <w:tc>
          <w:tcPr>
            <w:tcW w:w="955" w:type="dxa"/>
          </w:tcPr>
          <w:p w14:paraId="5C87C1F3" w14:textId="77777777" w:rsidR="00C3312E" w:rsidRPr="00C3312E" w:rsidRDefault="00C3312E" w:rsidP="00C3312E">
            <w:pPr>
              <w:spacing w:after="0" w:line="240" w:lineRule="auto"/>
              <w:jc w:val="center"/>
              <w:rPr>
                <w:sz w:val="20"/>
                <w:szCs w:val="20"/>
              </w:rPr>
            </w:pPr>
            <w:r w:rsidRPr="00C3312E">
              <w:rPr>
                <w:sz w:val="20"/>
                <w:szCs w:val="20"/>
              </w:rPr>
              <w:t>21%</w:t>
            </w:r>
          </w:p>
        </w:tc>
        <w:tc>
          <w:tcPr>
            <w:tcW w:w="1424" w:type="dxa"/>
          </w:tcPr>
          <w:p w14:paraId="5F286E4D" w14:textId="77777777" w:rsidR="00C3312E" w:rsidRPr="00C3312E" w:rsidRDefault="00C3312E" w:rsidP="00C3312E">
            <w:pPr>
              <w:spacing w:after="0" w:line="240" w:lineRule="auto"/>
              <w:jc w:val="center"/>
              <w:rPr>
                <w:sz w:val="20"/>
                <w:szCs w:val="20"/>
              </w:rPr>
            </w:pPr>
            <w:r w:rsidRPr="00C3312E">
              <w:rPr>
                <w:sz w:val="20"/>
                <w:szCs w:val="20"/>
              </w:rPr>
              <w:t>-3%</w:t>
            </w:r>
          </w:p>
        </w:tc>
        <w:tc>
          <w:tcPr>
            <w:tcW w:w="1059" w:type="dxa"/>
          </w:tcPr>
          <w:p w14:paraId="2D1C76CF" w14:textId="77777777" w:rsidR="00C3312E" w:rsidRPr="00C3312E" w:rsidRDefault="00C3312E" w:rsidP="00C3312E">
            <w:pPr>
              <w:spacing w:after="0" w:line="240" w:lineRule="auto"/>
              <w:jc w:val="center"/>
              <w:rPr>
                <w:sz w:val="20"/>
                <w:szCs w:val="20"/>
              </w:rPr>
            </w:pPr>
            <w:r w:rsidRPr="00C3312E">
              <w:rPr>
                <w:sz w:val="20"/>
                <w:szCs w:val="20"/>
              </w:rPr>
              <w:t>30%</w:t>
            </w:r>
          </w:p>
        </w:tc>
      </w:tr>
      <w:tr w:rsidR="00C3312E" w:rsidRPr="00C3312E" w14:paraId="07B8EA39" w14:textId="77777777" w:rsidTr="00CF7974">
        <w:trPr>
          <w:jc w:val="center"/>
        </w:trPr>
        <w:tc>
          <w:tcPr>
            <w:tcW w:w="2090" w:type="dxa"/>
            <w:shd w:val="clear" w:color="auto" w:fill="BFBFBF" w:themeFill="background1" w:themeFillShade="BF"/>
          </w:tcPr>
          <w:p w14:paraId="7607B4DF" w14:textId="77777777" w:rsidR="00C3312E" w:rsidRPr="00C3312E" w:rsidRDefault="00C3312E" w:rsidP="00C3312E">
            <w:pPr>
              <w:spacing w:after="0" w:line="240" w:lineRule="auto"/>
              <w:rPr>
                <w:sz w:val="20"/>
                <w:szCs w:val="20"/>
              </w:rPr>
            </w:pPr>
            <w:r w:rsidRPr="00C3312E">
              <w:rPr>
                <w:sz w:val="20"/>
                <w:szCs w:val="20"/>
              </w:rPr>
              <w:t>Multi-Race</w:t>
            </w:r>
          </w:p>
        </w:tc>
        <w:tc>
          <w:tcPr>
            <w:tcW w:w="967" w:type="dxa"/>
            <w:shd w:val="clear" w:color="auto" w:fill="BFBFBF" w:themeFill="background1" w:themeFillShade="BF"/>
          </w:tcPr>
          <w:p w14:paraId="20B2BB23" w14:textId="77777777" w:rsidR="00C3312E" w:rsidRPr="00C3312E" w:rsidRDefault="00C3312E" w:rsidP="00C3312E">
            <w:pPr>
              <w:spacing w:after="0" w:line="240" w:lineRule="auto"/>
              <w:jc w:val="center"/>
              <w:rPr>
                <w:sz w:val="20"/>
                <w:szCs w:val="20"/>
              </w:rPr>
            </w:pPr>
            <w:r w:rsidRPr="00C3312E">
              <w:rPr>
                <w:sz w:val="20"/>
                <w:szCs w:val="20"/>
              </w:rPr>
              <w:t>67</w:t>
            </w:r>
          </w:p>
        </w:tc>
        <w:tc>
          <w:tcPr>
            <w:tcW w:w="955" w:type="dxa"/>
            <w:shd w:val="clear" w:color="auto" w:fill="BFBFBF" w:themeFill="background1" w:themeFillShade="BF"/>
          </w:tcPr>
          <w:p w14:paraId="03C1E564" w14:textId="77777777" w:rsidR="00C3312E" w:rsidRPr="00C3312E" w:rsidRDefault="00C3312E" w:rsidP="00C3312E">
            <w:pPr>
              <w:spacing w:after="0" w:line="240" w:lineRule="auto"/>
              <w:jc w:val="center"/>
              <w:rPr>
                <w:sz w:val="20"/>
                <w:szCs w:val="20"/>
              </w:rPr>
            </w:pPr>
            <w:r w:rsidRPr="00C3312E">
              <w:rPr>
                <w:sz w:val="20"/>
                <w:szCs w:val="20"/>
              </w:rPr>
              <w:t>54%</w:t>
            </w:r>
          </w:p>
        </w:tc>
        <w:tc>
          <w:tcPr>
            <w:tcW w:w="955" w:type="dxa"/>
            <w:shd w:val="clear" w:color="auto" w:fill="BFBFBF" w:themeFill="background1" w:themeFillShade="BF"/>
          </w:tcPr>
          <w:p w14:paraId="4089DF3B" w14:textId="77777777" w:rsidR="00C3312E" w:rsidRPr="00C3312E" w:rsidRDefault="00C3312E" w:rsidP="00C3312E">
            <w:pPr>
              <w:spacing w:after="0" w:line="240" w:lineRule="auto"/>
              <w:jc w:val="center"/>
              <w:rPr>
                <w:sz w:val="20"/>
                <w:szCs w:val="20"/>
              </w:rPr>
            </w:pPr>
            <w:r w:rsidRPr="00C3312E">
              <w:rPr>
                <w:sz w:val="20"/>
                <w:szCs w:val="20"/>
              </w:rPr>
              <w:t>50%</w:t>
            </w:r>
          </w:p>
        </w:tc>
        <w:tc>
          <w:tcPr>
            <w:tcW w:w="955" w:type="dxa"/>
            <w:shd w:val="clear" w:color="auto" w:fill="BFBFBF" w:themeFill="background1" w:themeFillShade="BF"/>
          </w:tcPr>
          <w:p w14:paraId="0445B33A" w14:textId="77777777" w:rsidR="00C3312E" w:rsidRPr="00C3312E" w:rsidRDefault="00C3312E" w:rsidP="00C3312E">
            <w:pPr>
              <w:spacing w:after="0" w:line="240" w:lineRule="auto"/>
              <w:jc w:val="center"/>
              <w:rPr>
                <w:sz w:val="20"/>
                <w:szCs w:val="20"/>
              </w:rPr>
            </w:pPr>
            <w:r w:rsidRPr="00C3312E">
              <w:rPr>
                <w:sz w:val="20"/>
                <w:szCs w:val="20"/>
              </w:rPr>
              <w:t>56%</w:t>
            </w:r>
          </w:p>
        </w:tc>
        <w:tc>
          <w:tcPr>
            <w:tcW w:w="955" w:type="dxa"/>
            <w:shd w:val="clear" w:color="auto" w:fill="BFBFBF" w:themeFill="background1" w:themeFillShade="BF"/>
          </w:tcPr>
          <w:p w14:paraId="00F974EB" w14:textId="77777777" w:rsidR="00C3312E" w:rsidRPr="00C3312E" w:rsidRDefault="00C3312E" w:rsidP="00C3312E">
            <w:pPr>
              <w:spacing w:after="0" w:line="240" w:lineRule="auto"/>
              <w:jc w:val="center"/>
              <w:rPr>
                <w:sz w:val="20"/>
                <w:szCs w:val="20"/>
              </w:rPr>
            </w:pPr>
            <w:r w:rsidRPr="00C3312E">
              <w:rPr>
                <w:sz w:val="20"/>
                <w:szCs w:val="20"/>
              </w:rPr>
              <w:t>55%</w:t>
            </w:r>
          </w:p>
        </w:tc>
        <w:tc>
          <w:tcPr>
            <w:tcW w:w="1424" w:type="dxa"/>
            <w:shd w:val="clear" w:color="auto" w:fill="BFBFBF" w:themeFill="background1" w:themeFillShade="BF"/>
          </w:tcPr>
          <w:p w14:paraId="7D06FB5D" w14:textId="77777777" w:rsidR="00C3312E" w:rsidRPr="00C3312E" w:rsidRDefault="00C3312E" w:rsidP="00C3312E">
            <w:pPr>
              <w:spacing w:after="0" w:line="240" w:lineRule="auto"/>
              <w:jc w:val="center"/>
              <w:rPr>
                <w:sz w:val="20"/>
                <w:szCs w:val="20"/>
              </w:rPr>
            </w:pPr>
            <w:r w:rsidRPr="00C3312E">
              <w:rPr>
                <w:sz w:val="20"/>
                <w:szCs w:val="20"/>
              </w:rPr>
              <w:t>1%</w:t>
            </w:r>
          </w:p>
        </w:tc>
        <w:tc>
          <w:tcPr>
            <w:tcW w:w="1059" w:type="dxa"/>
            <w:shd w:val="clear" w:color="auto" w:fill="BFBFBF" w:themeFill="background1" w:themeFillShade="BF"/>
          </w:tcPr>
          <w:p w14:paraId="0FE60E22" w14:textId="77777777" w:rsidR="00C3312E" w:rsidRPr="00C3312E" w:rsidRDefault="00C3312E" w:rsidP="00C3312E">
            <w:pPr>
              <w:spacing w:after="0" w:line="240" w:lineRule="auto"/>
              <w:jc w:val="center"/>
              <w:rPr>
                <w:sz w:val="20"/>
                <w:szCs w:val="20"/>
              </w:rPr>
            </w:pPr>
            <w:r w:rsidRPr="00C3312E">
              <w:rPr>
                <w:sz w:val="20"/>
                <w:szCs w:val="20"/>
              </w:rPr>
              <w:t>54%</w:t>
            </w:r>
          </w:p>
        </w:tc>
      </w:tr>
      <w:tr w:rsidR="00C3312E" w:rsidRPr="00C3312E" w14:paraId="3760C5CF" w14:textId="77777777" w:rsidTr="00CF7974">
        <w:trPr>
          <w:jc w:val="center"/>
        </w:trPr>
        <w:tc>
          <w:tcPr>
            <w:tcW w:w="2090" w:type="dxa"/>
          </w:tcPr>
          <w:p w14:paraId="5BFE4534" w14:textId="77777777" w:rsidR="00C3312E" w:rsidRPr="00C3312E" w:rsidRDefault="00C3312E" w:rsidP="00C3312E">
            <w:pPr>
              <w:spacing w:after="0" w:line="240" w:lineRule="auto"/>
              <w:rPr>
                <w:sz w:val="20"/>
                <w:szCs w:val="20"/>
              </w:rPr>
            </w:pPr>
            <w:r w:rsidRPr="00C3312E">
              <w:rPr>
                <w:sz w:val="20"/>
                <w:szCs w:val="20"/>
              </w:rPr>
              <w:t>White</w:t>
            </w:r>
          </w:p>
        </w:tc>
        <w:tc>
          <w:tcPr>
            <w:tcW w:w="967" w:type="dxa"/>
          </w:tcPr>
          <w:p w14:paraId="44B1B415" w14:textId="77777777" w:rsidR="00C3312E" w:rsidRPr="00C3312E" w:rsidRDefault="00C3312E" w:rsidP="00C3312E">
            <w:pPr>
              <w:spacing w:after="0" w:line="240" w:lineRule="auto"/>
              <w:jc w:val="center"/>
              <w:rPr>
                <w:sz w:val="20"/>
                <w:szCs w:val="20"/>
              </w:rPr>
            </w:pPr>
            <w:r w:rsidRPr="00C3312E">
              <w:rPr>
                <w:sz w:val="20"/>
                <w:szCs w:val="20"/>
              </w:rPr>
              <w:t>1,069</w:t>
            </w:r>
          </w:p>
        </w:tc>
        <w:tc>
          <w:tcPr>
            <w:tcW w:w="955" w:type="dxa"/>
          </w:tcPr>
          <w:p w14:paraId="70565B73" w14:textId="77777777" w:rsidR="00C3312E" w:rsidRPr="00C3312E" w:rsidRDefault="00C3312E" w:rsidP="00C3312E">
            <w:pPr>
              <w:spacing w:after="0" w:line="240" w:lineRule="auto"/>
              <w:jc w:val="center"/>
              <w:rPr>
                <w:sz w:val="20"/>
                <w:szCs w:val="20"/>
              </w:rPr>
            </w:pPr>
            <w:r w:rsidRPr="00C3312E">
              <w:rPr>
                <w:sz w:val="20"/>
                <w:szCs w:val="20"/>
              </w:rPr>
              <w:t>60%</w:t>
            </w:r>
          </w:p>
        </w:tc>
        <w:tc>
          <w:tcPr>
            <w:tcW w:w="955" w:type="dxa"/>
          </w:tcPr>
          <w:p w14:paraId="3BFF321B" w14:textId="77777777" w:rsidR="00C3312E" w:rsidRPr="00C3312E" w:rsidRDefault="00C3312E" w:rsidP="00C3312E">
            <w:pPr>
              <w:spacing w:after="0" w:line="240" w:lineRule="auto"/>
              <w:jc w:val="center"/>
              <w:rPr>
                <w:sz w:val="20"/>
                <w:szCs w:val="20"/>
              </w:rPr>
            </w:pPr>
            <w:r w:rsidRPr="00C3312E">
              <w:rPr>
                <w:sz w:val="20"/>
                <w:szCs w:val="20"/>
              </w:rPr>
              <w:t>58%</w:t>
            </w:r>
          </w:p>
        </w:tc>
        <w:tc>
          <w:tcPr>
            <w:tcW w:w="955" w:type="dxa"/>
          </w:tcPr>
          <w:p w14:paraId="4831FBDE" w14:textId="77777777" w:rsidR="00C3312E" w:rsidRPr="00C3312E" w:rsidRDefault="00C3312E" w:rsidP="00C3312E">
            <w:pPr>
              <w:spacing w:after="0" w:line="240" w:lineRule="auto"/>
              <w:jc w:val="center"/>
              <w:rPr>
                <w:sz w:val="20"/>
                <w:szCs w:val="20"/>
              </w:rPr>
            </w:pPr>
            <w:r w:rsidRPr="00C3312E">
              <w:rPr>
                <w:sz w:val="20"/>
                <w:szCs w:val="20"/>
              </w:rPr>
              <w:t>52%</w:t>
            </w:r>
          </w:p>
        </w:tc>
        <w:tc>
          <w:tcPr>
            <w:tcW w:w="955" w:type="dxa"/>
          </w:tcPr>
          <w:p w14:paraId="4098471E" w14:textId="77777777" w:rsidR="00C3312E" w:rsidRPr="00C3312E" w:rsidRDefault="00C3312E" w:rsidP="00C3312E">
            <w:pPr>
              <w:spacing w:after="0" w:line="240" w:lineRule="auto"/>
              <w:jc w:val="center"/>
              <w:rPr>
                <w:sz w:val="20"/>
                <w:szCs w:val="20"/>
              </w:rPr>
            </w:pPr>
            <w:r w:rsidRPr="00C3312E">
              <w:rPr>
                <w:sz w:val="20"/>
                <w:szCs w:val="20"/>
              </w:rPr>
              <w:t>51%</w:t>
            </w:r>
          </w:p>
        </w:tc>
        <w:tc>
          <w:tcPr>
            <w:tcW w:w="1424" w:type="dxa"/>
          </w:tcPr>
          <w:p w14:paraId="2CED3114" w14:textId="77777777" w:rsidR="00C3312E" w:rsidRPr="00C3312E" w:rsidRDefault="00C3312E" w:rsidP="00C3312E">
            <w:pPr>
              <w:spacing w:after="0" w:line="240" w:lineRule="auto"/>
              <w:jc w:val="center"/>
              <w:rPr>
                <w:sz w:val="20"/>
                <w:szCs w:val="20"/>
              </w:rPr>
            </w:pPr>
            <w:r w:rsidRPr="00C3312E">
              <w:rPr>
                <w:sz w:val="20"/>
                <w:szCs w:val="20"/>
              </w:rPr>
              <w:t>-9%</w:t>
            </w:r>
          </w:p>
        </w:tc>
        <w:tc>
          <w:tcPr>
            <w:tcW w:w="1059" w:type="dxa"/>
          </w:tcPr>
          <w:p w14:paraId="22808450" w14:textId="77777777" w:rsidR="00C3312E" w:rsidRPr="00C3312E" w:rsidRDefault="00C3312E" w:rsidP="00C3312E">
            <w:pPr>
              <w:spacing w:after="0" w:line="240" w:lineRule="auto"/>
              <w:jc w:val="center"/>
              <w:rPr>
                <w:sz w:val="20"/>
                <w:szCs w:val="20"/>
              </w:rPr>
            </w:pPr>
            <w:r w:rsidRPr="00C3312E">
              <w:rPr>
                <w:sz w:val="20"/>
                <w:szCs w:val="20"/>
              </w:rPr>
              <w:t>60%</w:t>
            </w:r>
          </w:p>
        </w:tc>
      </w:tr>
      <w:tr w:rsidR="00C3312E" w:rsidRPr="00C3312E" w14:paraId="053DDF8D" w14:textId="77777777" w:rsidTr="00CF7974">
        <w:trPr>
          <w:jc w:val="center"/>
        </w:trPr>
        <w:tc>
          <w:tcPr>
            <w:tcW w:w="2090" w:type="dxa"/>
            <w:shd w:val="clear" w:color="auto" w:fill="BFBFBF" w:themeFill="background1" w:themeFillShade="BF"/>
          </w:tcPr>
          <w:p w14:paraId="16915A63"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High Needs</w:t>
            </w:r>
          </w:p>
        </w:tc>
        <w:tc>
          <w:tcPr>
            <w:tcW w:w="967" w:type="dxa"/>
            <w:shd w:val="clear" w:color="auto" w:fill="BFBFBF" w:themeFill="background1" w:themeFillShade="BF"/>
          </w:tcPr>
          <w:p w14:paraId="614546AE" w14:textId="77777777" w:rsidR="00C3312E" w:rsidRPr="00C3312E" w:rsidRDefault="00C3312E" w:rsidP="00C3312E">
            <w:pPr>
              <w:spacing w:after="0" w:line="240" w:lineRule="auto"/>
              <w:jc w:val="center"/>
              <w:rPr>
                <w:sz w:val="20"/>
                <w:szCs w:val="20"/>
              </w:rPr>
            </w:pPr>
            <w:r w:rsidRPr="00C3312E">
              <w:rPr>
                <w:sz w:val="20"/>
                <w:szCs w:val="20"/>
              </w:rPr>
              <w:t>1,008</w:t>
            </w:r>
          </w:p>
        </w:tc>
        <w:tc>
          <w:tcPr>
            <w:tcW w:w="955" w:type="dxa"/>
            <w:shd w:val="clear" w:color="auto" w:fill="BFBFBF" w:themeFill="background1" w:themeFillShade="BF"/>
          </w:tcPr>
          <w:p w14:paraId="39B55C53" w14:textId="77777777" w:rsidR="00C3312E" w:rsidRPr="00C3312E" w:rsidRDefault="00C3312E" w:rsidP="00C3312E">
            <w:pPr>
              <w:spacing w:after="0" w:line="240" w:lineRule="auto"/>
              <w:jc w:val="center"/>
              <w:rPr>
                <w:sz w:val="20"/>
                <w:szCs w:val="20"/>
              </w:rPr>
            </w:pPr>
            <w:r w:rsidRPr="00C3312E">
              <w:rPr>
                <w:sz w:val="20"/>
                <w:szCs w:val="20"/>
              </w:rPr>
              <w:t>28%</w:t>
            </w:r>
          </w:p>
        </w:tc>
        <w:tc>
          <w:tcPr>
            <w:tcW w:w="955" w:type="dxa"/>
            <w:shd w:val="clear" w:color="auto" w:fill="BFBFBF" w:themeFill="background1" w:themeFillShade="BF"/>
          </w:tcPr>
          <w:p w14:paraId="7DA3B131" w14:textId="77777777" w:rsidR="00C3312E" w:rsidRPr="00C3312E" w:rsidRDefault="00C3312E" w:rsidP="00C3312E">
            <w:pPr>
              <w:spacing w:after="0" w:line="240" w:lineRule="auto"/>
              <w:jc w:val="center"/>
              <w:rPr>
                <w:sz w:val="20"/>
                <w:szCs w:val="20"/>
              </w:rPr>
            </w:pPr>
            <w:r w:rsidRPr="00C3312E">
              <w:rPr>
                <w:sz w:val="20"/>
                <w:szCs w:val="20"/>
              </w:rPr>
              <w:t>25%</w:t>
            </w:r>
          </w:p>
        </w:tc>
        <w:tc>
          <w:tcPr>
            <w:tcW w:w="955" w:type="dxa"/>
            <w:shd w:val="clear" w:color="auto" w:fill="BFBFBF" w:themeFill="background1" w:themeFillShade="BF"/>
          </w:tcPr>
          <w:p w14:paraId="0BD1AB3A" w14:textId="77777777" w:rsidR="00C3312E" w:rsidRPr="00C3312E" w:rsidRDefault="00C3312E" w:rsidP="00C3312E">
            <w:pPr>
              <w:spacing w:after="0" w:line="240" w:lineRule="auto"/>
              <w:jc w:val="center"/>
              <w:rPr>
                <w:sz w:val="20"/>
                <w:szCs w:val="20"/>
              </w:rPr>
            </w:pPr>
            <w:r w:rsidRPr="00C3312E">
              <w:rPr>
                <w:sz w:val="20"/>
                <w:szCs w:val="20"/>
              </w:rPr>
              <w:t>26%</w:t>
            </w:r>
          </w:p>
        </w:tc>
        <w:tc>
          <w:tcPr>
            <w:tcW w:w="955" w:type="dxa"/>
            <w:shd w:val="clear" w:color="auto" w:fill="BFBFBF" w:themeFill="background1" w:themeFillShade="BF"/>
          </w:tcPr>
          <w:p w14:paraId="05A27E74" w14:textId="77777777" w:rsidR="00C3312E" w:rsidRPr="00C3312E" w:rsidRDefault="00C3312E" w:rsidP="00C3312E">
            <w:pPr>
              <w:spacing w:after="0" w:line="240" w:lineRule="auto"/>
              <w:jc w:val="center"/>
              <w:rPr>
                <w:sz w:val="20"/>
                <w:szCs w:val="20"/>
              </w:rPr>
            </w:pPr>
            <w:r w:rsidRPr="00C3312E">
              <w:rPr>
                <w:sz w:val="20"/>
                <w:szCs w:val="20"/>
              </w:rPr>
              <w:t>23%</w:t>
            </w:r>
          </w:p>
        </w:tc>
        <w:tc>
          <w:tcPr>
            <w:tcW w:w="1424" w:type="dxa"/>
            <w:shd w:val="clear" w:color="auto" w:fill="BFBFBF" w:themeFill="background1" w:themeFillShade="BF"/>
          </w:tcPr>
          <w:p w14:paraId="45D9EC53" w14:textId="77777777" w:rsidR="00C3312E" w:rsidRPr="00C3312E" w:rsidRDefault="00C3312E" w:rsidP="00C3312E">
            <w:pPr>
              <w:spacing w:after="0" w:line="240" w:lineRule="auto"/>
              <w:jc w:val="center"/>
              <w:rPr>
                <w:sz w:val="20"/>
                <w:szCs w:val="20"/>
              </w:rPr>
            </w:pPr>
            <w:r w:rsidRPr="00C3312E">
              <w:rPr>
                <w:sz w:val="20"/>
                <w:szCs w:val="20"/>
              </w:rPr>
              <w:t>-5%</w:t>
            </w:r>
          </w:p>
        </w:tc>
        <w:tc>
          <w:tcPr>
            <w:tcW w:w="1059" w:type="dxa"/>
            <w:shd w:val="clear" w:color="auto" w:fill="BFBFBF" w:themeFill="background1" w:themeFillShade="BF"/>
          </w:tcPr>
          <w:p w14:paraId="544C113B" w14:textId="77777777" w:rsidR="00C3312E" w:rsidRPr="00C3312E" w:rsidRDefault="00C3312E" w:rsidP="00C3312E">
            <w:pPr>
              <w:spacing w:after="0" w:line="240" w:lineRule="auto"/>
              <w:jc w:val="center"/>
              <w:rPr>
                <w:sz w:val="20"/>
                <w:szCs w:val="20"/>
              </w:rPr>
            </w:pPr>
            <w:r w:rsidRPr="00C3312E">
              <w:rPr>
                <w:sz w:val="20"/>
                <w:szCs w:val="20"/>
              </w:rPr>
              <w:t>31%</w:t>
            </w:r>
          </w:p>
        </w:tc>
      </w:tr>
      <w:tr w:rsidR="00C3312E" w:rsidRPr="00C3312E" w14:paraId="326800F0" w14:textId="77777777" w:rsidTr="00CF7974">
        <w:trPr>
          <w:jc w:val="center"/>
        </w:trPr>
        <w:tc>
          <w:tcPr>
            <w:tcW w:w="2090" w:type="dxa"/>
            <w:shd w:val="clear" w:color="auto" w:fill="auto"/>
          </w:tcPr>
          <w:p w14:paraId="31B5D2E7"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Econ. Dis.</w:t>
            </w:r>
          </w:p>
        </w:tc>
        <w:tc>
          <w:tcPr>
            <w:tcW w:w="967" w:type="dxa"/>
            <w:shd w:val="clear" w:color="auto" w:fill="auto"/>
          </w:tcPr>
          <w:p w14:paraId="2768C7FA" w14:textId="77777777" w:rsidR="00C3312E" w:rsidRPr="00C3312E" w:rsidRDefault="00C3312E" w:rsidP="00C3312E">
            <w:pPr>
              <w:spacing w:after="0" w:line="240" w:lineRule="auto"/>
              <w:jc w:val="center"/>
              <w:rPr>
                <w:sz w:val="20"/>
                <w:szCs w:val="20"/>
              </w:rPr>
            </w:pPr>
            <w:r w:rsidRPr="00C3312E">
              <w:rPr>
                <w:sz w:val="20"/>
                <w:szCs w:val="20"/>
              </w:rPr>
              <w:t>658</w:t>
            </w:r>
          </w:p>
        </w:tc>
        <w:tc>
          <w:tcPr>
            <w:tcW w:w="955" w:type="dxa"/>
            <w:shd w:val="clear" w:color="auto" w:fill="auto"/>
          </w:tcPr>
          <w:p w14:paraId="79CC9669" w14:textId="77777777" w:rsidR="00C3312E" w:rsidRPr="00C3312E" w:rsidRDefault="00C3312E" w:rsidP="00C3312E">
            <w:pPr>
              <w:spacing w:after="0" w:line="240" w:lineRule="auto"/>
              <w:jc w:val="center"/>
              <w:rPr>
                <w:sz w:val="20"/>
                <w:szCs w:val="20"/>
              </w:rPr>
            </w:pPr>
            <w:r w:rsidRPr="00C3312E">
              <w:rPr>
                <w:sz w:val="20"/>
                <w:szCs w:val="20"/>
              </w:rPr>
              <w:t>28%</w:t>
            </w:r>
          </w:p>
        </w:tc>
        <w:tc>
          <w:tcPr>
            <w:tcW w:w="955" w:type="dxa"/>
            <w:shd w:val="clear" w:color="auto" w:fill="auto"/>
          </w:tcPr>
          <w:p w14:paraId="38B33D1F" w14:textId="77777777" w:rsidR="00C3312E" w:rsidRPr="00C3312E" w:rsidRDefault="00C3312E" w:rsidP="00C3312E">
            <w:pPr>
              <w:spacing w:after="0" w:line="240" w:lineRule="auto"/>
              <w:jc w:val="center"/>
              <w:rPr>
                <w:sz w:val="20"/>
                <w:szCs w:val="20"/>
              </w:rPr>
            </w:pPr>
            <w:r w:rsidRPr="00C3312E">
              <w:rPr>
                <w:sz w:val="20"/>
                <w:szCs w:val="20"/>
              </w:rPr>
              <w:t>25%</w:t>
            </w:r>
          </w:p>
        </w:tc>
        <w:tc>
          <w:tcPr>
            <w:tcW w:w="955" w:type="dxa"/>
            <w:shd w:val="clear" w:color="auto" w:fill="auto"/>
          </w:tcPr>
          <w:p w14:paraId="4F3C9538" w14:textId="77777777" w:rsidR="00C3312E" w:rsidRPr="00C3312E" w:rsidRDefault="00C3312E" w:rsidP="00C3312E">
            <w:pPr>
              <w:spacing w:after="0" w:line="240" w:lineRule="auto"/>
              <w:jc w:val="center"/>
              <w:rPr>
                <w:sz w:val="20"/>
                <w:szCs w:val="20"/>
              </w:rPr>
            </w:pPr>
            <w:r w:rsidRPr="00C3312E">
              <w:rPr>
                <w:sz w:val="20"/>
                <w:szCs w:val="20"/>
              </w:rPr>
              <w:t>26%</w:t>
            </w:r>
          </w:p>
        </w:tc>
        <w:tc>
          <w:tcPr>
            <w:tcW w:w="955" w:type="dxa"/>
            <w:shd w:val="clear" w:color="auto" w:fill="auto"/>
          </w:tcPr>
          <w:p w14:paraId="62355FB5" w14:textId="77777777" w:rsidR="00C3312E" w:rsidRPr="00C3312E" w:rsidRDefault="00C3312E" w:rsidP="00C3312E">
            <w:pPr>
              <w:spacing w:after="0" w:line="240" w:lineRule="auto"/>
              <w:jc w:val="center"/>
              <w:rPr>
                <w:sz w:val="20"/>
                <w:szCs w:val="20"/>
              </w:rPr>
            </w:pPr>
            <w:r w:rsidRPr="00C3312E">
              <w:rPr>
                <w:sz w:val="20"/>
                <w:szCs w:val="20"/>
              </w:rPr>
              <w:t>21%</w:t>
            </w:r>
          </w:p>
        </w:tc>
        <w:tc>
          <w:tcPr>
            <w:tcW w:w="1424" w:type="dxa"/>
            <w:shd w:val="clear" w:color="auto" w:fill="auto"/>
          </w:tcPr>
          <w:p w14:paraId="34A57ED7" w14:textId="77777777" w:rsidR="00C3312E" w:rsidRPr="00C3312E" w:rsidRDefault="00C3312E" w:rsidP="00C3312E">
            <w:pPr>
              <w:spacing w:after="0" w:line="240" w:lineRule="auto"/>
              <w:jc w:val="center"/>
              <w:rPr>
                <w:sz w:val="20"/>
                <w:szCs w:val="20"/>
              </w:rPr>
            </w:pPr>
            <w:r w:rsidRPr="00C3312E">
              <w:rPr>
                <w:sz w:val="20"/>
                <w:szCs w:val="20"/>
              </w:rPr>
              <w:t>-7%</w:t>
            </w:r>
          </w:p>
        </w:tc>
        <w:tc>
          <w:tcPr>
            <w:tcW w:w="1059" w:type="dxa"/>
            <w:shd w:val="clear" w:color="auto" w:fill="auto"/>
          </w:tcPr>
          <w:p w14:paraId="4BFFE103" w14:textId="77777777" w:rsidR="00C3312E" w:rsidRPr="00C3312E" w:rsidRDefault="00C3312E" w:rsidP="00C3312E">
            <w:pPr>
              <w:spacing w:after="0" w:line="240" w:lineRule="auto"/>
              <w:jc w:val="center"/>
              <w:rPr>
                <w:sz w:val="20"/>
                <w:szCs w:val="20"/>
              </w:rPr>
            </w:pPr>
            <w:r w:rsidRPr="00C3312E">
              <w:rPr>
                <w:sz w:val="20"/>
                <w:szCs w:val="20"/>
              </w:rPr>
              <w:t>32%</w:t>
            </w:r>
          </w:p>
        </w:tc>
      </w:tr>
      <w:tr w:rsidR="00C3312E" w:rsidRPr="00C3312E" w14:paraId="1F82A4EA" w14:textId="77777777" w:rsidTr="00CF7974">
        <w:trPr>
          <w:jc w:val="center"/>
        </w:trPr>
        <w:tc>
          <w:tcPr>
            <w:tcW w:w="2090" w:type="dxa"/>
            <w:shd w:val="clear" w:color="auto" w:fill="BFBFBF" w:themeFill="background1" w:themeFillShade="BF"/>
          </w:tcPr>
          <w:p w14:paraId="5AF8D0A7"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SWD</w:t>
            </w:r>
          </w:p>
        </w:tc>
        <w:tc>
          <w:tcPr>
            <w:tcW w:w="967" w:type="dxa"/>
            <w:shd w:val="clear" w:color="auto" w:fill="BFBFBF" w:themeFill="background1" w:themeFillShade="BF"/>
          </w:tcPr>
          <w:p w14:paraId="16696BDD" w14:textId="77777777" w:rsidR="00C3312E" w:rsidRPr="00C3312E" w:rsidRDefault="00C3312E" w:rsidP="00C3312E">
            <w:pPr>
              <w:spacing w:after="0" w:line="240" w:lineRule="auto"/>
              <w:jc w:val="center"/>
              <w:rPr>
                <w:sz w:val="20"/>
                <w:szCs w:val="20"/>
              </w:rPr>
            </w:pPr>
            <w:r w:rsidRPr="00C3312E">
              <w:rPr>
                <w:sz w:val="20"/>
                <w:szCs w:val="20"/>
              </w:rPr>
              <w:t>469</w:t>
            </w:r>
          </w:p>
        </w:tc>
        <w:tc>
          <w:tcPr>
            <w:tcW w:w="955" w:type="dxa"/>
            <w:shd w:val="clear" w:color="auto" w:fill="BFBFBF" w:themeFill="background1" w:themeFillShade="BF"/>
          </w:tcPr>
          <w:p w14:paraId="655BC4EA" w14:textId="77777777" w:rsidR="00C3312E" w:rsidRPr="00C3312E" w:rsidRDefault="00C3312E" w:rsidP="00C3312E">
            <w:pPr>
              <w:spacing w:after="0" w:line="240" w:lineRule="auto"/>
              <w:jc w:val="center"/>
              <w:rPr>
                <w:sz w:val="20"/>
                <w:szCs w:val="20"/>
              </w:rPr>
            </w:pPr>
            <w:r w:rsidRPr="00C3312E">
              <w:rPr>
                <w:sz w:val="20"/>
                <w:szCs w:val="20"/>
              </w:rPr>
              <w:t>23%</w:t>
            </w:r>
          </w:p>
        </w:tc>
        <w:tc>
          <w:tcPr>
            <w:tcW w:w="955" w:type="dxa"/>
            <w:shd w:val="clear" w:color="auto" w:fill="BFBFBF" w:themeFill="background1" w:themeFillShade="BF"/>
          </w:tcPr>
          <w:p w14:paraId="0C9E37BA" w14:textId="77777777" w:rsidR="00C3312E" w:rsidRPr="00C3312E" w:rsidRDefault="00C3312E" w:rsidP="00C3312E">
            <w:pPr>
              <w:spacing w:after="0" w:line="240" w:lineRule="auto"/>
              <w:jc w:val="center"/>
              <w:rPr>
                <w:sz w:val="20"/>
                <w:szCs w:val="20"/>
              </w:rPr>
            </w:pPr>
            <w:r w:rsidRPr="00C3312E">
              <w:rPr>
                <w:sz w:val="20"/>
                <w:szCs w:val="20"/>
              </w:rPr>
              <w:t>17%</w:t>
            </w:r>
          </w:p>
        </w:tc>
        <w:tc>
          <w:tcPr>
            <w:tcW w:w="955" w:type="dxa"/>
            <w:shd w:val="clear" w:color="auto" w:fill="BFBFBF" w:themeFill="background1" w:themeFillShade="BF"/>
          </w:tcPr>
          <w:p w14:paraId="2CCC9192" w14:textId="77777777" w:rsidR="00C3312E" w:rsidRPr="00C3312E" w:rsidRDefault="00C3312E" w:rsidP="00C3312E">
            <w:pPr>
              <w:spacing w:after="0" w:line="240" w:lineRule="auto"/>
              <w:jc w:val="center"/>
              <w:rPr>
                <w:sz w:val="20"/>
                <w:szCs w:val="20"/>
              </w:rPr>
            </w:pPr>
            <w:r w:rsidRPr="00C3312E">
              <w:rPr>
                <w:sz w:val="20"/>
                <w:szCs w:val="20"/>
              </w:rPr>
              <w:t>18%</w:t>
            </w:r>
          </w:p>
        </w:tc>
        <w:tc>
          <w:tcPr>
            <w:tcW w:w="955" w:type="dxa"/>
            <w:shd w:val="clear" w:color="auto" w:fill="BFBFBF" w:themeFill="background1" w:themeFillShade="BF"/>
          </w:tcPr>
          <w:p w14:paraId="3EF94DF4" w14:textId="77777777" w:rsidR="00C3312E" w:rsidRPr="00C3312E" w:rsidRDefault="00C3312E" w:rsidP="00C3312E">
            <w:pPr>
              <w:spacing w:after="0" w:line="240" w:lineRule="auto"/>
              <w:jc w:val="center"/>
              <w:rPr>
                <w:sz w:val="20"/>
                <w:szCs w:val="20"/>
              </w:rPr>
            </w:pPr>
            <w:r w:rsidRPr="00C3312E">
              <w:rPr>
                <w:sz w:val="20"/>
                <w:szCs w:val="20"/>
              </w:rPr>
              <w:t>17%</w:t>
            </w:r>
          </w:p>
        </w:tc>
        <w:tc>
          <w:tcPr>
            <w:tcW w:w="1424" w:type="dxa"/>
            <w:shd w:val="clear" w:color="auto" w:fill="BFBFBF" w:themeFill="background1" w:themeFillShade="BF"/>
          </w:tcPr>
          <w:p w14:paraId="7D306127" w14:textId="77777777" w:rsidR="00C3312E" w:rsidRPr="00C3312E" w:rsidRDefault="00C3312E" w:rsidP="00C3312E">
            <w:pPr>
              <w:spacing w:after="0" w:line="240" w:lineRule="auto"/>
              <w:jc w:val="center"/>
              <w:rPr>
                <w:sz w:val="20"/>
                <w:szCs w:val="20"/>
              </w:rPr>
            </w:pPr>
            <w:r w:rsidRPr="00C3312E">
              <w:rPr>
                <w:sz w:val="20"/>
                <w:szCs w:val="20"/>
              </w:rPr>
              <w:t>-6%</w:t>
            </w:r>
          </w:p>
        </w:tc>
        <w:tc>
          <w:tcPr>
            <w:tcW w:w="1059" w:type="dxa"/>
            <w:shd w:val="clear" w:color="auto" w:fill="BFBFBF" w:themeFill="background1" w:themeFillShade="BF"/>
          </w:tcPr>
          <w:p w14:paraId="440C1B5D" w14:textId="77777777" w:rsidR="00C3312E" w:rsidRPr="00C3312E" w:rsidRDefault="00C3312E" w:rsidP="00C3312E">
            <w:pPr>
              <w:spacing w:after="0" w:line="240" w:lineRule="auto"/>
              <w:jc w:val="center"/>
              <w:rPr>
                <w:sz w:val="20"/>
                <w:szCs w:val="20"/>
              </w:rPr>
            </w:pPr>
            <w:r w:rsidRPr="00C3312E">
              <w:rPr>
                <w:sz w:val="20"/>
                <w:szCs w:val="20"/>
              </w:rPr>
              <w:t>21%</w:t>
            </w:r>
          </w:p>
        </w:tc>
      </w:tr>
      <w:tr w:rsidR="00C3312E" w:rsidRPr="00C3312E" w14:paraId="3645AFED" w14:textId="77777777" w:rsidTr="00CF7974">
        <w:trPr>
          <w:jc w:val="center"/>
        </w:trPr>
        <w:tc>
          <w:tcPr>
            <w:tcW w:w="2090" w:type="dxa"/>
            <w:shd w:val="clear" w:color="auto" w:fill="auto"/>
          </w:tcPr>
          <w:p w14:paraId="71FD6E96" w14:textId="1F64E100" w:rsidR="00C3312E" w:rsidRPr="00C3312E" w:rsidRDefault="00C3312E" w:rsidP="000F7DAF">
            <w:pPr>
              <w:spacing w:after="0" w:line="240" w:lineRule="auto"/>
              <w:rPr>
                <w:rFonts w:cs="Times New Roman"/>
                <w:sz w:val="20"/>
                <w:szCs w:val="20"/>
              </w:rPr>
            </w:pPr>
            <w:r w:rsidRPr="00C3312E">
              <w:rPr>
                <w:rFonts w:cs="Times New Roman"/>
                <w:sz w:val="20"/>
                <w:szCs w:val="20"/>
              </w:rPr>
              <w:t>EL</w:t>
            </w:r>
          </w:p>
        </w:tc>
        <w:tc>
          <w:tcPr>
            <w:tcW w:w="967" w:type="dxa"/>
            <w:shd w:val="clear" w:color="auto" w:fill="auto"/>
          </w:tcPr>
          <w:p w14:paraId="22885892" w14:textId="77777777" w:rsidR="00C3312E" w:rsidRPr="00C3312E" w:rsidRDefault="00C3312E" w:rsidP="00C3312E">
            <w:pPr>
              <w:spacing w:after="0" w:line="240" w:lineRule="auto"/>
              <w:jc w:val="center"/>
              <w:rPr>
                <w:sz w:val="20"/>
                <w:szCs w:val="20"/>
              </w:rPr>
            </w:pPr>
            <w:r w:rsidRPr="00C3312E">
              <w:rPr>
                <w:sz w:val="20"/>
                <w:szCs w:val="20"/>
              </w:rPr>
              <w:t>433</w:t>
            </w:r>
          </w:p>
        </w:tc>
        <w:tc>
          <w:tcPr>
            <w:tcW w:w="955" w:type="dxa"/>
            <w:shd w:val="clear" w:color="auto" w:fill="auto"/>
          </w:tcPr>
          <w:p w14:paraId="63BA980D" w14:textId="77777777" w:rsidR="00C3312E" w:rsidRPr="00C3312E" w:rsidRDefault="00C3312E" w:rsidP="00C3312E">
            <w:pPr>
              <w:spacing w:after="0" w:line="240" w:lineRule="auto"/>
              <w:jc w:val="center"/>
              <w:rPr>
                <w:sz w:val="20"/>
                <w:szCs w:val="20"/>
              </w:rPr>
            </w:pPr>
            <w:r w:rsidRPr="00C3312E">
              <w:rPr>
                <w:sz w:val="20"/>
                <w:szCs w:val="20"/>
              </w:rPr>
              <w:t>12%</w:t>
            </w:r>
          </w:p>
        </w:tc>
        <w:tc>
          <w:tcPr>
            <w:tcW w:w="955" w:type="dxa"/>
            <w:shd w:val="clear" w:color="auto" w:fill="auto"/>
          </w:tcPr>
          <w:p w14:paraId="086821B6" w14:textId="77777777" w:rsidR="00C3312E" w:rsidRPr="00C3312E" w:rsidRDefault="00C3312E" w:rsidP="00C3312E">
            <w:pPr>
              <w:spacing w:after="0" w:line="240" w:lineRule="auto"/>
              <w:jc w:val="center"/>
              <w:rPr>
                <w:sz w:val="20"/>
                <w:szCs w:val="20"/>
              </w:rPr>
            </w:pPr>
            <w:r w:rsidRPr="00C3312E">
              <w:rPr>
                <w:sz w:val="20"/>
                <w:szCs w:val="20"/>
              </w:rPr>
              <w:t>13%</w:t>
            </w:r>
          </w:p>
        </w:tc>
        <w:tc>
          <w:tcPr>
            <w:tcW w:w="955" w:type="dxa"/>
            <w:shd w:val="clear" w:color="auto" w:fill="auto"/>
          </w:tcPr>
          <w:p w14:paraId="1DE207AE" w14:textId="77777777" w:rsidR="00C3312E" w:rsidRPr="00C3312E" w:rsidRDefault="00C3312E" w:rsidP="00C3312E">
            <w:pPr>
              <w:spacing w:after="0" w:line="240" w:lineRule="auto"/>
              <w:jc w:val="center"/>
              <w:rPr>
                <w:sz w:val="20"/>
                <w:szCs w:val="20"/>
              </w:rPr>
            </w:pPr>
            <w:r w:rsidRPr="00C3312E">
              <w:rPr>
                <w:sz w:val="20"/>
                <w:szCs w:val="20"/>
              </w:rPr>
              <w:t>13%</w:t>
            </w:r>
          </w:p>
        </w:tc>
        <w:tc>
          <w:tcPr>
            <w:tcW w:w="955" w:type="dxa"/>
            <w:shd w:val="clear" w:color="auto" w:fill="auto"/>
          </w:tcPr>
          <w:p w14:paraId="034D5969" w14:textId="77777777" w:rsidR="00C3312E" w:rsidRPr="00C3312E" w:rsidRDefault="00C3312E" w:rsidP="00C3312E">
            <w:pPr>
              <w:spacing w:after="0" w:line="240" w:lineRule="auto"/>
              <w:jc w:val="center"/>
              <w:rPr>
                <w:sz w:val="20"/>
                <w:szCs w:val="20"/>
              </w:rPr>
            </w:pPr>
            <w:r w:rsidRPr="00C3312E">
              <w:rPr>
                <w:sz w:val="20"/>
                <w:szCs w:val="20"/>
              </w:rPr>
              <w:t>14%</w:t>
            </w:r>
          </w:p>
        </w:tc>
        <w:tc>
          <w:tcPr>
            <w:tcW w:w="1424" w:type="dxa"/>
            <w:shd w:val="clear" w:color="auto" w:fill="auto"/>
          </w:tcPr>
          <w:p w14:paraId="496BB14A" w14:textId="77777777" w:rsidR="00C3312E" w:rsidRPr="00C3312E" w:rsidRDefault="00C3312E" w:rsidP="00C3312E">
            <w:pPr>
              <w:spacing w:after="0" w:line="240" w:lineRule="auto"/>
              <w:jc w:val="center"/>
              <w:rPr>
                <w:sz w:val="20"/>
                <w:szCs w:val="20"/>
              </w:rPr>
            </w:pPr>
            <w:r w:rsidRPr="00C3312E">
              <w:rPr>
                <w:sz w:val="20"/>
                <w:szCs w:val="20"/>
              </w:rPr>
              <w:t>2%</w:t>
            </w:r>
          </w:p>
        </w:tc>
        <w:tc>
          <w:tcPr>
            <w:tcW w:w="1059" w:type="dxa"/>
            <w:shd w:val="clear" w:color="auto" w:fill="auto"/>
          </w:tcPr>
          <w:p w14:paraId="437D3ACD" w14:textId="77777777" w:rsidR="00C3312E" w:rsidRPr="00C3312E" w:rsidRDefault="00C3312E" w:rsidP="00C3312E">
            <w:pPr>
              <w:spacing w:after="0" w:line="240" w:lineRule="auto"/>
              <w:jc w:val="center"/>
              <w:rPr>
                <w:sz w:val="20"/>
                <w:szCs w:val="20"/>
              </w:rPr>
            </w:pPr>
            <w:r w:rsidRPr="00C3312E">
              <w:rPr>
                <w:sz w:val="20"/>
                <w:szCs w:val="20"/>
              </w:rPr>
              <w:t>20%</w:t>
            </w:r>
          </w:p>
        </w:tc>
      </w:tr>
      <w:tr w:rsidR="00C3312E" w:rsidRPr="00C3312E" w14:paraId="66758C2A" w14:textId="77777777" w:rsidTr="00CF7974">
        <w:trPr>
          <w:jc w:val="center"/>
        </w:trPr>
        <w:tc>
          <w:tcPr>
            <w:tcW w:w="2090" w:type="dxa"/>
            <w:shd w:val="clear" w:color="auto" w:fill="BFBFBF" w:themeFill="background1" w:themeFillShade="BF"/>
          </w:tcPr>
          <w:p w14:paraId="2A7AEEB1" w14:textId="77777777" w:rsidR="00C3312E" w:rsidRPr="00C3312E" w:rsidRDefault="00C3312E" w:rsidP="00C3312E">
            <w:pPr>
              <w:spacing w:after="0" w:line="240" w:lineRule="auto"/>
              <w:rPr>
                <w:rFonts w:cs="Times New Roman"/>
                <w:sz w:val="20"/>
                <w:szCs w:val="20"/>
              </w:rPr>
            </w:pPr>
            <w:r w:rsidRPr="00C3312E">
              <w:rPr>
                <w:rFonts w:cs="Times New Roman"/>
                <w:sz w:val="20"/>
                <w:szCs w:val="20"/>
              </w:rPr>
              <w:t>All</w:t>
            </w:r>
          </w:p>
        </w:tc>
        <w:tc>
          <w:tcPr>
            <w:tcW w:w="967" w:type="dxa"/>
            <w:shd w:val="clear" w:color="auto" w:fill="BFBFBF" w:themeFill="background1" w:themeFillShade="BF"/>
          </w:tcPr>
          <w:p w14:paraId="4923BCBD" w14:textId="77777777" w:rsidR="00C3312E" w:rsidRPr="00C3312E" w:rsidRDefault="00C3312E" w:rsidP="00C3312E">
            <w:pPr>
              <w:spacing w:after="0" w:line="240" w:lineRule="auto"/>
              <w:jc w:val="center"/>
              <w:rPr>
                <w:sz w:val="20"/>
                <w:szCs w:val="20"/>
              </w:rPr>
            </w:pPr>
            <w:r w:rsidRPr="00C3312E">
              <w:rPr>
                <w:sz w:val="20"/>
                <w:szCs w:val="20"/>
              </w:rPr>
              <w:t>1,800</w:t>
            </w:r>
          </w:p>
        </w:tc>
        <w:tc>
          <w:tcPr>
            <w:tcW w:w="955" w:type="dxa"/>
            <w:shd w:val="clear" w:color="auto" w:fill="BFBFBF" w:themeFill="background1" w:themeFillShade="BF"/>
          </w:tcPr>
          <w:p w14:paraId="7B0C8097" w14:textId="77777777" w:rsidR="00C3312E" w:rsidRPr="00C3312E" w:rsidRDefault="00C3312E" w:rsidP="00C3312E">
            <w:pPr>
              <w:spacing w:after="0" w:line="240" w:lineRule="auto"/>
              <w:jc w:val="center"/>
              <w:rPr>
                <w:sz w:val="20"/>
                <w:szCs w:val="20"/>
              </w:rPr>
            </w:pPr>
            <w:r w:rsidRPr="00C3312E">
              <w:rPr>
                <w:sz w:val="20"/>
                <w:szCs w:val="20"/>
              </w:rPr>
              <w:t>50%</w:t>
            </w:r>
          </w:p>
        </w:tc>
        <w:tc>
          <w:tcPr>
            <w:tcW w:w="955" w:type="dxa"/>
            <w:shd w:val="clear" w:color="auto" w:fill="BFBFBF" w:themeFill="background1" w:themeFillShade="BF"/>
          </w:tcPr>
          <w:p w14:paraId="29AE0A35" w14:textId="77777777" w:rsidR="00C3312E" w:rsidRPr="00C3312E" w:rsidRDefault="00C3312E" w:rsidP="00C3312E">
            <w:pPr>
              <w:spacing w:after="0" w:line="240" w:lineRule="auto"/>
              <w:jc w:val="center"/>
              <w:rPr>
                <w:sz w:val="20"/>
                <w:szCs w:val="20"/>
              </w:rPr>
            </w:pPr>
            <w:r w:rsidRPr="00C3312E">
              <w:rPr>
                <w:sz w:val="20"/>
                <w:szCs w:val="20"/>
              </w:rPr>
              <w:t>47%</w:t>
            </w:r>
          </w:p>
        </w:tc>
        <w:tc>
          <w:tcPr>
            <w:tcW w:w="955" w:type="dxa"/>
            <w:shd w:val="clear" w:color="auto" w:fill="BFBFBF" w:themeFill="background1" w:themeFillShade="BF"/>
          </w:tcPr>
          <w:p w14:paraId="14CA55B8" w14:textId="77777777" w:rsidR="00C3312E" w:rsidRPr="00C3312E" w:rsidRDefault="00C3312E" w:rsidP="00C3312E">
            <w:pPr>
              <w:spacing w:after="0" w:line="240" w:lineRule="auto"/>
              <w:jc w:val="center"/>
              <w:rPr>
                <w:sz w:val="20"/>
                <w:szCs w:val="20"/>
              </w:rPr>
            </w:pPr>
            <w:r w:rsidRPr="00C3312E">
              <w:rPr>
                <w:sz w:val="20"/>
                <w:szCs w:val="20"/>
              </w:rPr>
              <w:t>46%</w:t>
            </w:r>
          </w:p>
        </w:tc>
        <w:tc>
          <w:tcPr>
            <w:tcW w:w="955" w:type="dxa"/>
            <w:shd w:val="clear" w:color="auto" w:fill="BFBFBF" w:themeFill="background1" w:themeFillShade="BF"/>
          </w:tcPr>
          <w:p w14:paraId="31472BBE" w14:textId="77777777" w:rsidR="00C3312E" w:rsidRPr="00C3312E" w:rsidRDefault="00C3312E" w:rsidP="00C3312E">
            <w:pPr>
              <w:spacing w:after="0" w:line="240" w:lineRule="auto"/>
              <w:jc w:val="center"/>
              <w:rPr>
                <w:sz w:val="20"/>
                <w:szCs w:val="20"/>
              </w:rPr>
            </w:pPr>
            <w:r w:rsidRPr="00C3312E">
              <w:rPr>
                <w:sz w:val="20"/>
                <w:szCs w:val="20"/>
              </w:rPr>
              <w:t>42%</w:t>
            </w:r>
          </w:p>
        </w:tc>
        <w:tc>
          <w:tcPr>
            <w:tcW w:w="1424" w:type="dxa"/>
            <w:shd w:val="clear" w:color="auto" w:fill="BFBFBF" w:themeFill="background1" w:themeFillShade="BF"/>
          </w:tcPr>
          <w:p w14:paraId="1265DED5" w14:textId="77777777" w:rsidR="00C3312E" w:rsidRPr="00C3312E" w:rsidRDefault="00C3312E" w:rsidP="00C3312E">
            <w:pPr>
              <w:spacing w:after="0" w:line="240" w:lineRule="auto"/>
              <w:jc w:val="center"/>
              <w:rPr>
                <w:sz w:val="20"/>
                <w:szCs w:val="20"/>
              </w:rPr>
            </w:pPr>
            <w:r w:rsidRPr="00C3312E">
              <w:rPr>
                <w:sz w:val="20"/>
                <w:szCs w:val="20"/>
              </w:rPr>
              <w:t>-8%</w:t>
            </w:r>
          </w:p>
        </w:tc>
        <w:tc>
          <w:tcPr>
            <w:tcW w:w="1059" w:type="dxa"/>
            <w:shd w:val="clear" w:color="auto" w:fill="BFBFBF" w:themeFill="background1" w:themeFillShade="BF"/>
          </w:tcPr>
          <w:p w14:paraId="69225DCE" w14:textId="77777777" w:rsidR="00C3312E" w:rsidRPr="00C3312E" w:rsidRDefault="00C3312E" w:rsidP="00C3312E">
            <w:pPr>
              <w:spacing w:after="0" w:line="240" w:lineRule="auto"/>
              <w:jc w:val="center"/>
              <w:rPr>
                <w:sz w:val="20"/>
                <w:szCs w:val="20"/>
              </w:rPr>
            </w:pPr>
            <w:r w:rsidRPr="00C3312E">
              <w:rPr>
                <w:sz w:val="20"/>
                <w:szCs w:val="20"/>
              </w:rPr>
              <w:t>53%</w:t>
            </w:r>
          </w:p>
        </w:tc>
      </w:tr>
    </w:tbl>
    <w:p w14:paraId="468F096A" w14:textId="48B5BBD0" w:rsidR="00C3312E" w:rsidRDefault="00C3312E" w:rsidP="00C3312E">
      <w:pPr>
        <w:spacing w:after="0"/>
        <w:rPr>
          <w:rFonts w:cs="Times New Roman"/>
        </w:rPr>
      </w:pPr>
    </w:p>
    <w:p w14:paraId="7EF30362" w14:textId="4BD5CB39" w:rsidR="0089512A" w:rsidRDefault="0089512A" w:rsidP="00C3312E">
      <w:pPr>
        <w:spacing w:after="0"/>
        <w:rPr>
          <w:rFonts w:cs="Times New Roman"/>
        </w:rPr>
      </w:pPr>
    </w:p>
    <w:p w14:paraId="63E23707" w14:textId="7865E1E7" w:rsidR="0089512A" w:rsidRDefault="0089512A" w:rsidP="00C3312E">
      <w:pPr>
        <w:spacing w:after="0"/>
        <w:rPr>
          <w:rFonts w:cs="Times New Roman"/>
        </w:rPr>
      </w:pPr>
    </w:p>
    <w:p w14:paraId="77985D5D" w14:textId="77777777" w:rsidR="0089512A" w:rsidRPr="00C3312E" w:rsidRDefault="0089512A" w:rsidP="00C3312E">
      <w:pPr>
        <w:spacing w:after="0"/>
        <w:rPr>
          <w:rFonts w:cs="Times New Roman"/>
        </w:rPr>
      </w:pPr>
    </w:p>
    <w:tbl>
      <w:tblPr>
        <w:tblStyle w:val="TableGrid5"/>
        <w:tblW w:w="0" w:type="auto"/>
        <w:tblLook w:val="00A0" w:firstRow="1" w:lastRow="0" w:firstColumn="1" w:lastColumn="0" w:noHBand="0" w:noVBand="0"/>
        <w:tblCaption w:val="Table 10: Framingham Public Schools"/>
        <w:tblDescription w:val="Next-Generation MCAS ELA Percent Meeting or Exceeding Expectations in Grades 3–8, 2017–2018&#10;"/>
      </w:tblPr>
      <w:tblGrid>
        <w:gridCol w:w="1327"/>
        <w:gridCol w:w="1301"/>
        <w:gridCol w:w="1321"/>
        <w:gridCol w:w="1321"/>
        <w:gridCol w:w="1336"/>
        <w:gridCol w:w="1322"/>
        <w:gridCol w:w="1422"/>
      </w:tblGrid>
      <w:tr w:rsidR="00C3312E" w:rsidRPr="00C3312E" w14:paraId="71858F98" w14:textId="77777777" w:rsidTr="00F37A4F">
        <w:tc>
          <w:tcPr>
            <w:tcW w:w="9350" w:type="dxa"/>
            <w:gridSpan w:val="7"/>
            <w:tcBorders>
              <w:top w:val="nil"/>
              <w:left w:val="nil"/>
              <w:right w:val="nil"/>
            </w:tcBorders>
          </w:tcPr>
          <w:p w14:paraId="7868FF65"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lastRenderedPageBreak/>
              <w:t xml:space="preserve">Table 10: </w:t>
            </w:r>
            <w:r w:rsidRPr="00C3312E">
              <w:rPr>
                <w:rFonts w:cs="Times New Roman"/>
                <w:b/>
                <w:sz w:val="20"/>
                <w:szCs w:val="20"/>
              </w:rPr>
              <w:t>Framingham Public Schools</w:t>
            </w:r>
          </w:p>
          <w:p w14:paraId="6F1AC85D" w14:textId="51326365" w:rsidR="00C3312E" w:rsidRPr="00C3312E" w:rsidRDefault="00C3312E" w:rsidP="000F7DAF">
            <w:pPr>
              <w:spacing w:after="0" w:line="240" w:lineRule="auto"/>
              <w:contextualSpacing/>
              <w:jc w:val="center"/>
              <w:rPr>
                <w:rFonts w:eastAsia="Times New Roman" w:cs="Times New Roman"/>
                <w:sz w:val="20"/>
                <w:szCs w:val="20"/>
              </w:rPr>
            </w:pPr>
            <w:r w:rsidRPr="00C3312E">
              <w:rPr>
                <w:rFonts w:eastAsia="Times New Roman" w:cs="Times New Roman"/>
                <w:b/>
                <w:sz w:val="20"/>
                <w:szCs w:val="20"/>
              </w:rPr>
              <w:t>Next-Generation MCAS ELA Percent Meeting or Exceeding Expectations in Grades 3</w:t>
            </w:r>
            <w:r w:rsidR="000F7DAF">
              <w:rPr>
                <w:rFonts w:eastAsia="Times New Roman" w:cs="Times New Roman"/>
                <w:b/>
                <w:sz w:val="20"/>
                <w:szCs w:val="20"/>
              </w:rPr>
              <w:t>–</w:t>
            </w:r>
            <w:r w:rsidRPr="00C3312E">
              <w:rPr>
                <w:rFonts w:eastAsia="Times New Roman" w:cs="Times New Roman"/>
                <w:b/>
                <w:sz w:val="20"/>
                <w:szCs w:val="20"/>
              </w:rPr>
              <w:t>8, 2017</w:t>
            </w:r>
            <w:r w:rsidR="000F7DAF">
              <w:rPr>
                <w:rFonts w:eastAsia="Times New Roman" w:cs="Times New Roman"/>
                <w:b/>
                <w:sz w:val="20"/>
                <w:szCs w:val="20"/>
              </w:rPr>
              <w:t>–</w:t>
            </w:r>
            <w:r w:rsidRPr="00C3312E">
              <w:rPr>
                <w:rFonts w:eastAsia="Times New Roman" w:cs="Times New Roman"/>
                <w:b/>
                <w:sz w:val="20"/>
                <w:szCs w:val="20"/>
              </w:rPr>
              <w:t>2018</w:t>
            </w:r>
          </w:p>
        </w:tc>
      </w:tr>
      <w:tr w:rsidR="00C3312E" w:rsidRPr="00C3312E" w14:paraId="22C49622" w14:textId="77777777" w:rsidTr="00F37A4F">
        <w:tc>
          <w:tcPr>
            <w:tcW w:w="1327" w:type="dxa"/>
            <w:shd w:val="clear" w:color="auto" w:fill="BFBFBF" w:themeFill="background1" w:themeFillShade="BF"/>
          </w:tcPr>
          <w:p w14:paraId="2BE2A525"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Grade</w:t>
            </w:r>
          </w:p>
        </w:tc>
        <w:tc>
          <w:tcPr>
            <w:tcW w:w="1301" w:type="dxa"/>
            <w:shd w:val="clear" w:color="auto" w:fill="BFBFBF" w:themeFill="background1" w:themeFillShade="BF"/>
          </w:tcPr>
          <w:p w14:paraId="30E637B6"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N</w:t>
            </w:r>
          </w:p>
        </w:tc>
        <w:tc>
          <w:tcPr>
            <w:tcW w:w="1321" w:type="dxa"/>
            <w:shd w:val="clear" w:color="auto" w:fill="BFBFBF" w:themeFill="background1" w:themeFillShade="BF"/>
          </w:tcPr>
          <w:p w14:paraId="0AF40E99"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2017</w:t>
            </w:r>
          </w:p>
        </w:tc>
        <w:tc>
          <w:tcPr>
            <w:tcW w:w="1321" w:type="dxa"/>
            <w:shd w:val="clear" w:color="auto" w:fill="BFBFBF" w:themeFill="background1" w:themeFillShade="BF"/>
          </w:tcPr>
          <w:p w14:paraId="4FE0B004"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2018</w:t>
            </w:r>
          </w:p>
        </w:tc>
        <w:tc>
          <w:tcPr>
            <w:tcW w:w="1336" w:type="dxa"/>
            <w:shd w:val="clear" w:color="auto" w:fill="BFBFBF" w:themeFill="background1" w:themeFillShade="BF"/>
          </w:tcPr>
          <w:p w14:paraId="79CD5846"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Change</w:t>
            </w:r>
          </w:p>
        </w:tc>
        <w:tc>
          <w:tcPr>
            <w:tcW w:w="1322" w:type="dxa"/>
            <w:shd w:val="clear" w:color="auto" w:fill="BFBFBF" w:themeFill="background1" w:themeFillShade="BF"/>
          </w:tcPr>
          <w:p w14:paraId="55C078EE" w14:textId="6D057945"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State</w:t>
            </w:r>
            <w:r w:rsidR="000F7DAF">
              <w:rPr>
                <w:rFonts w:eastAsia="Times New Roman" w:cs="Times New Roman"/>
                <w:b/>
                <w:sz w:val="20"/>
                <w:szCs w:val="20"/>
              </w:rPr>
              <w:t xml:space="preserve"> (2018)</w:t>
            </w:r>
          </w:p>
        </w:tc>
        <w:tc>
          <w:tcPr>
            <w:tcW w:w="1422" w:type="dxa"/>
            <w:shd w:val="clear" w:color="auto" w:fill="BFBFBF" w:themeFill="background1" w:themeFillShade="BF"/>
          </w:tcPr>
          <w:p w14:paraId="53EC13E8"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Above/Below</w:t>
            </w:r>
          </w:p>
        </w:tc>
      </w:tr>
      <w:tr w:rsidR="00C3312E" w:rsidRPr="00C3312E" w14:paraId="45BF2044" w14:textId="77777777" w:rsidTr="00F37A4F">
        <w:tc>
          <w:tcPr>
            <w:tcW w:w="1327" w:type="dxa"/>
          </w:tcPr>
          <w:p w14:paraId="6AC04A93" w14:textId="77777777" w:rsidR="00C3312E" w:rsidRPr="00C3312E" w:rsidRDefault="00C3312E" w:rsidP="00C3312E">
            <w:pPr>
              <w:spacing w:after="0" w:line="240" w:lineRule="auto"/>
              <w:jc w:val="center"/>
              <w:rPr>
                <w:sz w:val="20"/>
                <w:szCs w:val="20"/>
              </w:rPr>
            </w:pPr>
            <w:r w:rsidRPr="00C3312E">
              <w:rPr>
                <w:sz w:val="20"/>
                <w:szCs w:val="20"/>
              </w:rPr>
              <w:t>3</w:t>
            </w:r>
          </w:p>
        </w:tc>
        <w:tc>
          <w:tcPr>
            <w:tcW w:w="1301" w:type="dxa"/>
          </w:tcPr>
          <w:p w14:paraId="6DF9DA64" w14:textId="77777777" w:rsidR="00C3312E" w:rsidRPr="00C3312E" w:rsidRDefault="00C3312E" w:rsidP="00C3312E">
            <w:pPr>
              <w:spacing w:after="0" w:line="240" w:lineRule="auto"/>
              <w:jc w:val="center"/>
              <w:rPr>
                <w:sz w:val="20"/>
                <w:szCs w:val="20"/>
              </w:rPr>
            </w:pPr>
            <w:r w:rsidRPr="00C3312E">
              <w:rPr>
                <w:sz w:val="20"/>
                <w:szCs w:val="20"/>
              </w:rPr>
              <w:t>758</w:t>
            </w:r>
          </w:p>
        </w:tc>
        <w:tc>
          <w:tcPr>
            <w:tcW w:w="1321" w:type="dxa"/>
          </w:tcPr>
          <w:p w14:paraId="253C2B3C" w14:textId="77777777" w:rsidR="00C3312E" w:rsidRPr="00C3312E" w:rsidRDefault="00C3312E" w:rsidP="00C3312E">
            <w:pPr>
              <w:spacing w:after="0" w:line="240" w:lineRule="auto"/>
              <w:jc w:val="center"/>
              <w:rPr>
                <w:sz w:val="20"/>
                <w:szCs w:val="20"/>
              </w:rPr>
            </w:pPr>
            <w:r w:rsidRPr="00C3312E">
              <w:rPr>
                <w:sz w:val="20"/>
                <w:szCs w:val="20"/>
              </w:rPr>
              <w:t>33%</w:t>
            </w:r>
          </w:p>
        </w:tc>
        <w:tc>
          <w:tcPr>
            <w:tcW w:w="1321" w:type="dxa"/>
          </w:tcPr>
          <w:p w14:paraId="10536ED9" w14:textId="77777777" w:rsidR="00C3312E" w:rsidRPr="00C3312E" w:rsidRDefault="00C3312E" w:rsidP="00C3312E">
            <w:pPr>
              <w:spacing w:after="0" w:line="240" w:lineRule="auto"/>
              <w:jc w:val="center"/>
              <w:rPr>
                <w:sz w:val="20"/>
                <w:szCs w:val="20"/>
              </w:rPr>
            </w:pPr>
            <w:r w:rsidRPr="00C3312E">
              <w:rPr>
                <w:sz w:val="20"/>
                <w:szCs w:val="20"/>
              </w:rPr>
              <w:t>38%</w:t>
            </w:r>
          </w:p>
        </w:tc>
        <w:tc>
          <w:tcPr>
            <w:tcW w:w="1336" w:type="dxa"/>
          </w:tcPr>
          <w:p w14:paraId="6BD02A56" w14:textId="77777777" w:rsidR="00C3312E" w:rsidRPr="00C3312E" w:rsidRDefault="00C3312E" w:rsidP="00C3312E">
            <w:pPr>
              <w:spacing w:after="0" w:line="240" w:lineRule="auto"/>
              <w:jc w:val="center"/>
              <w:rPr>
                <w:sz w:val="20"/>
                <w:szCs w:val="20"/>
              </w:rPr>
            </w:pPr>
            <w:r w:rsidRPr="00C3312E">
              <w:rPr>
                <w:sz w:val="20"/>
                <w:szCs w:val="20"/>
              </w:rPr>
              <w:t>5%</w:t>
            </w:r>
          </w:p>
        </w:tc>
        <w:tc>
          <w:tcPr>
            <w:tcW w:w="1322" w:type="dxa"/>
          </w:tcPr>
          <w:p w14:paraId="2BF5053A" w14:textId="77777777" w:rsidR="00C3312E" w:rsidRPr="00C3312E" w:rsidRDefault="00C3312E" w:rsidP="00C3312E">
            <w:pPr>
              <w:spacing w:after="0" w:line="240" w:lineRule="auto"/>
              <w:jc w:val="center"/>
              <w:rPr>
                <w:sz w:val="20"/>
                <w:szCs w:val="20"/>
              </w:rPr>
            </w:pPr>
            <w:r w:rsidRPr="00C3312E">
              <w:rPr>
                <w:sz w:val="20"/>
                <w:szCs w:val="20"/>
              </w:rPr>
              <w:t>52%</w:t>
            </w:r>
          </w:p>
        </w:tc>
        <w:tc>
          <w:tcPr>
            <w:tcW w:w="1422" w:type="dxa"/>
          </w:tcPr>
          <w:p w14:paraId="71D64FC5" w14:textId="77777777" w:rsidR="00C3312E" w:rsidRPr="00C3312E" w:rsidRDefault="00C3312E" w:rsidP="00C3312E">
            <w:pPr>
              <w:spacing w:after="0" w:line="240" w:lineRule="auto"/>
              <w:jc w:val="center"/>
              <w:rPr>
                <w:sz w:val="20"/>
                <w:szCs w:val="20"/>
              </w:rPr>
            </w:pPr>
            <w:r w:rsidRPr="00C3312E">
              <w:rPr>
                <w:sz w:val="20"/>
                <w:szCs w:val="20"/>
              </w:rPr>
              <w:t>-14%</w:t>
            </w:r>
          </w:p>
        </w:tc>
      </w:tr>
      <w:tr w:rsidR="00C3312E" w:rsidRPr="00C3312E" w14:paraId="0A507232" w14:textId="77777777" w:rsidTr="00F37A4F">
        <w:tc>
          <w:tcPr>
            <w:tcW w:w="1327" w:type="dxa"/>
            <w:shd w:val="clear" w:color="auto" w:fill="BFBFBF" w:themeFill="background1" w:themeFillShade="BF"/>
          </w:tcPr>
          <w:p w14:paraId="5045B987" w14:textId="77777777" w:rsidR="00C3312E" w:rsidRPr="00C3312E" w:rsidRDefault="00C3312E" w:rsidP="00C3312E">
            <w:pPr>
              <w:spacing w:after="0" w:line="240" w:lineRule="auto"/>
              <w:jc w:val="center"/>
              <w:rPr>
                <w:sz w:val="20"/>
                <w:szCs w:val="20"/>
              </w:rPr>
            </w:pPr>
            <w:r w:rsidRPr="00C3312E">
              <w:rPr>
                <w:sz w:val="20"/>
                <w:szCs w:val="20"/>
              </w:rPr>
              <w:t>4</w:t>
            </w:r>
          </w:p>
        </w:tc>
        <w:tc>
          <w:tcPr>
            <w:tcW w:w="1301" w:type="dxa"/>
            <w:shd w:val="clear" w:color="auto" w:fill="BFBFBF" w:themeFill="background1" w:themeFillShade="BF"/>
          </w:tcPr>
          <w:p w14:paraId="1DEB4E4E" w14:textId="77777777" w:rsidR="00C3312E" w:rsidRPr="00C3312E" w:rsidRDefault="00C3312E" w:rsidP="00C3312E">
            <w:pPr>
              <w:spacing w:after="0" w:line="240" w:lineRule="auto"/>
              <w:jc w:val="center"/>
              <w:rPr>
                <w:sz w:val="20"/>
                <w:szCs w:val="20"/>
              </w:rPr>
            </w:pPr>
            <w:r w:rsidRPr="00C3312E">
              <w:rPr>
                <w:sz w:val="20"/>
                <w:szCs w:val="20"/>
              </w:rPr>
              <w:t>780</w:t>
            </w:r>
          </w:p>
        </w:tc>
        <w:tc>
          <w:tcPr>
            <w:tcW w:w="1321" w:type="dxa"/>
            <w:shd w:val="clear" w:color="auto" w:fill="BFBFBF" w:themeFill="background1" w:themeFillShade="BF"/>
          </w:tcPr>
          <w:p w14:paraId="6727CD24"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shd w:val="clear" w:color="auto" w:fill="BFBFBF" w:themeFill="background1" w:themeFillShade="BF"/>
          </w:tcPr>
          <w:p w14:paraId="7CF5D0DD" w14:textId="77777777" w:rsidR="00C3312E" w:rsidRPr="00C3312E" w:rsidRDefault="00C3312E" w:rsidP="00C3312E">
            <w:pPr>
              <w:spacing w:after="0" w:line="240" w:lineRule="auto"/>
              <w:jc w:val="center"/>
              <w:rPr>
                <w:sz w:val="20"/>
                <w:szCs w:val="20"/>
              </w:rPr>
            </w:pPr>
            <w:r w:rsidRPr="00C3312E">
              <w:rPr>
                <w:sz w:val="20"/>
                <w:szCs w:val="20"/>
              </w:rPr>
              <w:t>37%</w:t>
            </w:r>
          </w:p>
        </w:tc>
        <w:tc>
          <w:tcPr>
            <w:tcW w:w="1336" w:type="dxa"/>
            <w:shd w:val="clear" w:color="auto" w:fill="BFBFBF" w:themeFill="background1" w:themeFillShade="BF"/>
          </w:tcPr>
          <w:p w14:paraId="7D5AB8F9" w14:textId="77777777" w:rsidR="00C3312E" w:rsidRPr="00C3312E" w:rsidRDefault="00C3312E" w:rsidP="00C3312E">
            <w:pPr>
              <w:spacing w:after="0" w:line="240" w:lineRule="auto"/>
              <w:jc w:val="center"/>
              <w:rPr>
                <w:sz w:val="20"/>
                <w:szCs w:val="20"/>
              </w:rPr>
            </w:pPr>
            <w:r w:rsidRPr="00C3312E">
              <w:rPr>
                <w:sz w:val="20"/>
                <w:szCs w:val="20"/>
              </w:rPr>
              <w:t>1%</w:t>
            </w:r>
          </w:p>
        </w:tc>
        <w:tc>
          <w:tcPr>
            <w:tcW w:w="1322" w:type="dxa"/>
            <w:shd w:val="clear" w:color="auto" w:fill="BFBFBF" w:themeFill="background1" w:themeFillShade="BF"/>
          </w:tcPr>
          <w:p w14:paraId="1C77310E" w14:textId="77777777" w:rsidR="00C3312E" w:rsidRPr="00C3312E" w:rsidRDefault="00C3312E" w:rsidP="00C3312E">
            <w:pPr>
              <w:spacing w:after="0" w:line="240" w:lineRule="auto"/>
              <w:jc w:val="center"/>
              <w:rPr>
                <w:sz w:val="20"/>
                <w:szCs w:val="20"/>
              </w:rPr>
            </w:pPr>
            <w:r w:rsidRPr="00C3312E">
              <w:rPr>
                <w:sz w:val="20"/>
                <w:szCs w:val="20"/>
              </w:rPr>
              <w:t>53%</w:t>
            </w:r>
          </w:p>
        </w:tc>
        <w:tc>
          <w:tcPr>
            <w:tcW w:w="1422" w:type="dxa"/>
            <w:shd w:val="clear" w:color="auto" w:fill="BFBFBF" w:themeFill="background1" w:themeFillShade="BF"/>
          </w:tcPr>
          <w:p w14:paraId="23A19EA9" w14:textId="77777777" w:rsidR="00C3312E" w:rsidRPr="00C3312E" w:rsidRDefault="00C3312E" w:rsidP="00C3312E">
            <w:pPr>
              <w:spacing w:after="0" w:line="240" w:lineRule="auto"/>
              <w:jc w:val="center"/>
              <w:rPr>
                <w:sz w:val="20"/>
                <w:szCs w:val="20"/>
              </w:rPr>
            </w:pPr>
            <w:r w:rsidRPr="00C3312E">
              <w:rPr>
                <w:sz w:val="20"/>
                <w:szCs w:val="20"/>
              </w:rPr>
              <w:t>-16%</w:t>
            </w:r>
          </w:p>
        </w:tc>
      </w:tr>
      <w:tr w:rsidR="00C3312E" w:rsidRPr="00C3312E" w14:paraId="6CB347E3" w14:textId="77777777" w:rsidTr="00F37A4F">
        <w:tc>
          <w:tcPr>
            <w:tcW w:w="1327" w:type="dxa"/>
          </w:tcPr>
          <w:p w14:paraId="4B398F80" w14:textId="77777777" w:rsidR="00C3312E" w:rsidRPr="00C3312E" w:rsidRDefault="00C3312E" w:rsidP="00C3312E">
            <w:pPr>
              <w:spacing w:after="0" w:line="240" w:lineRule="auto"/>
              <w:jc w:val="center"/>
              <w:rPr>
                <w:sz w:val="20"/>
                <w:szCs w:val="20"/>
              </w:rPr>
            </w:pPr>
            <w:r w:rsidRPr="00C3312E">
              <w:rPr>
                <w:sz w:val="20"/>
                <w:szCs w:val="20"/>
              </w:rPr>
              <w:t>5</w:t>
            </w:r>
          </w:p>
        </w:tc>
        <w:tc>
          <w:tcPr>
            <w:tcW w:w="1301" w:type="dxa"/>
          </w:tcPr>
          <w:p w14:paraId="7A430933" w14:textId="77777777" w:rsidR="00C3312E" w:rsidRPr="00C3312E" w:rsidRDefault="00C3312E" w:rsidP="00C3312E">
            <w:pPr>
              <w:spacing w:after="0" w:line="240" w:lineRule="auto"/>
              <w:jc w:val="center"/>
              <w:rPr>
                <w:sz w:val="20"/>
                <w:szCs w:val="20"/>
              </w:rPr>
            </w:pPr>
            <w:r w:rsidRPr="00C3312E">
              <w:rPr>
                <w:sz w:val="20"/>
                <w:szCs w:val="20"/>
              </w:rPr>
              <w:t>744</w:t>
            </w:r>
          </w:p>
        </w:tc>
        <w:tc>
          <w:tcPr>
            <w:tcW w:w="1321" w:type="dxa"/>
          </w:tcPr>
          <w:p w14:paraId="78C4D259" w14:textId="77777777" w:rsidR="00C3312E" w:rsidRPr="00C3312E" w:rsidRDefault="00C3312E" w:rsidP="00C3312E">
            <w:pPr>
              <w:spacing w:after="0" w:line="240" w:lineRule="auto"/>
              <w:jc w:val="center"/>
              <w:rPr>
                <w:sz w:val="20"/>
                <w:szCs w:val="20"/>
              </w:rPr>
            </w:pPr>
            <w:r w:rsidRPr="00C3312E">
              <w:rPr>
                <w:sz w:val="20"/>
                <w:szCs w:val="20"/>
              </w:rPr>
              <w:t>39%</w:t>
            </w:r>
          </w:p>
        </w:tc>
        <w:tc>
          <w:tcPr>
            <w:tcW w:w="1321" w:type="dxa"/>
          </w:tcPr>
          <w:p w14:paraId="31C6A508" w14:textId="77777777" w:rsidR="00C3312E" w:rsidRPr="00C3312E" w:rsidRDefault="00C3312E" w:rsidP="00C3312E">
            <w:pPr>
              <w:spacing w:after="0" w:line="240" w:lineRule="auto"/>
              <w:jc w:val="center"/>
              <w:rPr>
                <w:sz w:val="20"/>
                <w:szCs w:val="20"/>
              </w:rPr>
            </w:pPr>
            <w:r w:rsidRPr="00C3312E">
              <w:rPr>
                <w:sz w:val="20"/>
                <w:szCs w:val="20"/>
              </w:rPr>
              <w:t>42%</w:t>
            </w:r>
          </w:p>
        </w:tc>
        <w:tc>
          <w:tcPr>
            <w:tcW w:w="1336" w:type="dxa"/>
          </w:tcPr>
          <w:p w14:paraId="2CB5F1C2" w14:textId="77777777" w:rsidR="00C3312E" w:rsidRPr="00C3312E" w:rsidRDefault="00C3312E" w:rsidP="00C3312E">
            <w:pPr>
              <w:spacing w:after="0" w:line="240" w:lineRule="auto"/>
              <w:jc w:val="center"/>
              <w:rPr>
                <w:sz w:val="20"/>
                <w:szCs w:val="20"/>
              </w:rPr>
            </w:pPr>
            <w:r w:rsidRPr="00C3312E">
              <w:rPr>
                <w:sz w:val="20"/>
                <w:szCs w:val="20"/>
              </w:rPr>
              <w:t>3%</w:t>
            </w:r>
          </w:p>
        </w:tc>
        <w:tc>
          <w:tcPr>
            <w:tcW w:w="1322" w:type="dxa"/>
          </w:tcPr>
          <w:p w14:paraId="5B086EC0" w14:textId="77777777" w:rsidR="00C3312E" w:rsidRPr="00C3312E" w:rsidRDefault="00C3312E" w:rsidP="00C3312E">
            <w:pPr>
              <w:spacing w:after="0" w:line="240" w:lineRule="auto"/>
              <w:jc w:val="center"/>
              <w:rPr>
                <w:sz w:val="20"/>
                <w:szCs w:val="20"/>
              </w:rPr>
            </w:pPr>
            <w:r w:rsidRPr="00C3312E">
              <w:rPr>
                <w:sz w:val="20"/>
                <w:szCs w:val="20"/>
              </w:rPr>
              <w:t>54%</w:t>
            </w:r>
          </w:p>
        </w:tc>
        <w:tc>
          <w:tcPr>
            <w:tcW w:w="1422" w:type="dxa"/>
          </w:tcPr>
          <w:p w14:paraId="6D8D9C55" w14:textId="77777777" w:rsidR="00C3312E" w:rsidRPr="00C3312E" w:rsidRDefault="00C3312E" w:rsidP="00C3312E">
            <w:pPr>
              <w:spacing w:after="0" w:line="240" w:lineRule="auto"/>
              <w:jc w:val="center"/>
              <w:rPr>
                <w:sz w:val="20"/>
                <w:szCs w:val="20"/>
              </w:rPr>
            </w:pPr>
            <w:r w:rsidRPr="00C3312E">
              <w:rPr>
                <w:sz w:val="20"/>
                <w:szCs w:val="20"/>
              </w:rPr>
              <w:t>-12%</w:t>
            </w:r>
          </w:p>
        </w:tc>
      </w:tr>
      <w:tr w:rsidR="00C3312E" w:rsidRPr="00C3312E" w14:paraId="4F9AA6DB" w14:textId="77777777" w:rsidTr="00F37A4F">
        <w:tc>
          <w:tcPr>
            <w:tcW w:w="1327" w:type="dxa"/>
            <w:shd w:val="clear" w:color="auto" w:fill="BFBFBF" w:themeFill="background1" w:themeFillShade="BF"/>
          </w:tcPr>
          <w:p w14:paraId="34D9B598" w14:textId="77777777" w:rsidR="00C3312E" w:rsidRPr="00C3312E" w:rsidRDefault="00C3312E" w:rsidP="00C3312E">
            <w:pPr>
              <w:spacing w:after="0" w:line="240" w:lineRule="auto"/>
              <w:jc w:val="center"/>
              <w:rPr>
                <w:sz w:val="20"/>
                <w:szCs w:val="20"/>
              </w:rPr>
            </w:pPr>
            <w:r w:rsidRPr="00C3312E">
              <w:rPr>
                <w:sz w:val="20"/>
                <w:szCs w:val="20"/>
              </w:rPr>
              <w:t>6</w:t>
            </w:r>
          </w:p>
        </w:tc>
        <w:tc>
          <w:tcPr>
            <w:tcW w:w="1301" w:type="dxa"/>
            <w:shd w:val="clear" w:color="auto" w:fill="BFBFBF" w:themeFill="background1" w:themeFillShade="BF"/>
          </w:tcPr>
          <w:p w14:paraId="1F1851E0" w14:textId="77777777" w:rsidR="00C3312E" w:rsidRPr="00C3312E" w:rsidRDefault="00C3312E" w:rsidP="00C3312E">
            <w:pPr>
              <w:spacing w:after="0" w:line="240" w:lineRule="auto"/>
              <w:jc w:val="center"/>
              <w:rPr>
                <w:sz w:val="20"/>
                <w:szCs w:val="20"/>
              </w:rPr>
            </w:pPr>
            <w:r w:rsidRPr="00C3312E">
              <w:rPr>
                <w:sz w:val="20"/>
                <w:szCs w:val="20"/>
              </w:rPr>
              <w:t>629</w:t>
            </w:r>
          </w:p>
        </w:tc>
        <w:tc>
          <w:tcPr>
            <w:tcW w:w="1321" w:type="dxa"/>
            <w:shd w:val="clear" w:color="auto" w:fill="BFBFBF" w:themeFill="background1" w:themeFillShade="BF"/>
          </w:tcPr>
          <w:p w14:paraId="0309C70F"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shd w:val="clear" w:color="auto" w:fill="BFBFBF" w:themeFill="background1" w:themeFillShade="BF"/>
          </w:tcPr>
          <w:p w14:paraId="29264545" w14:textId="77777777" w:rsidR="00C3312E" w:rsidRPr="00C3312E" w:rsidRDefault="00C3312E" w:rsidP="00C3312E">
            <w:pPr>
              <w:spacing w:after="0" w:line="240" w:lineRule="auto"/>
              <w:jc w:val="center"/>
              <w:rPr>
                <w:sz w:val="20"/>
                <w:szCs w:val="20"/>
              </w:rPr>
            </w:pPr>
            <w:r w:rsidRPr="00C3312E">
              <w:rPr>
                <w:sz w:val="20"/>
                <w:szCs w:val="20"/>
              </w:rPr>
              <w:t>36%</w:t>
            </w:r>
          </w:p>
        </w:tc>
        <w:tc>
          <w:tcPr>
            <w:tcW w:w="1336" w:type="dxa"/>
            <w:shd w:val="clear" w:color="auto" w:fill="BFBFBF" w:themeFill="background1" w:themeFillShade="BF"/>
          </w:tcPr>
          <w:p w14:paraId="3C3C3219" w14:textId="77777777" w:rsidR="00C3312E" w:rsidRPr="00C3312E" w:rsidRDefault="00C3312E" w:rsidP="00C3312E">
            <w:pPr>
              <w:spacing w:after="0" w:line="240" w:lineRule="auto"/>
              <w:jc w:val="center"/>
              <w:rPr>
                <w:sz w:val="20"/>
                <w:szCs w:val="20"/>
              </w:rPr>
            </w:pPr>
            <w:r w:rsidRPr="00C3312E">
              <w:rPr>
                <w:sz w:val="20"/>
                <w:szCs w:val="20"/>
              </w:rPr>
              <w:t>0%</w:t>
            </w:r>
          </w:p>
        </w:tc>
        <w:tc>
          <w:tcPr>
            <w:tcW w:w="1322" w:type="dxa"/>
            <w:shd w:val="clear" w:color="auto" w:fill="BFBFBF" w:themeFill="background1" w:themeFillShade="BF"/>
          </w:tcPr>
          <w:p w14:paraId="6C5AC53E" w14:textId="77777777" w:rsidR="00C3312E" w:rsidRPr="00C3312E" w:rsidRDefault="00C3312E" w:rsidP="00C3312E">
            <w:pPr>
              <w:spacing w:after="0" w:line="240" w:lineRule="auto"/>
              <w:jc w:val="center"/>
              <w:rPr>
                <w:sz w:val="20"/>
                <w:szCs w:val="20"/>
              </w:rPr>
            </w:pPr>
            <w:r w:rsidRPr="00C3312E">
              <w:rPr>
                <w:sz w:val="20"/>
                <w:szCs w:val="20"/>
              </w:rPr>
              <w:t>51%</w:t>
            </w:r>
          </w:p>
        </w:tc>
        <w:tc>
          <w:tcPr>
            <w:tcW w:w="1422" w:type="dxa"/>
            <w:shd w:val="clear" w:color="auto" w:fill="BFBFBF" w:themeFill="background1" w:themeFillShade="BF"/>
          </w:tcPr>
          <w:p w14:paraId="714DC565" w14:textId="77777777" w:rsidR="00C3312E" w:rsidRPr="00C3312E" w:rsidRDefault="00C3312E" w:rsidP="00C3312E">
            <w:pPr>
              <w:spacing w:after="0" w:line="240" w:lineRule="auto"/>
              <w:jc w:val="center"/>
              <w:rPr>
                <w:sz w:val="20"/>
                <w:szCs w:val="20"/>
              </w:rPr>
            </w:pPr>
            <w:r w:rsidRPr="00C3312E">
              <w:rPr>
                <w:sz w:val="20"/>
                <w:szCs w:val="20"/>
              </w:rPr>
              <w:t>-15%</w:t>
            </w:r>
          </w:p>
        </w:tc>
      </w:tr>
      <w:tr w:rsidR="00C3312E" w:rsidRPr="00C3312E" w14:paraId="0E403BF4" w14:textId="77777777" w:rsidTr="00F37A4F">
        <w:tc>
          <w:tcPr>
            <w:tcW w:w="1327" w:type="dxa"/>
          </w:tcPr>
          <w:p w14:paraId="7B000070" w14:textId="77777777" w:rsidR="00C3312E" w:rsidRPr="00C3312E" w:rsidRDefault="00C3312E" w:rsidP="00C3312E">
            <w:pPr>
              <w:spacing w:after="0" w:line="240" w:lineRule="auto"/>
              <w:jc w:val="center"/>
              <w:rPr>
                <w:sz w:val="20"/>
                <w:szCs w:val="20"/>
              </w:rPr>
            </w:pPr>
            <w:r w:rsidRPr="00C3312E">
              <w:rPr>
                <w:sz w:val="20"/>
                <w:szCs w:val="20"/>
              </w:rPr>
              <w:t>7</w:t>
            </w:r>
          </w:p>
        </w:tc>
        <w:tc>
          <w:tcPr>
            <w:tcW w:w="1301" w:type="dxa"/>
          </w:tcPr>
          <w:p w14:paraId="4A1DC392" w14:textId="77777777" w:rsidR="00C3312E" w:rsidRPr="00C3312E" w:rsidRDefault="00C3312E" w:rsidP="00C3312E">
            <w:pPr>
              <w:spacing w:after="0" w:line="240" w:lineRule="auto"/>
              <w:jc w:val="center"/>
              <w:rPr>
                <w:sz w:val="20"/>
                <w:szCs w:val="20"/>
              </w:rPr>
            </w:pPr>
            <w:r w:rsidRPr="00C3312E">
              <w:rPr>
                <w:sz w:val="20"/>
                <w:szCs w:val="20"/>
              </w:rPr>
              <w:t>573</w:t>
            </w:r>
          </w:p>
        </w:tc>
        <w:tc>
          <w:tcPr>
            <w:tcW w:w="1321" w:type="dxa"/>
          </w:tcPr>
          <w:p w14:paraId="72E48DAE" w14:textId="77777777" w:rsidR="00C3312E" w:rsidRPr="00C3312E" w:rsidRDefault="00C3312E" w:rsidP="00C3312E">
            <w:pPr>
              <w:spacing w:after="0" w:line="240" w:lineRule="auto"/>
              <w:jc w:val="center"/>
              <w:rPr>
                <w:sz w:val="20"/>
                <w:szCs w:val="20"/>
              </w:rPr>
            </w:pPr>
            <w:r w:rsidRPr="00C3312E">
              <w:rPr>
                <w:sz w:val="20"/>
                <w:szCs w:val="20"/>
              </w:rPr>
              <w:t>39%</w:t>
            </w:r>
          </w:p>
        </w:tc>
        <w:tc>
          <w:tcPr>
            <w:tcW w:w="1321" w:type="dxa"/>
          </w:tcPr>
          <w:p w14:paraId="451C3DA7" w14:textId="77777777" w:rsidR="00C3312E" w:rsidRPr="00C3312E" w:rsidRDefault="00C3312E" w:rsidP="00C3312E">
            <w:pPr>
              <w:spacing w:after="0" w:line="240" w:lineRule="auto"/>
              <w:jc w:val="center"/>
              <w:rPr>
                <w:sz w:val="20"/>
                <w:szCs w:val="20"/>
              </w:rPr>
            </w:pPr>
            <w:r w:rsidRPr="00C3312E">
              <w:rPr>
                <w:sz w:val="20"/>
                <w:szCs w:val="20"/>
              </w:rPr>
              <w:t>37%</w:t>
            </w:r>
          </w:p>
        </w:tc>
        <w:tc>
          <w:tcPr>
            <w:tcW w:w="1336" w:type="dxa"/>
          </w:tcPr>
          <w:p w14:paraId="677609CE" w14:textId="77777777" w:rsidR="00C3312E" w:rsidRPr="00C3312E" w:rsidRDefault="00C3312E" w:rsidP="00C3312E">
            <w:pPr>
              <w:spacing w:after="0" w:line="240" w:lineRule="auto"/>
              <w:jc w:val="center"/>
              <w:rPr>
                <w:sz w:val="20"/>
                <w:szCs w:val="20"/>
              </w:rPr>
            </w:pPr>
            <w:r w:rsidRPr="00C3312E">
              <w:rPr>
                <w:sz w:val="20"/>
                <w:szCs w:val="20"/>
              </w:rPr>
              <w:t>-2%</w:t>
            </w:r>
          </w:p>
        </w:tc>
        <w:tc>
          <w:tcPr>
            <w:tcW w:w="1322" w:type="dxa"/>
          </w:tcPr>
          <w:p w14:paraId="36631162" w14:textId="77777777" w:rsidR="00C3312E" w:rsidRPr="00C3312E" w:rsidRDefault="00C3312E" w:rsidP="00C3312E">
            <w:pPr>
              <w:spacing w:after="0" w:line="240" w:lineRule="auto"/>
              <w:jc w:val="center"/>
              <w:rPr>
                <w:sz w:val="20"/>
                <w:szCs w:val="20"/>
              </w:rPr>
            </w:pPr>
            <w:r w:rsidRPr="00C3312E">
              <w:rPr>
                <w:sz w:val="20"/>
                <w:szCs w:val="20"/>
              </w:rPr>
              <w:t>46%</w:t>
            </w:r>
          </w:p>
        </w:tc>
        <w:tc>
          <w:tcPr>
            <w:tcW w:w="1422" w:type="dxa"/>
          </w:tcPr>
          <w:p w14:paraId="119EA583" w14:textId="77777777" w:rsidR="00C3312E" w:rsidRPr="00C3312E" w:rsidRDefault="00C3312E" w:rsidP="00C3312E">
            <w:pPr>
              <w:spacing w:after="0" w:line="240" w:lineRule="auto"/>
              <w:jc w:val="center"/>
              <w:rPr>
                <w:sz w:val="20"/>
                <w:szCs w:val="20"/>
              </w:rPr>
            </w:pPr>
            <w:r w:rsidRPr="00C3312E">
              <w:rPr>
                <w:sz w:val="20"/>
                <w:szCs w:val="20"/>
              </w:rPr>
              <w:t>-9%</w:t>
            </w:r>
          </w:p>
        </w:tc>
      </w:tr>
      <w:tr w:rsidR="00C3312E" w:rsidRPr="00C3312E" w14:paraId="3B93F210" w14:textId="77777777" w:rsidTr="00F37A4F">
        <w:tc>
          <w:tcPr>
            <w:tcW w:w="1327" w:type="dxa"/>
            <w:shd w:val="clear" w:color="auto" w:fill="BFBFBF" w:themeFill="background1" w:themeFillShade="BF"/>
          </w:tcPr>
          <w:p w14:paraId="5148BD4E" w14:textId="77777777" w:rsidR="00C3312E" w:rsidRPr="00C3312E" w:rsidRDefault="00C3312E" w:rsidP="00C3312E">
            <w:pPr>
              <w:spacing w:after="0" w:line="240" w:lineRule="auto"/>
              <w:jc w:val="center"/>
              <w:rPr>
                <w:sz w:val="20"/>
                <w:szCs w:val="20"/>
              </w:rPr>
            </w:pPr>
            <w:r w:rsidRPr="00C3312E">
              <w:rPr>
                <w:sz w:val="20"/>
                <w:szCs w:val="20"/>
              </w:rPr>
              <w:t>8</w:t>
            </w:r>
          </w:p>
        </w:tc>
        <w:tc>
          <w:tcPr>
            <w:tcW w:w="1301" w:type="dxa"/>
            <w:shd w:val="clear" w:color="auto" w:fill="BFBFBF" w:themeFill="background1" w:themeFillShade="BF"/>
          </w:tcPr>
          <w:p w14:paraId="6E9345FB" w14:textId="77777777" w:rsidR="00C3312E" w:rsidRPr="00C3312E" w:rsidRDefault="00C3312E" w:rsidP="00C3312E">
            <w:pPr>
              <w:spacing w:after="0" w:line="240" w:lineRule="auto"/>
              <w:jc w:val="center"/>
              <w:rPr>
                <w:sz w:val="20"/>
                <w:szCs w:val="20"/>
              </w:rPr>
            </w:pPr>
            <w:r w:rsidRPr="00C3312E">
              <w:rPr>
                <w:sz w:val="20"/>
                <w:szCs w:val="20"/>
              </w:rPr>
              <w:t>596</w:t>
            </w:r>
          </w:p>
        </w:tc>
        <w:tc>
          <w:tcPr>
            <w:tcW w:w="1321" w:type="dxa"/>
            <w:shd w:val="clear" w:color="auto" w:fill="BFBFBF" w:themeFill="background1" w:themeFillShade="BF"/>
          </w:tcPr>
          <w:p w14:paraId="22F09690"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shd w:val="clear" w:color="auto" w:fill="BFBFBF" w:themeFill="background1" w:themeFillShade="BF"/>
          </w:tcPr>
          <w:p w14:paraId="02CCC6D7" w14:textId="77777777" w:rsidR="00C3312E" w:rsidRPr="00C3312E" w:rsidRDefault="00C3312E" w:rsidP="00C3312E">
            <w:pPr>
              <w:spacing w:after="0" w:line="240" w:lineRule="auto"/>
              <w:jc w:val="center"/>
              <w:rPr>
                <w:sz w:val="20"/>
                <w:szCs w:val="20"/>
              </w:rPr>
            </w:pPr>
            <w:r w:rsidRPr="00C3312E">
              <w:rPr>
                <w:sz w:val="20"/>
                <w:szCs w:val="20"/>
              </w:rPr>
              <w:t>38%</w:t>
            </w:r>
          </w:p>
        </w:tc>
        <w:tc>
          <w:tcPr>
            <w:tcW w:w="1336" w:type="dxa"/>
            <w:shd w:val="clear" w:color="auto" w:fill="BFBFBF" w:themeFill="background1" w:themeFillShade="BF"/>
          </w:tcPr>
          <w:p w14:paraId="04F4E63F" w14:textId="77777777" w:rsidR="00C3312E" w:rsidRPr="00C3312E" w:rsidRDefault="00C3312E" w:rsidP="00C3312E">
            <w:pPr>
              <w:spacing w:after="0" w:line="240" w:lineRule="auto"/>
              <w:jc w:val="center"/>
              <w:rPr>
                <w:sz w:val="20"/>
                <w:szCs w:val="20"/>
              </w:rPr>
            </w:pPr>
            <w:r w:rsidRPr="00C3312E">
              <w:rPr>
                <w:sz w:val="20"/>
                <w:szCs w:val="20"/>
              </w:rPr>
              <w:t>2%</w:t>
            </w:r>
          </w:p>
        </w:tc>
        <w:tc>
          <w:tcPr>
            <w:tcW w:w="1322" w:type="dxa"/>
            <w:shd w:val="clear" w:color="auto" w:fill="BFBFBF" w:themeFill="background1" w:themeFillShade="BF"/>
          </w:tcPr>
          <w:p w14:paraId="4231C4F2" w14:textId="77777777" w:rsidR="00C3312E" w:rsidRPr="00C3312E" w:rsidRDefault="00C3312E" w:rsidP="00C3312E">
            <w:pPr>
              <w:spacing w:after="0" w:line="240" w:lineRule="auto"/>
              <w:jc w:val="center"/>
              <w:rPr>
                <w:sz w:val="20"/>
                <w:szCs w:val="20"/>
              </w:rPr>
            </w:pPr>
            <w:r w:rsidRPr="00C3312E">
              <w:rPr>
                <w:sz w:val="20"/>
                <w:szCs w:val="20"/>
              </w:rPr>
              <w:t>51%</w:t>
            </w:r>
          </w:p>
        </w:tc>
        <w:tc>
          <w:tcPr>
            <w:tcW w:w="1422" w:type="dxa"/>
            <w:shd w:val="clear" w:color="auto" w:fill="BFBFBF" w:themeFill="background1" w:themeFillShade="BF"/>
          </w:tcPr>
          <w:p w14:paraId="0A5D6262" w14:textId="77777777" w:rsidR="00C3312E" w:rsidRPr="00C3312E" w:rsidRDefault="00C3312E" w:rsidP="00C3312E">
            <w:pPr>
              <w:spacing w:after="0" w:line="240" w:lineRule="auto"/>
              <w:jc w:val="center"/>
              <w:rPr>
                <w:sz w:val="20"/>
                <w:szCs w:val="20"/>
              </w:rPr>
            </w:pPr>
            <w:r w:rsidRPr="00C3312E">
              <w:rPr>
                <w:sz w:val="20"/>
                <w:szCs w:val="20"/>
              </w:rPr>
              <w:t>-13%</w:t>
            </w:r>
          </w:p>
        </w:tc>
      </w:tr>
      <w:tr w:rsidR="00C3312E" w:rsidRPr="00C3312E" w14:paraId="2E41D9CC" w14:textId="77777777" w:rsidTr="00F37A4F">
        <w:tc>
          <w:tcPr>
            <w:tcW w:w="1327" w:type="dxa"/>
          </w:tcPr>
          <w:p w14:paraId="35BA2CF3" w14:textId="151C072A" w:rsidR="00C3312E" w:rsidRPr="00C3312E" w:rsidRDefault="00C3312E" w:rsidP="002E1150">
            <w:pPr>
              <w:spacing w:after="0" w:line="240" w:lineRule="auto"/>
              <w:jc w:val="center"/>
              <w:rPr>
                <w:sz w:val="20"/>
                <w:szCs w:val="20"/>
              </w:rPr>
            </w:pPr>
            <w:r w:rsidRPr="00C3312E">
              <w:rPr>
                <w:sz w:val="20"/>
                <w:szCs w:val="20"/>
              </w:rPr>
              <w:t>3</w:t>
            </w:r>
            <w:r w:rsidR="002E1150">
              <w:rPr>
                <w:sz w:val="20"/>
                <w:szCs w:val="20"/>
              </w:rPr>
              <w:t>–</w:t>
            </w:r>
            <w:r w:rsidR="00F507BC">
              <w:rPr>
                <w:sz w:val="20"/>
                <w:szCs w:val="20"/>
              </w:rPr>
              <w:softHyphen/>
            </w:r>
            <w:r w:rsidRPr="00C3312E">
              <w:rPr>
                <w:sz w:val="20"/>
                <w:szCs w:val="20"/>
              </w:rPr>
              <w:t>8</w:t>
            </w:r>
          </w:p>
        </w:tc>
        <w:tc>
          <w:tcPr>
            <w:tcW w:w="1301" w:type="dxa"/>
          </w:tcPr>
          <w:p w14:paraId="425B37A6" w14:textId="77777777" w:rsidR="00C3312E" w:rsidRPr="00C3312E" w:rsidRDefault="00C3312E" w:rsidP="00C3312E">
            <w:pPr>
              <w:spacing w:after="0" w:line="240" w:lineRule="auto"/>
              <w:jc w:val="center"/>
              <w:rPr>
                <w:sz w:val="20"/>
                <w:szCs w:val="20"/>
              </w:rPr>
            </w:pPr>
            <w:r w:rsidRPr="00C3312E">
              <w:rPr>
                <w:sz w:val="20"/>
                <w:szCs w:val="20"/>
              </w:rPr>
              <w:t>4,080</w:t>
            </w:r>
          </w:p>
        </w:tc>
        <w:tc>
          <w:tcPr>
            <w:tcW w:w="1321" w:type="dxa"/>
          </w:tcPr>
          <w:p w14:paraId="4072BF2F" w14:textId="77777777" w:rsidR="00C3312E" w:rsidRPr="00C3312E" w:rsidRDefault="00C3312E" w:rsidP="00C3312E">
            <w:pPr>
              <w:spacing w:after="0" w:line="240" w:lineRule="auto"/>
              <w:jc w:val="center"/>
              <w:rPr>
                <w:sz w:val="20"/>
                <w:szCs w:val="20"/>
              </w:rPr>
            </w:pPr>
            <w:r w:rsidRPr="00C3312E">
              <w:rPr>
                <w:sz w:val="20"/>
                <w:szCs w:val="20"/>
              </w:rPr>
              <w:t>37%</w:t>
            </w:r>
          </w:p>
        </w:tc>
        <w:tc>
          <w:tcPr>
            <w:tcW w:w="1321" w:type="dxa"/>
          </w:tcPr>
          <w:p w14:paraId="0D1D4CC9" w14:textId="77777777" w:rsidR="00C3312E" w:rsidRPr="00C3312E" w:rsidRDefault="00C3312E" w:rsidP="00C3312E">
            <w:pPr>
              <w:spacing w:after="0" w:line="240" w:lineRule="auto"/>
              <w:jc w:val="center"/>
              <w:rPr>
                <w:sz w:val="20"/>
                <w:szCs w:val="20"/>
              </w:rPr>
            </w:pPr>
            <w:r w:rsidRPr="00C3312E">
              <w:rPr>
                <w:sz w:val="20"/>
                <w:szCs w:val="20"/>
              </w:rPr>
              <w:t>38%</w:t>
            </w:r>
          </w:p>
        </w:tc>
        <w:tc>
          <w:tcPr>
            <w:tcW w:w="1336" w:type="dxa"/>
          </w:tcPr>
          <w:p w14:paraId="38178546" w14:textId="77777777" w:rsidR="00C3312E" w:rsidRPr="00C3312E" w:rsidRDefault="00C3312E" w:rsidP="00C3312E">
            <w:pPr>
              <w:spacing w:after="0" w:line="240" w:lineRule="auto"/>
              <w:jc w:val="center"/>
              <w:rPr>
                <w:sz w:val="20"/>
                <w:szCs w:val="20"/>
              </w:rPr>
            </w:pPr>
            <w:r w:rsidRPr="00C3312E">
              <w:rPr>
                <w:sz w:val="20"/>
                <w:szCs w:val="20"/>
              </w:rPr>
              <w:t>1%</w:t>
            </w:r>
          </w:p>
        </w:tc>
        <w:tc>
          <w:tcPr>
            <w:tcW w:w="1322" w:type="dxa"/>
          </w:tcPr>
          <w:p w14:paraId="7960A87E" w14:textId="77777777" w:rsidR="00C3312E" w:rsidRPr="00C3312E" w:rsidRDefault="00C3312E" w:rsidP="00C3312E">
            <w:pPr>
              <w:spacing w:after="0" w:line="240" w:lineRule="auto"/>
              <w:jc w:val="center"/>
              <w:rPr>
                <w:sz w:val="20"/>
                <w:szCs w:val="20"/>
              </w:rPr>
            </w:pPr>
            <w:r w:rsidRPr="00C3312E">
              <w:rPr>
                <w:sz w:val="20"/>
                <w:szCs w:val="20"/>
              </w:rPr>
              <w:t>51%</w:t>
            </w:r>
          </w:p>
        </w:tc>
        <w:tc>
          <w:tcPr>
            <w:tcW w:w="1422" w:type="dxa"/>
          </w:tcPr>
          <w:p w14:paraId="0C2CD05B" w14:textId="77777777" w:rsidR="00C3312E" w:rsidRPr="00C3312E" w:rsidRDefault="00C3312E" w:rsidP="00C3312E">
            <w:pPr>
              <w:spacing w:after="0" w:line="240" w:lineRule="auto"/>
              <w:jc w:val="center"/>
              <w:rPr>
                <w:sz w:val="20"/>
                <w:szCs w:val="20"/>
              </w:rPr>
            </w:pPr>
            <w:r w:rsidRPr="00C3312E">
              <w:rPr>
                <w:sz w:val="20"/>
                <w:szCs w:val="20"/>
              </w:rPr>
              <w:t>-13%</w:t>
            </w:r>
          </w:p>
        </w:tc>
      </w:tr>
    </w:tbl>
    <w:p w14:paraId="2F4D3D6E" w14:textId="2B42C221" w:rsidR="00C3312E" w:rsidRDefault="00C3312E" w:rsidP="00C3312E">
      <w:pPr>
        <w:spacing w:after="0" w:line="240" w:lineRule="auto"/>
        <w:contextualSpacing/>
        <w:rPr>
          <w:rFonts w:eastAsia="Times New Roman" w:cs="Times New Roman"/>
        </w:rPr>
      </w:pPr>
    </w:p>
    <w:p w14:paraId="3B1E43E1" w14:textId="77777777" w:rsidR="0089512A" w:rsidRPr="00C3312E" w:rsidRDefault="0089512A" w:rsidP="00C3312E">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Framingham Public Schools"/>
        <w:tblDescription w:val="Next-Generation MCAS Math Percent Meeting or Exceeding Expectations in Grades 3–8, 2017–2018&#10;"/>
      </w:tblPr>
      <w:tblGrid>
        <w:gridCol w:w="1327"/>
        <w:gridCol w:w="1301"/>
        <w:gridCol w:w="1321"/>
        <w:gridCol w:w="1321"/>
        <w:gridCol w:w="1336"/>
        <w:gridCol w:w="1322"/>
        <w:gridCol w:w="1422"/>
      </w:tblGrid>
      <w:tr w:rsidR="00C3312E" w:rsidRPr="00C3312E" w14:paraId="6EB39ED0" w14:textId="77777777" w:rsidTr="00F37A4F">
        <w:tc>
          <w:tcPr>
            <w:tcW w:w="9350" w:type="dxa"/>
            <w:gridSpan w:val="7"/>
            <w:tcBorders>
              <w:top w:val="nil"/>
              <w:left w:val="nil"/>
              <w:right w:val="nil"/>
            </w:tcBorders>
          </w:tcPr>
          <w:p w14:paraId="413A6207"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 xml:space="preserve">Table 11: </w:t>
            </w:r>
            <w:r w:rsidRPr="00C3312E">
              <w:rPr>
                <w:rFonts w:cs="Times New Roman"/>
                <w:b/>
                <w:sz w:val="20"/>
                <w:szCs w:val="20"/>
              </w:rPr>
              <w:t>Framingham Public Schools</w:t>
            </w:r>
          </w:p>
          <w:p w14:paraId="77CF81CD" w14:textId="421A8A02" w:rsidR="00C3312E" w:rsidRPr="00C3312E" w:rsidRDefault="00C3312E" w:rsidP="000F7DAF">
            <w:pPr>
              <w:spacing w:after="0" w:line="240" w:lineRule="auto"/>
              <w:contextualSpacing/>
              <w:jc w:val="center"/>
              <w:rPr>
                <w:rFonts w:eastAsia="Times New Roman" w:cs="Times New Roman"/>
              </w:rPr>
            </w:pPr>
            <w:r w:rsidRPr="00C3312E">
              <w:rPr>
                <w:rFonts w:eastAsia="Times New Roman" w:cs="Times New Roman"/>
                <w:b/>
                <w:sz w:val="20"/>
                <w:szCs w:val="20"/>
              </w:rPr>
              <w:t>Next-Generation MCAS Math Percent Meeting or Exceeding Expectations in Grades 3</w:t>
            </w:r>
            <w:r w:rsidR="000F7DAF">
              <w:rPr>
                <w:rFonts w:eastAsia="Times New Roman" w:cs="Times New Roman"/>
                <w:b/>
                <w:sz w:val="20"/>
                <w:szCs w:val="20"/>
              </w:rPr>
              <w:t>–</w:t>
            </w:r>
            <w:r w:rsidRPr="00C3312E">
              <w:rPr>
                <w:rFonts w:eastAsia="Times New Roman" w:cs="Times New Roman"/>
                <w:b/>
                <w:sz w:val="20"/>
                <w:szCs w:val="20"/>
              </w:rPr>
              <w:t>8, 2017</w:t>
            </w:r>
            <w:r w:rsidR="000F7DAF">
              <w:rPr>
                <w:rFonts w:eastAsia="Times New Roman" w:cs="Times New Roman"/>
                <w:b/>
                <w:sz w:val="20"/>
                <w:szCs w:val="20"/>
              </w:rPr>
              <w:t>–</w:t>
            </w:r>
            <w:r w:rsidRPr="00C3312E">
              <w:rPr>
                <w:rFonts w:eastAsia="Times New Roman" w:cs="Times New Roman"/>
                <w:b/>
                <w:sz w:val="20"/>
                <w:szCs w:val="20"/>
              </w:rPr>
              <w:t>2018</w:t>
            </w:r>
          </w:p>
        </w:tc>
      </w:tr>
      <w:tr w:rsidR="00C3312E" w:rsidRPr="00C3312E" w14:paraId="40DBE910" w14:textId="77777777" w:rsidTr="00F37A4F">
        <w:tc>
          <w:tcPr>
            <w:tcW w:w="1327" w:type="dxa"/>
            <w:shd w:val="clear" w:color="auto" w:fill="BFBFBF" w:themeFill="background1" w:themeFillShade="BF"/>
          </w:tcPr>
          <w:p w14:paraId="7BE08FD0"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Grade</w:t>
            </w:r>
          </w:p>
        </w:tc>
        <w:tc>
          <w:tcPr>
            <w:tcW w:w="1301" w:type="dxa"/>
            <w:shd w:val="clear" w:color="auto" w:fill="BFBFBF" w:themeFill="background1" w:themeFillShade="BF"/>
          </w:tcPr>
          <w:p w14:paraId="70FA214F"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N</w:t>
            </w:r>
          </w:p>
        </w:tc>
        <w:tc>
          <w:tcPr>
            <w:tcW w:w="1321" w:type="dxa"/>
            <w:shd w:val="clear" w:color="auto" w:fill="BFBFBF" w:themeFill="background1" w:themeFillShade="BF"/>
          </w:tcPr>
          <w:p w14:paraId="46DCD28D"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2017</w:t>
            </w:r>
          </w:p>
        </w:tc>
        <w:tc>
          <w:tcPr>
            <w:tcW w:w="1321" w:type="dxa"/>
            <w:shd w:val="clear" w:color="auto" w:fill="BFBFBF" w:themeFill="background1" w:themeFillShade="BF"/>
          </w:tcPr>
          <w:p w14:paraId="208658FF"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2018</w:t>
            </w:r>
          </w:p>
        </w:tc>
        <w:tc>
          <w:tcPr>
            <w:tcW w:w="1336" w:type="dxa"/>
            <w:shd w:val="clear" w:color="auto" w:fill="BFBFBF" w:themeFill="background1" w:themeFillShade="BF"/>
          </w:tcPr>
          <w:p w14:paraId="5D10E615"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Change</w:t>
            </w:r>
          </w:p>
        </w:tc>
        <w:tc>
          <w:tcPr>
            <w:tcW w:w="1322" w:type="dxa"/>
            <w:shd w:val="clear" w:color="auto" w:fill="BFBFBF" w:themeFill="background1" w:themeFillShade="BF"/>
          </w:tcPr>
          <w:p w14:paraId="6C579D5A" w14:textId="7735A8EB"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State</w:t>
            </w:r>
            <w:r w:rsidR="000F7DAF">
              <w:rPr>
                <w:rFonts w:eastAsia="Times New Roman" w:cs="Times New Roman"/>
                <w:b/>
                <w:sz w:val="20"/>
                <w:szCs w:val="20"/>
              </w:rPr>
              <w:t xml:space="preserve"> (2018)</w:t>
            </w:r>
          </w:p>
        </w:tc>
        <w:tc>
          <w:tcPr>
            <w:tcW w:w="1422" w:type="dxa"/>
            <w:shd w:val="clear" w:color="auto" w:fill="BFBFBF" w:themeFill="background1" w:themeFillShade="BF"/>
          </w:tcPr>
          <w:p w14:paraId="783C6AD8" w14:textId="77777777" w:rsidR="00C3312E" w:rsidRPr="00C3312E" w:rsidRDefault="00C3312E" w:rsidP="00C3312E">
            <w:pPr>
              <w:spacing w:after="0" w:line="240" w:lineRule="auto"/>
              <w:contextualSpacing/>
              <w:jc w:val="center"/>
              <w:rPr>
                <w:rFonts w:eastAsia="Times New Roman" w:cs="Times New Roman"/>
                <w:b/>
                <w:sz w:val="20"/>
                <w:szCs w:val="20"/>
              </w:rPr>
            </w:pPr>
            <w:r w:rsidRPr="00C3312E">
              <w:rPr>
                <w:rFonts w:eastAsia="Times New Roman" w:cs="Times New Roman"/>
                <w:b/>
                <w:sz w:val="20"/>
                <w:szCs w:val="20"/>
              </w:rPr>
              <w:t>Above/Below</w:t>
            </w:r>
          </w:p>
        </w:tc>
      </w:tr>
      <w:tr w:rsidR="00C3312E" w:rsidRPr="00C3312E" w14:paraId="238C4E0C" w14:textId="77777777" w:rsidTr="00F37A4F">
        <w:tc>
          <w:tcPr>
            <w:tcW w:w="1327" w:type="dxa"/>
          </w:tcPr>
          <w:p w14:paraId="4F88E9BF" w14:textId="77777777" w:rsidR="00C3312E" w:rsidRPr="00C3312E" w:rsidRDefault="00C3312E" w:rsidP="00C3312E">
            <w:pPr>
              <w:spacing w:after="0" w:line="240" w:lineRule="auto"/>
              <w:jc w:val="center"/>
              <w:rPr>
                <w:sz w:val="20"/>
                <w:szCs w:val="20"/>
              </w:rPr>
            </w:pPr>
            <w:r w:rsidRPr="00C3312E">
              <w:rPr>
                <w:sz w:val="20"/>
                <w:szCs w:val="20"/>
              </w:rPr>
              <w:t>3</w:t>
            </w:r>
          </w:p>
        </w:tc>
        <w:tc>
          <w:tcPr>
            <w:tcW w:w="1301" w:type="dxa"/>
          </w:tcPr>
          <w:p w14:paraId="527C238B" w14:textId="77777777" w:rsidR="00C3312E" w:rsidRPr="00C3312E" w:rsidRDefault="00C3312E" w:rsidP="00C3312E">
            <w:pPr>
              <w:spacing w:after="0" w:line="240" w:lineRule="auto"/>
              <w:jc w:val="center"/>
              <w:rPr>
                <w:sz w:val="20"/>
                <w:szCs w:val="20"/>
              </w:rPr>
            </w:pPr>
            <w:r w:rsidRPr="00C3312E">
              <w:rPr>
                <w:sz w:val="20"/>
                <w:szCs w:val="20"/>
              </w:rPr>
              <w:t>762</w:t>
            </w:r>
          </w:p>
        </w:tc>
        <w:tc>
          <w:tcPr>
            <w:tcW w:w="1321" w:type="dxa"/>
          </w:tcPr>
          <w:p w14:paraId="7F6C7F8E" w14:textId="77777777" w:rsidR="00C3312E" w:rsidRPr="00C3312E" w:rsidRDefault="00C3312E" w:rsidP="00C3312E">
            <w:pPr>
              <w:spacing w:after="0" w:line="240" w:lineRule="auto"/>
              <w:jc w:val="center"/>
              <w:rPr>
                <w:sz w:val="20"/>
                <w:szCs w:val="20"/>
              </w:rPr>
            </w:pPr>
            <w:r w:rsidRPr="00C3312E">
              <w:rPr>
                <w:sz w:val="20"/>
                <w:szCs w:val="20"/>
              </w:rPr>
              <w:t>38%</w:t>
            </w:r>
          </w:p>
        </w:tc>
        <w:tc>
          <w:tcPr>
            <w:tcW w:w="1321" w:type="dxa"/>
          </w:tcPr>
          <w:p w14:paraId="006678A7" w14:textId="77777777" w:rsidR="00C3312E" w:rsidRPr="00C3312E" w:rsidRDefault="00C3312E" w:rsidP="00C3312E">
            <w:pPr>
              <w:spacing w:after="0" w:line="240" w:lineRule="auto"/>
              <w:jc w:val="center"/>
              <w:rPr>
                <w:sz w:val="20"/>
                <w:szCs w:val="20"/>
              </w:rPr>
            </w:pPr>
            <w:r w:rsidRPr="00C3312E">
              <w:rPr>
                <w:sz w:val="20"/>
                <w:szCs w:val="20"/>
              </w:rPr>
              <w:t>39%</w:t>
            </w:r>
          </w:p>
        </w:tc>
        <w:tc>
          <w:tcPr>
            <w:tcW w:w="1336" w:type="dxa"/>
          </w:tcPr>
          <w:p w14:paraId="762F6120" w14:textId="77777777" w:rsidR="00C3312E" w:rsidRPr="00C3312E" w:rsidRDefault="00C3312E" w:rsidP="00C3312E">
            <w:pPr>
              <w:spacing w:after="0" w:line="240" w:lineRule="auto"/>
              <w:jc w:val="center"/>
              <w:rPr>
                <w:sz w:val="20"/>
                <w:szCs w:val="20"/>
              </w:rPr>
            </w:pPr>
            <w:r w:rsidRPr="00C3312E">
              <w:rPr>
                <w:sz w:val="20"/>
                <w:szCs w:val="20"/>
              </w:rPr>
              <w:t>1%</w:t>
            </w:r>
          </w:p>
        </w:tc>
        <w:tc>
          <w:tcPr>
            <w:tcW w:w="1322" w:type="dxa"/>
          </w:tcPr>
          <w:p w14:paraId="12AE0D41" w14:textId="77777777" w:rsidR="00C3312E" w:rsidRPr="00C3312E" w:rsidRDefault="00C3312E" w:rsidP="00C3312E">
            <w:pPr>
              <w:spacing w:after="0" w:line="240" w:lineRule="auto"/>
              <w:jc w:val="center"/>
              <w:rPr>
                <w:sz w:val="20"/>
                <w:szCs w:val="20"/>
              </w:rPr>
            </w:pPr>
            <w:r w:rsidRPr="00C3312E">
              <w:rPr>
                <w:sz w:val="20"/>
                <w:szCs w:val="20"/>
              </w:rPr>
              <w:t>50%</w:t>
            </w:r>
          </w:p>
        </w:tc>
        <w:tc>
          <w:tcPr>
            <w:tcW w:w="1422" w:type="dxa"/>
          </w:tcPr>
          <w:p w14:paraId="3A3F2572" w14:textId="77777777" w:rsidR="00C3312E" w:rsidRPr="00C3312E" w:rsidRDefault="00C3312E" w:rsidP="00C3312E">
            <w:pPr>
              <w:spacing w:after="0" w:line="240" w:lineRule="auto"/>
              <w:jc w:val="center"/>
              <w:rPr>
                <w:sz w:val="20"/>
                <w:szCs w:val="20"/>
              </w:rPr>
            </w:pPr>
            <w:r w:rsidRPr="00C3312E">
              <w:rPr>
                <w:sz w:val="20"/>
                <w:szCs w:val="20"/>
              </w:rPr>
              <w:t>-11%</w:t>
            </w:r>
          </w:p>
        </w:tc>
      </w:tr>
      <w:tr w:rsidR="00C3312E" w:rsidRPr="00C3312E" w14:paraId="6FF5046E" w14:textId="77777777" w:rsidTr="00F37A4F">
        <w:tc>
          <w:tcPr>
            <w:tcW w:w="1327" w:type="dxa"/>
            <w:shd w:val="clear" w:color="auto" w:fill="BFBFBF" w:themeFill="background1" w:themeFillShade="BF"/>
          </w:tcPr>
          <w:p w14:paraId="589AEEB6" w14:textId="77777777" w:rsidR="00C3312E" w:rsidRPr="00C3312E" w:rsidRDefault="00C3312E" w:rsidP="00C3312E">
            <w:pPr>
              <w:spacing w:after="0" w:line="240" w:lineRule="auto"/>
              <w:jc w:val="center"/>
              <w:rPr>
                <w:sz w:val="20"/>
                <w:szCs w:val="20"/>
              </w:rPr>
            </w:pPr>
            <w:r w:rsidRPr="00C3312E">
              <w:rPr>
                <w:sz w:val="20"/>
                <w:szCs w:val="20"/>
              </w:rPr>
              <w:t>4</w:t>
            </w:r>
          </w:p>
        </w:tc>
        <w:tc>
          <w:tcPr>
            <w:tcW w:w="1301" w:type="dxa"/>
            <w:shd w:val="clear" w:color="auto" w:fill="BFBFBF" w:themeFill="background1" w:themeFillShade="BF"/>
          </w:tcPr>
          <w:p w14:paraId="4AC4997A" w14:textId="77777777" w:rsidR="00C3312E" w:rsidRPr="00C3312E" w:rsidRDefault="00C3312E" w:rsidP="00C3312E">
            <w:pPr>
              <w:spacing w:after="0" w:line="240" w:lineRule="auto"/>
              <w:jc w:val="center"/>
              <w:rPr>
                <w:sz w:val="20"/>
                <w:szCs w:val="20"/>
              </w:rPr>
            </w:pPr>
            <w:r w:rsidRPr="00C3312E">
              <w:rPr>
                <w:sz w:val="20"/>
                <w:szCs w:val="20"/>
              </w:rPr>
              <w:t>779</w:t>
            </w:r>
          </w:p>
        </w:tc>
        <w:tc>
          <w:tcPr>
            <w:tcW w:w="1321" w:type="dxa"/>
            <w:shd w:val="clear" w:color="auto" w:fill="BFBFBF" w:themeFill="background1" w:themeFillShade="BF"/>
          </w:tcPr>
          <w:p w14:paraId="7340C398" w14:textId="77777777" w:rsidR="00C3312E" w:rsidRPr="00C3312E" w:rsidRDefault="00C3312E" w:rsidP="00C3312E">
            <w:pPr>
              <w:spacing w:after="0" w:line="240" w:lineRule="auto"/>
              <w:jc w:val="center"/>
              <w:rPr>
                <w:sz w:val="20"/>
                <w:szCs w:val="20"/>
              </w:rPr>
            </w:pPr>
            <w:r w:rsidRPr="00C3312E">
              <w:rPr>
                <w:sz w:val="20"/>
                <w:szCs w:val="20"/>
              </w:rPr>
              <w:t>31%</w:t>
            </w:r>
          </w:p>
        </w:tc>
        <w:tc>
          <w:tcPr>
            <w:tcW w:w="1321" w:type="dxa"/>
            <w:shd w:val="clear" w:color="auto" w:fill="BFBFBF" w:themeFill="background1" w:themeFillShade="BF"/>
          </w:tcPr>
          <w:p w14:paraId="169C9C1A" w14:textId="77777777" w:rsidR="00C3312E" w:rsidRPr="00C3312E" w:rsidRDefault="00C3312E" w:rsidP="00C3312E">
            <w:pPr>
              <w:spacing w:after="0" w:line="240" w:lineRule="auto"/>
              <w:jc w:val="center"/>
              <w:rPr>
                <w:sz w:val="20"/>
                <w:szCs w:val="20"/>
              </w:rPr>
            </w:pPr>
            <w:r w:rsidRPr="00C3312E">
              <w:rPr>
                <w:sz w:val="20"/>
                <w:szCs w:val="20"/>
              </w:rPr>
              <w:t>35%</w:t>
            </w:r>
          </w:p>
        </w:tc>
        <w:tc>
          <w:tcPr>
            <w:tcW w:w="1336" w:type="dxa"/>
            <w:shd w:val="clear" w:color="auto" w:fill="BFBFBF" w:themeFill="background1" w:themeFillShade="BF"/>
          </w:tcPr>
          <w:p w14:paraId="111D4AEB" w14:textId="77777777" w:rsidR="00C3312E" w:rsidRPr="00C3312E" w:rsidRDefault="00C3312E" w:rsidP="00C3312E">
            <w:pPr>
              <w:spacing w:after="0" w:line="240" w:lineRule="auto"/>
              <w:jc w:val="center"/>
              <w:rPr>
                <w:sz w:val="20"/>
                <w:szCs w:val="20"/>
              </w:rPr>
            </w:pPr>
            <w:r w:rsidRPr="00C3312E">
              <w:rPr>
                <w:sz w:val="20"/>
                <w:szCs w:val="20"/>
              </w:rPr>
              <w:t>4%</w:t>
            </w:r>
          </w:p>
        </w:tc>
        <w:tc>
          <w:tcPr>
            <w:tcW w:w="1322" w:type="dxa"/>
            <w:shd w:val="clear" w:color="auto" w:fill="BFBFBF" w:themeFill="background1" w:themeFillShade="BF"/>
          </w:tcPr>
          <w:p w14:paraId="2BCFD910" w14:textId="77777777" w:rsidR="00C3312E" w:rsidRPr="00C3312E" w:rsidRDefault="00C3312E" w:rsidP="00C3312E">
            <w:pPr>
              <w:spacing w:after="0" w:line="240" w:lineRule="auto"/>
              <w:jc w:val="center"/>
              <w:rPr>
                <w:sz w:val="20"/>
                <w:szCs w:val="20"/>
              </w:rPr>
            </w:pPr>
            <w:r w:rsidRPr="00C3312E">
              <w:rPr>
                <w:sz w:val="20"/>
                <w:szCs w:val="20"/>
              </w:rPr>
              <w:t>48%</w:t>
            </w:r>
          </w:p>
        </w:tc>
        <w:tc>
          <w:tcPr>
            <w:tcW w:w="1422" w:type="dxa"/>
            <w:shd w:val="clear" w:color="auto" w:fill="BFBFBF" w:themeFill="background1" w:themeFillShade="BF"/>
          </w:tcPr>
          <w:p w14:paraId="5FC6FD6C" w14:textId="77777777" w:rsidR="00C3312E" w:rsidRPr="00C3312E" w:rsidRDefault="00C3312E" w:rsidP="00C3312E">
            <w:pPr>
              <w:spacing w:after="0" w:line="240" w:lineRule="auto"/>
              <w:jc w:val="center"/>
              <w:rPr>
                <w:sz w:val="20"/>
                <w:szCs w:val="20"/>
              </w:rPr>
            </w:pPr>
            <w:r w:rsidRPr="00C3312E">
              <w:rPr>
                <w:sz w:val="20"/>
                <w:szCs w:val="20"/>
              </w:rPr>
              <w:t>-13%</w:t>
            </w:r>
          </w:p>
        </w:tc>
      </w:tr>
      <w:tr w:rsidR="00C3312E" w:rsidRPr="00C3312E" w14:paraId="36817117" w14:textId="77777777" w:rsidTr="00F37A4F">
        <w:tc>
          <w:tcPr>
            <w:tcW w:w="1327" w:type="dxa"/>
          </w:tcPr>
          <w:p w14:paraId="25B7D4E4" w14:textId="77777777" w:rsidR="00C3312E" w:rsidRPr="00C3312E" w:rsidRDefault="00C3312E" w:rsidP="00C3312E">
            <w:pPr>
              <w:spacing w:after="0" w:line="240" w:lineRule="auto"/>
              <w:jc w:val="center"/>
              <w:rPr>
                <w:sz w:val="20"/>
                <w:szCs w:val="20"/>
              </w:rPr>
            </w:pPr>
            <w:r w:rsidRPr="00C3312E">
              <w:rPr>
                <w:sz w:val="20"/>
                <w:szCs w:val="20"/>
              </w:rPr>
              <w:t>5</w:t>
            </w:r>
          </w:p>
        </w:tc>
        <w:tc>
          <w:tcPr>
            <w:tcW w:w="1301" w:type="dxa"/>
          </w:tcPr>
          <w:p w14:paraId="186EFC15" w14:textId="77777777" w:rsidR="00C3312E" w:rsidRPr="00C3312E" w:rsidRDefault="00C3312E" w:rsidP="00C3312E">
            <w:pPr>
              <w:spacing w:after="0" w:line="240" w:lineRule="auto"/>
              <w:jc w:val="center"/>
              <w:rPr>
                <w:sz w:val="20"/>
                <w:szCs w:val="20"/>
              </w:rPr>
            </w:pPr>
            <w:r w:rsidRPr="00C3312E">
              <w:rPr>
                <w:sz w:val="20"/>
                <w:szCs w:val="20"/>
              </w:rPr>
              <w:t>748</w:t>
            </w:r>
          </w:p>
        </w:tc>
        <w:tc>
          <w:tcPr>
            <w:tcW w:w="1321" w:type="dxa"/>
          </w:tcPr>
          <w:p w14:paraId="74C96F84"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tcPr>
          <w:p w14:paraId="6EC81C80" w14:textId="77777777" w:rsidR="00C3312E" w:rsidRPr="00C3312E" w:rsidRDefault="00C3312E" w:rsidP="00C3312E">
            <w:pPr>
              <w:spacing w:after="0" w:line="240" w:lineRule="auto"/>
              <w:jc w:val="center"/>
              <w:rPr>
                <w:sz w:val="20"/>
                <w:szCs w:val="20"/>
              </w:rPr>
            </w:pPr>
            <w:r w:rsidRPr="00C3312E">
              <w:rPr>
                <w:sz w:val="20"/>
                <w:szCs w:val="20"/>
              </w:rPr>
              <w:t>36%</w:t>
            </w:r>
          </w:p>
        </w:tc>
        <w:tc>
          <w:tcPr>
            <w:tcW w:w="1336" w:type="dxa"/>
          </w:tcPr>
          <w:p w14:paraId="0DFA5CF4" w14:textId="77777777" w:rsidR="00C3312E" w:rsidRPr="00C3312E" w:rsidRDefault="00C3312E" w:rsidP="00C3312E">
            <w:pPr>
              <w:spacing w:after="0" w:line="240" w:lineRule="auto"/>
              <w:jc w:val="center"/>
              <w:rPr>
                <w:sz w:val="20"/>
                <w:szCs w:val="20"/>
              </w:rPr>
            </w:pPr>
            <w:r w:rsidRPr="00C3312E">
              <w:rPr>
                <w:sz w:val="20"/>
                <w:szCs w:val="20"/>
              </w:rPr>
              <w:t>0%</w:t>
            </w:r>
          </w:p>
        </w:tc>
        <w:tc>
          <w:tcPr>
            <w:tcW w:w="1322" w:type="dxa"/>
          </w:tcPr>
          <w:p w14:paraId="58CCB942" w14:textId="77777777" w:rsidR="00C3312E" w:rsidRPr="00C3312E" w:rsidRDefault="00C3312E" w:rsidP="00C3312E">
            <w:pPr>
              <w:spacing w:after="0" w:line="240" w:lineRule="auto"/>
              <w:jc w:val="center"/>
              <w:rPr>
                <w:sz w:val="20"/>
                <w:szCs w:val="20"/>
              </w:rPr>
            </w:pPr>
            <w:r w:rsidRPr="00C3312E">
              <w:rPr>
                <w:sz w:val="20"/>
                <w:szCs w:val="20"/>
              </w:rPr>
              <w:t>46%</w:t>
            </w:r>
          </w:p>
        </w:tc>
        <w:tc>
          <w:tcPr>
            <w:tcW w:w="1422" w:type="dxa"/>
          </w:tcPr>
          <w:p w14:paraId="40EBF0CB" w14:textId="77777777" w:rsidR="00C3312E" w:rsidRPr="00C3312E" w:rsidRDefault="00C3312E" w:rsidP="00C3312E">
            <w:pPr>
              <w:spacing w:after="0" w:line="240" w:lineRule="auto"/>
              <w:jc w:val="center"/>
              <w:rPr>
                <w:sz w:val="20"/>
                <w:szCs w:val="20"/>
              </w:rPr>
            </w:pPr>
            <w:r w:rsidRPr="00C3312E">
              <w:rPr>
                <w:sz w:val="20"/>
                <w:szCs w:val="20"/>
              </w:rPr>
              <w:t>-10%</w:t>
            </w:r>
          </w:p>
        </w:tc>
      </w:tr>
      <w:tr w:rsidR="00C3312E" w:rsidRPr="00C3312E" w14:paraId="460F4BD6" w14:textId="77777777" w:rsidTr="00F37A4F">
        <w:tc>
          <w:tcPr>
            <w:tcW w:w="1327" w:type="dxa"/>
            <w:shd w:val="clear" w:color="auto" w:fill="BFBFBF" w:themeFill="background1" w:themeFillShade="BF"/>
          </w:tcPr>
          <w:p w14:paraId="1EDC54ED" w14:textId="77777777" w:rsidR="00C3312E" w:rsidRPr="00C3312E" w:rsidRDefault="00C3312E" w:rsidP="00C3312E">
            <w:pPr>
              <w:spacing w:after="0" w:line="240" w:lineRule="auto"/>
              <w:jc w:val="center"/>
              <w:rPr>
                <w:sz w:val="20"/>
                <w:szCs w:val="20"/>
              </w:rPr>
            </w:pPr>
            <w:r w:rsidRPr="00C3312E">
              <w:rPr>
                <w:sz w:val="20"/>
                <w:szCs w:val="20"/>
              </w:rPr>
              <w:t>6</w:t>
            </w:r>
          </w:p>
        </w:tc>
        <w:tc>
          <w:tcPr>
            <w:tcW w:w="1301" w:type="dxa"/>
            <w:shd w:val="clear" w:color="auto" w:fill="BFBFBF" w:themeFill="background1" w:themeFillShade="BF"/>
          </w:tcPr>
          <w:p w14:paraId="05B2CC36" w14:textId="77777777" w:rsidR="00C3312E" w:rsidRPr="00C3312E" w:rsidRDefault="00C3312E" w:rsidP="00C3312E">
            <w:pPr>
              <w:spacing w:after="0" w:line="240" w:lineRule="auto"/>
              <w:jc w:val="center"/>
              <w:rPr>
                <w:sz w:val="20"/>
                <w:szCs w:val="20"/>
              </w:rPr>
            </w:pPr>
            <w:r w:rsidRPr="00C3312E">
              <w:rPr>
                <w:sz w:val="20"/>
                <w:szCs w:val="20"/>
              </w:rPr>
              <w:t>631</w:t>
            </w:r>
          </w:p>
        </w:tc>
        <w:tc>
          <w:tcPr>
            <w:tcW w:w="1321" w:type="dxa"/>
            <w:shd w:val="clear" w:color="auto" w:fill="BFBFBF" w:themeFill="background1" w:themeFillShade="BF"/>
          </w:tcPr>
          <w:p w14:paraId="3750EB5D"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shd w:val="clear" w:color="auto" w:fill="BFBFBF" w:themeFill="background1" w:themeFillShade="BF"/>
          </w:tcPr>
          <w:p w14:paraId="36622E05" w14:textId="77777777" w:rsidR="00C3312E" w:rsidRPr="00C3312E" w:rsidRDefault="00C3312E" w:rsidP="00C3312E">
            <w:pPr>
              <w:spacing w:after="0" w:line="240" w:lineRule="auto"/>
              <w:jc w:val="center"/>
              <w:rPr>
                <w:sz w:val="20"/>
                <w:szCs w:val="20"/>
              </w:rPr>
            </w:pPr>
            <w:r w:rsidRPr="00C3312E">
              <w:rPr>
                <w:sz w:val="20"/>
                <w:szCs w:val="20"/>
              </w:rPr>
              <w:t>31%</w:t>
            </w:r>
          </w:p>
        </w:tc>
        <w:tc>
          <w:tcPr>
            <w:tcW w:w="1336" w:type="dxa"/>
            <w:shd w:val="clear" w:color="auto" w:fill="BFBFBF" w:themeFill="background1" w:themeFillShade="BF"/>
          </w:tcPr>
          <w:p w14:paraId="6F8C4A7C" w14:textId="77777777" w:rsidR="00C3312E" w:rsidRPr="00C3312E" w:rsidRDefault="00C3312E" w:rsidP="00C3312E">
            <w:pPr>
              <w:spacing w:after="0" w:line="240" w:lineRule="auto"/>
              <w:jc w:val="center"/>
              <w:rPr>
                <w:sz w:val="20"/>
                <w:szCs w:val="20"/>
              </w:rPr>
            </w:pPr>
            <w:r w:rsidRPr="00C3312E">
              <w:rPr>
                <w:sz w:val="20"/>
                <w:szCs w:val="20"/>
              </w:rPr>
              <w:t>-5%</w:t>
            </w:r>
          </w:p>
        </w:tc>
        <w:tc>
          <w:tcPr>
            <w:tcW w:w="1322" w:type="dxa"/>
            <w:shd w:val="clear" w:color="auto" w:fill="BFBFBF" w:themeFill="background1" w:themeFillShade="BF"/>
          </w:tcPr>
          <w:p w14:paraId="74125AA0" w14:textId="77777777" w:rsidR="00C3312E" w:rsidRPr="00C3312E" w:rsidRDefault="00C3312E" w:rsidP="00C3312E">
            <w:pPr>
              <w:spacing w:after="0" w:line="240" w:lineRule="auto"/>
              <w:jc w:val="center"/>
              <w:rPr>
                <w:sz w:val="20"/>
                <w:szCs w:val="20"/>
              </w:rPr>
            </w:pPr>
            <w:r w:rsidRPr="00C3312E">
              <w:rPr>
                <w:sz w:val="20"/>
                <w:szCs w:val="20"/>
              </w:rPr>
              <w:t>47%</w:t>
            </w:r>
          </w:p>
        </w:tc>
        <w:tc>
          <w:tcPr>
            <w:tcW w:w="1422" w:type="dxa"/>
            <w:shd w:val="clear" w:color="auto" w:fill="BFBFBF" w:themeFill="background1" w:themeFillShade="BF"/>
          </w:tcPr>
          <w:p w14:paraId="7F2B9565" w14:textId="77777777" w:rsidR="00C3312E" w:rsidRPr="00C3312E" w:rsidRDefault="00C3312E" w:rsidP="00C3312E">
            <w:pPr>
              <w:spacing w:after="0" w:line="240" w:lineRule="auto"/>
              <w:jc w:val="center"/>
              <w:rPr>
                <w:sz w:val="20"/>
                <w:szCs w:val="20"/>
              </w:rPr>
            </w:pPr>
            <w:r w:rsidRPr="00C3312E">
              <w:rPr>
                <w:sz w:val="20"/>
                <w:szCs w:val="20"/>
              </w:rPr>
              <w:t>-16%</w:t>
            </w:r>
          </w:p>
        </w:tc>
      </w:tr>
      <w:tr w:rsidR="00C3312E" w:rsidRPr="00C3312E" w14:paraId="16118304" w14:textId="77777777" w:rsidTr="00F37A4F">
        <w:tc>
          <w:tcPr>
            <w:tcW w:w="1327" w:type="dxa"/>
          </w:tcPr>
          <w:p w14:paraId="53DD2C3B" w14:textId="77777777" w:rsidR="00C3312E" w:rsidRPr="00C3312E" w:rsidRDefault="00C3312E" w:rsidP="00C3312E">
            <w:pPr>
              <w:spacing w:after="0" w:line="240" w:lineRule="auto"/>
              <w:jc w:val="center"/>
              <w:rPr>
                <w:sz w:val="20"/>
                <w:szCs w:val="20"/>
              </w:rPr>
            </w:pPr>
            <w:r w:rsidRPr="00C3312E">
              <w:rPr>
                <w:sz w:val="20"/>
                <w:szCs w:val="20"/>
              </w:rPr>
              <w:t>7</w:t>
            </w:r>
          </w:p>
        </w:tc>
        <w:tc>
          <w:tcPr>
            <w:tcW w:w="1301" w:type="dxa"/>
          </w:tcPr>
          <w:p w14:paraId="66F6A4F4" w14:textId="77777777" w:rsidR="00C3312E" w:rsidRPr="00C3312E" w:rsidRDefault="00C3312E" w:rsidP="00C3312E">
            <w:pPr>
              <w:spacing w:after="0" w:line="240" w:lineRule="auto"/>
              <w:jc w:val="center"/>
              <w:rPr>
                <w:sz w:val="20"/>
                <w:szCs w:val="20"/>
              </w:rPr>
            </w:pPr>
            <w:r w:rsidRPr="00C3312E">
              <w:rPr>
                <w:sz w:val="20"/>
                <w:szCs w:val="20"/>
              </w:rPr>
              <w:t>573</w:t>
            </w:r>
          </w:p>
        </w:tc>
        <w:tc>
          <w:tcPr>
            <w:tcW w:w="1321" w:type="dxa"/>
          </w:tcPr>
          <w:p w14:paraId="1F231676" w14:textId="77777777" w:rsidR="00C3312E" w:rsidRPr="00C3312E" w:rsidRDefault="00C3312E" w:rsidP="00C3312E">
            <w:pPr>
              <w:spacing w:after="0" w:line="240" w:lineRule="auto"/>
              <w:jc w:val="center"/>
              <w:rPr>
                <w:sz w:val="20"/>
                <w:szCs w:val="20"/>
              </w:rPr>
            </w:pPr>
            <w:r w:rsidRPr="00C3312E">
              <w:rPr>
                <w:sz w:val="20"/>
                <w:szCs w:val="20"/>
              </w:rPr>
              <w:t>40%</w:t>
            </w:r>
          </w:p>
        </w:tc>
        <w:tc>
          <w:tcPr>
            <w:tcW w:w="1321" w:type="dxa"/>
          </w:tcPr>
          <w:p w14:paraId="20215CF9" w14:textId="77777777" w:rsidR="00C3312E" w:rsidRPr="00C3312E" w:rsidRDefault="00C3312E" w:rsidP="00C3312E">
            <w:pPr>
              <w:spacing w:after="0" w:line="240" w:lineRule="auto"/>
              <w:jc w:val="center"/>
              <w:rPr>
                <w:sz w:val="20"/>
                <w:szCs w:val="20"/>
              </w:rPr>
            </w:pPr>
            <w:r w:rsidRPr="00C3312E">
              <w:rPr>
                <w:sz w:val="20"/>
                <w:szCs w:val="20"/>
              </w:rPr>
              <w:t>40%</w:t>
            </w:r>
          </w:p>
        </w:tc>
        <w:tc>
          <w:tcPr>
            <w:tcW w:w="1336" w:type="dxa"/>
          </w:tcPr>
          <w:p w14:paraId="3AF88776" w14:textId="77777777" w:rsidR="00C3312E" w:rsidRPr="00C3312E" w:rsidRDefault="00C3312E" w:rsidP="00C3312E">
            <w:pPr>
              <w:spacing w:after="0" w:line="240" w:lineRule="auto"/>
              <w:jc w:val="center"/>
              <w:rPr>
                <w:sz w:val="20"/>
                <w:szCs w:val="20"/>
              </w:rPr>
            </w:pPr>
            <w:r w:rsidRPr="00C3312E">
              <w:rPr>
                <w:sz w:val="20"/>
                <w:szCs w:val="20"/>
              </w:rPr>
              <w:t>0%</w:t>
            </w:r>
          </w:p>
        </w:tc>
        <w:tc>
          <w:tcPr>
            <w:tcW w:w="1322" w:type="dxa"/>
          </w:tcPr>
          <w:p w14:paraId="6B718CE3" w14:textId="77777777" w:rsidR="00C3312E" w:rsidRPr="00C3312E" w:rsidRDefault="00C3312E" w:rsidP="00C3312E">
            <w:pPr>
              <w:spacing w:after="0" w:line="240" w:lineRule="auto"/>
              <w:jc w:val="center"/>
              <w:rPr>
                <w:sz w:val="20"/>
                <w:szCs w:val="20"/>
              </w:rPr>
            </w:pPr>
            <w:r w:rsidRPr="00C3312E">
              <w:rPr>
                <w:sz w:val="20"/>
                <w:szCs w:val="20"/>
              </w:rPr>
              <w:t>46%</w:t>
            </w:r>
          </w:p>
        </w:tc>
        <w:tc>
          <w:tcPr>
            <w:tcW w:w="1422" w:type="dxa"/>
          </w:tcPr>
          <w:p w14:paraId="7E36C431" w14:textId="77777777" w:rsidR="00C3312E" w:rsidRPr="00C3312E" w:rsidRDefault="00C3312E" w:rsidP="00C3312E">
            <w:pPr>
              <w:spacing w:after="0" w:line="240" w:lineRule="auto"/>
              <w:jc w:val="center"/>
              <w:rPr>
                <w:sz w:val="20"/>
                <w:szCs w:val="20"/>
              </w:rPr>
            </w:pPr>
            <w:r w:rsidRPr="00C3312E">
              <w:rPr>
                <w:sz w:val="20"/>
                <w:szCs w:val="20"/>
              </w:rPr>
              <w:t>-6%</w:t>
            </w:r>
          </w:p>
        </w:tc>
      </w:tr>
      <w:tr w:rsidR="00C3312E" w:rsidRPr="00C3312E" w14:paraId="48119E3D" w14:textId="77777777" w:rsidTr="00F37A4F">
        <w:tc>
          <w:tcPr>
            <w:tcW w:w="1327" w:type="dxa"/>
            <w:shd w:val="clear" w:color="auto" w:fill="BFBFBF" w:themeFill="background1" w:themeFillShade="BF"/>
          </w:tcPr>
          <w:p w14:paraId="38DBE3A1" w14:textId="77777777" w:rsidR="00C3312E" w:rsidRPr="00C3312E" w:rsidRDefault="00C3312E" w:rsidP="00C3312E">
            <w:pPr>
              <w:spacing w:after="0" w:line="240" w:lineRule="auto"/>
              <w:jc w:val="center"/>
              <w:rPr>
                <w:sz w:val="20"/>
                <w:szCs w:val="20"/>
              </w:rPr>
            </w:pPr>
            <w:r w:rsidRPr="00C3312E">
              <w:rPr>
                <w:sz w:val="20"/>
                <w:szCs w:val="20"/>
              </w:rPr>
              <w:t>8</w:t>
            </w:r>
          </w:p>
        </w:tc>
        <w:tc>
          <w:tcPr>
            <w:tcW w:w="1301" w:type="dxa"/>
            <w:shd w:val="clear" w:color="auto" w:fill="BFBFBF" w:themeFill="background1" w:themeFillShade="BF"/>
          </w:tcPr>
          <w:p w14:paraId="66B873A6" w14:textId="77777777" w:rsidR="00C3312E" w:rsidRPr="00C3312E" w:rsidRDefault="00C3312E" w:rsidP="00C3312E">
            <w:pPr>
              <w:spacing w:after="0" w:line="240" w:lineRule="auto"/>
              <w:jc w:val="center"/>
              <w:rPr>
                <w:sz w:val="20"/>
                <w:szCs w:val="20"/>
              </w:rPr>
            </w:pPr>
            <w:r w:rsidRPr="00C3312E">
              <w:rPr>
                <w:sz w:val="20"/>
                <w:szCs w:val="20"/>
              </w:rPr>
              <w:t>594</w:t>
            </w:r>
          </w:p>
        </w:tc>
        <w:tc>
          <w:tcPr>
            <w:tcW w:w="1321" w:type="dxa"/>
            <w:shd w:val="clear" w:color="auto" w:fill="BFBFBF" w:themeFill="background1" w:themeFillShade="BF"/>
          </w:tcPr>
          <w:p w14:paraId="4D39912E"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shd w:val="clear" w:color="auto" w:fill="BFBFBF" w:themeFill="background1" w:themeFillShade="BF"/>
          </w:tcPr>
          <w:p w14:paraId="34835E70" w14:textId="77777777" w:rsidR="00C3312E" w:rsidRPr="00C3312E" w:rsidRDefault="00C3312E" w:rsidP="00C3312E">
            <w:pPr>
              <w:spacing w:after="0" w:line="240" w:lineRule="auto"/>
              <w:jc w:val="center"/>
              <w:rPr>
                <w:sz w:val="20"/>
                <w:szCs w:val="20"/>
              </w:rPr>
            </w:pPr>
            <w:r w:rsidRPr="00C3312E">
              <w:rPr>
                <w:sz w:val="20"/>
                <w:szCs w:val="20"/>
              </w:rPr>
              <w:t>41%</w:t>
            </w:r>
          </w:p>
        </w:tc>
        <w:tc>
          <w:tcPr>
            <w:tcW w:w="1336" w:type="dxa"/>
            <w:shd w:val="clear" w:color="auto" w:fill="BFBFBF" w:themeFill="background1" w:themeFillShade="BF"/>
          </w:tcPr>
          <w:p w14:paraId="2ECAC887" w14:textId="77777777" w:rsidR="00C3312E" w:rsidRPr="00C3312E" w:rsidRDefault="00C3312E" w:rsidP="00C3312E">
            <w:pPr>
              <w:spacing w:after="0" w:line="240" w:lineRule="auto"/>
              <w:jc w:val="center"/>
              <w:rPr>
                <w:sz w:val="20"/>
                <w:szCs w:val="20"/>
              </w:rPr>
            </w:pPr>
            <w:r w:rsidRPr="00C3312E">
              <w:rPr>
                <w:sz w:val="20"/>
                <w:szCs w:val="20"/>
              </w:rPr>
              <w:t>5%</w:t>
            </w:r>
          </w:p>
        </w:tc>
        <w:tc>
          <w:tcPr>
            <w:tcW w:w="1322" w:type="dxa"/>
            <w:shd w:val="clear" w:color="auto" w:fill="BFBFBF" w:themeFill="background1" w:themeFillShade="BF"/>
          </w:tcPr>
          <w:p w14:paraId="347BB4B7" w14:textId="77777777" w:rsidR="00C3312E" w:rsidRPr="00C3312E" w:rsidRDefault="00C3312E" w:rsidP="00C3312E">
            <w:pPr>
              <w:spacing w:after="0" w:line="240" w:lineRule="auto"/>
              <w:jc w:val="center"/>
              <w:rPr>
                <w:sz w:val="20"/>
                <w:szCs w:val="20"/>
              </w:rPr>
            </w:pPr>
            <w:r w:rsidRPr="00C3312E">
              <w:rPr>
                <w:sz w:val="20"/>
                <w:szCs w:val="20"/>
              </w:rPr>
              <w:t>50%</w:t>
            </w:r>
          </w:p>
        </w:tc>
        <w:tc>
          <w:tcPr>
            <w:tcW w:w="1422" w:type="dxa"/>
            <w:shd w:val="clear" w:color="auto" w:fill="BFBFBF" w:themeFill="background1" w:themeFillShade="BF"/>
          </w:tcPr>
          <w:p w14:paraId="08D0A9E0" w14:textId="77777777" w:rsidR="00C3312E" w:rsidRPr="00C3312E" w:rsidRDefault="00C3312E" w:rsidP="00C3312E">
            <w:pPr>
              <w:spacing w:after="0" w:line="240" w:lineRule="auto"/>
              <w:jc w:val="center"/>
              <w:rPr>
                <w:sz w:val="20"/>
                <w:szCs w:val="20"/>
              </w:rPr>
            </w:pPr>
            <w:r w:rsidRPr="00C3312E">
              <w:rPr>
                <w:sz w:val="20"/>
                <w:szCs w:val="20"/>
              </w:rPr>
              <w:t>-9%</w:t>
            </w:r>
          </w:p>
        </w:tc>
      </w:tr>
      <w:tr w:rsidR="00C3312E" w:rsidRPr="00C3312E" w14:paraId="5B0163DD" w14:textId="77777777" w:rsidTr="00F37A4F">
        <w:tc>
          <w:tcPr>
            <w:tcW w:w="1327" w:type="dxa"/>
          </w:tcPr>
          <w:p w14:paraId="66F055E9" w14:textId="0F2D5276" w:rsidR="00C3312E" w:rsidRPr="00C3312E" w:rsidRDefault="00C3312E" w:rsidP="002E1150">
            <w:pPr>
              <w:spacing w:after="0" w:line="240" w:lineRule="auto"/>
              <w:jc w:val="center"/>
              <w:rPr>
                <w:sz w:val="20"/>
                <w:szCs w:val="20"/>
              </w:rPr>
            </w:pPr>
            <w:r w:rsidRPr="00C3312E">
              <w:rPr>
                <w:sz w:val="20"/>
                <w:szCs w:val="20"/>
              </w:rPr>
              <w:t>3</w:t>
            </w:r>
            <w:r w:rsidR="002E1150">
              <w:rPr>
                <w:sz w:val="20"/>
                <w:szCs w:val="20"/>
              </w:rPr>
              <w:t>–</w:t>
            </w:r>
            <w:r w:rsidR="00F507BC">
              <w:rPr>
                <w:sz w:val="20"/>
                <w:szCs w:val="20"/>
              </w:rPr>
              <w:softHyphen/>
            </w:r>
            <w:r w:rsidRPr="00C3312E">
              <w:rPr>
                <w:sz w:val="20"/>
                <w:szCs w:val="20"/>
              </w:rPr>
              <w:t>8</w:t>
            </w:r>
          </w:p>
        </w:tc>
        <w:tc>
          <w:tcPr>
            <w:tcW w:w="1301" w:type="dxa"/>
          </w:tcPr>
          <w:p w14:paraId="2D1CBDFD" w14:textId="77777777" w:rsidR="00C3312E" w:rsidRPr="00C3312E" w:rsidRDefault="00C3312E" w:rsidP="00C3312E">
            <w:pPr>
              <w:spacing w:after="0" w:line="240" w:lineRule="auto"/>
              <w:jc w:val="center"/>
              <w:rPr>
                <w:sz w:val="20"/>
                <w:szCs w:val="20"/>
              </w:rPr>
            </w:pPr>
            <w:r w:rsidRPr="00C3312E">
              <w:rPr>
                <w:sz w:val="20"/>
                <w:szCs w:val="20"/>
              </w:rPr>
              <w:t>4,087</w:t>
            </w:r>
          </w:p>
        </w:tc>
        <w:tc>
          <w:tcPr>
            <w:tcW w:w="1321" w:type="dxa"/>
          </w:tcPr>
          <w:p w14:paraId="42B14D6E" w14:textId="77777777" w:rsidR="00C3312E" w:rsidRPr="00C3312E" w:rsidRDefault="00C3312E" w:rsidP="00C3312E">
            <w:pPr>
              <w:spacing w:after="0" w:line="240" w:lineRule="auto"/>
              <w:jc w:val="center"/>
              <w:rPr>
                <w:sz w:val="20"/>
                <w:szCs w:val="20"/>
              </w:rPr>
            </w:pPr>
            <w:r w:rsidRPr="00C3312E">
              <w:rPr>
                <w:sz w:val="20"/>
                <w:szCs w:val="20"/>
              </w:rPr>
              <w:t>36%</w:t>
            </w:r>
          </w:p>
        </w:tc>
        <w:tc>
          <w:tcPr>
            <w:tcW w:w="1321" w:type="dxa"/>
          </w:tcPr>
          <w:p w14:paraId="26F4497B" w14:textId="77777777" w:rsidR="00C3312E" w:rsidRPr="00C3312E" w:rsidRDefault="00C3312E" w:rsidP="00C3312E">
            <w:pPr>
              <w:spacing w:after="0" w:line="240" w:lineRule="auto"/>
              <w:jc w:val="center"/>
              <w:rPr>
                <w:sz w:val="20"/>
                <w:szCs w:val="20"/>
              </w:rPr>
            </w:pPr>
            <w:r w:rsidRPr="00C3312E">
              <w:rPr>
                <w:sz w:val="20"/>
                <w:szCs w:val="20"/>
              </w:rPr>
              <w:t>37%</w:t>
            </w:r>
          </w:p>
        </w:tc>
        <w:tc>
          <w:tcPr>
            <w:tcW w:w="1336" w:type="dxa"/>
          </w:tcPr>
          <w:p w14:paraId="04B3C955" w14:textId="77777777" w:rsidR="00C3312E" w:rsidRPr="00C3312E" w:rsidRDefault="00C3312E" w:rsidP="00C3312E">
            <w:pPr>
              <w:spacing w:after="0" w:line="240" w:lineRule="auto"/>
              <w:jc w:val="center"/>
              <w:rPr>
                <w:sz w:val="20"/>
                <w:szCs w:val="20"/>
              </w:rPr>
            </w:pPr>
            <w:r w:rsidRPr="00C3312E">
              <w:rPr>
                <w:sz w:val="20"/>
                <w:szCs w:val="20"/>
              </w:rPr>
              <w:t>1%</w:t>
            </w:r>
          </w:p>
        </w:tc>
        <w:tc>
          <w:tcPr>
            <w:tcW w:w="1322" w:type="dxa"/>
          </w:tcPr>
          <w:p w14:paraId="003F6699" w14:textId="77777777" w:rsidR="00C3312E" w:rsidRPr="00C3312E" w:rsidRDefault="00C3312E" w:rsidP="00C3312E">
            <w:pPr>
              <w:spacing w:after="0" w:line="240" w:lineRule="auto"/>
              <w:jc w:val="center"/>
              <w:rPr>
                <w:sz w:val="20"/>
                <w:szCs w:val="20"/>
              </w:rPr>
            </w:pPr>
            <w:r w:rsidRPr="00C3312E">
              <w:rPr>
                <w:sz w:val="20"/>
                <w:szCs w:val="20"/>
              </w:rPr>
              <w:t>48%</w:t>
            </w:r>
          </w:p>
        </w:tc>
        <w:tc>
          <w:tcPr>
            <w:tcW w:w="1422" w:type="dxa"/>
          </w:tcPr>
          <w:p w14:paraId="1B4FAF36" w14:textId="77777777" w:rsidR="00C3312E" w:rsidRPr="00C3312E" w:rsidRDefault="00C3312E" w:rsidP="00C3312E">
            <w:pPr>
              <w:spacing w:after="0" w:line="240" w:lineRule="auto"/>
              <w:jc w:val="center"/>
              <w:rPr>
                <w:sz w:val="20"/>
                <w:szCs w:val="20"/>
              </w:rPr>
            </w:pPr>
            <w:r w:rsidRPr="00C3312E">
              <w:rPr>
                <w:sz w:val="20"/>
                <w:szCs w:val="20"/>
              </w:rPr>
              <w:t>-11%</w:t>
            </w:r>
          </w:p>
        </w:tc>
      </w:tr>
    </w:tbl>
    <w:p w14:paraId="5F60F4D1" w14:textId="131EEB0E" w:rsidR="00C3312E" w:rsidRDefault="00C3312E" w:rsidP="00C3312E">
      <w:pPr>
        <w:spacing w:after="0" w:line="240" w:lineRule="auto"/>
        <w:contextualSpacing/>
        <w:rPr>
          <w:rFonts w:eastAsia="Times New Roman" w:cs="Times New Roman"/>
        </w:rPr>
      </w:pPr>
    </w:p>
    <w:p w14:paraId="242C232C" w14:textId="77777777" w:rsidR="0089512A" w:rsidRPr="00C3312E" w:rsidRDefault="0089512A" w:rsidP="00C3312E">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Framingham Public Schools"/>
        <w:tblDescription w:val="MCAS Science Percent Scoring Proficient or Advanced in Grades 5, 8, and 10, 2015–2018&#10;"/>
      </w:tblPr>
      <w:tblGrid>
        <w:gridCol w:w="1238"/>
        <w:gridCol w:w="1163"/>
        <w:gridCol w:w="1158"/>
        <w:gridCol w:w="1158"/>
        <w:gridCol w:w="1158"/>
        <w:gridCol w:w="1088"/>
        <w:gridCol w:w="1238"/>
        <w:gridCol w:w="1159"/>
      </w:tblGrid>
      <w:tr w:rsidR="00C3312E" w:rsidRPr="00C3312E" w14:paraId="7FEAB6A2" w14:textId="77777777" w:rsidTr="00697F37">
        <w:tc>
          <w:tcPr>
            <w:tcW w:w="9360" w:type="dxa"/>
            <w:gridSpan w:val="8"/>
            <w:tcBorders>
              <w:top w:val="nil"/>
              <w:left w:val="nil"/>
              <w:right w:val="nil"/>
            </w:tcBorders>
          </w:tcPr>
          <w:p w14:paraId="259CE678"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12: Framingham Public Schools</w:t>
            </w:r>
          </w:p>
          <w:p w14:paraId="0F425CB1" w14:textId="58C12347" w:rsidR="00C3312E" w:rsidRPr="00C3312E" w:rsidRDefault="00C3312E" w:rsidP="000F7DAF">
            <w:pPr>
              <w:spacing w:after="0" w:line="240" w:lineRule="auto"/>
              <w:jc w:val="center"/>
              <w:rPr>
                <w:rFonts w:cs="Times New Roman"/>
                <w:sz w:val="20"/>
                <w:szCs w:val="20"/>
              </w:rPr>
            </w:pPr>
            <w:r w:rsidRPr="00C3312E">
              <w:rPr>
                <w:rFonts w:cs="Times New Roman"/>
                <w:b/>
                <w:sz w:val="20"/>
                <w:szCs w:val="20"/>
              </w:rPr>
              <w:t>MCAS Science Percent Scoring Proficient or Advanced in Grades 5, 8, and 10, 2015</w:t>
            </w:r>
            <w:r w:rsidR="000F7DAF">
              <w:rPr>
                <w:rFonts w:cs="Times New Roman"/>
                <w:b/>
                <w:sz w:val="20"/>
                <w:szCs w:val="20"/>
              </w:rPr>
              <w:t>–</w:t>
            </w:r>
            <w:r w:rsidRPr="00C3312E">
              <w:rPr>
                <w:rFonts w:cs="Times New Roman"/>
                <w:b/>
                <w:sz w:val="20"/>
                <w:szCs w:val="20"/>
              </w:rPr>
              <w:t>2018</w:t>
            </w:r>
          </w:p>
        </w:tc>
      </w:tr>
      <w:tr w:rsidR="00C3312E" w:rsidRPr="00C3312E" w14:paraId="0ED662D9" w14:textId="77777777" w:rsidTr="00697F37">
        <w:tc>
          <w:tcPr>
            <w:tcW w:w="1238" w:type="dxa"/>
            <w:shd w:val="clear" w:color="auto" w:fill="BFBFBF" w:themeFill="background1" w:themeFillShade="BF"/>
          </w:tcPr>
          <w:p w14:paraId="6A6D57DD"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Grade</w:t>
            </w:r>
          </w:p>
        </w:tc>
        <w:tc>
          <w:tcPr>
            <w:tcW w:w="1163" w:type="dxa"/>
            <w:shd w:val="clear" w:color="auto" w:fill="BFBFBF" w:themeFill="background1" w:themeFillShade="BF"/>
          </w:tcPr>
          <w:p w14:paraId="7FD0B297"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158" w:type="dxa"/>
            <w:shd w:val="clear" w:color="auto" w:fill="BFBFBF" w:themeFill="background1" w:themeFillShade="BF"/>
          </w:tcPr>
          <w:p w14:paraId="04604DF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2015</w:t>
            </w:r>
          </w:p>
        </w:tc>
        <w:tc>
          <w:tcPr>
            <w:tcW w:w="1158" w:type="dxa"/>
            <w:shd w:val="clear" w:color="auto" w:fill="BFBFBF" w:themeFill="background1" w:themeFillShade="BF"/>
          </w:tcPr>
          <w:p w14:paraId="7D9C6B39"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2016</w:t>
            </w:r>
          </w:p>
        </w:tc>
        <w:tc>
          <w:tcPr>
            <w:tcW w:w="1158" w:type="dxa"/>
            <w:shd w:val="clear" w:color="auto" w:fill="BFBFBF" w:themeFill="background1" w:themeFillShade="BF"/>
          </w:tcPr>
          <w:p w14:paraId="74CA7020"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2017</w:t>
            </w:r>
          </w:p>
        </w:tc>
        <w:tc>
          <w:tcPr>
            <w:tcW w:w="1088" w:type="dxa"/>
            <w:shd w:val="clear" w:color="auto" w:fill="BFBFBF" w:themeFill="background1" w:themeFillShade="BF"/>
          </w:tcPr>
          <w:p w14:paraId="153C76B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238" w:type="dxa"/>
            <w:shd w:val="clear" w:color="auto" w:fill="BFBFBF" w:themeFill="background1" w:themeFillShade="BF"/>
          </w:tcPr>
          <w:p w14:paraId="4BA3CE8E" w14:textId="04732D4B" w:rsidR="00C3312E" w:rsidRPr="00C3312E" w:rsidRDefault="00C3312E">
            <w:pPr>
              <w:spacing w:after="0" w:line="240" w:lineRule="auto"/>
              <w:jc w:val="center"/>
              <w:rPr>
                <w:rFonts w:cs="Times New Roman"/>
                <w:b/>
                <w:sz w:val="20"/>
                <w:szCs w:val="20"/>
              </w:rPr>
            </w:pPr>
            <w:r w:rsidRPr="00C3312E">
              <w:rPr>
                <w:rFonts w:cs="Times New Roman"/>
                <w:b/>
                <w:sz w:val="20"/>
                <w:szCs w:val="20"/>
              </w:rPr>
              <w:t>4</w:t>
            </w:r>
            <w:r w:rsidR="000F7DAF">
              <w:rPr>
                <w:rFonts w:cs="Times New Roman"/>
                <w:b/>
                <w:sz w:val="20"/>
                <w:szCs w:val="20"/>
              </w:rPr>
              <w:t>-</w:t>
            </w:r>
            <w:r w:rsidRPr="00C3312E">
              <w:rPr>
                <w:rFonts w:cs="Times New Roman"/>
                <w:b/>
                <w:sz w:val="20"/>
                <w:szCs w:val="20"/>
              </w:rPr>
              <w:t xml:space="preserve">yr </w:t>
            </w:r>
            <w:r w:rsidR="000319DC">
              <w:rPr>
                <w:rFonts w:cs="Times New Roman"/>
                <w:b/>
                <w:sz w:val="20"/>
                <w:szCs w:val="20"/>
              </w:rPr>
              <w:t>C</w:t>
            </w:r>
            <w:r w:rsidR="000319DC" w:rsidRPr="00C3312E">
              <w:rPr>
                <w:rFonts w:cs="Times New Roman"/>
                <w:b/>
                <w:sz w:val="20"/>
                <w:szCs w:val="20"/>
              </w:rPr>
              <w:t>hange</w:t>
            </w:r>
          </w:p>
        </w:tc>
        <w:tc>
          <w:tcPr>
            <w:tcW w:w="1159" w:type="dxa"/>
            <w:shd w:val="clear" w:color="auto" w:fill="BFBFBF" w:themeFill="background1" w:themeFillShade="BF"/>
          </w:tcPr>
          <w:p w14:paraId="663809A1"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w:t>
            </w:r>
          </w:p>
        </w:tc>
      </w:tr>
      <w:tr w:rsidR="00C3312E" w:rsidRPr="00C3312E" w14:paraId="72EF79C6" w14:textId="77777777" w:rsidTr="00697F37">
        <w:tc>
          <w:tcPr>
            <w:tcW w:w="1238" w:type="dxa"/>
            <w:shd w:val="clear" w:color="auto" w:fill="auto"/>
          </w:tcPr>
          <w:p w14:paraId="519ACDE3"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5</w:t>
            </w:r>
          </w:p>
        </w:tc>
        <w:tc>
          <w:tcPr>
            <w:tcW w:w="1163" w:type="dxa"/>
            <w:shd w:val="clear" w:color="auto" w:fill="auto"/>
          </w:tcPr>
          <w:p w14:paraId="3AD95A00" w14:textId="77777777" w:rsidR="00C3312E" w:rsidRPr="00C3312E" w:rsidRDefault="00C3312E" w:rsidP="00C3312E">
            <w:pPr>
              <w:spacing w:after="0" w:line="240" w:lineRule="auto"/>
              <w:jc w:val="center"/>
              <w:rPr>
                <w:sz w:val="20"/>
                <w:szCs w:val="20"/>
              </w:rPr>
            </w:pPr>
            <w:r w:rsidRPr="00C3312E">
              <w:rPr>
                <w:sz w:val="20"/>
                <w:szCs w:val="20"/>
              </w:rPr>
              <w:t>747</w:t>
            </w:r>
          </w:p>
        </w:tc>
        <w:tc>
          <w:tcPr>
            <w:tcW w:w="1158" w:type="dxa"/>
            <w:shd w:val="clear" w:color="auto" w:fill="auto"/>
          </w:tcPr>
          <w:p w14:paraId="3F5E985A" w14:textId="77777777" w:rsidR="00C3312E" w:rsidRPr="00C3312E" w:rsidRDefault="00C3312E" w:rsidP="00C3312E">
            <w:pPr>
              <w:spacing w:after="0" w:line="240" w:lineRule="auto"/>
              <w:jc w:val="center"/>
              <w:rPr>
                <w:sz w:val="20"/>
                <w:szCs w:val="20"/>
              </w:rPr>
            </w:pPr>
            <w:r w:rsidRPr="00C3312E">
              <w:rPr>
                <w:sz w:val="20"/>
                <w:szCs w:val="20"/>
              </w:rPr>
              <w:t>38%</w:t>
            </w:r>
          </w:p>
        </w:tc>
        <w:tc>
          <w:tcPr>
            <w:tcW w:w="1158" w:type="dxa"/>
            <w:shd w:val="clear" w:color="auto" w:fill="auto"/>
          </w:tcPr>
          <w:p w14:paraId="2B07932E" w14:textId="77777777" w:rsidR="00C3312E" w:rsidRPr="00C3312E" w:rsidRDefault="00C3312E" w:rsidP="00C3312E">
            <w:pPr>
              <w:spacing w:after="0" w:line="240" w:lineRule="auto"/>
              <w:jc w:val="center"/>
              <w:rPr>
                <w:sz w:val="20"/>
                <w:szCs w:val="20"/>
              </w:rPr>
            </w:pPr>
            <w:r w:rsidRPr="00C3312E">
              <w:rPr>
                <w:sz w:val="20"/>
                <w:szCs w:val="20"/>
              </w:rPr>
              <w:t>37%</w:t>
            </w:r>
          </w:p>
        </w:tc>
        <w:tc>
          <w:tcPr>
            <w:tcW w:w="1158" w:type="dxa"/>
            <w:shd w:val="clear" w:color="auto" w:fill="auto"/>
          </w:tcPr>
          <w:p w14:paraId="5CA6276C" w14:textId="77777777" w:rsidR="00C3312E" w:rsidRPr="00C3312E" w:rsidRDefault="00C3312E" w:rsidP="00C3312E">
            <w:pPr>
              <w:spacing w:after="0" w:line="240" w:lineRule="auto"/>
              <w:jc w:val="center"/>
              <w:rPr>
                <w:sz w:val="20"/>
                <w:szCs w:val="20"/>
              </w:rPr>
            </w:pPr>
            <w:r w:rsidRPr="00C3312E">
              <w:rPr>
                <w:sz w:val="20"/>
                <w:szCs w:val="20"/>
              </w:rPr>
              <w:t>36%</w:t>
            </w:r>
          </w:p>
        </w:tc>
        <w:tc>
          <w:tcPr>
            <w:tcW w:w="1088" w:type="dxa"/>
            <w:shd w:val="clear" w:color="auto" w:fill="auto"/>
          </w:tcPr>
          <w:p w14:paraId="6D4340A9" w14:textId="77777777" w:rsidR="00C3312E" w:rsidRPr="00C3312E" w:rsidRDefault="00C3312E" w:rsidP="00C3312E">
            <w:pPr>
              <w:spacing w:after="0" w:line="240" w:lineRule="auto"/>
              <w:jc w:val="center"/>
              <w:rPr>
                <w:sz w:val="20"/>
                <w:szCs w:val="20"/>
              </w:rPr>
            </w:pPr>
            <w:r w:rsidRPr="00C3312E">
              <w:rPr>
                <w:sz w:val="20"/>
                <w:szCs w:val="20"/>
              </w:rPr>
              <w:t>36%</w:t>
            </w:r>
          </w:p>
        </w:tc>
        <w:tc>
          <w:tcPr>
            <w:tcW w:w="1238" w:type="dxa"/>
            <w:shd w:val="clear" w:color="auto" w:fill="auto"/>
          </w:tcPr>
          <w:p w14:paraId="481478D9" w14:textId="77777777" w:rsidR="00C3312E" w:rsidRPr="00C3312E" w:rsidRDefault="00C3312E" w:rsidP="00C3312E">
            <w:pPr>
              <w:spacing w:after="0" w:line="240" w:lineRule="auto"/>
              <w:jc w:val="center"/>
              <w:rPr>
                <w:sz w:val="20"/>
                <w:szCs w:val="20"/>
              </w:rPr>
            </w:pPr>
            <w:r w:rsidRPr="00C3312E">
              <w:rPr>
                <w:sz w:val="20"/>
                <w:szCs w:val="20"/>
              </w:rPr>
              <w:t>-2%</w:t>
            </w:r>
          </w:p>
        </w:tc>
        <w:tc>
          <w:tcPr>
            <w:tcW w:w="1159" w:type="dxa"/>
            <w:shd w:val="clear" w:color="auto" w:fill="auto"/>
          </w:tcPr>
          <w:p w14:paraId="546CF492" w14:textId="77777777" w:rsidR="00C3312E" w:rsidRPr="00C3312E" w:rsidRDefault="00C3312E" w:rsidP="00C3312E">
            <w:pPr>
              <w:spacing w:after="0" w:line="240" w:lineRule="auto"/>
              <w:jc w:val="center"/>
              <w:rPr>
                <w:sz w:val="20"/>
                <w:szCs w:val="20"/>
              </w:rPr>
            </w:pPr>
            <w:r w:rsidRPr="00C3312E">
              <w:rPr>
                <w:sz w:val="20"/>
                <w:szCs w:val="20"/>
              </w:rPr>
              <w:t>47%</w:t>
            </w:r>
          </w:p>
        </w:tc>
      </w:tr>
      <w:tr w:rsidR="00C3312E" w:rsidRPr="00C3312E" w14:paraId="5DAC8381" w14:textId="77777777" w:rsidTr="00697F37">
        <w:tc>
          <w:tcPr>
            <w:tcW w:w="1238" w:type="dxa"/>
            <w:shd w:val="clear" w:color="auto" w:fill="BFBFBF" w:themeFill="background1" w:themeFillShade="BF"/>
          </w:tcPr>
          <w:p w14:paraId="681FA0FB"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8</w:t>
            </w:r>
          </w:p>
        </w:tc>
        <w:tc>
          <w:tcPr>
            <w:tcW w:w="1163" w:type="dxa"/>
            <w:shd w:val="clear" w:color="auto" w:fill="BFBFBF" w:themeFill="background1" w:themeFillShade="BF"/>
          </w:tcPr>
          <w:p w14:paraId="206FA75C" w14:textId="77777777" w:rsidR="00C3312E" w:rsidRPr="00C3312E" w:rsidRDefault="00C3312E" w:rsidP="00C3312E">
            <w:pPr>
              <w:spacing w:after="0" w:line="240" w:lineRule="auto"/>
              <w:jc w:val="center"/>
              <w:rPr>
                <w:sz w:val="20"/>
                <w:szCs w:val="20"/>
              </w:rPr>
            </w:pPr>
            <w:r w:rsidRPr="00C3312E">
              <w:rPr>
                <w:sz w:val="20"/>
                <w:szCs w:val="20"/>
              </w:rPr>
              <w:t>593</w:t>
            </w:r>
          </w:p>
        </w:tc>
        <w:tc>
          <w:tcPr>
            <w:tcW w:w="1158" w:type="dxa"/>
            <w:shd w:val="clear" w:color="auto" w:fill="BFBFBF" w:themeFill="background1" w:themeFillShade="BF"/>
          </w:tcPr>
          <w:p w14:paraId="767436A8" w14:textId="77777777" w:rsidR="00C3312E" w:rsidRPr="00C3312E" w:rsidRDefault="00C3312E" w:rsidP="00C3312E">
            <w:pPr>
              <w:spacing w:after="0" w:line="240" w:lineRule="auto"/>
              <w:jc w:val="center"/>
              <w:rPr>
                <w:sz w:val="20"/>
                <w:szCs w:val="20"/>
              </w:rPr>
            </w:pPr>
            <w:r w:rsidRPr="00C3312E">
              <w:rPr>
                <w:sz w:val="20"/>
                <w:szCs w:val="20"/>
              </w:rPr>
              <w:t>34%</w:t>
            </w:r>
          </w:p>
        </w:tc>
        <w:tc>
          <w:tcPr>
            <w:tcW w:w="1158" w:type="dxa"/>
            <w:shd w:val="clear" w:color="auto" w:fill="BFBFBF" w:themeFill="background1" w:themeFillShade="BF"/>
          </w:tcPr>
          <w:p w14:paraId="6361BABF" w14:textId="77777777" w:rsidR="00C3312E" w:rsidRPr="00C3312E" w:rsidRDefault="00C3312E" w:rsidP="00C3312E">
            <w:pPr>
              <w:spacing w:after="0" w:line="240" w:lineRule="auto"/>
              <w:jc w:val="center"/>
              <w:rPr>
                <w:sz w:val="20"/>
                <w:szCs w:val="20"/>
              </w:rPr>
            </w:pPr>
            <w:r w:rsidRPr="00C3312E">
              <w:rPr>
                <w:sz w:val="20"/>
                <w:szCs w:val="20"/>
              </w:rPr>
              <w:t>32%</w:t>
            </w:r>
          </w:p>
        </w:tc>
        <w:tc>
          <w:tcPr>
            <w:tcW w:w="1158" w:type="dxa"/>
            <w:shd w:val="clear" w:color="auto" w:fill="BFBFBF" w:themeFill="background1" w:themeFillShade="BF"/>
          </w:tcPr>
          <w:p w14:paraId="37462AFF" w14:textId="77777777" w:rsidR="00C3312E" w:rsidRPr="00C3312E" w:rsidRDefault="00C3312E" w:rsidP="00C3312E">
            <w:pPr>
              <w:spacing w:after="0" w:line="240" w:lineRule="auto"/>
              <w:jc w:val="center"/>
              <w:rPr>
                <w:sz w:val="20"/>
                <w:szCs w:val="20"/>
              </w:rPr>
            </w:pPr>
            <w:r w:rsidRPr="00C3312E">
              <w:rPr>
                <w:sz w:val="20"/>
                <w:szCs w:val="20"/>
              </w:rPr>
              <w:t>27%</w:t>
            </w:r>
          </w:p>
        </w:tc>
        <w:tc>
          <w:tcPr>
            <w:tcW w:w="1088" w:type="dxa"/>
            <w:shd w:val="clear" w:color="auto" w:fill="BFBFBF" w:themeFill="background1" w:themeFillShade="BF"/>
          </w:tcPr>
          <w:p w14:paraId="19EC4AE9" w14:textId="77777777" w:rsidR="00C3312E" w:rsidRPr="00C3312E" w:rsidRDefault="00C3312E" w:rsidP="00C3312E">
            <w:pPr>
              <w:spacing w:after="0" w:line="240" w:lineRule="auto"/>
              <w:jc w:val="center"/>
              <w:rPr>
                <w:sz w:val="20"/>
                <w:szCs w:val="20"/>
              </w:rPr>
            </w:pPr>
            <w:r w:rsidRPr="00C3312E">
              <w:rPr>
                <w:sz w:val="20"/>
                <w:szCs w:val="20"/>
              </w:rPr>
              <w:t>20%</w:t>
            </w:r>
          </w:p>
        </w:tc>
        <w:tc>
          <w:tcPr>
            <w:tcW w:w="1238" w:type="dxa"/>
            <w:shd w:val="clear" w:color="auto" w:fill="BFBFBF" w:themeFill="background1" w:themeFillShade="BF"/>
          </w:tcPr>
          <w:p w14:paraId="1902910F" w14:textId="77777777" w:rsidR="00C3312E" w:rsidRPr="00C3312E" w:rsidRDefault="00C3312E" w:rsidP="00C3312E">
            <w:pPr>
              <w:spacing w:after="0" w:line="240" w:lineRule="auto"/>
              <w:jc w:val="center"/>
              <w:rPr>
                <w:sz w:val="20"/>
                <w:szCs w:val="20"/>
              </w:rPr>
            </w:pPr>
            <w:r w:rsidRPr="00C3312E">
              <w:rPr>
                <w:sz w:val="20"/>
                <w:szCs w:val="20"/>
              </w:rPr>
              <w:t>-14%</w:t>
            </w:r>
          </w:p>
        </w:tc>
        <w:tc>
          <w:tcPr>
            <w:tcW w:w="1159" w:type="dxa"/>
            <w:shd w:val="clear" w:color="auto" w:fill="BFBFBF" w:themeFill="background1" w:themeFillShade="BF"/>
          </w:tcPr>
          <w:p w14:paraId="128399B6" w14:textId="77777777" w:rsidR="00C3312E" w:rsidRPr="00C3312E" w:rsidRDefault="00C3312E" w:rsidP="00C3312E">
            <w:pPr>
              <w:spacing w:after="0" w:line="240" w:lineRule="auto"/>
              <w:jc w:val="center"/>
              <w:rPr>
                <w:sz w:val="20"/>
                <w:szCs w:val="20"/>
              </w:rPr>
            </w:pPr>
            <w:r w:rsidRPr="00C3312E">
              <w:rPr>
                <w:sz w:val="20"/>
                <w:szCs w:val="20"/>
              </w:rPr>
              <w:t>35%</w:t>
            </w:r>
          </w:p>
        </w:tc>
      </w:tr>
      <w:tr w:rsidR="00C3312E" w:rsidRPr="00C3312E" w14:paraId="7DC6686C" w14:textId="77777777" w:rsidTr="00697F37">
        <w:tc>
          <w:tcPr>
            <w:tcW w:w="1238" w:type="dxa"/>
            <w:shd w:val="clear" w:color="auto" w:fill="auto"/>
          </w:tcPr>
          <w:p w14:paraId="3E3DC208"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10</w:t>
            </w:r>
          </w:p>
        </w:tc>
        <w:tc>
          <w:tcPr>
            <w:tcW w:w="1163" w:type="dxa"/>
            <w:shd w:val="clear" w:color="auto" w:fill="auto"/>
          </w:tcPr>
          <w:p w14:paraId="62498266" w14:textId="77777777" w:rsidR="00C3312E" w:rsidRPr="00C3312E" w:rsidRDefault="00C3312E" w:rsidP="00C3312E">
            <w:pPr>
              <w:spacing w:after="0" w:line="240" w:lineRule="auto"/>
              <w:jc w:val="center"/>
              <w:rPr>
                <w:sz w:val="20"/>
                <w:szCs w:val="20"/>
              </w:rPr>
            </w:pPr>
            <w:r w:rsidRPr="00C3312E">
              <w:rPr>
                <w:sz w:val="20"/>
                <w:szCs w:val="20"/>
              </w:rPr>
              <w:t>460</w:t>
            </w:r>
          </w:p>
        </w:tc>
        <w:tc>
          <w:tcPr>
            <w:tcW w:w="1158" w:type="dxa"/>
            <w:shd w:val="clear" w:color="auto" w:fill="auto"/>
          </w:tcPr>
          <w:p w14:paraId="391C668F" w14:textId="77777777" w:rsidR="00C3312E" w:rsidRPr="00C3312E" w:rsidRDefault="00C3312E" w:rsidP="00C3312E">
            <w:pPr>
              <w:spacing w:after="0" w:line="240" w:lineRule="auto"/>
              <w:jc w:val="center"/>
              <w:rPr>
                <w:sz w:val="20"/>
                <w:szCs w:val="20"/>
              </w:rPr>
            </w:pPr>
            <w:r w:rsidRPr="00C3312E">
              <w:rPr>
                <w:sz w:val="20"/>
                <w:szCs w:val="20"/>
              </w:rPr>
              <w:t>84%</w:t>
            </w:r>
          </w:p>
        </w:tc>
        <w:tc>
          <w:tcPr>
            <w:tcW w:w="1158" w:type="dxa"/>
            <w:shd w:val="clear" w:color="auto" w:fill="auto"/>
          </w:tcPr>
          <w:p w14:paraId="11975E2F" w14:textId="77777777" w:rsidR="00C3312E" w:rsidRPr="00C3312E" w:rsidRDefault="00C3312E" w:rsidP="00C3312E">
            <w:pPr>
              <w:spacing w:after="0" w:line="240" w:lineRule="auto"/>
              <w:jc w:val="center"/>
              <w:rPr>
                <w:sz w:val="20"/>
                <w:szCs w:val="20"/>
              </w:rPr>
            </w:pPr>
            <w:r w:rsidRPr="00C3312E">
              <w:rPr>
                <w:sz w:val="20"/>
                <w:szCs w:val="20"/>
              </w:rPr>
              <w:t>83%</w:t>
            </w:r>
          </w:p>
        </w:tc>
        <w:tc>
          <w:tcPr>
            <w:tcW w:w="1158" w:type="dxa"/>
            <w:shd w:val="clear" w:color="auto" w:fill="auto"/>
          </w:tcPr>
          <w:p w14:paraId="7704E991" w14:textId="77777777" w:rsidR="00C3312E" w:rsidRPr="00C3312E" w:rsidRDefault="00C3312E" w:rsidP="00C3312E">
            <w:pPr>
              <w:spacing w:after="0" w:line="240" w:lineRule="auto"/>
              <w:jc w:val="center"/>
              <w:rPr>
                <w:sz w:val="20"/>
                <w:szCs w:val="20"/>
              </w:rPr>
            </w:pPr>
            <w:r w:rsidRPr="00C3312E">
              <w:rPr>
                <w:sz w:val="20"/>
                <w:szCs w:val="20"/>
              </w:rPr>
              <w:t>82%</w:t>
            </w:r>
          </w:p>
        </w:tc>
        <w:tc>
          <w:tcPr>
            <w:tcW w:w="1088" w:type="dxa"/>
            <w:shd w:val="clear" w:color="auto" w:fill="auto"/>
          </w:tcPr>
          <w:p w14:paraId="12815E3C" w14:textId="77777777" w:rsidR="00C3312E" w:rsidRPr="00C3312E" w:rsidRDefault="00C3312E" w:rsidP="00C3312E">
            <w:pPr>
              <w:spacing w:after="0" w:line="240" w:lineRule="auto"/>
              <w:jc w:val="center"/>
              <w:rPr>
                <w:sz w:val="20"/>
                <w:szCs w:val="20"/>
              </w:rPr>
            </w:pPr>
            <w:r w:rsidRPr="00C3312E">
              <w:rPr>
                <w:sz w:val="20"/>
                <w:szCs w:val="20"/>
              </w:rPr>
              <w:t>81%</w:t>
            </w:r>
          </w:p>
        </w:tc>
        <w:tc>
          <w:tcPr>
            <w:tcW w:w="1238" w:type="dxa"/>
            <w:shd w:val="clear" w:color="auto" w:fill="auto"/>
          </w:tcPr>
          <w:p w14:paraId="0808CF55" w14:textId="77777777" w:rsidR="00C3312E" w:rsidRPr="00C3312E" w:rsidRDefault="00C3312E" w:rsidP="00C3312E">
            <w:pPr>
              <w:spacing w:after="0" w:line="240" w:lineRule="auto"/>
              <w:jc w:val="center"/>
              <w:rPr>
                <w:sz w:val="20"/>
                <w:szCs w:val="20"/>
              </w:rPr>
            </w:pPr>
            <w:r w:rsidRPr="00C3312E">
              <w:rPr>
                <w:sz w:val="20"/>
                <w:szCs w:val="20"/>
              </w:rPr>
              <w:t>-3%</w:t>
            </w:r>
          </w:p>
        </w:tc>
        <w:tc>
          <w:tcPr>
            <w:tcW w:w="1159" w:type="dxa"/>
            <w:shd w:val="clear" w:color="auto" w:fill="auto"/>
          </w:tcPr>
          <w:p w14:paraId="5506B7CF" w14:textId="77777777" w:rsidR="00C3312E" w:rsidRPr="00C3312E" w:rsidRDefault="00C3312E" w:rsidP="00C3312E">
            <w:pPr>
              <w:spacing w:after="0" w:line="240" w:lineRule="auto"/>
              <w:jc w:val="center"/>
              <w:rPr>
                <w:sz w:val="20"/>
                <w:szCs w:val="20"/>
              </w:rPr>
            </w:pPr>
            <w:r w:rsidRPr="00C3312E">
              <w:rPr>
                <w:sz w:val="20"/>
                <w:szCs w:val="20"/>
              </w:rPr>
              <w:t>74%</w:t>
            </w:r>
          </w:p>
        </w:tc>
      </w:tr>
      <w:tr w:rsidR="00C3312E" w:rsidRPr="00C3312E" w14:paraId="7854F0AE" w14:textId="77777777" w:rsidTr="00697F37">
        <w:tc>
          <w:tcPr>
            <w:tcW w:w="1238" w:type="dxa"/>
            <w:shd w:val="clear" w:color="auto" w:fill="BFBFBF" w:themeFill="background1" w:themeFillShade="BF"/>
          </w:tcPr>
          <w:p w14:paraId="3FA0EA79"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All</w:t>
            </w:r>
          </w:p>
        </w:tc>
        <w:tc>
          <w:tcPr>
            <w:tcW w:w="1163" w:type="dxa"/>
            <w:shd w:val="clear" w:color="auto" w:fill="BFBFBF" w:themeFill="background1" w:themeFillShade="BF"/>
          </w:tcPr>
          <w:p w14:paraId="1B500BE3" w14:textId="77777777" w:rsidR="00C3312E" w:rsidRPr="00C3312E" w:rsidRDefault="00C3312E" w:rsidP="00C3312E">
            <w:pPr>
              <w:spacing w:after="0" w:line="240" w:lineRule="auto"/>
              <w:jc w:val="center"/>
              <w:rPr>
                <w:sz w:val="20"/>
                <w:szCs w:val="20"/>
              </w:rPr>
            </w:pPr>
            <w:r w:rsidRPr="00C3312E">
              <w:rPr>
                <w:sz w:val="20"/>
                <w:szCs w:val="20"/>
              </w:rPr>
              <w:t>1,800</w:t>
            </w:r>
          </w:p>
        </w:tc>
        <w:tc>
          <w:tcPr>
            <w:tcW w:w="1158" w:type="dxa"/>
            <w:shd w:val="clear" w:color="auto" w:fill="BFBFBF" w:themeFill="background1" w:themeFillShade="BF"/>
          </w:tcPr>
          <w:p w14:paraId="68E4B477" w14:textId="77777777" w:rsidR="00C3312E" w:rsidRPr="00C3312E" w:rsidRDefault="00C3312E" w:rsidP="00C3312E">
            <w:pPr>
              <w:spacing w:after="0" w:line="240" w:lineRule="auto"/>
              <w:jc w:val="center"/>
              <w:rPr>
                <w:sz w:val="20"/>
                <w:szCs w:val="20"/>
              </w:rPr>
            </w:pPr>
            <w:r w:rsidRPr="00C3312E">
              <w:rPr>
                <w:sz w:val="20"/>
                <w:szCs w:val="20"/>
              </w:rPr>
              <w:t>50%</w:t>
            </w:r>
          </w:p>
        </w:tc>
        <w:tc>
          <w:tcPr>
            <w:tcW w:w="1158" w:type="dxa"/>
            <w:shd w:val="clear" w:color="auto" w:fill="BFBFBF" w:themeFill="background1" w:themeFillShade="BF"/>
          </w:tcPr>
          <w:p w14:paraId="28EC317E" w14:textId="77777777" w:rsidR="00C3312E" w:rsidRPr="00C3312E" w:rsidRDefault="00C3312E" w:rsidP="00C3312E">
            <w:pPr>
              <w:spacing w:after="0" w:line="240" w:lineRule="auto"/>
              <w:jc w:val="center"/>
              <w:rPr>
                <w:sz w:val="20"/>
                <w:szCs w:val="20"/>
              </w:rPr>
            </w:pPr>
            <w:r w:rsidRPr="00C3312E">
              <w:rPr>
                <w:sz w:val="20"/>
                <w:szCs w:val="20"/>
              </w:rPr>
              <w:t>47%</w:t>
            </w:r>
          </w:p>
        </w:tc>
        <w:tc>
          <w:tcPr>
            <w:tcW w:w="1158" w:type="dxa"/>
            <w:shd w:val="clear" w:color="auto" w:fill="BFBFBF" w:themeFill="background1" w:themeFillShade="BF"/>
          </w:tcPr>
          <w:p w14:paraId="083376B5" w14:textId="77777777" w:rsidR="00C3312E" w:rsidRPr="00C3312E" w:rsidRDefault="00C3312E" w:rsidP="00C3312E">
            <w:pPr>
              <w:spacing w:after="0" w:line="240" w:lineRule="auto"/>
              <w:jc w:val="center"/>
              <w:rPr>
                <w:sz w:val="20"/>
                <w:szCs w:val="20"/>
              </w:rPr>
            </w:pPr>
            <w:r w:rsidRPr="00C3312E">
              <w:rPr>
                <w:sz w:val="20"/>
                <w:szCs w:val="20"/>
              </w:rPr>
              <w:t>46%</w:t>
            </w:r>
          </w:p>
        </w:tc>
        <w:tc>
          <w:tcPr>
            <w:tcW w:w="1088" w:type="dxa"/>
            <w:shd w:val="clear" w:color="auto" w:fill="BFBFBF" w:themeFill="background1" w:themeFillShade="BF"/>
          </w:tcPr>
          <w:p w14:paraId="395DBF9E" w14:textId="77777777" w:rsidR="00C3312E" w:rsidRPr="00C3312E" w:rsidRDefault="00C3312E" w:rsidP="00C3312E">
            <w:pPr>
              <w:spacing w:after="0" w:line="240" w:lineRule="auto"/>
              <w:jc w:val="center"/>
              <w:rPr>
                <w:sz w:val="20"/>
                <w:szCs w:val="20"/>
              </w:rPr>
            </w:pPr>
            <w:r w:rsidRPr="00C3312E">
              <w:rPr>
                <w:sz w:val="20"/>
                <w:szCs w:val="20"/>
              </w:rPr>
              <w:t>42%</w:t>
            </w:r>
          </w:p>
        </w:tc>
        <w:tc>
          <w:tcPr>
            <w:tcW w:w="1238" w:type="dxa"/>
            <w:shd w:val="clear" w:color="auto" w:fill="BFBFBF" w:themeFill="background1" w:themeFillShade="BF"/>
          </w:tcPr>
          <w:p w14:paraId="5C8CDD46" w14:textId="77777777" w:rsidR="00C3312E" w:rsidRPr="00C3312E" w:rsidRDefault="00C3312E" w:rsidP="00C3312E">
            <w:pPr>
              <w:spacing w:after="0" w:line="240" w:lineRule="auto"/>
              <w:jc w:val="center"/>
              <w:rPr>
                <w:sz w:val="20"/>
                <w:szCs w:val="20"/>
              </w:rPr>
            </w:pPr>
            <w:r w:rsidRPr="00C3312E">
              <w:rPr>
                <w:sz w:val="20"/>
                <w:szCs w:val="20"/>
              </w:rPr>
              <w:t>-8%</w:t>
            </w:r>
          </w:p>
        </w:tc>
        <w:tc>
          <w:tcPr>
            <w:tcW w:w="1159" w:type="dxa"/>
            <w:shd w:val="clear" w:color="auto" w:fill="BFBFBF" w:themeFill="background1" w:themeFillShade="BF"/>
          </w:tcPr>
          <w:p w14:paraId="2311AE35" w14:textId="77777777" w:rsidR="00C3312E" w:rsidRPr="00C3312E" w:rsidRDefault="00C3312E" w:rsidP="00C3312E">
            <w:pPr>
              <w:spacing w:after="0" w:line="240" w:lineRule="auto"/>
              <w:jc w:val="center"/>
              <w:rPr>
                <w:sz w:val="20"/>
                <w:szCs w:val="20"/>
              </w:rPr>
            </w:pPr>
            <w:r w:rsidRPr="00C3312E">
              <w:rPr>
                <w:sz w:val="20"/>
                <w:szCs w:val="20"/>
              </w:rPr>
              <w:t>52%</w:t>
            </w:r>
          </w:p>
        </w:tc>
      </w:tr>
    </w:tbl>
    <w:p w14:paraId="42DBE73E" w14:textId="77777777" w:rsidR="00C3312E" w:rsidRPr="00C3312E" w:rsidRDefault="00C3312E" w:rsidP="00C3312E">
      <w:pPr>
        <w:spacing w:after="0"/>
        <w:rPr>
          <w:rFonts w:cs="Times New Roman"/>
        </w:rPr>
      </w:pPr>
    </w:p>
    <w:p w14:paraId="094315CF" w14:textId="77777777" w:rsidR="00C3312E" w:rsidRPr="00C3312E" w:rsidRDefault="00C3312E" w:rsidP="00C3312E">
      <w:pPr>
        <w:spacing w:after="0"/>
        <w:rPr>
          <w:rFonts w:cs="Times New Roman"/>
        </w:rPr>
      </w:pPr>
    </w:p>
    <w:tbl>
      <w:tblPr>
        <w:tblStyle w:val="TableGrid5"/>
        <w:tblW w:w="0" w:type="auto"/>
        <w:tblLook w:val="04A0" w:firstRow="1" w:lastRow="0" w:firstColumn="1" w:lastColumn="0" w:noHBand="0" w:noVBand="1"/>
        <w:tblCaption w:val="Table 13: Framingham Public Schools"/>
        <w:tblDescription w:val="English Language Arts and Math Mean Student Growth Percentile, 2018&#10;"/>
      </w:tblPr>
      <w:tblGrid>
        <w:gridCol w:w="1255"/>
        <w:gridCol w:w="1415"/>
        <w:gridCol w:w="1336"/>
        <w:gridCol w:w="1336"/>
        <w:gridCol w:w="1336"/>
        <w:gridCol w:w="1336"/>
        <w:gridCol w:w="1336"/>
      </w:tblGrid>
      <w:tr w:rsidR="00C3312E" w:rsidRPr="00C3312E" w14:paraId="09C721EF" w14:textId="77777777" w:rsidTr="00697F37">
        <w:tc>
          <w:tcPr>
            <w:tcW w:w="9350" w:type="dxa"/>
            <w:gridSpan w:val="7"/>
            <w:tcBorders>
              <w:top w:val="nil"/>
              <w:left w:val="nil"/>
              <w:bottom w:val="single" w:sz="4" w:space="0" w:color="auto"/>
              <w:right w:val="nil"/>
            </w:tcBorders>
          </w:tcPr>
          <w:p w14:paraId="6DA86955"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Table 13: Framingham Public Schools</w:t>
            </w:r>
          </w:p>
          <w:p w14:paraId="70DDD87D" w14:textId="77777777" w:rsidR="00C3312E" w:rsidRPr="00C3312E" w:rsidRDefault="00C3312E" w:rsidP="00C3312E">
            <w:pPr>
              <w:spacing w:after="0" w:line="240" w:lineRule="auto"/>
              <w:jc w:val="center"/>
              <w:rPr>
                <w:rFonts w:cs="Times New Roman"/>
                <w:b/>
              </w:rPr>
            </w:pPr>
            <w:r w:rsidRPr="00C3312E">
              <w:rPr>
                <w:rFonts w:cs="Times New Roman"/>
                <w:b/>
                <w:sz w:val="20"/>
                <w:szCs w:val="20"/>
              </w:rPr>
              <w:t>English Language Arts and Math Mean Student Growth Percentile, 2018</w:t>
            </w:r>
          </w:p>
        </w:tc>
      </w:tr>
      <w:tr w:rsidR="00C3312E" w:rsidRPr="00C3312E" w14:paraId="22DF6212" w14:textId="77777777" w:rsidTr="00697F37">
        <w:tc>
          <w:tcPr>
            <w:tcW w:w="1255" w:type="dxa"/>
            <w:shd w:val="clear" w:color="auto" w:fill="BFBFBF" w:themeFill="background1" w:themeFillShade="BF"/>
          </w:tcPr>
          <w:p w14:paraId="376D7E4E" w14:textId="77777777" w:rsidR="00C3312E" w:rsidRPr="00C3312E" w:rsidRDefault="00C3312E" w:rsidP="00C3312E">
            <w:pPr>
              <w:spacing w:after="0" w:line="240" w:lineRule="auto"/>
              <w:rPr>
                <w:rFonts w:cs="Times New Roman"/>
                <w:sz w:val="20"/>
                <w:szCs w:val="20"/>
              </w:rPr>
            </w:pPr>
          </w:p>
        </w:tc>
        <w:tc>
          <w:tcPr>
            <w:tcW w:w="4087" w:type="dxa"/>
            <w:gridSpan w:val="3"/>
            <w:shd w:val="clear" w:color="auto" w:fill="BFBFBF" w:themeFill="background1" w:themeFillShade="BF"/>
          </w:tcPr>
          <w:p w14:paraId="7E933DD0"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ELA</w:t>
            </w:r>
          </w:p>
        </w:tc>
        <w:tc>
          <w:tcPr>
            <w:tcW w:w="4008" w:type="dxa"/>
            <w:gridSpan w:val="3"/>
            <w:shd w:val="clear" w:color="auto" w:fill="BFBFBF" w:themeFill="background1" w:themeFillShade="BF"/>
          </w:tcPr>
          <w:p w14:paraId="71B75FB4"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Math</w:t>
            </w:r>
          </w:p>
        </w:tc>
      </w:tr>
      <w:tr w:rsidR="00C3312E" w:rsidRPr="00C3312E" w14:paraId="2F739246" w14:textId="77777777" w:rsidTr="00697F37">
        <w:tc>
          <w:tcPr>
            <w:tcW w:w="1255" w:type="dxa"/>
            <w:shd w:val="clear" w:color="auto" w:fill="BFBFBF" w:themeFill="background1" w:themeFillShade="BF"/>
          </w:tcPr>
          <w:p w14:paraId="6EC212BF"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Grade</w:t>
            </w:r>
          </w:p>
        </w:tc>
        <w:tc>
          <w:tcPr>
            <w:tcW w:w="1415" w:type="dxa"/>
            <w:shd w:val="clear" w:color="auto" w:fill="BFBFBF" w:themeFill="background1" w:themeFillShade="BF"/>
          </w:tcPr>
          <w:p w14:paraId="26560ACC"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N (2018)</w:t>
            </w:r>
          </w:p>
        </w:tc>
        <w:tc>
          <w:tcPr>
            <w:tcW w:w="1336" w:type="dxa"/>
            <w:shd w:val="clear" w:color="auto" w:fill="BFBFBF" w:themeFill="background1" w:themeFillShade="BF"/>
          </w:tcPr>
          <w:p w14:paraId="4DE8ECAE"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2018</w:t>
            </w:r>
          </w:p>
        </w:tc>
        <w:tc>
          <w:tcPr>
            <w:tcW w:w="1336" w:type="dxa"/>
            <w:shd w:val="clear" w:color="auto" w:fill="BFBFBF" w:themeFill="background1" w:themeFillShade="BF"/>
          </w:tcPr>
          <w:p w14:paraId="7BCCAE5E" w14:textId="77777777" w:rsidR="00C3312E" w:rsidRPr="00C3312E" w:rsidRDefault="00C3312E" w:rsidP="00C3312E">
            <w:pPr>
              <w:spacing w:after="0" w:line="240" w:lineRule="auto"/>
              <w:jc w:val="center"/>
              <w:rPr>
                <w:rFonts w:cs="Times New Roman"/>
                <w:b/>
                <w:sz w:val="20"/>
                <w:szCs w:val="20"/>
              </w:rPr>
            </w:pPr>
            <w:r w:rsidRPr="00C3312E">
              <w:rPr>
                <w:rFonts w:cs="Times New Roman"/>
                <w:b/>
                <w:sz w:val="20"/>
                <w:szCs w:val="20"/>
              </w:rPr>
              <w:t>State 2018</w:t>
            </w:r>
          </w:p>
        </w:tc>
        <w:tc>
          <w:tcPr>
            <w:tcW w:w="1336" w:type="dxa"/>
            <w:shd w:val="clear" w:color="auto" w:fill="BFBFBF" w:themeFill="background1" w:themeFillShade="BF"/>
          </w:tcPr>
          <w:p w14:paraId="764A4036" w14:textId="77777777" w:rsidR="00C3312E" w:rsidRPr="00C3312E" w:rsidRDefault="00C3312E" w:rsidP="00C3312E">
            <w:pPr>
              <w:spacing w:after="0" w:line="240" w:lineRule="auto"/>
              <w:jc w:val="center"/>
              <w:rPr>
                <w:b/>
                <w:sz w:val="20"/>
                <w:szCs w:val="20"/>
              </w:rPr>
            </w:pPr>
            <w:r w:rsidRPr="00C3312E">
              <w:rPr>
                <w:b/>
                <w:sz w:val="20"/>
                <w:szCs w:val="20"/>
              </w:rPr>
              <w:t>N (2018)</w:t>
            </w:r>
          </w:p>
        </w:tc>
        <w:tc>
          <w:tcPr>
            <w:tcW w:w="1336" w:type="dxa"/>
            <w:shd w:val="clear" w:color="auto" w:fill="BFBFBF" w:themeFill="background1" w:themeFillShade="BF"/>
          </w:tcPr>
          <w:p w14:paraId="198E3F65" w14:textId="77777777" w:rsidR="00C3312E" w:rsidRPr="00C3312E" w:rsidRDefault="00C3312E" w:rsidP="00C3312E">
            <w:pPr>
              <w:spacing w:after="0" w:line="240" w:lineRule="auto"/>
              <w:jc w:val="center"/>
              <w:rPr>
                <w:b/>
                <w:sz w:val="20"/>
                <w:szCs w:val="20"/>
              </w:rPr>
            </w:pPr>
            <w:r w:rsidRPr="00C3312E">
              <w:rPr>
                <w:b/>
                <w:sz w:val="20"/>
                <w:szCs w:val="20"/>
              </w:rPr>
              <w:t>2018</w:t>
            </w:r>
          </w:p>
        </w:tc>
        <w:tc>
          <w:tcPr>
            <w:tcW w:w="1336" w:type="dxa"/>
            <w:shd w:val="clear" w:color="auto" w:fill="BFBFBF" w:themeFill="background1" w:themeFillShade="BF"/>
          </w:tcPr>
          <w:p w14:paraId="0122CF33" w14:textId="7A977EE3" w:rsidR="00C3312E" w:rsidRPr="00C3312E" w:rsidRDefault="00C3312E" w:rsidP="00C3312E">
            <w:pPr>
              <w:spacing w:after="0" w:line="240" w:lineRule="auto"/>
              <w:jc w:val="center"/>
              <w:rPr>
                <w:b/>
                <w:sz w:val="20"/>
                <w:szCs w:val="20"/>
              </w:rPr>
            </w:pPr>
            <w:r w:rsidRPr="00C3312E">
              <w:rPr>
                <w:b/>
                <w:sz w:val="20"/>
                <w:szCs w:val="20"/>
              </w:rPr>
              <w:t xml:space="preserve">State </w:t>
            </w:r>
            <w:r w:rsidR="000F7DAF">
              <w:rPr>
                <w:b/>
                <w:sz w:val="20"/>
                <w:szCs w:val="20"/>
              </w:rPr>
              <w:t>(</w:t>
            </w:r>
            <w:r w:rsidRPr="00C3312E">
              <w:rPr>
                <w:b/>
                <w:sz w:val="20"/>
                <w:szCs w:val="20"/>
              </w:rPr>
              <w:t>2018</w:t>
            </w:r>
            <w:r w:rsidR="000F7DAF">
              <w:rPr>
                <w:b/>
                <w:sz w:val="20"/>
                <w:szCs w:val="20"/>
              </w:rPr>
              <w:t>)</w:t>
            </w:r>
          </w:p>
        </w:tc>
      </w:tr>
      <w:tr w:rsidR="00C3312E" w:rsidRPr="00C3312E" w14:paraId="4FF4DD7F" w14:textId="77777777" w:rsidTr="00697F37">
        <w:tc>
          <w:tcPr>
            <w:tcW w:w="1255" w:type="dxa"/>
          </w:tcPr>
          <w:p w14:paraId="7FBF4A7D"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3</w:t>
            </w:r>
          </w:p>
        </w:tc>
        <w:tc>
          <w:tcPr>
            <w:tcW w:w="1415" w:type="dxa"/>
          </w:tcPr>
          <w:p w14:paraId="6899988D" w14:textId="77777777" w:rsidR="00C3312E" w:rsidRPr="00C3312E" w:rsidRDefault="00C3312E" w:rsidP="00C3312E">
            <w:pPr>
              <w:spacing w:after="0" w:line="240" w:lineRule="auto"/>
              <w:jc w:val="center"/>
              <w:rPr>
                <w:sz w:val="20"/>
                <w:szCs w:val="20"/>
              </w:rPr>
            </w:pPr>
            <w:r w:rsidRPr="00C3312E">
              <w:rPr>
                <w:sz w:val="20"/>
                <w:szCs w:val="20"/>
              </w:rPr>
              <w:t>--</w:t>
            </w:r>
          </w:p>
        </w:tc>
        <w:tc>
          <w:tcPr>
            <w:tcW w:w="1336" w:type="dxa"/>
          </w:tcPr>
          <w:p w14:paraId="677E5A79" w14:textId="77777777" w:rsidR="00C3312E" w:rsidRPr="00C3312E" w:rsidRDefault="00C3312E" w:rsidP="00C3312E">
            <w:pPr>
              <w:spacing w:after="0" w:line="240" w:lineRule="auto"/>
              <w:jc w:val="center"/>
              <w:rPr>
                <w:sz w:val="20"/>
                <w:szCs w:val="20"/>
              </w:rPr>
            </w:pPr>
            <w:r w:rsidRPr="00C3312E">
              <w:rPr>
                <w:sz w:val="20"/>
                <w:szCs w:val="20"/>
              </w:rPr>
              <w:t>--</w:t>
            </w:r>
          </w:p>
        </w:tc>
        <w:tc>
          <w:tcPr>
            <w:tcW w:w="1336" w:type="dxa"/>
          </w:tcPr>
          <w:p w14:paraId="7561BA75" w14:textId="77777777" w:rsidR="00C3312E" w:rsidRPr="00C3312E" w:rsidRDefault="00C3312E" w:rsidP="00C3312E">
            <w:pPr>
              <w:spacing w:after="0" w:line="240" w:lineRule="auto"/>
              <w:jc w:val="center"/>
              <w:rPr>
                <w:sz w:val="20"/>
                <w:szCs w:val="20"/>
              </w:rPr>
            </w:pPr>
            <w:r w:rsidRPr="00C3312E">
              <w:rPr>
                <w:sz w:val="20"/>
                <w:szCs w:val="20"/>
              </w:rPr>
              <w:t>--</w:t>
            </w:r>
          </w:p>
        </w:tc>
        <w:tc>
          <w:tcPr>
            <w:tcW w:w="1336" w:type="dxa"/>
          </w:tcPr>
          <w:p w14:paraId="413B06ED" w14:textId="77777777" w:rsidR="00C3312E" w:rsidRPr="00C3312E" w:rsidRDefault="00C3312E" w:rsidP="00C3312E">
            <w:pPr>
              <w:spacing w:after="0" w:line="240" w:lineRule="auto"/>
              <w:jc w:val="center"/>
              <w:rPr>
                <w:sz w:val="20"/>
                <w:szCs w:val="20"/>
              </w:rPr>
            </w:pPr>
            <w:r w:rsidRPr="00C3312E">
              <w:rPr>
                <w:sz w:val="20"/>
                <w:szCs w:val="20"/>
              </w:rPr>
              <w:t>--</w:t>
            </w:r>
          </w:p>
        </w:tc>
        <w:tc>
          <w:tcPr>
            <w:tcW w:w="1336" w:type="dxa"/>
          </w:tcPr>
          <w:p w14:paraId="108585A5" w14:textId="77777777" w:rsidR="00C3312E" w:rsidRPr="00C3312E" w:rsidRDefault="00C3312E" w:rsidP="00C3312E">
            <w:pPr>
              <w:spacing w:after="0" w:line="240" w:lineRule="auto"/>
              <w:jc w:val="center"/>
              <w:rPr>
                <w:sz w:val="20"/>
                <w:szCs w:val="20"/>
              </w:rPr>
            </w:pPr>
            <w:r w:rsidRPr="00C3312E">
              <w:rPr>
                <w:sz w:val="20"/>
                <w:szCs w:val="20"/>
              </w:rPr>
              <w:t>--</w:t>
            </w:r>
          </w:p>
        </w:tc>
        <w:tc>
          <w:tcPr>
            <w:tcW w:w="1336" w:type="dxa"/>
          </w:tcPr>
          <w:p w14:paraId="6D64D2B8"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028D9918" w14:textId="77777777" w:rsidTr="00697F37">
        <w:tc>
          <w:tcPr>
            <w:tcW w:w="1255" w:type="dxa"/>
            <w:shd w:val="clear" w:color="auto" w:fill="BFBFBF" w:themeFill="background1" w:themeFillShade="BF"/>
          </w:tcPr>
          <w:p w14:paraId="7FE22654"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4</w:t>
            </w:r>
          </w:p>
        </w:tc>
        <w:tc>
          <w:tcPr>
            <w:tcW w:w="1415" w:type="dxa"/>
            <w:shd w:val="clear" w:color="auto" w:fill="BFBFBF" w:themeFill="background1" w:themeFillShade="BF"/>
          </w:tcPr>
          <w:p w14:paraId="21E55283" w14:textId="77777777" w:rsidR="00C3312E" w:rsidRPr="00C3312E" w:rsidRDefault="00C3312E" w:rsidP="00C3312E">
            <w:pPr>
              <w:spacing w:after="0" w:line="240" w:lineRule="auto"/>
              <w:jc w:val="center"/>
              <w:rPr>
                <w:sz w:val="20"/>
                <w:szCs w:val="20"/>
              </w:rPr>
            </w:pPr>
            <w:r w:rsidRPr="00C3312E">
              <w:rPr>
                <w:sz w:val="20"/>
                <w:szCs w:val="20"/>
              </w:rPr>
              <w:t>694</w:t>
            </w:r>
          </w:p>
        </w:tc>
        <w:tc>
          <w:tcPr>
            <w:tcW w:w="1336" w:type="dxa"/>
            <w:shd w:val="clear" w:color="auto" w:fill="BFBFBF" w:themeFill="background1" w:themeFillShade="BF"/>
          </w:tcPr>
          <w:p w14:paraId="759B37F0" w14:textId="77777777" w:rsidR="00C3312E" w:rsidRPr="00C3312E" w:rsidRDefault="00C3312E" w:rsidP="00C3312E">
            <w:pPr>
              <w:spacing w:after="0" w:line="240" w:lineRule="auto"/>
              <w:jc w:val="center"/>
              <w:rPr>
                <w:sz w:val="20"/>
                <w:szCs w:val="20"/>
              </w:rPr>
            </w:pPr>
            <w:r w:rsidRPr="00C3312E">
              <w:rPr>
                <w:sz w:val="20"/>
                <w:szCs w:val="20"/>
              </w:rPr>
              <w:t>46.6</w:t>
            </w:r>
          </w:p>
        </w:tc>
        <w:tc>
          <w:tcPr>
            <w:tcW w:w="1336" w:type="dxa"/>
            <w:shd w:val="clear" w:color="auto" w:fill="BFBFBF" w:themeFill="background1" w:themeFillShade="BF"/>
          </w:tcPr>
          <w:p w14:paraId="5EBDF5E9" w14:textId="77777777" w:rsidR="00C3312E" w:rsidRPr="00C3312E" w:rsidRDefault="00C3312E" w:rsidP="00C3312E">
            <w:pPr>
              <w:spacing w:after="0" w:line="240" w:lineRule="auto"/>
              <w:jc w:val="center"/>
              <w:rPr>
                <w:sz w:val="20"/>
                <w:szCs w:val="20"/>
              </w:rPr>
            </w:pPr>
            <w:r w:rsidRPr="00C3312E">
              <w:rPr>
                <w:sz w:val="20"/>
                <w:szCs w:val="20"/>
              </w:rPr>
              <w:t>50.0</w:t>
            </w:r>
          </w:p>
        </w:tc>
        <w:tc>
          <w:tcPr>
            <w:tcW w:w="1336" w:type="dxa"/>
            <w:shd w:val="clear" w:color="auto" w:fill="BFBFBF" w:themeFill="background1" w:themeFillShade="BF"/>
          </w:tcPr>
          <w:p w14:paraId="388FD213" w14:textId="77777777" w:rsidR="00C3312E" w:rsidRPr="00C3312E" w:rsidRDefault="00C3312E" w:rsidP="00C3312E">
            <w:pPr>
              <w:spacing w:after="0" w:line="240" w:lineRule="auto"/>
              <w:jc w:val="center"/>
              <w:rPr>
                <w:sz w:val="20"/>
                <w:szCs w:val="20"/>
              </w:rPr>
            </w:pPr>
            <w:r w:rsidRPr="00C3312E">
              <w:rPr>
                <w:sz w:val="20"/>
                <w:szCs w:val="20"/>
              </w:rPr>
              <w:t>693</w:t>
            </w:r>
          </w:p>
        </w:tc>
        <w:tc>
          <w:tcPr>
            <w:tcW w:w="1336" w:type="dxa"/>
            <w:shd w:val="clear" w:color="auto" w:fill="BFBFBF" w:themeFill="background1" w:themeFillShade="BF"/>
          </w:tcPr>
          <w:p w14:paraId="007AE1FF" w14:textId="77777777" w:rsidR="00C3312E" w:rsidRPr="00C3312E" w:rsidRDefault="00C3312E" w:rsidP="00C3312E">
            <w:pPr>
              <w:spacing w:after="0" w:line="240" w:lineRule="auto"/>
              <w:jc w:val="center"/>
              <w:rPr>
                <w:sz w:val="20"/>
                <w:szCs w:val="20"/>
              </w:rPr>
            </w:pPr>
            <w:r w:rsidRPr="00C3312E">
              <w:rPr>
                <w:sz w:val="20"/>
                <w:szCs w:val="20"/>
              </w:rPr>
              <w:t>43.2</w:t>
            </w:r>
          </w:p>
        </w:tc>
        <w:tc>
          <w:tcPr>
            <w:tcW w:w="1336" w:type="dxa"/>
            <w:shd w:val="clear" w:color="auto" w:fill="BFBFBF" w:themeFill="background1" w:themeFillShade="BF"/>
          </w:tcPr>
          <w:p w14:paraId="053CA4DE" w14:textId="77777777" w:rsidR="00C3312E" w:rsidRPr="00C3312E" w:rsidRDefault="00C3312E" w:rsidP="00C3312E">
            <w:pPr>
              <w:spacing w:after="0" w:line="240" w:lineRule="auto"/>
              <w:jc w:val="center"/>
              <w:rPr>
                <w:sz w:val="20"/>
                <w:szCs w:val="20"/>
              </w:rPr>
            </w:pPr>
            <w:r w:rsidRPr="00C3312E">
              <w:rPr>
                <w:sz w:val="20"/>
                <w:szCs w:val="20"/>
              </w:rPr>
              <w:t>50.1</w:t>
            </w:r>
          </w:p>
        </w:tc>
      </w:tr>
      <w:tr w:rsidR="00C3312E" w:rsidRPr="00C3312E" w14:paraId="58EFA674" w14:textId="77777777" w:rsidTr="00697F37">
        <w:tc>
          <w:tcPr>
            <w:tcW w:w="1255" w:type="dxa"/>
          </w:tcPr>
          <w:p w14:paraId="0D36CE6C"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5</w:t>
            </w:r>
          </w:p>
        </w:tc>
        <w:tc>
          <w:tcPr>
            <w:tcW w:w="1415" w:type="dxa"/>
          </w:tcPr>
          <w:p w14:paraId="0A99CF3F" w14:textId="77777777" w:rsidR="00C3312E" w:rsidRPr="00C3312E" w:rsidRDefault="00C3312E" w:rsidP="00C3312E">
            <w:pPr>
              <w:spacing w:after="0" w:line="240" w:lineRule="auto"/>
              <w:jc w:val="center"/>
              <w:rPr>
                <w:sz w:val="20"/>
                <w:szCs w:val="20"/>
              </w:rPr>
            </w:pPr>
            <w:r w:rsidRPr="00C3312E">
              <w:rPr>
                <w:sz w:val="20"/>
                <w:szCs w:val="20"/>
              </w:rPr>
              <w:t>672</w:t>
            </w:r>
          </w:p>
        </w:tc>
        <w:tc>
          <w:tcPr>
            <w:tcW w:w="1336" w:type="dxa"/>
          </w:tcPr>
          <w:p w14:paraId="49B059E6" w14:textId="77777777" w:rsidR="00C3312E" w:rsidRPr="00C3312E" w:rsidRDefault="00C3312E" w:rsidP="00C3312E">
            <w:pPr>
              <w:spacing w:after="0" w:line="240" w:lineRule="auto"/>
              <w:jc w:val="center"/>
              <w:rPr>
                <w:sz w:val="20"/>
                <w:szCs w:val="20"/>
              </w:rPr>
            </w:pPr>
            <w:r w:rsidRPr="00C3312E">
              <w:rPr>
                <w:sz w:val="20"/>
                <w:szCs w:val="20"/>
              </w:rPr>
              <w:t>49.1</w:t>
            </w:r>
          </w:p>
        </w:tc>
        <w:tc>
          <w:tcPr>
            <w:tcW w:w="1336" w:type="dxa"/>
          </w:tcPr>
          <w:p w14:paraId="0D75BC14" w14:textId="77777777" w:rsidR="00C3312E" w:rsidRPr="00C3312E" w:rsidRDefault="00C3312E" w:rsidP="00C3312E">
            <w:pPr>
              <w:spacing w:after="0" w:line="240" w:lineRule="auto"/>
              <w:jc w:val="center"/>
              <w:rPr>
                <w:sz w:val="20"/>
                <w:szCs w:val="20"/>
              </w:rPr>
            </w:pPr>
            <w:r w:rsidRPr="00C3312E">
              <w:rPr>
                <w:sz w:val="20"/>
                <w:szCs w:val="20"/>
              </w:rPr>
              <w:t>50.1</w:t>
            </w:r>
          </w:p>
        </w:tc>
        <w:tc>
          <w:tcPr>
            <w:tcW w:w="1336" w:type="dxa"/>
          </w:tcPr>
          <w:p w14:paraId="78BD10F2" w14:textId="77777777" w:rsidR="00C3312E" w:rsidRPr="00C3312E" w:rsidRDefault="00C3312E" w:rsidP="00C3312E">
            <w:pPr>
              <w:spacing w:after="0" w:line="240" w:lineRule="auto"/>
              <w:jc w:val="center"/>
              <w:rPr>
                <w:sz w:val="20"/>
                <w:szCs w:val="20"/>
              </w:rPr>
            </w:pPr>
            <w:r w:rsidRPr="00C3312E">
              <w:rPr>
                <w:sz w:val="20"/>
                <w:szCs w:val="20"/>
              </w:rPr>
              <w:t>671</w:t>
            </w:r>
          </w:p>
        </w:tc>
        <w:tc>
          <w:tcPr>
            <w:tcW w:w="1336" w:type="dxa"/>
          </w:tcPr>
          <w:p w14:paraId="08401146" w14:textId="77777777" w:rsidR="00C3312E" w:rsidRPr="00C3312E" w:rsidRDefault="00C3312E" w:rsidP="00C3312E">
            <w:pPr>
              <w:spacing w:after="0" w:line="240" w:lineRule="auto"/>
              <w:jc w:val="center"/>
              <w:rPr>
                <w:sz w:val="20"/>
                <w:szCs w:val="20"/>
              </w:rPr>
            </w:pPr>
            <w:r w:rsidRPr="00C3312E">
              <w:rPr>
                <w:sz w:val="20"/>
                <w:szCs w:val="20"/>
              </w:rPr>
              <w:t>52.3</w:t>
            </w:r>
          </w:p>
        </w:tc>
        <w:tc>
          <w:tcPr>
            <w:tcW w:w="1336" w:type="dxa"/>
          </w:tcPr>
          <w:p w14:paraId="1CE35990" w14:textId="77777777" w:rsidR="00C3312E" w:rsidRPr="00C3312E" w:rsidRDefault="00C3312E" w:rsidP="00C3312E">
            <w:pPr>
              <w:spacing w:after="0" w:line="240" w:lineRule="auto"/>
              <w:jc w:val="center"/>
              <w:rPr>
                <w:sz w:val="20"/>
                <w:szCs w:val="20"/>
              </w:rPr>
            </w:pPr>
            <w:r w:rsidRPr="00C3312E">
              <w:rPr>
                <w:sz w:val="20"/>
                <w:szCs w:val="20"/>
              </w:rPr>
              <w:t>50.0</w:t>
            </w:r>
          </w:p>
        </w:tc>
      </w:tr>
      <w:tr w:rsidR="00C3312E" w:rsidRPr="00C3312E" w14:paraId="58DD2132" w14:textId="77777777" w:rsidTr="00697F37">
        <w:tc>
          <w:tcPr>
            <w:tcW w:w="1255" w:type="dxa"/>
            <w:shd w:val="clear" w:color="auto" w:fill="BFBFBF" w:themeFill="background1" w:themeFillShade="BF"/>
          </w:tcPr>
          <w:p w14:paraId="7CD1925E"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6</w:t>
            </w:r>
          </w:p>
        </w:tc>
        <w:tc>
          <w:tcPr>
            <w:tcW w:w="1415" w:type="dxa"/>
            <w:shd w:val="clear" w:color="auto" w:fill="BFBFBF" w:themeFill="background1" w:themeFillShade="BF"/>
          </w:tcPr>
          <w:p w14:paraId="0EE92560" w14:textId="77777777" w:rsidR="00C3312E" w:rsidRPr="00C3312E" w:rsidRDefault="00C3312E" w:rsidP="00C3312E">
            <w:pPr>
              <w:spacing w:after="0" w:line="240" w:lineRule="auto"/>
              <w:jc w:val="center"/>
              <w:rPr>
                <w:sz w:val="20"/>
                <w:szCs w:val="20"/>
              </w:rPr>
            </w:pPr>
            <w:r w:rsidRPr="00C3312E">
              <w:rPr>
                <w:sz w:val="20"/>
                <w:szCs w:val="20"/>
              </w:rPr>
              <w:t>550</w:t>
            </w:r>
          </w:p>
        </w:tc>
        <w:tc>
          <w:tcPr>
            <w:tcW w:w="1336" w:type="dxa"/>
            <w:shd w:val="clear" w:color="auto" w:fill="BFBFBF" w:themeFill="background1" w:themeFillShade="BF"/>
          </w:tcPr>
          <w:p w14:paraId="214B85DB" w14:textId="77777777" w:rsidR="00C3312E" w:rsidRPr="00C3312E" w:rsidRDefault="00C3312E" w:rsidP="00C3312E">
            <w:pPr>
              <w:spacing w:after="0" w:line="240" w:lineRule="auto"/>
              <w:jc w:val="center"/>
              <w:rPr>
                <w:sz w:val="20"/>
                <w:szCs w:val="20"/>
              </w:rPr>
            </w:pPr>
            <w:r w:rsidRPr="00C3312E">
              <w:rPr>
                <w:sz w:val="20"/>
                <w:szCs w:val="20"/>
              </w:rPr>
              <w:t>46.7</w:t>
            </w:r>
          </w:p>
        </w:tc>
        <w:tc>
          <w:tcPr>
            <w:tcW w:w="1336" w:type="dxa"/>
            <w:shd w:val="clear" w:color="auto" w:fill="BFBFBF" w:themeFill="background1" w:themeFillShade="BF"/>
          </w:tcPr>
          <w:p w14:paraId="695ADBF4" w14:textId="77777777" w:rsidR="00C3312E" w:rsidRPr="00C3312E" w:rsidRDefault="00C3312E" w:rsidP="00C3312E">
            <w:pPr>
              <w:spacing w:after="0" w:line="240" w:lineRule="auto"/>
              <w:jc w:val="center"/>
              <w:rPr>
                <w:sz w:val="20"/>
                <w:szCs w:val="20"/>
              </w:rPr>
            </w:pPr>
            <w:r w:rsidRPr="00C3312E">
              <w:rPr>
                <w:sz w:val="20"/>
                <w:szCs w:val="20"/>
              </w:rPr>
              <w:t>50.1</w:t>
            </w:r>
          </w:p>
        </w:tc>
        <w:tc>
          <w:tcPr>
            <w:tcW w:w="1336" w:type="dxa"/>
            <w:shd w:val="clear" w:color="auto" w:fill="BFBFBF" w:themeFill="background1" w:themeFillShade="BF"/>
          </w:tcPr>
          <w:p w14:paraId="5DB4FEB9" w14:textId="77777777" w:rsidR="00C3312E" w:rsidRPr="00C3312E" w:rsidRDefault="00C3312E" w:rsidP="00C3312E">
            <w:pPr>
              <w:spacing w:after="0" w:line="240" w:lineRule="auto"/>
              <w:jc w:val="center"/>
              <w:rPr>
                <w:sz w:val="20"/>
                <w:szCs w:val="20"/>
              </w:rPr>
            </w:pPr>
            <w:r w:rsidRPr="00C3312E">
              <w:rPr>
                <w:sz w:val="20"/>
                <w:szCs w:val="20"/>
              </w:rPr>
              <w:t>551</w:t>
            </w:r>
          </w:p>
        </w:tc>
        <w:tc>
          <w:tcPr>
            <w:tcW w:w="1336" w:type="dxa"/>
            <w:shd w:val="clear" w:color="auto" w:fill="BFBFBF" w:themeFill="background1" w:themeFillShade="BF"/>
          </w:tcPr>
          <w:p w14:paraId="039CEC4E" w14:textId="77777777" w:rsidR="00C3312E" w:rsidRPr="00C3312E" w:rsidRDefault="00C3312E" w:rsidP="00C3312E">
            <w:pPr>
              <w:spacing w:after="0" w:line="240" w:lineRule="auto"/>
              <w:jc w:val="center"/>
              <w:rPr>
                <w:sz w:val="20"/>
                <w:szCs w:val="20"/>
              </w:rPr>
            </w:pPr>
            <w:r w:rsidRPr="00C3312E">
              <w:rPr>
                <w:sz w:val="20"/>
                <w:szCs w:val="20"/>
              </w:rPr>
              <w:t>47.8</w:t>
            </w:r>
          </w:p>
        </w:tc>
        <w:tc>
          <w:tcPr>
            <w:tcW w:w="1336" w:type="dxa"/>
            <w:shd w:val="clear" w:color="auto" w:fill="BFBFBF" w:themeFill="background1" w:themeFillShade="BF"/>
          </w:tcPr>
          <w:p w14:paraId="362231CC" w14:textId="77777777" w:rsidR="00C3312E" w:rsidRPr="00C3312E" w:rsidRDefault="00C3312E" w:rsidP="00C3312E">
            <w:pPr>
              <w:spacing w:after="0" w:line="240" w:lineRule="auto"/>
              <w:jc w:val="center"/>
              <w:rPr>
                <w:sz w:val="20"/>
                <w:szCs w:val="20"/>
              </w:rPr>
            </w:pPr>
            <w:r w:rsidRPr="00C3312E">
              <w:rPr>
                <w:sz w:val="20"/>
                <w:szCs w:val="20"/>
              </w:rPr>
              <w:t>50.0</w:t>
            </w:r>
          </w:p>
        </w:tc>
      </w:tr>
      <w:tr w:rsidR="00C3312E" w:rsidRPr="00C3312E" w14:paraId="07AB0F57" w14:textId="77777777" w:rsidTr="00697F37">
        <w:tc>
          <w:tcPr>
            <w:tcW w:w="1255" w:type="dxa"/>
          </w:tcPr>
          <w:p w14:paraId="364F5CF2"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7</w:t>
            </w:r>
          </w:p>
        </w:tc>
        <w:tc>
          <w:tcPr>
            <w:tcW w:w="1415" w:type="dxa"/>
          </w:tcPr>
          <w:p w14:paraId="1DAD8B54" w14:textId="77777777" w:rsidR="00C3312E" w:rsidRPr="00C3312E" w:rsidRDefault="00C3312E" w:rsidP="00C3312E">
            <w:pPr>
              <w:spacing w:after="0" w:line="240" w:lineRule="auto"/>
              <w:jc w:val="center"/>
              <w:rPr>
                <w:sz w:val="20"/>
                <w:szCs w:val="20"/>
              </w:rPr>
            </w:pPr>
            <w:r w:rsidRPr="00C3312E">
              <w:rPr>
                <w:sz w:val="20"/>
                <w:szCs w:val="20"/>
              </w:rPr>
              <w:t>528</w:t>
            </w:r>
          </w:p>
        </w:tc>
        <w:tc>
          <w:tcPr>
            <w:tcW w:w="1336" w:type="dxa"/>
          </w:tcPr>
          <w:p w14:paraId="25C6E012" w14:textId="77777777" w:rsidR="00C3312E" w:rsidRPr="00C3312E" w:rsidRDefault="00C3312E" w:rsidP="00C3312E">
            <w:pPr>
              <w:spacing w:after="0" w:line="240" w:lineRule="auto"/>
              <w:jc w:val="center"/>
              <w:rPr>
                <w:sz w:val="20"/>
                <w:szCs w:val="20"/>
              </w:rPr>
            </w:pPr>
            <w:r w:rsidRPr="00C3312E">
              <w:rPr>
                <w:sz w:val="20"/>
                <w:szCs w:val="20"/>
              </w:rPr>
              <w:t>50.8</w:t>
            </w:r>
          </w:p>
        </w:tc>
        <w:tc>
          <w:tcPr>
            <w:tcW w:w="1336" w:type="dxa"/>
          </w:tcPr>
          <w:p w14:paraId="598EE21D" w14:textId="77777777" w:rsidR="00C3312E" w:rsidRPr="00C3312E" w:rsidRDefault="00C3312E" w:rsidP="00C3312E">
            <w:pPr>
              <w:spacing w:after="0" w:line="240" w:lineRule="auto"/>
              <w:jc w:val="center"/>
              <w:rPr>
                <w:sz w:val="20"/>
                <w:szCs w:val="20"/>
              </w:rPr>
            </w:pPr>
            <w:r w:rsidRPr="00C3312E">
              <w:rPr>
                <w:sz w:val="20"/>
                <w:szCs w:val="20"/>
              </w:rPr>
              <w:t>50.0</w:t>
            </w:r>
          </w:p>
        </w:tc>
        <w:tc>
          <w:tcPr>
            <w:tcW w:w="1336" w:type="dxa"/>
          </w:tcPr>
          <w:p w14:paraId="598548A0" w14:textId="77777777" w:rsidR="00C3312E" w:rsidRPr="00C3312E" w:rsidRDefault="00C3312E" w:rsidP="00C3312E">
            <w:pPr>
              <w:spacing w:after="0" w:line="240" w:lineRule="auto"/>
              <w:jc w:val="center"/>
              <w:rPr>
                <w:sz w:val="20"/>
                <w:szCs w:val="20"/>
              </w:rPr>
            </w:pPr>
            <w:r w:rsidRPr="00C3312E">
              <w:rPr>
                <w:sz w:val="20"/>
                <w:szCs w:val="20"/>
              </w:rPr>
              <w:t>527</w:t>
            </w:r>
          </w:p>
        </w:tc>
        <w:tc>
          <w:tcPr>
            <w:tcW w:w="1336" w:type="dxa"/>
          </w:tcPr>
          <w:p w14:paraId="69401703" w14:textId="77777777" w:rsidR="00C3312E" w:rsidRPr="00C3312E" w:rsidRDefault="00C3312E" w:rsidP="00C3312E">
            <w:pPr>
              <w:spacing w:after="0" w:line="240" w:lineRule="auto"/>
              <w:jc w:val="center"/>
              <w:rPr>
                <w:sz w:val="20"/>
                <w:szCs w:val="20"/>
              </w:rPr>
            </w:pPr>
            <w:r w:rsidRPr="00C3312E">
              <w:rPr>
                <w:sz w:val="20"/>
                <w:szCs w:val="20"/>
              </w:rPr>
              <w:t>62.4</w:t>
            </w:r>
          </w:p>
        </w:tc>
        <w:tc>
          <w:tcPr>
            <w:tcW w:w="1336" w:type="dxa"/>
          </w:tcPr>
          <w:p w14:paraId="5ABFB5B7" w14:textId="77777777" w:rsidR="00C3312E" w:rsidRPr="00C3312E" w:rsidRDefault="00C3312E" w:rsidP="00C3312E">
            <w:pPr>
              <w:spacing w:after="0" w:line="240" w:lineRule="auto"/>
              <w:jc w:val="center"/>
              <w:rPr>
                <w:sz w:val="20"/>
                <w:szCs w:val="20"/>
              </w:rPr>
            </w:pPr>
            <w:r w:rsidRPr="00C3312E">
              <w:rPr>
                <w:sz w:val="20"/>
                <w:szCs w:val="20"/>
              </w:rPr>
              <w:t>50.0</w:t>
            </w:r>
          </w:p>
        </w:tc>
      </w:tr>
      <w:tr w:rsidR="00C3312E" w:rsidRPr="00C3312E" w14:paraId="371D9B70" w14:textId="77777777" w:rsidTr="00697F37">
        <w:tc>
          <w:tcPr>
            <w:tcW w:w="1255" w:type="dxa"/>
            <w:shd w:val="clear" w:color="auto" w:fill="BFBFBF" w:themeFill="background1" w:themeFillShade="BF"/>
          </w:tcPr>
          <w:p w14:paraId="4878389F"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8</w:t>
            </w:r>
          </w:p>
        </w:tc>
        <w:tc>
          <w:tcPr>
            <w:tcW w:w="1415" w:type="dxa"/>
            <w:shd w:val="clear" w:color="auto" w:fill="BFBFBF" w:themeFill="background1" w:themeFillShade="BF"/>
          </w:tcPr>
          <w:p w14:paraId="4721188F" w14:textId="77777777" w:rsidR="00C3312E" w:rsidRPr="00C3312E" w:rsidRDefault="00C3312E" w:rsidP="00C3312E">
            <w:pPr>
              <w:spacing w:after="0" w:line="240" w:lineRule="auto"/>
              <w:jc w:val="center"/>
              <w:rPr>
                <w:sz w:val="20"/>
                <w:szCs w:val="20"/>
              </w:rPr>
            </w:pPr>
            <w:r w:rsidRPr="00C3312E">
              <w:rPr>
                <w:sz w:val="20"/>
                <w:szCs w:val="20"/>
              </w:rPr>
              <w:t>543</w:t>
            </w:r>
          </w:p>
        </w:tc>
        <w:tc>
          <w:tcPr>
            <w:tcW w:w="1336" w:type="dxa"/>
            <w:shd w:val="clear" w:color="auto" w:fill="BFBFBF" w:themeFill="background1" w:themeFillShade="BF"/>
          </w:tcPr>
          <w:p w14:paraId="5BB7F5E5" w14:textId="77777777" w:rsidR="00C3312E" w:rsidRPr="00C3312E" w:rsidRDefault="00C3312E" w:rsidP="00C3312E">
            <w:pPr>
              <w:spacing w:after="0" w:line="240" w:lineRule="auto"/>
              <w:jc w:val="center"/>
              <w:rPr>
                <w:sz w:val="20"/>
                <w:szCs w:val="20"/>
              </w:rPr>
            </w:pPr>
            <w:r w:rsidRPr="00C3312E">
              <w:rPr>
                <w:sz w:val="20"/>
                <w:szCs w:val="20"/>
              </w:rPr>
              <w:t>47.9</w:t>
            </w:r>
          </w:p>
        </w:tc>
        <w:tc>
          <w:tcPr>
            <w:tcW w:w="1336" w:type="dxa"/>
            <w:shd w:val="clear" w:color="auto" w:fill="BFBFBF" w:themeFill="background1" w:themeFillShade="BF"/>
          </w:tcPr>
          <w:p w14:paraId="3B614B20" w14:textId="77777777" w:rsidR="00C3312E" w:rsidRPr="00C3312E" w:rsidRDefault="00C3312E" w:rsidP="00C3312E">
            <w:pPr>
              <w:spacing w:after="0" w:line="240" w:lineRule="auto"/>
              <w:jc w:val="center"/>
              <w:rPr>
                <w:sz w:val="20"/>
                <w:szCs w:val="20"/>
              </w:rPr>
            </w:pPr>
            <w:r w:rsidRPr="00C3312E">
              <w:rPr>
                <w:sz w:val="20"/>
                <w:szCs w:val="20"/>
              </w:rPr>
              <w:t>50.0</w:t>
            </w:r>
          </w:p>
        </w:tc>
        <w:tc>
          <w:tcPr>
            <w:tcW w:w="1336" w:type="dxa"/>
            <w:shd w:val="clear" w:color="auto" w:fill="BFBFBF" w:themeFill="background1" w:themeFillShade="BF"/>
          </w:tcPr>
          <w:p w14:paraId="1E8BEAE9" w14:textId="77777777" w:rsidR="00C3312E" w:rsidRPr="00C3312E" w:rsidRDefault="00C3312E" w:rsidP="00C3312E">
            <w:pPr>
              <w:spacing w:after="0" w:line="240" w:lineRule="auto"/>
              <w:jc w:val="center"/>
              <w:rPr>
                <w:sz w:val="20"/>
                <w:szCs w:val="20"/>
              </w:rPr>
            </w:pPr>
            <w:r w:rsidRPr="00C3312E">
              <w:rPr>
                <w:sz w:val="20"/>
                <w:szCs w:val="20"/>
              </w:rPr>
              <w:t>545</w:t>
            </w:r>
          </w:p>
        </w:tc>
        <w:tc>
          <w:tcPr>
            <w:tcW w:w="1336" w:type="dxa"/>
            <w:shd w:val="clear" w:color="auto" w:fill="BFBFBF" w:themeFill="background1" w:themeFillShade="BF"/>
          </w:tcPr>
          <w:p w14:paraId="78BFAFC7" w14:textId="77777777" w:rsidR="00C3312E" w:rsidRPr="00C3312E" w:rsidRDefault="00C3312E" w:rsidP="00C3312E">
            <w:pPr>
              <w:spacing w:after="0" w:line="240" w:lineRule="auto"/>
              <w:jc w:val="center"/>
              <w:rPr>
                <w:sz w:val="20"/>
                <w:szCs w:val="20"/>
              </w:rPr>
            </w:pPr>
            <w:r w:rsidRPr="00C3312E">
              <w:rPr>
                <w:sz w:val="20"/>
                <w:szCs w:val="20"/>
              </w:rPr>
              <w:t>53.6</w:t>
            </w:r>
          </w:p>
        </w:tc>
        <w:tc>
          <w:tcPr>
            <w:tcW w:w="1336" w:type="dxa"/>
            <w:shd w:val="clear" w:color="auto" w:fill="BFBFBF" w:themeFill="background1" w:themeFillShade="BF"/>
          </w:tcPr>
          <w:p w14:paraId="6CC75BE7" w14:textId="77777777" w:rsidR="00C3312E" w:rsidRPr="00C3312E" w:rsidRDefault="00C3312E" w:rsidP="00C3312E">
            <w:pPr>
              <w:spacing w:after="0" w:line="240" w:lineRule="auto"/>
              <w:jc w:val="center"/>
              <w:rPr>
                <w:sz w:val="20"/>
                <w:szCs w:val="20"/>
              </w:rPr>
            </w:pPr>
            <w:r w:rsidRPr="00C3312E">
              <w:rPr>
                <w:sz w:val="20"/>
                <w:szCs w:val="20"/>
              </w:rPr>
              <w:t>50.0</w:t>
            </w:r>
          </w:p>
        </w:tc>
      </w:tr>
      <w:tr w:rsidR="00C3312E" w:rsidRPr="00C3312E" w14:paraId="67F9AD0E" w14:textId="77777777" w:rsidTr="00697F37">
        <w:tc>
          <w:tcPr>
            <w:tcW w:w="1255" w:type="dxa"/>
          </w:tcPr>
          <w:p w14:paraId="05E0EE89" w14:textId="77777777" w:rsidR="00C3312E" w:rsidRPr="00C3312E" w:rsidRDefault="00C3312E" w:rsidP="00C3312E">
            <w:pPr>
              <w:spacing w:after="0" w:line="240" w:lineRule="auto"/>
              <w:jc w:val="center"/>
              <w:rPr>
                <w:rFonts w:cs="Times New Roman"/>
                <w:sz w:val="20"/>
                <w:szCs w:val="20"/>
              </w:rPr>
            </w:pPr>
            <w:r w:rsidRPr="00C3312E">
              <w:rPr>
                <w:rFonts w:cs="Times New Roman"/>
                <w:sz w:val="20"/>
                <w:szCs w:val="20"/>
              </w:rPr>
              <w:t>10</w:t>
            </w:r>
          </w:p>
        </w:tc>
        <w:tc>
          <w:tcPr>
            <w:tcW w:w="1415" w:type="dxa"/>
          </w:tcPr>
          <w:p w14:paraId="212B9EE4" w14:textId="77777777" w:rsidR="00C3312E" w:rsidRPr="00C3312E" w:rsidRDefault="00C3312E" w:rsidP="00C3312E">
            <w:pPr>
              <w:spacing w:after="0" w:line="240" w:lineRule="auto"/>
              <w:jc w:val="center"/>
              <w:rPr>
                <w:sz w:val="20"/>
                <w:szCs w:val="20"/>
              </w:rPr>
            </w:pPr>
            <w:r w:rsidRPr="00C3312E">
              <w:rPr>
                <w:sz w:val="20"/>
                <w:szCs w:val="20"/>
              </w:rPr>
              <w:t>405</w:t>
            </w:r>
          </w:p>
        </w:tc>
        <w:tc>
          <w:tcPr>
            <w:tcW w:w="1336" w:type="dxa"/>
          </w:tcPr>
          <w:p w14:paraId="217B4F3F" w14:textId="77777777" w:rsidR="00C3312E" w:rsidRPr="00C3312E" w:rsidRDefault="00C3312E" w:rsidP="00C3312E">
            <w:pPr>
              <w:spacing w:after="0" w:line="240" w:lineRule="auto"/>
              <w:jc w:val="center"/>
              <w:rPr>
                <w:sz w:val="20"/>
                <w:szCs w:val="20"/>
              </w:rPr>
            </w:pPr>
            <w:r w:rsidRPr="00C3312E">
              <w:rPr>
                <w:sz w:val="20"/>
                <w:szCs w:val="20"/>
              </w:rPr>
              <w:t>53.9</w:t>
            </w:r>
          </w:p>
        </w:tc>
        <w:tc>
          <w:tcPr>
            <w:tcW w:w="1336" w:type="dxa"/>
          </w:tcPr>
          <w:p w14:paraId="129BE321" w14:textId="77777777" w:rsidR="00C3312E" w:rsidRPr="00C3312E" w:rsidRDefault="00C3312E" w:rsidP="00C3312E">
            <w:pPr>
              <w:spacing w:after="0" w:line="240" w:lineRule="auto"/>
              <w:jc w:val="center"/>
              <w:rPr>
                <w:sz w:val="20"/>
                <w:szCs w:val="20"/>
              </w:rPr>
            </w:pPr>
            <w:r w:rsidRPr="00C3312E">
              <w:rPr>
                <w:sz w:val="20"/>
                <w:szCs w:val="20"/>
              </w:rPr>
              <w:t>49.9</w:t>
            </w:r>
          </w:p>
        </w:tc>
        <w:tc>
          <w:tcPr>
            <w:tcW w:w="1336" w:type="dxa"/>
          </w:tcPr>
          <w:p w14:paraId="01652828" w14:textId="77777777" w:rsidR="00C3312E" w:rsidRPr="00C3312E" w:rsidRDefault="00C3312E" w:rsidP="00C3312E">
            <w:pPr>
              <w:spacing w:after="0" w:line="240" w:lineRule="auto"/>
              <w:jc w:val="center"/>
              <w:rPr>
                <w:sz w:val="20"/>
                <w:szCs w:val="20"/>
              </w:rPr>
            </w:pPr>
            <w:r w:rsidRPr="00C3312E">
              <w:rPr>
                <w:sz w:val="20"/>
                <w:szCs w:val="20"/>
              </w:rPr>
              <w:t>404</w:t>
            </w:r>
          </w:p>
        </w:tc>
        <w:tc>
          <w:tcPr>
            <w:tcW w:w="1336" w:type="dxa"/>
          </w:tcPr>
          <w:p w14:paraId="20C23EBB" w14:textId="77777777" w:rsidR="00C3312E" w:rsidRPr="00C3312E" w:rsidRDefault="00C3312E" w:rsidP="00C3312E">
            <w:pPr>
              <w:spacing w:after="0" w:line="240" w:lineRule="auto"/>
              <w:jc w:val="center"/>
              <w:rPr>
                <w:sz w:val="20"/>
                <w:szCs w:val="20"/>
              </w:rPr>
            </w:pPr>
            <w:r w:rsidRPr="00C3312E">
              <w:rPr>
                <w:sz w:val="20"/>
                <w:szCs w:val="20"/>
              </w:rPr>
              <w:t>51.6</w:t>
            </w:r>
          </w:p>
        </w:tc>
        <w:tc>
          <w:tcPr>
            <w:tcW w:w="1336" w:type="dxa"/>
          </w:tcPr>
          <w:p w14:paraId="56ED4840" w14:textId="77777777" w:rsidR="00C3312E" w:rsidRPr="00C3312E" w:rsidRDefault="00C3312E" w:rsidP="00C3312E">
            <w:pPr>
              <w:spacing w:after="0" w:line="240" w:lineRule="auto"/>
              <w:jc w:val="center"/>
              <w:rPr>
                <w:sz w:val="20"/>
                <w:szCs w:val="20"/>
              </w:rPr>
            </w:pPr>
            <w:r w:rsidRPr="00C3312E">
              <w:rPr>
                <w:sz w:val="20"/>
                <w:szCs w:val="20"/>
              </w:rPr>
              <w:t>49.9</w:t>
            </w:r>
          </w:p>
        </w:tc>
      </w:tr>
    </w:tbl>
    <w:p w14:paraId="7070E686" w14:textId="67C7FD4C" w:rsidR="00C3312E" w:rsidRDefault="00C3312E" w:rsidP="00C3312E">
      <w:pPr>
        <w:spacing w:after="0"/>
        <w:rPr>
          <w:rFonts w:cs="Times New Roman"/>
        </w:rPr>
      </w:pPr>
    </w:p>
    <w:p w14:paraId="7E4D39ED" w14:textId="64774BEA" w:rsidR="00E0187B" w:rsidRDefault="00E0187B" w:rsidP="00C3312E">
      <w:pPr>
        <w:spacing w:after="0"/>
        <w:rPr>
          <w:rFonts w:cs="Times New Roman"/>
        </w:rPr>
      </w:pPr>
    </w:p>
    <w:p w14:paraId="4FA84366" w14:textId="4C4E1378" w:rsidR="00E0187B" w:rsidRDefault="00E0187B" w:rsidP="00C3312E">
      <w:pPr>
        <w:spacing w:after="0"/>
        <w:rPr>
          <w:rFonts w:cs="Times New Roman"/>
        </w:rPr>
      </w:pPr>
    </w:p>
    <w:p w14:paraId="6A4DBD2E" w14:textId="435F7EB4" w:rsidR="0089512A" w:rsidRDefault="0089512A" w:rsidP="00C3312E">
      <w:pPr>
        <w:spacing w:after="0"/>
        <w:rPr>
          <w:rFonts w:cs="Times New Roman"/>
        </w:rPr>
      </w:pPr>
    </w:p>
    <w:p w14:paraId="418C95EF" w14:textId="77777777" w:rsidR="0089512A" w:rsidRPr="00C3312E" w:rsidRDefault="0089512A" w:rsidP="00C3312E">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 Framingham Public Schools"/>
        <w:tblDescription w:val="Next-Generation MCAS ELA Percent Meeting or Exceeding Expectations by School and Grade, 2018&#10;"/>
      </w:tblPr>
      <w:tblGrid>
        <w:gridCol w:w="3150"/>
        <w:gridCol w:w="912"/>
        <w:gridCol w:w="913"/>
        <w:gridCol w:w="913"/>
        <w:gridCol w:w="913"/>
        <w:gridCol w:w="913"/>
        <w:gridCol w:w="913"/>
        <w:gridCol w:w="913"/>
      </w:tblGrid>
      <w:tr w:rsidR="00C3312E" w:rsidRPr="00C3312E" w14:paraId="6ADF7714" w14:textId="77777777" w:rsidTr="00F37A4F">
        <w:trPr>
          <w:trHeight w:val="278"/>
        </w:trPr>
        <w:tc>
          <w:tcPr>
            <w:tcW w:w="9540" w:type="dxa"/>
            <w:gridSpan w:val="8"/>
            <w:tcBorders>
              <w:top w:val="nil"/>
              <w:left w:val="nil"/>
              <w:bottom w:val="single" w:sz="4" w:space="0" w:color="auto"/>
              <w:right w:val="nil"/>
            </w:tcBorders>
            <w:shd w:val="clear" w:color="auto" w:fill="auto"/>
          </w:tcPr>
          <w:p w14:paraId="364886DC"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lastRenderedPageBreak/>
              <w:t xml:space="preserve">Table 14: </w:t>
            </w:r>
            <w:r w:rsidRPr="00C3312E">
              <w:rPr>
                <w:rFonts w:cs="Times New Roman"/>
                <w:b/>
                <w:sz w:val="20"/>
                <w:szCs w:val="20"/>
              </w:rPr>
              <w:t>Framingham Public Schools</w:t>
            </w:r>
          </w:p>
          <w:p w14:paraId="176A7A38" w14:textId="519D4932" w:rsidR="00C3312E" w:rsidRPr="00C3312E" w:rsidRDefault="00C3312E" w:rsidP="009678D8">
            <w:pPr>
              <w:spacing w:after="0" w:line="240" w:lineRule="auto"/>
              <w:jc w:val="center"/>
              <w:rPr>
                <w:rFonts w:eastAsia="Times New Roman" w:cs="Times New Roman"/>
                <w:b/>
                <w:sz w:val="20"/>
                <w:szCs w:val="20"/>
              </w:rPr>
            </w:pPr>
            <w:r w:rsidRPr="00C3312E">
              <w:rPr>
                <w:rFonts w:eastAsia="Times New Roman" w:cs="Times New Roman"/>
                <w:b/>
                <w:sz w:val="20"/>
                <w:szCs w:val="20"/>
              </w:rPr>
              <w:t>Next-Generation MCAS ELA Percent Meeting or Exceeding Expectations by School</w:t>
            </w:r>
            <w:r w:rsidR="009678D8">
              <w:rPr>
                <w:rFonts w:eastAsia="Times New Roman" w:cs="Times New Roman"/>
                <w:b/>
                <w:sz w:val="20"/>
                <w:szCs w:val="20"/>
              </w:rPr>
              <w:t xml:space="preserve"> and Grade</w:t>
            </w:r>
            <w:r w:rsidRPr="00C3312E">
              <w:rPr>
                <w:rFonts w:eastAsia="Times New Roman" w:cs="Times New Roman"/>
                <w:b/>
                <w:sz w:val="20"/>
                <w:szCs w:val="20"/>
              </w:rPr>
              <w:t>, 2018</w:t>
            </w:r>
          </w:p>
        </w:tc>
      </w:tr>
      <w:tr w:rsidR="00C3312E" w:rsidRPr="00C3312E" w14:paraId="56644319" w14:textId="77777777" w:rsidTr="00F37A4F">
        <w:trPr>
          <w:trHeight w:val="242"/>
        </w:trPr>
        <w:tc>
          <w:tcPr>
            <w:tcW w:w="3150" w:type="dxa"/>
            <w:shd w:val="clear" w:color="auto" w:fill="BFBFBF" w:themeFill="background1" w:themeFillShade="BF"/>
          </w:tcPr>
          <w:p w14:paraId="19E83813" w14:textId="77777777" w:rsidR="00C3312E" w:rsidRPr="00C3312E" w:rsidRDefault="00C3312E" w:rsidP="00EC5B5A">
            <w:pPr>
              <w:spacing w:after="0" w:line="240" w:lineRule="auto"/>
              <w:rPr>
                <w:rFonts w:eastAsia="Times New Roman" w:cs="Times New Roman"/>
                <w:b/>
                <w:sz w:val="20"/>
                <w:szCs w:val="20"/>
              </w:rPr>
            </w:pPr>
            <w:r w:rsidRPr="00C3312E">
              <w:rPr>
                <w:rFonts w:eastAsia="Times New Roman" w:cs="Times New Roman"/>
                <w:b/>
                <w:sz w:val="20"/>
                <w:szCs w:val="20"/>
              </w:rPr>
              <w:t>School</w:t>
            </w:r>
          </w:p>
        </w:tc>
        <w:tc>
          <w:tcPr>
            <w:tcW w:w="912" w:type="dxa"/>
            <w:shd w:val="clear" w:color="auto" w:fill="BFBFBF" w:themeFill="background1" w:themeFillShade="BF"/>
          </w:tcPr>
          <w:p w14:paraId="7CBBE37A"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3</w:t>
            </w:r>
          </w:p>
        </w:tc>
        <w:tc>
          <w:tcPr>
            <w:tcW w:w="913" w:type="dxa"/>
            <w:shd w:val="clear" w:color="auto" w:fill="BFBFBF" w:themeFill="background1" w:themeFillShade="BF"/>
          </w:tcPr>
          <w:p w14:paraId="4F12B076"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4</w:t>
            </w:r>
          </w:p>
        </w:tc>
        <w:tc>
          <w:tcPr>
            <w:tcW w:w="913" w:type="dxa"/>
            <w:shd w:val="clear" w:color="auto" w:fill="BFBFBF" w:themeFill="background1" w:themeFillShade="BF"/>
          </w:tcPr>
          <w:p w14:paraId="1B088380"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5</w:t>
            </w:r>
          </w:p>
        </w:tc>
        <w:tc>
          <w:tcPr>
            <w:tcW w:w="913" w:type="dxa"/>
            <w:shd w:val="clear" w:color="auto" w:fill="BFBFBF" w:themeFill="background1" w:themeFillShade="BF"/>
          </w:tcPr>
          <w:p w14:paraId="30A976CE"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6</w:t>
            </w:r>
          </w:p>
        </w:tc>
        <w:tc>
          <w:tcPr>
            <w:tcW w:w="913" w:type="dxa"/>
            <w:shd w:val="clear" w:color="auto" w:fill="BFBFBF" w:themeFill="background1" w:themeFillShade="BF"/>
          </w:tcPr>
          <w:p w14:paraId="703F843D"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7</w:t>
            </w:r>
          </w:p>
        </w:tc>
        <w:tc>
          <w:tcPr>
            <w:tcW w:w="913" w:type="dxa"/>
            <w:shd w:val="clear" w:color="auto" w:fill="BFBFBF" w:themeFill="background1" w:themeFillShade="BF"/>
          </w:tcPr>
          <w:p w14:paraId="4FC11C55"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8</w:t>
            </w:r>
          </w:p>
        </w:tc>
        <w:tc>
          <w:tcPr>
            <w:tcW w:w="913" w:type="dxa"/>
            <w:shd w:val="clear" w:color="auto" w:fill="BFBFBF" w:themeFill="background1" w:themeFillShade="BF"/>
          </w:tcPr>
          <w:p w14:paraId="3E68D29A" w14:textId="1A0DF0C9" w:rsidR="00C3312E" w:rsidRPr="00C3312E" w:rsidRDefault="00C3312E" w:rsidP="00D80CEF">
            <w:pPr>
              <w:spacing w:after="0" w:line="240" w:lineRule="auto"/>
              <w:jc w:val="center"/>
              <w:rPr>
                <w:rFonts w:eastAsia="Times New Roman" w:cs="Times New Roman"/>
                <w:b/>
                <w:sz w:val="20"/>
                <w:szCs w:val="20"/>
              </w:rPr>
            </w:pPr>
            <w:r w:rsidRPr="00C3312E">
              <w:rPr>
                <w:rFonts w:eastAsia="Times New Roman" w:cs="Times New Roman"/>
                <w:b/>
                <w:sz w:val="20"/>
                <w:szCs w:val="20"/>
              </w:rPr>
              <w:t>3</w:t>
            </w:r>
            <w:r w:rsidR="00D80CEF">
              <w:rPr>
                <w:rFonts w:eastAsia="Times New Roman" w:cs="Times New Roman"/>
                <w:b/>
                <w:sz w:val="20"/>
                <w:szCs w:val="20"/>
              </w:rPr>
              <w:t>-</w:t>
            </w:r>
            <w:r w:rsidRPr="00C3312E">
              <w:rPr>
                <w:rFonts w:eastAsia="Times New Roman" w:cs="Times New Roman"/>
                <w:b/>
                <w:sz w:val="20"/>
                <w:szCs w:val="20"/>
              </w:rPr>
              <w:t>8</w:t>
            </w:r>
          </w:p>
        </w:tc>
      </w:tr>
      <w:tr w:rsidR="00C3312E" w:rsidRPr="00C3312E" w14:paraId="0235859D" w14:textId="77777777" w:rsidTr="00F37A4F">
        <w:tc>
          <w:tcPr>
            <w:tcW w:w="3150" w:type="dxa"/>
            <w:shd w:val="clear" w:color="auto" w:fill="auto"/>
          </w:tcPr>
          <w:p w14:paraId="5F6EF829" w14:textId="77777777" w:rsidR="00C3312E" w:rsidRPr="00C3312E" w:rsidRDefault="00C3312E" w:rsidP="00C3312E">
            <w:pPr>
              <w:spacing w:after="0" w:line="240" w:lineRule="auto"/>
              <w:rPr>
                <w:sz w:val="20"/>
                <w:szCs w:val="20"/>
              </w:rPr>
            </w:pPr>
            <w:r w:rsidRPr="00C3312E">
              <w:rPr>
                <w:sz w:val="20"/>
                <w:szCs w:val="20"/>
              </w:rPr>
              <w:t>Juniper Hill</w:t>
            </w:r>
          </w:p>
        </w:tc>
        <w:tc>
          <w:tcPr>
            <w:tcW w:w="912" w:type="dxa"/>
            <w:shd w:val="clear" w:color="auto" w:fill="auto"/>
          </w:tcPr>
          <w:p w14:paraId="3F33342E"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2A65A925"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1916C184"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190AACF6"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499A2232"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391EC749"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tcPr>
          <w:p w14:paraId="6CCFFD4E"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7FBF1BD0" w14:textId="77777777" w:rsidTr="00F37A4F">
        <w:tc>
          <w:tcPr>
            <w:tcW w:w="3150" w:type="dxa"/>
            <w:shd w:val="clear" w:color="auto" w:fill="BFBFBF" w:themeFill="background1" w:themeFillShade="BF"/>
          </w:tcPr>
          <w:p w14:paraId="5A537747" w14:textId="23DB1EE5" w:rsidR="00C3312E" w:rsidRPr="00C3312E" w:rsidRDefault="00C3312E" w:rsidP="00D80CEF">
            <w:pPr>
              <w:spacing w:after="0" w:line="240" w:lineRule="auto"/>
              <w:rPr>
                <w:sz w:val="20"/>
                <w:szCs w:val="20"/>
              </w:rPr>
            </w:pPr>
            <w:r w:rsidRPr="00C3312E">
              <w:rPr>
                <w:sz w:val="20"/>
                <w:szCs w:val="20"/>
              </w:rPr>
              <w:t xml:space="preserve">King </w:t>
            </w:r>
          </w:p>
        </w:tc>
        <w:tc>
          <w:tcPr>
            <w:tcW w:w="912" w:type="dxa"/>
            <w:shd w:val="clear" w:color="auto" w:fill="BFBFBF" w:themeFill="background1" w:themeFillShade="BF"/>
          </w:tcPr>
          <w:p w14:paraId="4F13D52E" w14:textId="77777777" w:rsidR="00C3312E" w:rsidRPr="00C3312E" w:rsidRDefault="00C3312E" w:rsidP="00C3312E">
            <w:pPr>
              <w:spacing w:after="0" w:line="240" w:lineRule="auto"/>
              <w:jc w:val="center"/>
              <w:rPr>
                <w:sz w:val="20"/>
                <w:szCs w:val="20"/>
              </w:rPr>
            </w:pPr>
            <w:r w:rsidRPr="00C3312E">
              <w:rPr>
                <w:sz w:val="20"/>
                <w:szCs w:val="20"/>
              </w:rPr>
              <w:t>30%</w:t>
            </w:r>
          </w:p>
        </w:tc>
        <w:tc>
          <w:tcPr>
            <w:tcW w:w="913" w:type="dxa"/>
            <w:shd w:val="clear" w:color="auto" w:fill="BFBFBF" w:themeFill="background1" w:themeFillShade="BF"/>
          </w:tcPr>
          <w:p w14:paraId="46E63641"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08BC2EB6"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3658C074"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05DBEECC"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6164B49D"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6F71E730" w14:textId="77777777" w:rsidR="00C3312E" w:rsidRPr="00C3312E" w:rsidRDefault="00C3312E" w:rsidP="00C3312E">
            <w:pPr>
              <w:spacing w:after="0" w:line="240" w:lineRule="auto"/>
              <w:jc w:val="center"/>
              <w:rPr>
                <w:sz w:val="20"/>
                <w:szCs w:val="20"/>
              </w:rPr>
            </w:pPr>
            <w:r w:rsidRPr="00C3312E">
              <w:rPr>
                <w:sz w:val="20"/>
                <w:szCs w:val="20"/>
              </w:rPr>
              <w:t>30%</w:t>
            </w:r>
          </w:p>
        </w:tc>
      </w:tr>
      <w:tr w:rsidR="00C3312E" w:rsidRPr="00C3312E" w14:paraId="7060FE7C" w14:textId="77777777" w:rsidTr="00F37A4F">
        <w:tc>
          <w:tcPr>
            <w:tcW w:w="3150" w:type="dxa"/>
            <w:shd w:val="clear" w:color="auto" w:fill="auto"/>
          </w:tcPr>
          <w:p w14:paraId="619AF2AC" w14:textId="77777777" w:rsidR="00C3312E" w:rsidRPr="00C3312E" w:rsidRDefault="00C3312E" w:rsidP="00C3312E">
            <w:pPr>
              <w:spacing w:after="0" w:line="240" w:lineRule="auto"/>
              <w:rPr>
                <w:sz w:val="20"/>
                <w:szCs w:val="20"/>
              </w:rPr>
            </w:pPr>
            <w:r w:rsidRPr="00C3312E">
              <w:rPr>
                <w:sz w:val="20"/>
                <w:szCs w:val="20"/>
              </w:rPr>
              <w:t>Brophy</w:t>
            </w:r>
          </w:p>
        </w:tc>
        <w:tc>
          <w:tcPr>
            <w:tcW w:w="912" w:type="dxa"/>
            <w:shd w:val="clear" w:color="auto" w:fill="auto"/>
          </w:tcPr>
          <w:p w14:paraId="105C90EC" w14:textId="77777777" w:rsidR="00C3312E" w:rsidRPr="00C3312E" w:rsidRDefault="00C3312E" w:rsidP="00C3312E">
            <w:pPr>
              <w:spacing w:after="0" w:line="240" w:lineRule="auto"/>
              <w:jc w:val="center"/>
              <w:rPr>
                <w:sz w:val="20"/>
                <w:szCs w:val="20"/>
              </w:rPr>
            </w:pPr>
            <w:r w:rsidRPr="00C3312E">
              <w:rPr>
                <w:sz w:val="20"/>
                <w:szCs w:val="20"/>
              </w:rPr>
              <w:t>31%</w:t>
            </w:r>
          </w:p>
        </w:tc>
        <w:tc>
          <w:tcPr>
            <w:tcW w:w="913" w:type="dxa"/>
            <w:shd w:val="clear" w:color="auto" w:fill="auto"/>
          </w:tcPr>
          <w:p w14:paraId="4A305871" w14:textId="77777777" w:rsidR="00C3312E" w:rsidRPr="00C3312E" w:rsidRDefault="00C3312E" w:rsidP="00C3312E">
            <w:pPr>
              <w:spacing w:after="0" w:line="240" w:lineRule="auto"/>
              <w:jc w:val="center"/>
              <w:rPr>
                <w:sz w:val="20"/>
                <w:szCs w:val="20"/>
              </w:rPr>
            </w:pPr>
            <w:r w:rsidRPr="00C3312E">
              <w:rPr>
                <w:sz w:val="20"/>
                <w:szCs w:val="20"/>
              </w:rPr>
              <w:t>37%</w:t>
            </w:r>
          </w:p>
        </w:tc>
        <w:tc>
          <w:tcPr>
            <w:tcW w:w="913" w:type="dxa"/>
            <w:shd w:val="clear" w:color="auto" w:fill="auto"/>
          </w:tcPr>
          <w:p w14:paraId="3BBDD56C" w14:textId="77777777" w:rsidR="00C3312E" w:rsidRPr="00C3312E" w:rsidRDefault="00C3312E" w:rsidP="00C3312E">
            <w:pPr>
              <w:spacing w:after="0" w:line="240" w:lineRule="auto"/>
              <w:jc w:val="center"/>
              <w:rPr>
                <w:sz w:val="20"/>
                <w:szCs w:val="20"/>
              </w:rPr>
            </w:pPr>
            <w:r w:rsidRPr="00C3312E">
              <w:rPr>
                <w:sz w:val="20"/>
                <w:szCs w:val="20"/>
              </w:rPr>
              <w:t>29%</w:t>
            </w:r>
          </w:p>
        </w:tc>
        <w:tc>
          <w:tcPr>
            <w:tcW w:w="913" w:type="dxa"/>
            <w:shd w:val="clear" w:color="auto" w:fill="auto"/>
          </w:tcPr>
          <w:p w14:paraId="7CB15910"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3AB2A9EF"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732DF7AF"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tcPr>
          <w:p w14:paraId="4583E7D0" w14:textId="77777777" w:rsidR="00C3312E" w:rsidRPr="00C3312E" w:rsidRDefault="00C3312E" w:rsidP="00C3312E">
            <w:pPr>
              <w:spacing w:after="0" w:line="240" w:lineRule="auto"/>
              <w:jc w:val="center"/>
              <w:rPr>
                <w:sz w:val="20"/>
                <w:szCs w:val="20"/>
              </w:rPr>
            </w:pPr>
            <w:r w:rsidRPr="00C3312E">
              <w:rPr>
                <w:sz w:val="20"/>
                <w:szCs w:val="20"/>
              </w:rPr>
              <w:t>33%</w:t>
            </w:r>
          </w:p>
        </w:tc>
      </w:tr>
      <w:tr w:rsidR="00C3312E" w:rsidRPr="00C3312E" w14:paraId="67A4E470" w14:textId="77777777" w:rsidTr="00F37A4F">
        <w:tc>
          <w:tcPr>
            <w:tcW w:w="3150" w:type="dxa"/>
            <w:shd w:val="clear" w:color="auto" w:fill="BFBFBF" w:themeFill="background1" w:themeFillShade="BF"/>
          </w:tcPr>
          <w:p w14:paraId="540FD8C7" w14:textId="77777777" w:rsidR="00C3312E" w:rsidRPr="00C3312E" w:rsidRDefault="00C3312E" w:rsidP="00C3312E">
            <w:pPr>
              <w:spacing w:after="0" w:line="240" w:lineRule="auto"/>
              <w:rPr>
                <w:sz w:val="20"/>
                <w:szCs w:val="20"/>
              </w:rPr>
            </w:pPr>
            <w:r w:rsidRPr="00C3312E">
              <w:rPr>
                <w:sz w:val="20"/>
                <w:szCs w:val="20"/>
              </w:rPr>
              <w:t>Dunning</w:t>
            </w:r>
          </w:p>
        </w:tc>
        <w:tc>
          <w:tcPr>
            <w:tcW w:w="912" w:type="dxa"/>
            <w:shd w:val="clear" w:color="auto" w:fill="BFBFBF" w:themeFill="background1" w:themeFillShade="BF"/>
          </w:tcPr>
          <w:p w14:paraId="7EFC1C56" w14:textId="77777777" w:rsidR="00C3312E" w:rsidRPr="00C3312E" w:rsidRDefault="00C3312E" w:rsidP="00C3312E">
            <w:pPr>
              <w:spacing w:after="0" w:line="240" w:lineRule="auto"/>
              <w:jc w:val="center"/>
              <w:rPr>
                <w:sz w:val="20"/>
                <w:szCs w:val="20"/>
              </w:rPr>
            </w:pPr>
            <w:r w:rsidRPr="00C3312E">
              <w:rPr>
                <w:sz w:val="20"/>
                <w:szCs w:val="20"/>
              </w:rPr>
              <w:t>51%</w:t>
            </w:r>
          </w:p>
        </w:tc>
        <w:tc>
          <w:tcPr>
            <w:tcW w:w="913" w:type="dxa"/>
            <w:shd w:val="clear" w:color="auto" w:fill="BFBFBF" w:themeFill="background1" w:themeFillShade="BF"/>
          </w:tcPr>
          <w:p w14:paraId="28D80B7A" w14:textId="77777777" w:rsidR="00C3312E" w:rsidRPr="00C3312E" w:rsidRDefault="00C3312E" w:rsidP="00C3312E">
            <w:pPr>
              <w:spacing w:after="0" w:line="240" w:lineRule="auto"/>
              <w:jc w:val="center"/>
              <w:rPr>
                <w:sz w:val="20"/>
                <w:szCs w:val="20"/>
              </w:rPr>
            </w:pPr>
            <w:r w:rsidRPr="00C3312E">
              <w:rPr>
                <w:sz w:val="20"/>
                <w:szCs w:val="20"/>
              </w:rPr>
              <w:t>56%</w:t>
            </w:r>
          </w:p>
        </w:tc>
        <w:tc>
          <w:tcPr>
            <w:tcW w:w="913" w:type="dxa"/>
            <w:shd w:val="clear" w:color="auto" w:fill="BFBFBF" w:themeFill="background1" w:themeFillShade="BF"/>
          </w:tcPr>
          <w:p w14:paraId="033D0118" w14:textId="77777777" w:rsidR="00C3312E" w:rsidRPr="00C3312E" w:rsidRDefault="00C3312E" w:rsidP="00C3312E">
            <w:pPr>
              <w:spacing w:after="0" w:line="240" w:lineRule="auto"/>
              <w:jc w:val="center"/>
              <w:rPr>
                <w:sz w:val="20"/>
                <w:szCs w:val="20"/>
              </w:rPr>
            </w:pPr>
            <w:r w:rsidRPr="00C3312E">
              <w:rPr>
                <w:sz w:val="20"/>
                <w:szCs w:val="20"/>
              </w:rPr>
              <w:t>62%</w:t>
            </w:r>
          </w:p>
        </w:tc>
        <w:tc>
          <w:tcPr>
            <w:tcW w:w="913" w:type="dxa"/>
            <w:shd w:val="clear" w:color="auto" w:fill="BFBFBF" w:themeFill="background1" w:themeFillShade="BF"/>
          </w:tcPr>
          <w:p w14:paraId="565FAAEB"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2F2CD1DD"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657BE99E"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5DBE4689" w14:textId="77777777" w:rsidR="00C3312E" w:rsidRPr="00C3312E" w:rsidRDefault="00C3312E" w:rsidP="00C3312E">
            <w:pPr>
              <w:spacing w:after="0" w:line="240" w:lineRule="auto"/>
              <w:jc w:val="center"/>
              <w:rPr>
                <w:sz w:val="20"/>
                <w:szCs w:val="20"/>
              </w:rPr>
            </w:pPr>
            <w:r w:rsidRPr="00C3312E">
              <w:rPr>
                <w:sz w:val="20"/>
                <w:szCs w:val="20"/>
              </w:rPr>
              <w:t>57%</w:t>
            </w:r>
          </w:p>
        </w:tc>
      </w:tr>
      <w:tr w:rsidR="00C3312E" w:rsidRPr="00C3312E" w14:paraId="72406002" w14:textId="77777777" w:rsidTr="00F37A4F">
        <w:tc>
          <w:tcPr>
            <w:tcW w:w="3150" w:type="dxa"/>
            <w:shd w:val="clear" w:color="auto" w:fill="auto"/>
          </w:tcPr>
          <w:p w14:paraId="3BDC8164" w14:textId="77777777" w:rsidR="00C3312E" w:rsidRPr="00C3312E" w:rsidRDefault="00C3312E" w:rsidP="00C3312E">
            <w:pPr>
              <w:spacing w:after="0" w:line="240" w:lineRule="auto"/>
              <w:rPr>
                <w:sz w:val="20"/>
                <w:szCs w:val="20"/>
              </w:rPr>
            </w:pPr>
            <w:r w:rsidRPr="00C3312E">
              <w:rPr>
                <w:sz w:val="20"/>
                <w:szCs w:val="20"/>
              </w:rPr>
              <w:t>Hemenway</w:t>
            </w:r>
          </w:p>
        </w:tc>
        <w:tc>
          <w:tcPr>
            <w:tcW w:w="912" w:type="dxa"/>
            <w:shd w:val="clear" w:color="auto" w:fill="auto"/>
          </w:tcPr>
          <w:p w14:paraId="155CB7F7" w14:textId="77777777" w:rsidR="00C3312E" w:rsidRPr="00C3312E" w:rsidRDefault="00C3312E" w:rsidP="00C3312E">
            <w:pPr>
              <w:spacing w:after="0" w:line="240" w:lineRule="auto"/>
              <w:jc w:val="center"/>
              <w:rPr>
                <w:sz w:val="20"/>
                <w:szCs w:val="20"/>
              </w:rPr>
            </w:pPr>
            <w:r w:rsidRPr="00C3312E">
              <w:rPr>
                <w:sz w:val="20"/>
                <w:szCs w:val="20"/>
              </w:rPr>
              <w:t>56%</w:t>
            </w:r>
          </w:p>
        </w:tc>
        <w:tc>
          <w:tcPr>
            <w:tcW w:w="913" w:type="dxa"/>
            <w:shd w:val="clear" w:color="auto" w:fill="auto"/>
          </w:tcPr>
          <w:p w14:paraId="210A4205" w14:textId="77777777" w:rsidR="00C3312E" w:rsidRPr="00C3312E" w:rsidRDefault="00C3312E" w:rsidP="00C3312E">
            <w:pPr>
              <w:spacing w:after="0" w:line="240" w:lineRule="auto"/>
              <w:jc w:val="center"/>
              <w:rPr>
                <w:sz w:val="20"/>
                <w:szCs w:val="20"/>
              </w:rPr>
            </w:pPr>
            <w:r w:rsidRPr="00C3312E">
              <w:rPr>
                <w:sz w:val="20"/>
                <w:szCs w:val="20"/>
              </w:rPr>
              <w:t>74%</w:t>
            </w:r>
          </w:p>
        </w:tc>
        <w:tc>
          <w:tcPr>
            <w:tcW w:w="913" w:type="dxa"/>
            <w:shd w:val="clear" w:color="auto" w:fill="auto"/>
          </w:tcPr>
          <w:p w14:paraId="219371A4" w14:textId="77777777" w:rsidR="00C3312E" w:rsidRPr="00C3312E" w:rsidRDefault="00C3312E" w:rsidP="00C3312E">
            <w:pPr>
              <w:spacing w:after="0" w:line="240" w:lineRule="auto"/>
              <w:jc w:val="center"/>
              <w:rPr>
                <w:sz w:val="20"/>
                <w:szCs w:val="20"/>
              </w:rPr>
            </w:pPr>
            <w:r w:rsidRPr="00C3312E">
              <w:rPr>
                <w:sz w:val="20"/>
                <w:szCs w:val="20"/>
              </w:rPr>
              <w:t>72%</w:t>
            </w:r>
          </w:p>
        </w:tc>
        <w:tc>
          <w:tcPr>
            <w:tcW w:w="913" w:type="dxa"/>
            <w:shd w:val="clear" w:color="auto" w:fill="auto"/>
          </w:tcPr>
          <w:p w14:paraId="307B606B"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082EB96C"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038C21D4"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tcPr>
          <w:p w14:paraId="31FA8155" w14:textId="77777777" w:rsidR="00C3312E" w:rsidRPr="00C3312E" w:rsidRDefault="00C3312E" w:rsidP="00C3312E">
            <w:pPr>
              <w:spacing w:after="0" w:line="240" w:lineRule="auto"/>
              <w:jc w:val="center"/>
              <w:rPr>
                <w:sz w:val="20"/>
                <w:szCs w:val="20"/>
              </w:rPr>
            </w:pPr>
            <w:r w:rsidRPr="00C3312E">
              <w:rPr>
                <w:sz w:val="20"/>
                <w:szCs w:val="20"/>
              </w:rPr>
              <w:t>67%</w:t>
            </w:r>
          </w:p>
        </w:tc>
      </w:tr>
      <w:tr w:rsidR="00C3312E" w:rsidRPr="00C3312E" w14:paraId="59BB1B4D" w14:textId="77777777" w:rsidTr="00F37A4F">
        <w:tc>
          <w:tcPr>
            <w:tcW w:w="3150" w:type="dxa"/>
            <w:shd w:val="clear" w:color="auto" w:fill="BFBFBF" w:themeFill="background1" w:themeFillShade="BF"/>
          </w:tcPr>
          <w:p w14:paraId="2AB02D88" w14:textId="77777777" w:rsidR="00C3312E" w:rsidRPr="00C3312E" w:rsidRDefault="00C3312E" w:rsidP="00C3312E">
            <w:pPr>
              <w:spacing w:after="0" w:line="240" w:lineRule="auto"/>
              <w:rPr>
                <w:sz w:val="20"/>
                <w:szCs w:val="20"/>
              </w:rPr>
            </w:pPr>
            <w:r w:rsidRPr="00C3312E">
              <w:rPr>
                <w:sz w:val="20"/>
                <w:szCs w:val="20"/>
              </w:rPr>
              <w:t>Barbieri</w:t>
            </w:r>
          </w:p>
        </w:tc>
        <w:tc>
          <w:tcPr>
            <w:tcW w:w="912" w:type="dxa"/>
            <w:shd w:val="clear" w:color="auto" w:fill="BFBFBF" w:themeFill="background1" w:themeFillShade="BF"/>
          </w:tcPr>
          <w:p w14:paraId="43CF772C" w14:textId="77777777" w:rsidR="00C3312E" w:rsidRPr="00C3312E" w:rsidRDefault="00C3312E" w:rsidP="00C3312E">
            <w:pPr>
              <w:spacing w:after="0" w:line="240" w:lineRule="auto"/>
              <w:jc w:val="center"/>
              <w:rPr>
                <w:sz w:val="20"/>
                <w:szCs w:val="20"/>
              </w:rPr>
            </w:pPr>
            <w:r w:rsidRPr="00C3312E">
              <w:rPr>
                <w:sz w:val="20"/>
                <w:szCs w:val="20"/>
              </w:rPr>
              <w:t>32%</w:t>
            </w:r>
          </w:p>
        </w:tc>
        <w:tc>
          <w:tcPr>
            <w:tcW w:w="913" w:type="dxa"/>
            <w:shd w:val="clear" w:color="auto" w:fill="BFBFBF" w:themeFill="background1" w:themeFillShade="BF"/>
          </w:tcPr>
          <w:p w14:paraId="091BB8BE" w14:textId="77777777" w:rsidR="00C3312E" w:rsidRPr="00C3312E" w:rsidRDefault="00C3312E" w:rsidP="00C3312E">
            <w:pPr>
              <w:spacing w:after="0" w:line="240" w:lineRule="auto"/>
              <w:jc w:val="center"/>
              <w:rPr>
                <w:sz w:val="20"/>
                <w:szCs w:val="20"/>
              </w:rPr>
            </w:pPr>
            <w:r w:rsidRPr="00C3312E">
              <w:rPr>
                <w:sz w:val="20"/>
                <w:szCs w:val="20"/>
              </w:rPr>
              <w:t>19%</w:t>
            </w:r>
          </w:p>
        </w:tc>
        <w:tc>
          <w:tcPr>
            <w:tcW w:w="913" w:type="dxa"/>
            <w:shd w:val="clear" w:color="auto" w:fill="BFBFBF" w:themeFill="background1" w:themeFillShade="BF"/>
          </w:tcPr>
          <w:p w14:paraId="078AF7C4" w14:textId="77777777" w:rsidR="00C3312E" w:rsidRPr="00C3312E" w:rsidRDefault="00C3312E" w:rsidP="00C3312E">
            <w:pPr>
              <w:spacing w:after="0" w:line="240" w:lineRule="auto"/>
              <w:jc w:val="center"/>
              <w:rPr>
                <w:sz w:val="20"/>
                <w:szCs w:val="20"/>
              </w:rPr>
            </w:pPr>
            <w:r w:rsidRPr="00C3312E">
              <w:rPr>
                <w:sz w:val="20"/>
                <w:szCs w:val="20"/>
              </w:rPr>
              <w:t>34%</w:t>
            </w:r>
          </w:p>
        </w:tc>
        <w:tc>
          <w:tcPr>
            <w:tcW w:w="913" w:type="dxa"/>
            <w:shd w:val="clear" w:color="auto" w:fill="BFBFBF" w:themeFill="background1" w:themeFillShade="BF"/>
          </w:tcPr>
          <w:p w14:paraId="794FCA27"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050B43F7"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1C3B0FB5"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20D65657" w14:textId="77777777" w:rsidR="00C3312E" w:rsidRPr="00C3312E" w:rsidRDefault="00C3312E" w:rsidP="00C3312E">
            <w:pPr>
              <w:spacing w:after="0" w:line="240" w:lineRule="auto"/>
              <w:jc w:val="center"/>
              <w:rPr>
                <w:sz w:val="20"/>
                <w:szCs w:val="20"/>
              </w:rPr>
            </w:pPr>
            <w:r w:rsidRPr="00C3312E">
              <w:rPr>
                <w:sz w:val="20"/>
                <w:szCs w:val="20"/>
              </w:rPr>
              <w:t>29%</w:t>
            </w:r>
          </w:p>
        </w:tc>
      </w:tr>
      <w:tr w:rsidR="00C3312E" w:rsidRPr="00C3312E" w14:paraId="006C9AAA" w14:textId="77777777" w:rsidTr="00F37A4F">
        <w:tc>
          <w:tcPr>
            <w:tcW w:w="3150" w:type="dxa"/>
            <w:shd w:val="clear" w:color="auto" w:fill="auto"/>
          </w:tcPr>
          <w:p w14:paraId="7A132EB0" w14:textId="77777777" w:rsidR="00C3312E" w:rsidRPr="00C3312E" w:rsidRDefault="00C3312E" w:rsidP="00C3312E">
            <w:pPr>
              <w:spacing w:after="0" w:line="240" w:lineRule="auto"/>
              <w:rPr>
                <w:sz w:val="20"/>
                <w:szCs w:val="20"/>
              </w:rPr>
            </w:pPr>
            <w:r w:rsidRPr="00C3312E">
              <w:rPr>
                <w:sz w:val="20"/>
                <w:szCs w:val="20"/>
              </w:rPr>
              <w:t>Potter Road</w:t>
            </w:r>
          </w:p>
        </w:tc>
        <w:tc>
          <w:tcPr>
            <w:tcW w:w="912" w:type="dxa"/>
            <w:shd w:val="clear" w:color="auto" w:fill="auto"/>
          </w:tcPr>
          <w:p w14:paraId="4CF30E59" w14:textId="77777777" w:rsidR="00C3312E" w:rsidRPr="00C3312E" w:rsidRDefault="00C3312E" w:rsidP="00C3312E">
            <w:pPr>
              <w:spacing w:after="0" w:line="240" w:lineRule="auto"/>
              <w:jc w:val="center"/>
              <w:rPr>
                <w:sz w:val="20"/>
                <w:szCs w:val="20"/>
              </w:rPr>
            </w:pPr>
            <w:r w:rsidRPr="00C3312E">
              <w:rPr>
                <w:sz w:val="20"/>
                <w:szCs w:val="20"/>
              </w:rPr>
              <w:t>62%</w:t>
            </w:r>
          </w:p>
        </w:tc>
        <w:tc>
          <w:tcPr>
            <w:tcW w:w="913" w:type="dxa"/>
            <w:shd w:val="clear" w:color="auto" w:fill="auto"/>
          </w:tcPr>
          <w:p w14:paraId="237A4247" w14:textId="77777777" w:rsidR="00C3312E" w:rsidRPr="00C3312E" w:rsidRDefault="00C3312E" w:rsidP="00C3312E">
            <w:pPr>
              <w:spacing w:after="0" w:line="240" w:lineRule="auto"/>
              <w:jc w:val="center"/>
              <w:rPr>
                <w:sz w:val="20"/>
                <w:szCs w:val="20"/>
              </w:rPr>
            </w:pPr>
            <w:r w:rsidRPr="00C3312E">
              <w:rPr>
                <w:sz w:val="20"/>
                <w:szCs w:val="20"/>
              </w:rPr>
              <w:t>37%</w:t>
            </w:r>
          </w:p>
        </w:tc>
        <w:tc>
          <w:tcPr>
            <w:tcW w:w="913" w:type="dxa"/>
            <w:shd w:val="clear" w:color="auto" w:fill="auto"/>
          </w:tcPr>
          <w:p w14:paraId="244D5E62" w14:textId="77777777" w:rsidR="00C3312E" w:rsidRPr="00C3312E" w:rsidRDefault="00C3312E" w:rsidP="00C3312E">
            <w:pPr>
              <w:spacing w:after="0" w:line="240" w:lineRule="auto"/>
              <w:jc w:val="center"/>
              <w:rPr>
                <w:sz w:val="20"/>
                <w:szCs w:val="20"/>
              </w:rPr>
            </w:pPr>
            <w:r w:rsidRPr="00C3312E">
              <w:rPr>
                <w:sz w:val="20"/>
                <w:szCs w:val="20"/>
              </w:rPr>
              <w:t>54%</w:t>
            </w:r>
          </w:p>
        </w:tc>
        <w:tc>
          <w:tcPr>
            <w:tcW w:w="913" w:type="dxa"/>
            <w:shd w:val="clear" w:color="auto" w:fill="auto"/>
          </w:tcPr>
          <w:p w14:paraId="472A9F1B"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4926AFEA"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6C378D6E"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2A39A49B" w14:textId="77777777" w:rsidR="00C3312E" w:rsidRPr="00C3312E" w:rsidRDefault="00C3312E" w:rsidP="00C3312E">
            <w:pPr>
              <w:spacing w:after="0" w:line="240" w:lineRule="auto"/>
              <w:jc w:val="center"/>
              <w:rPr>
                <w:sz w:val="20"/>
                <w:szCs w:val="20"/>
              </w:rPr>
            </w:pPr>
            <w:r w:rsidRPr="00C3312E">
              <w:rPr>
                <w:sz w:val="20"/>
                <w:szCs w:val="20"/>
              </w:rPr>
              <w:t>50%</w:t>
            </w:r>
          </w:p>
        </w:tc>
      </w:tr>
      <w:tr w:rsidR="00C3312E" w:rsidRPr="00C3312E" w14:paraId="688CE511" w14:textId="77777777" w:rsidTr="00F37A4F">
        <w:tc>
          <w:tcPr>
            <w:tcW w:w="3150" w:type="dxa"/>
            <w:shd w:val="clear" w:color="auto" w:fill="BFBFBF" w:themeFill="background1" w:themeFillShade="BF"/>
          </w:tcPr>
          <w:p w14:paraId="617622C1" w14:textId="77777777" w:rsidR="00C3312E" w:rsidRPr="00C3312E" w:rsidRDefault="00C3312E" w:rsidP="00C3312E">
            <w:pPr>
              <w:spacing w:after="0" w:line="240" w:lineRule="auto"/>
              <w:rPr>
                <w:sz w:val="20"/>
                <w:szCs w:val="20"/>
              </w:rPr>
            </w:pPr>
            <w:r w:rsidRPr="00C3312E">
              <w:rPr>
                <w:sz w:val="20"/>
                <w:szCs w:val="20"/>
              </w:rPr>
              <w:t>Stapleton</w:t>
            </w:r>
          </w:p>
        </w:tc>
        <w:tc>
          <w:tcPr>
            <w:tcW w:w="912" w:type="dxa"/>
            <w:shd w:val="clear" w:color="auto" w:fill="BFBFBF" w:themeFill="background1" w:themeFillShade="BF"/>
          </w:tcPr>
          <w:p w14:paraId="0C202C65" w14:textId="77777777" w:rsidR="00C3312E" w:rsidRPr="00C3312E" w:rsidRDefault="00C3312E" w:rsidP="00C3312E">
            <w:pPr>
              <w:spacing w:after="0" w:line="240" w:lineRule="auto"/>
              <w:jc w:val="center"/>
              <w:rPr>
                <w:sz w:val="20"/>
                <w:szCs w:val="20"/>
              </w:rPr>
            </w:pPr>
            <w:r w:rsidRPr="00C3312E">
              <w:rPr>
                <w:sz w:val="20"/>
                <w:szCs w:val="20"/>
              </w:rPr>
              <w:t>22%</w:t>
            </w:r>
          </w:p>
        </w:tc>
        <w:tc>
          <w:tcPr>
            <w:tcW w:w="913" w:type="dxa"/>
            <w:shd w:val="clear" w:color="auto" w:fill="BFBFBF" w:themeFill="background1" w:themeFillShade="BF"/>
          </w:tcPr>
          <w:p w14:paraId="4953DB4F" w14:textId="77777777" w:rsidR="00C3312E" w:rsidRPr="00C3312E" w:rsidRDefault="00C3312E" w:rsidP="00C3312E">
            <w:pPr>
              <w:spacing w:after="0" w:line="240" w:lineRule="auto"/>
              <w:jc w:val="center"/>
              <w:rPr>
                <w:sz w:val="20"/>
                <w:szCs w:val="20"/>
              </w:rPr>
            </w:pPr>
            <w:r w:rsidRPr="00C3312E">
              <w:rPr>
                <w:sz w:val="20"/>
                <w:szCs w:val="20"/>
              </w:rPr>
              <w:t>37%</w:t>
            </w:r>
          </w:p>
        </w:tc>
        <w:tc>
          <w:tcPr>
            <w:tcW w:w="913" w:type="dxa"/>
            <w:shd w:val="clear" w:color="auto" w:fill="BFBFBF" w:themeFill="background1" w:themeFillShade="BF"/>
          </w:tcPr>
          <w:p w14:paraId="31113D84" w14:textId="77777777" w:rsidR="00C3312E" w:rsidRPr="00C3312E" w:rsidRDefault="00C3312E" w:rsidP="00C3312E">
            <w:pPr>
              <w:spacing w:after="0" w:line="240" w:lineRule="auto"/>
              <w:jc w:val="center"/>
              <w:rPr>
                <w:sz w:val="20"/>
                <w:szCs w:val="20"/>
              </w:rPr>
            </w:pPr>
            <w:r w:rsidRPr="00C3312E">
              <w:rPr>
                <w:sz w:val="20"/>
                <w:szCs w:val="20"/>
              </w:rPr>
              <w:t>39%</w:t>
            </w:r>
          </w:p>
        </w:tc>
        <w:tc>
          <w:tcPr>
            <w:tcW w:w="913" w:type="dxa"/>
            <w:shd w:val="clear" w:color="auto" w:fill="BFBFBF" w:themeFill="background1" w:themeFillShade="BF"/>
          </w:tcPr>
          <w:p w14:paraId="7D71C64B"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10D1272E"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42D8D3F9"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1348BD25" w14:textId="77777777" w:rsidR="00C3312E" w:rsidRPr="00C3312E" w:rsidRDefault="00C3312E" w:rsidP="00C3312E">
            <w:pPr>
              <w:spacing w:after="0" w:line="240" w:lineRule="auto"/>
              <w:jc w:val="center"/>
              <w:rPr>
                <w:sz w:val="20"/>
                <w:szCs w:val="20"/>
              </w:rPr>
            </w:pPr>
            <w:r w:rsidRPr="00C3312E">
              <w:rPr>
                <w:sz w:val="20"/>
                <w:szCs w:val="20"/>
              </w:rPr>
              <w:t>34%</w:t>
            </w:r>
          </w:p>
        </w:tc>
      </w:tr>
      <w:tr w:rsidR="00C3312E" w:rsidRPr="00C3312E" w14:paraId="1909EE65" w14:textId="77777777" w:rsidTr="00F37A4F">
        <w:tc>
          <w:tcPr>
            <w:tcW w:w="3150" w:type="dxa"/>
            <w:shd w:val="clear" w:color="auto" w:fill="auto"/>
          </w:tcPr>
          <w:p w14:paraId="003CB8F6" w14:textId="77777777" w:rsidR="00C3312E" w:rsidRPr="00C3312E" w:rsidRDefault="00C3312E" w:rsidP="00C3312E">
            <w:pPr>
              <w:spacing w:after="0" w:line="240" w:lineRule="auto"/>
              <w:rPr>
                <w:sz w:val="20"/>
                <w:szCs w:val="20"/>
              </w:rPr>
            </w:pPr>
            <w:r w:rsidRPr="00C3312E">
              <w:rPr>
                <w:sz w:val="20"/>
                <w:szCs w:val="20"/>
              </w:rPr>
              <w:t>McCarthy</w:t>
            </w:r>
          </w:p>
        </w:tc>
        <w:tc>
          <w:tcPr>
            <w:tcW w:w="912" w:type="dxa"/>
            <w:shd w:val="clear" w:color="auto" w:fill="auto"/>
          </w:tcPr>
          <w:p w14:paraId="34906B8B" w14:textId="77777777" w:rsidR="00C3312E" w:rsidRPr="00C3312E" w:rsidRDefault="00C3312E" w:rsidP="00C3312E">
            <w:pPr>
              <w:spacing w:after="0" w:line="240" w:lineRule="auto"/>
              <w:jc w:val="center"/>
              <w:rPr>
                <w:sz w:val="20"/>
                <w:szCs w:val="20"/>
              </w:rPr>
            </w:pPr>
            <w:r w:rsidRPr="00C3312E">
              <w:rPr>
                <w:sz w:val="20"/>
                <w:szCs w:val="20"/>
              </w:rPr>
              <w:t>38%</w:t>
            </w:r>
          </w:p>
        </w:tc>
        <w:tc>
          <w:tcPr>
            <w:tcW w:w="913" w:type="dxa"/>
            <w:shd w:val="clear" w:color="auto" w:fill="auto"/>
          </w:tcPr>
          <w:p w14:paraId="237A737D" w14:textId="77777777" w:rsidR="00C3312E" w:rsidRPr="00C3312E" w:rsidRDefault="00C3312E" w:rsidP="00C3312E">
            <w:pPr>
              <w:spacing w:after="0" w:line="240" w:lineRule="auto"/>
              <w:jc w:val="center"/>
              <w:rPr>
                <w:sz w:val="20"/>
                <w:szCs w:val="20"/>
              </w:rPr>
            </w:pPr>
            <w:r w:rsidRPr="00C3312E">
              <w:rPr>
                <w:sz w:val="20"/>
                <w:szCs w:val="20"/>
              </w:rPr>
              <w:t>25%</w:t>
            </w:r>
          </w:p>
        </w:tc>
        <w:tc>
          <w:tcPr>
            <w:tcW w:w="913" w:type="dxa"/>
            <w:shd w:val="clear" w:color="auto" w:fill="auto"/>
          </w:tcPr>
          <w:p w14:paraId="2BAD48EB" w14:textId="77777777" w:rsidR="00C3312E" w:rsidRPr="00C3312E" w:rsidRDefault="00C3312E" w:rsidP="00C3312E">
            <w:pPr>
              <w:spacing w:after="0" w:line="240" w:lineRule="auto"/>
              <w:jc w:val="center"/>
              <w:rPr>
                <w:sz w:val="20"/>
                <w:szCs w:val="20"/>
              </w:rPr>
            </w:pPr>
            <w:r w:rsidRPr="00C3312E">
              <w:rPr>
                <w:sz w:val="20"/>
                <w:szCs w:val="20"/>
              </w:rPr>
              <w:t>34%</w:t>
            </w:r>
          </w:p>
        </w:tc>
        <w:tc>
          <w:tcPr>
            <w:tcW w:w="913" w:type="dxa"/>
            <w:shd w:val="clear" w:color="auto" w:fill="auto"/>
          </w:tcPr>
          <w:p w14:paraId="31D3364A"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0ED68356"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56793489"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02E151C0" w14:textId="77777777" w:rsidR="00C3312E" w:rsidRPr="00C3312E" w:rsidRDefault="00C3312E" w:rsidP="00C3312E">
            <w:pPr>
              <w:spacing w:after="0" w:line="240" w:lineRule="auto"/>
              <w:jc w:val="center"/>
              <w:rPr>
                <w:sz w:val="20"/>
                <w:szCs w:val="20"/>
              </w:rPr>
            </w:pPr>
            <w:r w:rsidRPr="00C3312E">
              <w:rPr>
                <w:sz w:val="20"/>
                <w:szCs w:val="20"/>
              </w:rPr>
              <w:t>32%</w:t>
            </w:r>
          </w:p>
        </w:tc>
      </w:tr>
      <w:tr w:rsidR="00C3312E" w:rsidRPr="00C3312E" w14:paraId="14F3C5C9" w14:textId="77777777" w:rsidTr="00F37A4F">
        <w:tc>
          <w:tcPr>
            <w:tcW w:w="3150" w:type="dxa"/>
            <w:shd w:val="clear" w:color="auto" w:fill="BFBFBF" w:themeFill="background1" w:themeFillShade="BF"/>
          </w:tcPr>
          <w:p w14:paraId="2D0B62A6" w14:textId="77777777" w:rsidR="00C3312E" w:rsidRPr="00C3312E" w:rsidRDefault="00C3312E" w:rsidP="00C3312E">
            <w:pPr>
              <w:spacing w:after="0" w:line="240" w:lineRule="auto"/>
              <w:rPr>
                <w:sz w:val="20"/>
                <w:szCs w:val="20"/>
              </w:rPr>
            </w:pPr>
            <w:r w:rsidRPr="00C3312E">
              <w:rPr>
                <w:sz w:val="20"/>
                <w:szCs w:val="20"/>
              </w:rPr>
              <w:t>Wilson</w:t>
            </w:r>
          </w:p>
        </w:tc>
        <w:tc>
          <w:tcPr>
            <w:tcW w:w="912" w:type="dxa"/>
            <w:shd w:val="clear" w:color="auto" w:fill="BFBFBF" w:themeFill="background1" w:themeFillShade="BF"/>
          </w:tcPr>
          <w:p w14:paraId="28D44F80" w14:textId="77777777" w:rsidR="00C3312E" w:rsidRPr="00C3312E" w:rsidRDefault="00C3312E" w:rsidP="00C3312E">
            <w:pPr>
              <w:spacing w:after="0" w:line="240" w:lineRule="auto"/>
              <w:jc w:val="center"/>
              <w:rPr>
                <w:sz w:val="20"/>
                <w:szCs w:val="20"/>
              </w:rPr>
            </w:pPr>
            <w:r w:rsidRPr="00C3312E">
              <w:rPr>
                <w:sz w:val="20"/>
                <w:szCs w:val="20"/>
              </w:rPr>
              <w:t>15%</w:t>
            </w:r>
          </w:p>
        </w:tc>
        <w:tc>
          <w:tcPr>
            <w:tcW w:w="913" w:type="dxa"/>
            <w:shd w:val="clear" w:color="auto" w:fill="BFBFBF" w:themeFill="background1" w:themeFillShade="BF"/>
          </w:tcPr>
          <w:p w14:paraId="73FAA921" w14:textId="77777777" w:rsidR="00C3312E" w:rsidRPr="00C3312E" w:rsidRDefault="00C3312E" w:rsidP="00C3312E">
            <w:pPr>
              <w:spacing w:after="0" w:line="240" w:lineRule="auto"/>
              <w:jc w:val="center"/>
              <w:rPr>
                <w:sz w:val="20"/>
                <w:szCs w:val="20"/>
              </w:rPr>
            </w:pPr>
            <w:r w:rsidRPr="00C3312E">
              <w:rPr>
                <w:sz w:val="20"/>
                <w:szCs w:val="20"/>
              </w:rPr>
              <w:t>25%</w:t>
            </w:r>
          </w:p>
        </w:tc>
        <w:tc>
          <w:tcPr>
            <w:tcW w:w="913" w:type="dxa"/>
            <w:shd w:val="clear" w:color="auto" w:fill="BFBFBF" w:themeFill="background1" w:themeFillShade="BF"/>
          </w:tcPr>
          <w:p w14:paraId="723749B3" w14:textId="77777777" w:rsidR="00C3312E" w:rsidRPr="00C3312E" w:rsidRDefault="00C3312E" w:rsidP="00C3312E">
            <w:pPr>
              <w:spacing w:after="0" w:line="240" w:lineRule="auto"/>
              <w:jc w:val="center"/>
              <w:rPr>
                <w:sz w:val="20"/>
                <w:szCs w:val="20"/>
              </w:rPr>
            </w:pPr>
            <w:r w:rsidRPr="00C3312E">
              <w:rPr>
                <w:sz w:val="20"/>
                <w:szCs w:val="20"/>
              </w:rPr>
              <w:t>26%</w:t>
            </w:r>
          </w:p>
        </w:tc>
        <w:tc>
          <w:tcPr>
            <w:tcW w:w="913" w:type="dxa"/>
            <w:shd w:val="clear" w:color="auto" w:fill="BFBFBF" w:themeFill="background1" w:themeFillShade="BF"/>
          </w:tcPr>
          <w:p w14:paraId="4E135BD3"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57B69AF9"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13641CD3"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02B28061" w14:textId="77777777" w:rsidR="00C3312E" w:rsidRPr="00C3312E" w:rsidRDefault="00C3312E" w:rsidP="00C3312E">
            <w:pPr>
              <w:spacing w:after="0" w:line="240" w:lineRule="auto"/>
              <w:jc w:val="center"/>
              <w:rPr>
                <w:sz w:val="20"/>
                <w:szCs w:val="20"/>
              </w:rPr>
            </w:pPr>
            <w:r w:rsidRPr="00C3312E">
              <w:rPr>
                <w:sz w:val="20"/>
                <w:szCs w:val="20"/>
              </w:rPr>
              <w:t>22%</w:t>
            </w:r>
          </w:p>
        </w:tc>
      </w:tr>
      <w:tr w:rsidR="00C3312E" w:rsidRPr="00C3312E" w14:paraId="7BFB26F2" w14:textId="77777777" w:rsidTr="00F37A4F">
        <w:tc>
          <w:tcPr>
            <w:tcW w:w="3150" w:type="dxa"/>
            <w:shd w:val="clear" w:color="auto" w:fill="auto"/>
          </w:tcPr>
          <w:p w14:paraId="66F75A81" w14:textId="77777777" w:rsidR="00C3312E" w:rsidRPr="00C3312E" w:rsidRDefault="00C3312E" w:rsidP="00C3312E">
            <w:pPr>
              <w:spacing w:after="0" w:line="240" w:lineRule="auto"/>
              <w:rPr>
                <w:sz w:val="20"/>
                <w:szCs w:val="20"/>
              </w:rPr>
            </w:pPr>
            <w:r w:rsidRPr="00C3312E">
              <w:rPr>
                <w:sz w:val="20"/>
                <w:szCs w:val="20"/>
              </w:rPr>
              <w:t>Cameron Middle</w:t>
            </w:r>
          </w:p>
        </w:tc>
        <w:tc>
          <w:tcPr>
            <w:tcW w:w="912" w:type="dxa"/>
            <w:shd w:val="clear" w:color="auto" w:fill="auto"/>
          </w:tcPr>
          <w:p w14:paraId="3A57F755"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5BB84401"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4715C92F"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29D3DC5A" w14:textId="77777777" w:rsidR="00C3312E" w:rsidRPr="00C3312E" w:rsidRDefault="00C3312E" w:rsidP="00C3312E">
            <w:pPr>
              <w:spacing w:after="0" w:line="240" w:lineRule="auto"/>
              <w:jc w:val="center"/>
              <w:rPr>
                <w:sz w:val="20"/>
                <w:szCs w:val="20"/>
              </w:rPr>
            </w:pPr>
            <w:r w:rsidRPr="00C3312E">
              <w:rPr>
                <w:sz w:val="20"/>
                <w:szCs w:val="20"/>
              </w:rPr>
              <w:t>28%</w:t>
            </w:r>
          </w:p>
        </w:tc>
        <w:tc>
          <w:tcPr>
            <w:tcW w:w="913" w:type="dxa"/>
            <w:shd w:val="clear" w:color="auto" w:fill="auto"/>
          </w:tcPr>
          <w:p w14:paraId="3FB93F17" w14:textId="77777777" w:rsidR="00C3312E" w:rsidRPr="00C3312E" w:rsidRDefault="00C3312E" w:rsidP="00C3312E">
            <w:pPr>
              <w:spacing w:after="0" w:line="240" w:lineRule="auto"/>
              <w:jc w:val="center"/>
              <w:rPr>
                <w:sz w:val="20"/>
                <w:szCs w:val="20"/>
              </w:rPr>
            </w:pPr>
            <w:r w:rsidRPr="00C3312E">
              <w:rPr>
                <w:sz w:val="20"/>
                <w:szCs w:val="20"/>
              </w:rPr>
              <w:t>30%</w:t>
            </w:r>
          </w:p>
        </w:tc>
        <w:tc>
          <w:tcPr>
            <w:tcW w:w="913" w:type="dxa"/>
            <w:shd w:val="clear" w:color="auto" w:fill="auto"/>
          </w:tcPr>
          <w:p w14:paraId="40B61964" w14:textId="77777777" w:rsidR="00C3312E" w:rsidRPr="00C3312E" w:rsidRDefault="00C3312E" w:rsidP="00C3312E">
            <w:pPr>
              <w:spacing w:after="0" w:line="240" w:lineRule="auto"/>
              <w:jc w:val="center"/>
              <w:rPr>
                <w:sz w:val="20"/>
                <w:szCs w:val="20"/>
              </w:rPr>
            </w:pPr>
            <w:r w:rsidRPr="00C3312E">
              <w:rPr>
                <w:sz w:val="20"/>
                <w:szCs w:val="20"/>
              </w:rPr>
              <w:t>33%</w:t>
            </w:r>
          </w:p>
        </w:tc>
        <w:tc>
          <w:tcPr>
            <w:tcW w:w="913" w:type="dxa"/>
            <w:shd w:val="clear" w:color="auto" w:fill="auto"/>
          </w:tcPr>
          <w:p w14:paraId="24F8E879" w14:textId="77777777" w:rsidR="00C3312E" w:rsidRPr="00C3312E" w:rsidRDefault="00C3312E" w:rsidP="00C3312E">
            <w:pPr>
              <w:spacing w:after="0" w:line="240" w:lineRule="auto"/>
              <w:jc w:val="center"/>
              <w:rPr>
                <w:sz w:val="20"/>
                <w:szCs w:val="20"/>
              </w:rPr>
            </w:pPr>
            <w:r w:rsidRPr="00C3312E">
              <w:rPr>
                <w:sz w:val="20"/>
                <w:szCs w:val="20"/>
              </w:rPr>
              <w:t>31%</w:t>
            </w:r>
          </w:p>
        </w:tc>
      </w:tr>
      <w:tr w:rsidR="00C3312E" w:rsidRPr="00C3312E" w14:paraId="6F697954" w14:textId="77777777" w:rsidTr="00F37A4F">
        <w:tc>
          <w:tcPr>
            <w:tcW w:w="3150" w:type="dxa"/>
            <w:shd w:val="clear" w:color="auto" w:fill="BFBFBF" w:themeFill="background1" w:themeFillShade="BF"/>
          </w:tcPr>
          <w:p w14:paraId="6D120C92" w14:textId="283D02CC" w:rsidR="00C3312E" w:rsidRPr="00C3312E" w:rsidRDefault="00C3312E" w:rsidP="00C3312E">
            <w:pPr>
              <w:spacing w:after="0" w:line="240" w:lineRule="auto"/>
              <w:rPr>
                <w:sz w:val="20"/>
                <w:szCs w:val="20"/>
              </w:rPr>
            </w:pPr>
            <w:r w:rsidRPr="00C3312E">
              <w:rPr>
                <w:sz w:val="20"/>
                <w:szCs w:val="20"/>
              </w:rPr>
              <w:t xml:space="preserve">Fuller </w:t>
            </w:r>
            <w:r w:rsidR="00D80CEF" w:rsidRPr="00C3312E">
              <w:rPr>
                <w:sz w:val="20"/>
                <w:szCs w:val="20"/>
              </w:rPr>
              <w:t>Middle</w:t>
            </w:r>
          </w:p>
        </w:tc>
        <w:tc>
          <w:tcPr>
            <w:tcW w:w="912" w:type="dxa"/>
            <w:shd w:val="clear" w:color="auto" w:fill="BFBFBF" w:themeFill="background1" w:themeFillShade="BF"/>
          </w:tcPr>
          <w:p w14:paraId="68792437"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0A6F3078"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66A320F1"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BFBFBF" w:themeFill="background1" w:themeFillShade="BF"/>
          </w:tcPr>
          <w:p w14:paraId="1B33A3FB" w14:textId="77777777" w:rsidR="00C3312E" w:rsidRPr="00C3312E" w:rsidRDefault="00C3312E" w:rsidP="00C3312E">
            <w:pPr>
              <w:spacing w:after="0" w:line="240" w:lineRule="auto"/>
              <w:jc w:val="center"/>
              <w:rPr>
                <w:sz w:val="20"/>
                <w:szCs w:val="20"/>
              </w:rPr>
            </w:pPr>
            <w:r w:rsidRPr="00C3312E">
              <w:rPr>
                <w:sz w:val="20"/>
                <w:szCs w:val="20"/>
              </w:rPr>
              <w:t>27%</w:t>
            </w:r>
          </w:p>
        </w:tc>
        <w:tc>
          <w:tcPr>
            <w:tcW w:w="913" w:type="dxa"/>
            <w:shd w:val="clear" w:color="auto" w:fill="BFBFBF" w:themeFill="background1" w:themeFillShade="BF"/>
          </w:tcPr>
          <w:p w14:paraId="27269346" w14:textId="77777777" w:rsidR="00C3312E" w:rsidRPr="00C3312E" w:rsidRDefault="00C3312E" w:rsidP="00C3312E">
            <w:pPr>
              <w:spacing w:after="0" w:line="240" w:lineRule="auto"/>
              <w:jc w:val="center"/>
              <w:rPr>
                <w:sz w:val="20"/>
                <w:szCs w:val="20"/>
              </w:rPr>
            </w:pPr>
            <w:r w:rsidRPr="00C3312E">
              <w:rPr>
                <w:sz w:val="20"/>
                <w:szCs w:val="20"/>
              </w:rPr>
              <w:t>33%</w:t>
            </w:r>
          </w:p>
        </w:tc>
        <w:tc>
          <w:tcPr>
            <w:tcW w:w="913" w:type="dxa"/>
            <w:shd w:val="clear" w:color="auto" w:fill="BFBFBF" w:themeFill="background1" w:themeFillShade="BF"/>
          </w:tcPr>
          <w:p w14:paraId="0DECBC06" w14:textId="77777777" w:rsidR="00C3312E" w:rsidRPr="00C3312E" w:rsidRDefault="00C3312E" w:rsidP="00C3312E">
            <w:pPr>
              <w:spacing w:after="0" w:line="240" w:lineRule="auto"/>
              <w:jc w:val="center"/>
              <w:rPr>
                <w:sz w:val="20"/>
                <w:szCs w:val="20"/>
              </w:rPr>
            </w:pPr>
            <w:r w:rsidRPr="00C3312E">
              <w:rPr>
                <w:sz w:val="20"/>
                <w:szCs w:val="20"/>
              </w:rPr>
              <w:t>33%</w:t>
            </w:r>
          </w:p>
        </w:tc>
        <w:tc>
          <w:tcPr>
            <w:tcW w:w="913" w:type="dxa"/>
            <w:shd w:val="clear" w:color="auto" w:fill="BFBFBF" w:themeFill="background1" w:themeFillShade="BF"/>
          </w:tcPr>
          <w:p w14:paraId="4DF5F29E" w14:textId="77777777" w:rsidR="00C3312E" w:rsidRPr="00C3312E" w:rsidRDefault="00C3312E" w:rsidP="00C3312E">
            <w:pPr>
              <w:spacing w:after="0" w:line="240" w:lineRule="auto"/>
              <w:jc w:val="center"/>
              <w:rPr>
                <w:sz w:val="20"/>
                <w:szCs w:val="20"/>
              </w:rPr>
            </w:pPr>
            <w:r w:rsidRPr="00C3312E">
              <w:rPr>
                <w:sz w:val="20"/>
                <w:szCs w:val="20"/>
              </w:rPr>
              <w:t>31%</w:t>
            </w:r>
          </w:p>
        </w:tc>
      </w:tr>
      <w:tr w:rsidR="00C3312E" w:rsidRPr="00C3312E" w14:paraId="4DB04C05" w14:textId="77777777" w:rsidTr="00F37A4F">
        <w:tc>
          <w:tcPr>
            <w:tcW w:w="3150" w:type="dxa"/>
            <w:shd w:val="clear" w:color="auto" w:fill="auto"/>
          </w:tcPr>
          <w:p w14:paraId="3C6074DE" w14:textId="47A10A26" w:rsidR="00C3312E" w:rsidRPr="00C3312E" w:rsidRDefault="00C3312E" w:rsidP="00C3312E">
            <w:pPr>
              <w:spacing w:after="0" w:line="240" w:lineRule="auto"/>
              <w:rPr>
                <w:sz w:val="20"/>
                <w:szCs w:val="20"/>
              </w:rPr>
            </w:pPr>
            <w:r w:rsidRPr="00C3312E">
              <w:rPr>
                <w:sz w:val="20"/>
                <w:szCs w:val="20"/>
              </w:rPr>
              <w:t xml:space="preserve">Walsh </w:t>
            </w:r>
            <w:r w:rsidR="00D80CEF" w:rsidRPr="00C3312E">
              <w:rPr>
                <w:sz w:val="20"/>
                <w:szCs w:val="20"/>
              </w:rPr>
              <w:t>Middle</w:t>
            </w:r>
          </w:p>
        </w:tc>
        <w:tc>
          <w:tcPr>
            <w:tcW w:w="912" w:type="dxa"/>
            <w:shd w:val="clear" w:color="auto" w:fill="auto"/>
          </w:tcPr>
          <w:p w14:paraId="5B702B1C"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7932AF6E"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2880FC22" w14:textId="77777777" w:rsidR="00C3312E" w:rsidRPr="00C3312E" w:rsidRDefault="00C3312E" w:rsidP="00C3312E">
            <w:pPr>
              <w:spacing w:after="0" w:line="240" w:lineRule="auto"/>
              <w:jc w:val="center"/>
              <w:rPr>
                <w:sz w:val="20"/>
                <w:szCs w:val="20"/>
              </w:rPr>
            </w:pPr>
            <w:r w:rsidRPr="00C3312E">
              <w:rPr>
                <w:sz w:val="20"/>
                <w:szCs w:val="20"/>
              </w:rPr>
              <w:t>--</w:t>
            </w:r>
          </w:p>
        </w:tc>
        <w:tc>
          <w:tcPr>
            <w:tcW w:w="913" w:type="dxa"/>
            <w:shd w:val="clear" w:color="auto" w:fill="auto"/>
          </w:tcPr>
          <w:p w14:paraId="775570DA" w14:textId="77777777" w:rsidR="00C3312E" w:rsidRPr="00C3312E" w:rsidRDefault="00C3312E" w:rsidP="00C3312E">
            <w:pPr>
              <w:spacing w:after="0" w:line="240" w:lineRule="auto"/>
              <w:jc w:val="center"/>
              <w:rPr>
                <w:sz w:val="20"/>
                <w:szCs w:val="20"/>
              </w:rPr>
            </w:pPr>
            <w:r w:rsidRPr="00C3312E">
              <w:rPr>
                <w:sz w:val="20"/>
                <w:szCs w:val="20"/>
              </w:rPr>
              <w:t>50%</w:t>
            </w:r>
          </w:p>
        </w:tc>
        <w:tc>
          <w:tcPr>
            <w:tcW w:w="913" w:type="dxa"/>
            <w:shd w:val="clear" w:color="auto" w:fill="auto"/>
          </w:tcPr>
          <w:p w14:paraId="23D7467F" w14:textId="77777777" w:rsidR="00C3312E" w:rsidRPr="00C3312E" w:rsidRDefault="00C3312E" w:rsidP="00C3312E">
            <w:pPr>
              <w:spacing w:after="0" w:line="240" w:lineRule="auto"/>
              <w:jc w:val="center"/>
              <w:rPr>
                <w:sz w:val="20"/>
                <w:szCs w:val="20"/>
              </w:rPr>
            </w:pPr>
            <w:r w:rsidRPr="00C3312E">
              <w:rPr>
                <w:sz w:val="20"/>
                <w:szCs w:val="20"/>
              </w:rPr>
              <w:t>47%</w:t>
            </w:r>
          </w:p>
        </w:tc>
        <w:tc>
          <w:tcPr>
            <w:tcW w:w="913" w:type="dxa"/>
            <w:shd w:val="clear" w:color="auto" w:fill="auto"/>
          </w:tcPr>
          <w:p w14:paraId="14B82DD0" w14:textId="77777777" w:rsidR="00C3312E" w:rsidRPr="00C3312E" w:rsidRDefault="00C3312E" w:rsidP="00C3312E">
            <w:pPr>
              <w:spacing w:after="0" w:line="240" w:lineRule="auto"/>
              <w:jc w:val="center"/>
              <w:rPr>
                <w:sz w:val="20"/>
                <w:szCs w:val="20"/>
              </w:rPr>
            </w:pPr>
            <w:r w:rsidRPr="00C3312E">
              <w:rPr>
                <w:sz w:val="20"/>
                <w:szCs w:val="20"/>
              </w:rPr>
              <w:t>47%</w:t>
            </w:r>
          </w:p>
        </w:tc>
        <w:tc>
          <w:tcPr>
            <w:tcW w:w="913" w:type="dxa"/>
            <w:shd w:val="clear" w:color="auto" w:fill="auto"/>
          </w:tcPr>
          <w:p w14:paraId="78C23676" w14:textId="77777777" w:rsidR="00C3312E" w:rsidRPr="00C3312E" w:rsidRDefault="00C3312E" w:rsidP="00C3312E">
            <w:pPr>
              <w:spacing w:after="0" w:line="240" w:lineRule="auto"/>
              <w:jc w:val="center"/>
              <w:rPr>
                <w:sz w:val="20"/>
                <w:szCs w:val="20"/>
              </w:rPr>
            </w:pPr>
            <w:r w:rsidRPr="00C3312E">
              <w:rPr>
                <w:sz w:val="20"/>
                <w:szCs w:val="20"/>
              </w:rPr>
              <w:t>48%</w:t>
            </w:r>
          </w:p>
        </w:tc>
      </w:tr>
      <w:tr w:rsidR="00C3312E" w:rsidRPr="00C3312E" w14:paraId="0FE0ADE3" w14:textId="77777777" w:rsidTr="00F37A4F">
        <w:tc>
          <w:tcPr>
            <w:tcW w:w="3150" w:type="dxa"/>
            <w:shd w:val="clear" w:color="auto" w:fill="BFBFBF" w:themeFill="background1" w:themeFillShade="BF"/>
          </w:tcPr>
          <w:p w14:paraId="7F613F18" w14:textId="4BA14A3B" w:rsidR="00C3312E" w:rsidRPr="00C3312E" w:rsidRDefault="00C3312E" w:rsidP="00D80CEF">
            <w:pPr>
              <w:spacing w:after="0" w:line="240" w:lineRule="auto"/>
              <w:rPr>
                <w:sz w:val="20"/>
                <w:szCs w:val="20"/>
              </w:rPr>
            </w:pPr>
            <w:r w:rsidRPr="00C3312E">
              <w:rPr>
                <w:sz w:val="20"/>
                <w:szCs w:val="20"/>
              </w:rPr>
              <w:t>District</w:t>
            </w:r>
          </w:p>
        </w:tc>
        <w:tc>
          <w:tcPr>
            <w:tcW w:w="912" w:type="dxa"/>
            <w:shd w:val="clear" w:color="auto" w:fill="BFBFBF" w:themeFill="background1" w:themeFillShade="BF"/>
          </w:tcPr>
          <w:p w14:paraId="50BE6F68" w14:textId="77777777" w:rsidR="00C3312E" w:rsidRPr="00C3312E" w:rsidRDefault="00C3312E" w:rsidP="00C3312E">
            <w:pPr>
              <w:spacing w:after="0" w:line="240" w:lineRule="auto"/>
              <w:jc w:val="center"/>
              <w:rPr>
                <w:sz w:val="20"/>
                <w:szCs w:val="20"/>
              </w:rPr>
            </w:pPr>
            <w:r w:rsidRPr="00C3312E">
              <w:rPr>
                <w:sz w:val="20"/>
                <w:szCs w:val="20"/>
              </w:rPr>
              <w:t>38%</w:t>
            </w:r>
          </w:p>
        </w:tc>
        <w:tc>
          <w:tcPr>
            <w:tcW w:w="913" w:type="dxa"/>
            <w:shd w:val="clear" w:color="auto" w:fill="BFBFBF" w:themeFill="background1" w:themeFillShade="BF"/>
          </w:tcPr>
          <w:p w14:paraId="34C4D401" w14:textId="77777777" w:rsidR="00C3312E" w:rsidRPr="00C3312E" w:rsidRDefault="00C3312E" w:rsidP="00C3312E">
            <w:pPr>
              <w:spacing w:after="0" w:line="240" w:lineRule="auto"/>
              <w:jc w:val="center"/>
              <w:rPr>
                <w:sz w:val="20"/>
                <w:szCs w:val="20"/>
              </w:rPr>
            </w:pPr>
            <w:r w:rsidRPr="00C3312E">
              <w:rPr>
                <w:sz w:val="20"/>
                <w:szCs w:val="20"/>
              </w:rPr>
              <w:t>37%</w:t>
            </w:r>
          </w:p>
        </w:tc>
        <w:tc>
          <w:tcPr>
            <w:tcW w:w="913" w:type="dxa"/>
            <w:shd w:val="clear" w:color="auto" w:fill="BFBFBF" w:themeFill="background1" w:themeFillShade="BF"/>
          </w:tcPr>
          <w:p w14:paraId="7E06016D" w14:textId="77777777" w:rsidR="00C3312E" w:rsidRPr="00C3312E" w:rsidRDefault="00C3312E" w:rsidP="00C3312E">
            <w:pPr>
              <w:spacing w:after="0" w:line="240" w:lineRule="auto"/>
              <w:jc w:val="center"/>
              <w:rPr>
                <w:sz w:val="20"/>
                <w:szCs w:val="20"/>
              </w:rPr>
            </w:pPr>
            <w:r w:rsidRPr="00C3312E">
              <w:rPr>
                <w:sz w:val="20"/>
                <w:szCs w:val="20"/>
              </w:rPr>
              <w:t>42%</w:t>
            </w:r>
          </w:p>
        </w:tc>
        <w:tc>
          <w:tcPr>
            <w:tcW w:w="913" w:type="dxa"/>
            <w:shd w:val="clear" w:color="auto" w:fill="BFBFBF" w:themeFill="background1" w:themeFillShade="BF"/>
          </w:tcPr>
          <w:p w14:paraId="4771B559" w14:textId="77777777" w:rsidR="00C3312E" w:rsidRPr="00C3312E" w:rsidRDefault="00C3312E" w:rsidP="00C3312E">
            <w:pPr>
              <w:spacing w:after="0" w:line="240" w:lineRule="auto"/>
              <w:jc w:val="center"/>
              <w:rPr>
                <w:sz w:val="20"/>
                <w:szCs w:val="20"/>
              </w:rPr>
            </w:pPr>
            <w:r w:rsidRPr="00C3312E">
              <w:rPr>
                <w:sz w:val="20"/>
                <w:szCs w:val="20"/>
              </w:rPr>
              <w:t>36%</w:t>
            </w:r>
          </w:p>
        </w:tc>
        <w:tc>
          <w:tcPr>
            <w:tcW w:w="913" w:type="dxa"/>
            <w:shd w:val="clear" w:color="auto" w:fill="BFBFBF" w:themeFill="background1" w:themeFillShade="BF"/>
          </w:tcPr>
          <w:p w14:paraId="7046EFD2" w14:textId="77777777" w:rsidR="00C3312E" w:rsidRPr="00C3312E" w:rsidRDefault="00C3312E" w:rsidP="00C3312E">
            <w:pPr>
              <w:spacing w:after="0" w:line="240" w:lineRule="auto"/>
              <w:jc w:val="center"/>
              <w:rPr>
                <w:sz w:val="20"/>
                <w:szCs w:val="20"/>
              </w:rPr>
            </w:pPr>
            <w:r w:rsidRPr="00C3312E">
              <w:rPr>
                <w:sz w:val="20"/>
                <w:szCs w:val="20"/>
              </w:rPr>
              <w:t>37%</w:t>
            </w:r>
          </w:p>
        </w:tc>
        <w:tc>
          <w:tcPr>
            <w:tcW w:w="913" w:type="dxa"/>
            <w:shd w:val="clear" w:color="auto" w:fill="BFBFBF" w:themeFill="background1" w:themeFillShade="BF"/>
          </w:tcPr>
          <w:p w14:paraId="6C6B38FB" w14:textId="77777777" w:rsidR="00C3312E" w:rsidRPr="00C3312E" w:rsidRDefault="00C3312E" w:rsidP="00C3312E">
            <w:pPr>
              <w:spacing w:after="0" w:line="240" w:lineRule="auto"/>
              <w:jc w:val="center"/>
              <w:rPr>
                <w:sz w:val="20"/>
                <w:szCs w:val="20"/>
              </w:rPr>
            </w:pPr>
            <w:r w:rsidRPr="00C3312E">
              <w:rPr>
                <w:sz w:val="20"/>
                <w:szCs w:val="20"/>
              </w:rPr>
              <w:t>38%</w:t>
            </w:r>
          </w:p>
        </w:tc>
        <w:tc>
          <w:tcPr>
            <w:tcW w:w="913" w:type="dxa"/>
            <w:shd w:val="clear" w:color="auto" w:fill="BFBFBF" w:themeFill="background1" w:themeFillShade="BF"/>
          </w:tcPr>
          <w:p w14:paraId="6875F263" w14:textId="77777777" w:rsidR="00C3312E" w:rsidRPr="00C3312E" w:rsidRDefault="00C3312E" w:rsidP="00C3312E">
            <w:pPr>
              <w:spacing w:after="0" w:line="240" w:lineRule="auto"/>
              <w:jc w:val="center"/>
              <w:rPr>
                <w:sz w:val="20"/>
                <w:szCs w:val="20"/>
              </w:rPr>
            </w:pPr>
            <w:r w:rsidRPr="00C3312E">
              <w:rPr>
                <w:sz w:val="20"/>
                <w:szCs w:val="20"/>
              </w:rPr>
              <w:t>38%</w:t>
            </w:r>
          </w:p>
        </w:tc>
      </w:tr>
      <w:tr w:rsidR="00C3312E" w:rsidRPr="00C3312E" w14:paraId="2F30A50B" w14:textId="77777777" w:rsidTr="00F37A4F">
        <w:tc>
          <w:tcPr>
            <w:tcW w:w="3150" w:type="dxa"/>
            <w:shd w:val="clear" w:color="auto" w:fill="auto"/>
          </w:tcPr>
          <w:p w14:paraId="397BA2D9" w14:textId="77777777" w:rsidR="00C3312E" w:rsidRPr="00C3312E" w:rsidRDefault="00C3312E" w:rsidP="00C3312E">
            <w:pPr>
              <w:spacing w:after="0" w:line="240" w:lineRule="auto"/>
              <w:rPr>
                <w:sz w:val="20"/>
                <w:szCs w:val="20"/>
              </w:rPr>
            </w:pPr>
            <w:r w:rsidRPr="00C3312E">
              <w:rPr>
                <w:sz w:val="20"/>
                <w:szCs w:val="20"/>
              </w:rPr>
              <w:t>State</w:t>
            </w:r>
          </w:p>
        </w:tc>
        <w:tc>
          <w:tcPr>
            <w:tcW w:w="912" w:type="dxa"/>
            <w:shd w:val="clear" w:color="auto" w:fill="auto"/>
          </w:tcPr>
          <w:p w14:paraId="57234050" w14:textId="77777777" w:rsidR="00C3312E" w:rsidRPr="00C3312E" w:rsidRDefault="00C3312E" w:rsidP="00C3312E">
            <w:pPr>
              <w:spacing w:after="0" w:line="240" w:lineRule="auto"/>
              <w:jc w:val="center"/>
              <w:rPr>
                <w:sz w:val="20"/>
                <w:szCs w:val="20"/>
              </w:rPr>
            </w:pPr>
            <w:r w:rsidRPr="00C3312E">
              <w:rPr>
                <w:sz w:val="20"/>
                <w:szCs w:val="20"/>
              </w:rPr>
              <w:t>52%</w:t>
            </w:r>
          </w:p>
        </w:tc>
        <w:tc>
          <w:tcPr>
            <w:tcW w:w="913" w:type="dxa"/>
            <w:shd w:val="clear" w:color="auto" w:fill="auto"/>
          </w:tcPr>
          <w:p w14:paraId="7E6722F6" w14:textId="77777777" w:rsidR="00C3312E" w:rsidRPr="00C3312E" w:rsidRDefault="00C3312E" w:rsidP="00C3312E">
            <w:pPr>
              <w:spacing w:after="0" w:line="240" w:lineRule="auto"/>
              <w:jc w:val="center"/>
              <w:rPr>
                <w:sz w:val="20"/>
                <w:szCs w:val="20"/>
              </w:rPr>
            </w:pPr>
            <w:r w:rsidRPr="00C3312E">
              <w:rPr>
                <w:sz w:val="20"/>
                <w:szCs w:val="20"/>
              </w:rPr>
              <w:t>53%</w:t>
            </w:r>
          </w:p>
        </w:tc>
        <w:tc>
          <w:tcPr>
            <w:tcW w:w="913" w:type="dxa"/>
            <w:shd w:val="clear" w:color="auto" w:fill="auto"/>
          </w:tcPr>
          <w:p w14:paraId="55B538C4" w14:textId="77777777" w:rsidR="00C3312E" w:rsidRPr="00C3312E" w:rsidRDefault="00C3312E" w:rsidP="00C3312E">
            <w:pPr>
              <w:spacing w:after="0" w:line="240" w:lineRule="auto"/>
              <w:jc w:val="center"/>
              <w:rPr>
                <w:sz w:val="20"/>
                <w:szCs w:val="20"/>
              </w:rPr>
            </w:pPr>
            <w:r w:rsidRPr="00C3312E">
              <w:rPr>
                <w:sz w:val="20"/>
                <w:szCs w:val="20"/>
              </w:rPr>
              <w:t>54%</w:t>
            </w:r>
          </w:p>
        </w:tc>
        <w:tc>
          <w:tcPr>
            <w:tcW w:w="913" w:type="dxa"/>
            <w:shd w:val="clear" w:color="auto" w:fill="auto"/>
          </w:tcPr>
          <w:p w14:paraId="244FABB8" w14:textId="77777777" w:rsidR="00C3312E" w:rsidRPr="00C3312E" w:rsidRDefault="00C3312E" w:rsidP="00C3312E">
            <w:pPr>
              <w:spacing w:after="0" w:line="240" w:lineRule="auto"/>
              <w:jc w:val="center"/>
              <w:rPr>
                <w:sz w:val="20"/>
                <w:szCs w:val="20"/>
              </w:rPr>
            </w:pPr>
            <w:r w:rsidRPr="00C3312E">
              <w:rPr>
                <w:sz w:val="20"/>
                <w:szCs w:val="20"/>
              </w:rPr>
              <w:t>51%</w:t>
            </w:r>
          </w:p>
        </w:tc>
        <w:tc>
          <w:tcPr>
            <w:tcW w:w="913" w:type="dxa"/>
            <w:shd w:val="clear" w:color="auto" w:fill="auto"/>
          </w:tcPr>
          <w:p w14:paraId="1F7B76A1" w14:textId="77777777" w:rsidR="00C3312E" w:rsidRPr="00C3312E" w:rsidRDefault="00C3312E" w:rsidP="00C3312E">
            <w:pPr>
              <w:spacing w:after="0" w:line="240" w:lineRule="auto"/>
              <w:jc w:val="center"/>
              <w:rPr>
                <w:sz w:val="20"/>
                <w:szCs w:val="20"/>
              </w:rPr>
            </w:pPr>
            <w:r w:rsidRPr="00C3312E">
              <w:rPr>
                <w:sz w:val="20"/>
                <w:szCs w:val="20"/>
              </w:rPr>
              <w:t>46%</w:t>
            </w:r>
          </w:p>
        </w:tc>
        <w:tc>
          <w:tcPr>
            <w:tcW w:w="913" w:type="dxa"/>
            <w:shd w:val="clear" w:color="auto" w:fill="auto"/>
          </w:tcPr>
          <w:p w14:paraId="5E82CE96" w14:textId="77777777" w:rsidR="00C3312E" w:rsidRPr="00C3312E" w:rsidRDefault="00C3312E" w:rsidP="00C3312E">
            <w:pPr>
              <w:spacing w:after="0" w:line="240" w:lineRule="auto"/>
              <w:jc w:val="center"/>
              <w:rPr>
                <w:sz w:val="20"/>
                <w:szCs w:val="20"/>
              </w:rPr>
            </w:pPr>
            <w:r w:rsidRPr="00C3312E">
              <w:rPr>
                <w:sz w:val="20"/>
                <w:szCs w:val="20"/>
              </w:rPr>
              <w:t>51%</w:t>
            </w:r>
          </w:p>
        </w:tc>
        <w:tc>
          <w:tcPr>
            <w:tcW w:w="913" w:type="dxa"/>
            <w:shd w:val="clear" w:color="auto" w:fill="auto"/>
          </w:tcPr>
          <w:p w14:paraId="5B3C3100" w14:textId="77777777" w:rsidR="00C3312E" w:rsidRPr="00C3312E" w:rsidRDefault="00C3312E" w:rsidP="00C3312E">
            <w:pPr>
              <w:spacing w:after="0" w:line="240" w:lineRule="auto"/>
              <w:jc w:val="center"/>
              <w:rPr>
                <w:sz w:val="20"/>
                <w:szCs w:val="20"/>
              </w:rPr>
            </w:pPr>
            <w:r w:rsidRPr="00C3312E">
              <w:rPr>
                <w:sz w:val="20"/>
                <w:szCs w:val="20"/>
              </w:rPr>
              <w:t>51%</w:t>
            </w:r>
          </w:p>
        </w:tc>
      </w:tr>
    </w:tbl>
    <w:p w14:paraId="78385AE1" w14:textId="4960C3CC" w:rsidR="00C3312E" w:rsidRDefault="00C3312E" w:rsidP="00C3312E">
      <w:pPr>
        <w:spacing w:after="0" w:line="240" w:lineRule="auto"/>
      </w:pPr>
    </w:p>
    <w:p w14:paraId="20443803" w14:textId="77777777" w:rsidR="0089512A" w:rsidRPr="00C3312E" w:rsidRDefault="0089512A" w:rsidP="00C3312E">
      <w:pPr>
        <w:spacing w:after="0" w:line="240" w:lineRule="auto"/>
      </w:pPr>
    </w:p>
    <w:tbl>
      <w:tblPr>
        <w:tblStyle w:val="TableGrid16"/>
        <w:tblW w:w="9540" w:type="dxa"/>
        <w:tblInd w:w="18" w:type="dxa"/>
        <w:tblLayout w:type="fixed"/>
        <w:tblLook w:val="04A0" w:firstRow="1" w:lastRow="0" w:firstColumn="1" w:lastColumn="0" w:noHBand="0" w:noVBand="1"/>
        <w:tblCaption w:val="Table 15: Framingham Public Schools"/>
        <w:tblDescription w:val="Next-Generation MCAS Math Percent Meeting or Exceeding Expectations by School and Grade, 2018&#10;"/>
      </w:tblPr>
      <w:tblGrid>
        <w:gridCol w:w="3150"/>
        <w:gridCol w:w="912"/>
        <w:gridCol w:w="913"/>
        <w:gridCol w:w="913"/>
        <w:gridCol w:w="913"/>
        <w:gridCol w:w="913"/>
        <w:gridCol w:w="913"/>
        <w:gridCol w:w="913"/>
      </w:tblGrid>
      <w:tr w:rsidR="00C3312E" w:rsidRPr="00C3312E" w14:paraId="097BB43E" w14:textId="77777777" w:rsidTr="00F37A4F">
        <w:tc>
          <w:tcPr>
            <w:tcW w:w="9540" w:type="dxa"/>
            <w:gridSpan w:val="8"/>
            <w:tcBorders>
              <w:top w:val="nil"/>
              <w:left w:val="nil"/>
              <w:right w:val="nil"/>
            </w:tcBorders>
            <w:shd w:val="clear" w:color="auto" w:fill="auto"/>
          </w:tcPr>
          <w:p w14:paraId="2503594F"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 xml:space="preserve">Table 15: </w:t>
            </w:r>
            <w:r w:rsidRPr="00C3312E">
              <w:rPr>
                <w:rFonts w:cs="Times New Roman"/>
                <w:b/>
                <w:sz w:val="20"/>
                <w:szCs w:val="20"/>
              </w:rPr>
              <w:t>Framingham Public Schools</w:t>
            </w:r>
          </w:p>
          <w:p w14:paraId="0C85F103" w14:textId="05A99620" w:rsidR="00C3312E" w:rsidRPr="00C3312E" w:rsidRDefault="00C3312E" w:rsidP="009678D8">
            <w:pPr>
              <w:spacing w:after="0" w:line="240" w:lineRule="auto"/>
              <w:jc w:val="center"/>
              <w:rPr>
                <w:rFonts w:eastAsia="Times New Roman" w:cs="Times New Roman"/>
                <w:b/>
                <w:sz w:val="20"/>
                <w:szCs w:val="20"/>
              </w:rPr>
            </w:pPr>
            <w:r w:rsidRPr="00C3312E">
              <w:rPr>
                <w:rFonts w:eastAsia="Times New Roman" w:cs="Times New Roman"/>
                <w:b/>
                <w:sz w:val="20"/>
                <w:szCs w:val="20"/>
              </w:rPr>
              <w:t>Next-Generation MCAS</w:t>
            </w:r>
            <w:r w:rsidRPr="00C3312E" w:rsidDel="009A0498">
              <w:rPr>
                <w:rFonts w:eastAsia="Times New Roman" w:cs="Times New Roman"/>
                <w:b/>
                <w:sz w:val="20"/>
                <w:szCs w:val="20"/>
              </w:rPr>
              <w:t xml:space="preserve"> </w:t>
            </w:r>
            <w:r w:rsidRPr="00C3312E">
              <w:rPr>
                <w:rFonts w:eastAsia="Times New Roman" w:cs="Times New Roman"/>
                <w:b/>
                <w:sz w:val="20"/>
                <w:szCs w:val="20"/>
              </w:rPr>
              <w:t>Math Percent Meeting or Exceeding Expectations by School</w:t>
            </w:r>
            <w:r w:rsidR="009678D8">
              <w:rPr>
                <w:rFonts w:eastAsia="Times New Roman" w:cs="Times New Roman"/>
                <w:b/>
                <w:sz w:val="20"/>
                <w:szCs w:val="20"/>
              </w:rPr>
              <w:t xml:space="preserve"> and Grade</w:t>
            </w:r>
            <w:r w:rsidRPr="00C3312E">
              <w:rPr>
                <w:rFonts w:eastAsia="Times New Roman" w:cs="Times New Roman"/>
                <w:b/>
                <w:sz w:val="20"/>
                <w:szCs w:val="20"/>
              </w:rPr>
              <w:t>, 2018</w:t>
            </w:r>
          </w:p>
        </w:tc>
      </w:tr>
      <w:tr w:rsidR="00C3312E" w:rsidRPr="00C3312E" w14:paraId="31D84AC2" w14:textId="77777777" w:rsidTr="00F37A4F">
        <w:tc>
          <w:tcPr>
            <w:tcW w:w="3150" w:type="dxa"/>
            <w:shd w:val="clear" w:color="auto" w:fill="BFBFBF" w:themeFill="background1" w:themeFillShade="BF"/>
          </w:tcPr>
          <w:p w14:paraId="69BE722E" w14:textId="77777777" w:rsidR="00C3312E" w:rsidRPr="00C3312E" w:rsidRDefault="00C3312E" w:rsidP="00EC5B5A">
            <w:pPr>
              <w:spacing w:after="0" w:line="240" w:lineRule="auto"/>
              <w:rPr>
                <w:rFonts w:eastAsia="Times New Roman" w:cs="Times New Roman"/>
                <w:b/>
                <w:sz w:val="20"/>
                <w:szCs w:val="20"/>
              </w:rPr>
            </w:pPr>
            <w:r w:rsidRPr="00C3312E">
              <w:rPr>
                <w:rFonts w:eastAsia="Times New Roman" w:cs="Times New Roman"/>
                <w:b/>
                <w:sz w:val="20"/>
                <w:szCs w:val="20"/>
              </w:rPr>
              <w:t>School</w:t>
            </w:r>
          </w:p>
        </w:tc>
        <w:tc>
          <w:tcPr>
            <w:tcW w:w="912" w:type="dxa"/>
            <w:shd w:val="clear" w:color="auto" w:fill="BFBFBF" w:themeFill="background1" w:themeFillShade="BF"/>
          </w:tcPr>
          <w:p w14:paraId="4A2F4FBD"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3</w:t>
            </w:r>
          </w:p>
        </w:tc>
        <w:tc>
          <w:tcPr>
            <w:tcW w:w="913" w:type="dxa"/>
            <w:shd w:val="clear" w:color="auto" w:fill="BFBFBF" w:themeFill="background1" w:themeFillShade="BF"/>
          </w:tcPr>
          <w:p w14:paraId="1412D743"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4</w:t>
            </w:r>
          </w:p>
        </w:tc>
        <w:tc>
          <w:tcPr>
            <w:tcW w:w="913" w:type="dxa"/>
            <w:shd w:val="clear" w:color="auto" w:fill="BFBFBF" w:themeFill="background1" w:themeFillShade="BF"/>
          </w:tcPr>
          <w:p w14:paraId="31D8D166"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5</w:t>
            </w:r>
          </w:p>
        </w:tc>
        <w:tc>
          <w:tcPr>
            <w:tcW w:w="913" w:type="dxa"/>
            <w:shd w:val="clear" w:color="auto" w:fill="BFBFBF" w:themeFill="background1" w:themeFillShade="BF"/>
          </w:tcPr>
          <w:p w14:paraId="65E60866"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6</w:t>
            </w:r>
          </w:p>
        </w:tc>
        <w:tc>
          <w:tcPr>
            <w:tcW w:w="913" w:type="dxa"/>
            <w:shd w:val="clear" w:color="auto" w:fill="BFBFBF" w:themeFill="background1" w:themeFillShade="BF"/>
          </w:tcPr>
          <w:p w14:paraId="44DD22CC"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7</w:t>
            </w:r>
          </w:p>
        </w:tc>
        <w:tc>
          <w:tcPr>
            <w:tcW w:w="913" w:type="dxa"/>
            <w:shd w:val="clear" w:color="auto" w:fill="BFBFBF" w:themeFill="background1" w:themeFillShade="BF"/>
          </w:tcPr>
          <w:p w14:paraId="728CBB9B"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8</w:t>
            </w:r>
          </w:p>
        </w:tc>
        <w:tc>
          <w:tcPr>
            <w:tcW w:w="913" w:type="dxa"/>
            <w:shd w:val="clear" w:color="auto" w:fill="BFBFBF" w:themeFill="background1" w:themeFillShade="BF"/>
          </w:tcPr>
          <w:p w14:paraId="1C061ECC" w14:textId="55F0F130" w:rsidR="00C3312E" w:rsidRPr="00C3312E" w:rsidRDefault="00C3312E" w:rsidP="00D80CEF">
            <w:pPr>
              <w:spacing w:after="0" w:line="240" w:lineRule="auto"/>
              <w:jc w:val="center"/>
              <w:rPr>
                <w:rFonts w:eastAsia="Times New Roman" w:cs="Times New Roman"/>
                <w:b/>
                <w:sz w:val="20"/>
                <w:szCs w:val="20"/>
              </w:rPr>
            </w:pPr>
            <w:r w:rsidRPr="00C3312E">
              <w:rPr>
                <w:rFonts w:eastAsia="Times New Roman" w:cs="Times New Roman"/>
                <w:b/>
                <w:sz w:val="20"/>
                <w:szCs w:val="20"/>
              </w:rPr>
              <w:t>3</w:t>
            </w:r>
            <w:r w:rsidR="00D80CEF">
              <w:rPr>
                <w:rFonts w:eastAsia="Times New Roman" w:cs="Times New Roman"/>
                <w:b/>
                <w:sz w:val="20"/>
                <w:szCs w:val="20"/>
              </w:rPr>
              <w:t>–</w:t>
            </w:r>
            <w:r w:rsidRPr="00C3312E">
              <w:rPr>
                <w:rFonts w:eastAsia="Times New Roman" w:cs="Times New Roman"/>
                <w:b/>
                <w:sz w:val="20"/>
                <w:szCs w:val="20"/>
              </w:rPr>
              <w:t>8</w:t>
            </w:r>
          </w:p>
        </w:tc>
      </w:tr>
      <w:tr w:rsidR="00C3312E" w:rsidRPr="00C3312E" w14:paraId="0E2F2117" w14:textId="77777777" w:rsidTr="00F37A4F">
        <w:tc>
          <w:tcPr>
            <w:tcW w:w="3150" w:type="dxa"/>
            <w:shd w:val="clear" w:color="auto" w:fill="auto"/>
          </w:tcPr>
          <w:p w14:paraId="51B8B55D"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Juniper Hill</w:t>
            </w:r>
          </w:p>
        </w:tc>
        <w:tc>
          <w:tcPr>
            <w:tcW w:w="912" w:type="dxa"/>
            <w:shd w:val="clear" w:color="auto" w:fill="auto"/>
          </w:tcPr>
          <w:p w14:paraId="3612962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021799E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5E7737A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1E9F2FF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5BFF812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740A830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tcPr>
          <w:p w14:paraId="5251261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5D4F61D4" w14:textId="77777777" w:rsidTr="00F37A4F">
        <w:tc>
          <w:tcPr>
            <w:tcW w:w="3150" w:type="dxa"/>
            <w:shd w:val="clear" w:color="auto" w:fill="BFBFBF" w:themeFill="background1" w:themeFillShade="BF"/>
          </w:tcPr>
          <w:p w14:paraId="411535F0" w14:textId="176194AF" w:rsidR="00C3312E" w:rsidRPr="00C3312E" w:rsidRDefault="00C3312E" w:rsidP="00D80CEF">
            <w:pPr>
              <w:spacing w:after="0" w:line="240" w:lineRule="auto"/>
              <w:rPr>
                <w:rFonts w:cstheme="minorHAnsi"/>
                <w:sz w:val="20"/>
                <w:szCs w:val="20"/>
              </w:rPr>
            </w:pPr>
            <w:r w:rsidRPr="00C3312E">
              <w:rPr>
                <w:rFonts w:cstheme="minorHAnsi"/>
                <w:sz w:val="20"/>
                <w:szCs w:val="20"/>
              </w:rPr>
              <w:t xml:space="preserve">King </w:t>
            </w:r>
          </w:p>
        </w:tc>
        <w:tc>
          <w:tcPr>
            <w:tcW w:w="912" w:type="dxa"/>
            <w:shd w:val="clear" w:color="auto" w:fill="BFBFBF" w:themeFill="background1" w:themeFillShade="BF"/>
          </w:tcPr>
          <w:p w14:paraId="65C3161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913" w:type="dxa"/>
            <w:shd w:val="clear" w:color="auto" w:fill="BFBFBF" w:themeFill="background1" w:themeFillShade="BF"/>
          </w:tcPr>
          <w:p w14:paraId="0832A13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196035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1AEFF8B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0324455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2184E66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0289034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r>
      <w:tr w:rsidR="00C3312E" w:rsidRPr="00C3312E" w14:paraId="785CECD7" w14:textId="77777777" w:rsidTr="00F37A4F">
        <w:tc>
          <w:tcPr>
            <w:tcW w:w="3150" w:type="dxa"/>
            <w:shd w:val="clear" w:color="auto" w:fill="auto"/>
          </w:tcPr>
          <w:p w14:paraId="4968F435"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Brophy</w:t>
            </w:r>
          </w:p>
        </w:tc>
        <w:tc>
          <w:tcPr>
            <w:tcW w:w="912" w:type="dxa"/>
            <w:shd w:val="clear" w:color="auto" w:fill="auto"/>
          </w:tcPr>
          <w:p w14:paraId="5A6D7F3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913" w:type="dxa"/>
            <w:shd w:val="clear" w:color="auto" w:fill="auto"/>
          </w:tcPr>
          <w:p w14:paraId="35B5C19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37%</w:t>
            </w:r>
          </w:p>
        </w:tc>
        <w:tc>
          <w:tcPr>
            <w:tcW w:w="913" w:type="dxa"/>
            <w:shd w:val="clear" w:color="auto" w:fill="auto"/>
          </w:tcPr>
          <w:p w14:paraId="18D06D3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32%</w:t>
            </w:r>
          </w:p>
        </w:tc>
        <w:tc>
          <w:tcPr>
            <w:tcW w:w="913" w:type="dxa"/>
            <w:shd w:val="clear" w:color="auto" w:fill="auto"/>
          </w:tcPr>
          <w:p w14:paraId="0EFA82A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3B7389A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5A739F1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tcPr>
          <w:p w14:paraId="20ABC2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38%</w:t>
            </w:r>
          </w:p>
        </w:tc>
      </w:tr>
      <w:tr w:rsidR="00C3312E" w:rsidRPr="00C3312E" w14:paraId="4641B658" w14:textId="77777777" w:rsidTr="00F37A4F">
        <w:tc>
          <w:tcPr>
            <w:tcW w:w="3150" w:type="dxa"/>
            <w:shd w:val="clear" w:color="auto" w:fill="BFBFBF" w:themeFill="background1" w:themeFillShade="BF"/>
          </w:tcPr>
          <w:p w14:paraId="1FF6E10E"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Dunning</w:t>
            </w:r>
          </w:p>
        </w:tc>
        <w:tc>
          <w:tcPr>
            <w:tcW w:w="912" w:type="dxa"/>
            <w:shd w:val="clear" w:color="auto" w:fill="BFBFBF" w:themeFill="background1" w:themeFillShade="BF"/>
          </w:tcPr>
          <w:p w14:paraId="5D248DC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59%</w:t>
            </w:r>
          </w:p>
        </w:tc>
        <w:tc>
          <w:tcPr>
            <w:tcW w:w="913" w:type="dxa"/>
            <w:shd w:val="clear" w:color="auto" w:fill="BFBFBF" w:themeFill="background1" w:themeFillShade="BF"/>
          </w:tcPr>
          <w:p w14:paraId="5E5F23B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c>
          <w:tcPr>
            <w:tcW w:w="913" w:type="dxa"/>
            <w:shd w:val="clear" w:color="auto" w:fill="BFBFBF" w:themeFill="background1" w:themeFillShade="BF"/>
          </w:tcPr>
          <w:p w14:paraId="02EB08D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913" w:type="dxa"/>
            <w:shd w:val="clear" w:color="auto" w:fill="BFBFBF" w:themeFill="background1" w:themeFillShade="BF"/>
          </w:tcPr>
          <w:p w14:paraId="0DBDF6C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4BB0A9E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5373C91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1BF5F84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r>
      <w:tr w:rsidR="00C3312E" w:rsidRPr="00C3312E" w14:paraId="54575C0E" w14:textId="77777777" w:rsidTr="00F37A4F">
        <w:tc>
          <w:tcPr>
            <w:tcW w:w="3150" w:type="dxa"/>
            <w:shd w:val="clear" w:color="auto" w:fill="auto"/>
          </w:tcPr>
          <w:p w14:paraId="61FD3AE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Hemenway</w:t>
            </w:r>
          </w:p>
        </w:tc>
        <w:tc>
          <w:tcPr>
            <w:tcW w:w="912" w:type="dxa"/>
            <w:shd w:val="clear" w:color="auto" w:fill="auto"/>
          </w:tcPr>
          <w:p w14:paraId="4ACA00E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54%</w:t>
            </w:r>
          </w:p>
        </w:tc>
        <w:tc>
          <w:tcPr>
            <w:tcW w:w="913" w:type="dxa"/>
            <w:shd w:val="clear" w:color="auto" w:fill="auto"/>
          </w:tcPr>
          <w:p w14:paraId="42911B8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68%</w:t>
            </w:r>
          </w:p>
        </w:tc>
        <w:tc>
          <w:tcPr>
            <w:tcW w:w="913" w:type="dxa"/>
            <w:shd w:val="clear" w:color="auto" w:fill="auto"/>
          </w:tcPr>
          <w:p w14:paraId="53D99E5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56%</w:t>
            </w:r>
          </w:p>
        </w:tc>
        <w:tc>
          <w:tcPr>
            <w:tcW w:w="913" w:type="dxa"/>
            <w:shd w:val="clear" w:color="auto" w:fill="auto"/>
          </w:tcPr>
          <w:p w14:paraId="5E9C9EC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398478C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2A1A82D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tcPr>
          <w:p w14:paraId="561A91C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59%</w:t>
            </w:r>
          </w:p>
        </w:tc>
      </w:tr>
      <w:tr w:rsidR="00C3312E" w:rsidRPr="00C3312E" w14:paraId="63057719" w14:textId="77777777" w:rsidTr="00F37A4F">
        <w:tc>
          <w:tcPr>
            <w:tcW w:w="3150" w:type="dxa"/>
            <w:shd w:val="clear" w:color="auto" w:fill="BFBFBF" w:themeFill="background1" w:themeFillShade="BF"/>
          </w:tcPr>
          <w:p w14:paraId="367359F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Barbieri</w:t>
            </w:r>
          </w:p>
        </w:tc>
        <w:tc>
          <w:tcPr>
            <w:tcW w:w="912" w:type="dxa"/>
            <w:shd w:val="clear" w:color="auto" w:fill="BFBFBF" w:themeFill="background1" w:themeFillShade="BF"/>
          </w:tcPr>
          <w:p w14:paraId="024FC44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28%</w:t>
            </w:r>
          </w:p>
        </w:tc>
        <w:tc>
          <w:tcPr>
            <w:tcW w:w="913" w:type="dxa"/>
            <w:shd w:val="clear" w:color="auto" w:fill="BFBFBF" w:themeFill="background1" w:themeFillShade="BF"/>
          </w:tcPr>
          <w:p w14:paraId="492AC1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913" w:type="dxa"/>
            <w:shd w:val="clear" w:color="auto" w:fill="BFBFBF" w:themeFill="background1" w:themeFillShade="BF"/>
          </w:tcPr>
          <w:p w14:paraId="084190D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24%</w:t>
            </w:r>
          </w:p>
        </w:tc>
        <w:tc>
          <w:tcPr>
            <w:tcW w:w="913" w:type="dxa"/>
            <w:shd w:val="clear" w:color="auto" w:fill="BFBFBF" w:themeFill="background1" w:themeFillShade="BF"/>
          </w:tcPr>
          <w:p w14:paraId="565EB9D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0B0C1AE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6A704FA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71ABB3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23%</w:t>
            </w:r>
          </w:p>
        </w:tc>
      </w:tr>
      <w:tr w:rsidR="00C3312E" w:rsidRPr="00C3312E" w14:paraId="217F7FAD" w14:textId="77777777" w:rsidTr="00F37A4F">
        <w:tc>
          <w:tcPr>
            <w:tcW w:w="3150" w:type="dxa"/>
            <w:shd w:val="clear" w:color="auto" w:fill="auto"/>
          </w:tcPr>
          <w:p w14:paraId="63B6EB4C"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Potter Road</w:t>
            </w:r>
          </w:p>
        </w:tc>
        <w:tc>
          <w:tcPr>
            <w:tcW w:w="912" w:type="dxa"/>
            <w:shd w:val="clear" w:color="auto" w:fill="auto"/>
          </w:tcPr>
          <w:p w14:paraId="7B6DAE0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56%</w:t>
            </w:r>
          </w:p>
        </w:tc>
        <w:tc>
          <w:tcPr>
            <w:tcW w:w="913" w:type="dxa"/>
            <w:shd w:val="clear" w:color="auto" w:fill="auto"/>
          </w:tcPr>
          <w:p w14:paraId="39BB3B0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34%</w:t>
            </w:r>
          </w:p>
        </w:tc>
        <w:tc>
          <w:tcPr>
            <w:tcW w:w="913" w:type="dxa"/>
            <w:shd w:val="clear" w:color="auto" w:fill="auto"/>
          </w:tcPr>
          <w:p w14:paraId="5ED57E8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c>
          <w:tcPr>
            <w:tcW w:w="913" w:type="dxa"/>
            <w:shd w:val="clear" w:color="auto" w:fill="auto"/>
          </w:tcPr>
          <w:p w14:paraId="3F64A15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128F6B3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230FFAB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3710FB2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47%</w:t>
            </w:r>
          </w:p>
        </w:tc>
      </w:tr>
      <w:tr w:rsidR="00C3312E" w:rsidRPr="00C3312E" w14:paraId="616FD518" w14:textId="77777777" w:rsidTr="00F37A4F">
        <w:tc>
          <w:tcPr>
            <w:tcW w:w="3150" w:type="dxa"/>
            <w:shd w:val="clear" w:color="auto" w:fill="BFBFBF" w:themeFill="background1" w:themeFillShade="BF"/>
          </w:tcPr>
          <w:p w14:paraId="3351E365"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Stapleton</w:t>
            </w:r>
          </w:p>
        </w:tc>
        <w:tc>
          <w:tcPr>
            <w:tcW w:w="912" w:type="dxa"/>
            <w:shd w:val="clear" w:color="auto" w:fill="BFBFBF" w:themeFill="background1" w:themeFillShade="BF"/>
          </w:tcPr>
          <w:p w14:paraId="678D61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28%</w:t>
            </w:r>
          </w:p>
        </w:tc>
        <w:tc>
          <w:tcPr>
            <w:tcW w:w="913" w:type="dxa"/>
            <w:shd w:val="clear" w:color="auto" w:fill="BFBFBF" w:themeFill="background1" w:themeFillShade="BF"/>
          </w:tcPr>
          <w:p w14:paraId="35E1393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34%</w:t>
            </w:r>
          </w:p>
        </w:tc>
        <w:tc>
          <w:tcPr>
            <w:tcW w:w="913" w:type="dxa"/>
            <w:shd w:val="clear" w:color="auto" w:fill="BFBFBF" w:themeFill="background1" w:themeFillShade="BF"/>
          </w:tcPr>
          <w:p w14:paraId="1C5DFB0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3" w:type="dxa"/>
            <w:shd w:val="clear" w:color="auto" w:fill="BFBFBF" w:themeFill="background1" w:themeFillShade="BF"/>
          </w:tcPr>
          <w:p w14:paraId="5C733C6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4BE098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0252CD7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3DA0EB4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35%</w:t>
            </w:r>
          </w:p>
        </w:tc>
      </w:tr>
      <w:tr w:rsidR="00C3312E" w:rsidRPr="00C3312E" w14:paraId="4D326C2C" w14:textId="77777777" w:rsidTr="00F37A4F">
        <w:tc>
          <w:tcPr>
            <w:tcW w:w="3150" w:type="dxa"/>
            <w:shd w:val="clear" w:color="auto" w:fill="auto"/>
          </w:tcPr>
          <w:p w14:paraId="1A4EEEA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McCarthy</w:t>
            </w:r>
          </w:p>
        </w:tc>
        <w:tc>
          <w:tcPr>
            <w:tcW w:w="912" w:type="dxa"/>
            <w:shd w:val="clear" w:color="auto" w:fill="auto"/>
          </w:tcPr>
          <w:p w14:paraId="612777C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33%</w:t>
            </w:r>
          </w:p>
        </w:tc>
        <w:tc>
          <w:tcPr>
            <w:tcW w:w="913" w:type="dxa"/>
            <w:shd w:val="clear" w:color="auto" w:fill="auto"/>
          </w:tcPr>
          <w:p w14:paraId="422BF79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w:t>
            </w:r>
          </w:p>
        </w:tc>
        <w:tc>
          <w:tcPr>
            <w:tcW w:w="913" w:type="dxa"/>
            <w:shd w:val="clear" w:color="auto" w:fill="auto"/>
          </w:tcPr>
          <w:p w14:paraId="2BC57EC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c>
          <w:tcPr>
            <w:tcW w:w="913" w:type="dxa"/>
            <w:shd w:val="clear" w:color="auto" w:fill="auto"/>
          </w:tcPr>
          <w:p w14:paraId="529E1B0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167F70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320C992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285B2F4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w:t>
            </w:r>
          </w:p>
        </w:tc>
      </w:tr>
      <w:tr w:rsidR="00C3312E" w:rsidRPr="00C3312E" w14:paraId="79582C78" w14:textId="77777777" w:rsidTr="00F37A4F">
        <w:tc>
          <w:tcPr>
            <w:tcW w:w="3150" w:type="dxa"/>
            <w:shd w:val="clear" w:color="auto" w:fill="BFBFBF" w:themeFill="background1" w:themeFillShade="BF"/>
          </w:tcPr>
          <w:p w14:paraId="226CAD9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Wilson</w:t>
            </w:r>
          </w:p>
        </w:tc>
        <w:tc>
          <w:tcPr>
            <w:tcW w:w="912" w:type="dxa"/>
            <w:shd w:val="clear" w:color="auto" w:fill="BFBFBF" w:themeFill="background1" w:themeFillShade="BF"/>
          </w:tcPr>
          <w:p w14:paraId="3E4CA9B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913" w:type="dxa"/>
            <w:shd w:val="clear" w:color="auto" w:fill="BFBFBF" w:themeFill="background1" w:themeFillShade="BF"/>
          </w:tcPr>
          <w:p w14:paraId="1E1790D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21%</w:t>
            </w:r>
          </w:p>
        </w:tc>
        <w:tc>
          <w:tcPr>
            <w:tcW w:w="913" w:type="dxa"/>
            <w:shd w:val="clear" w:color="auto" w:fill="BFBFBF" w:themeFill="background1" w:themeFillShade="BF"/>
          </w:tcPr>
          <w:p w14:paraId="091D881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c>
          <w:tcPr>
            <w:tcW w:w="913" w:type="dxa"/>
            <w:shd w:val="clear" w:color="auto" w:fill="BFBFBF" w:themeFill="background1" w:themeFillShade="BF"/>
          </w:tcPr>
          <w:p w14:paraId="4CFB96D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6AD70C9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570C316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09CF861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r>
      <w:tr w:rsidR="00C3312E" w:rsidRPr="00C3312E" w14:paraId="01122F2A" w14:textId="77777777" w:rsidTr="00F37A4F">
        <w:tc>
          <w:tcPr>
            <w:tcW w:w="3150" w:type="dxa"/>
            <w:shd w:val="clear" w:color="auto" w:fill="auto"/>
          </w:tcPr>
          <w:p w14:paraId="46AEEB0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Cameron Middle</w:t>
            </w:r>
          </w:p>
        </w:tc>
        <w:tc>
          <w:tcPr>
            <w:tcW w:w="912" w:type="dxa"/>
            <w:shd w:val="clear" w:color="auto" w:fill="auto"/>
          </w:tcPr>
          <w:p w14:paraId="3F7C74D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249B468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73EC9A0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56DCFBB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34%</w:t>
            </w:r>
          </w:p>
        </w:tc>
        <w:tc>
          <w:tcPr>
            <w:tcW w:w="913" w:type="dxa"/>
            <w:shd w:val="clear" w:color="auto" w:fill="auto"/>
          </w:tcPr>
          <w:p w14:paraId="76B1964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3" w:type="dxa"/>
            <w:shd w:val="clear" w:color="auto" w:fill="auto"/>
          </w:tcPr>
          <w:p w14:paraId="15DF638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51%</w:t>
            </w:r>
          </w:p>
        </w:tc>
        <w:tc>
          <w:tcPr>
            <w:tcW w:w="913" w:type="dxa"/>
            <w:shd w:val="clear" w:color="auto" w:fill="auto"/>
          </w:tcPr>
          <w:p w14:paraId="35FB344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42%</w:t>
            </w:r>
          </w:p>
        </w:tc>
      </w:tr>
      <w:tr w:rsidR="00C3312E" w:rsidRPr="00C3312E" w14:paraId="730C52BE" w14:textId="77777777" w:rsidTr="00F37A4F">
        <w:tc>
          <w:tcPr>
            <w:tcW w:w="3150" w:type="dxa"/>
            <w:shd w:val="clear" w:color="auto" w:fill="BFBFBF" w:themeFill="background1" w:themeFillShade="BF"/>
          </w:tcPr>
          <w:p w14:paraId="31A812C9" w14:textId="1591B3AD" w:rsidR="00C3312E" w:rsidRPr="00C3312E" w:rsidRDefault="00C3312E" w:rsidP="00C3312E">
            <w:pPr>
              <w:spacing w:after="0" w:line="240" w:lineRule="auto"/>
              <w:rPr>
                <w:rFonts w:cstheme="minorHAnsi"/>
                <w:sz w:val="20"/>
                <w:szCs w:val="20"/>
              </w:rPr>
            </w:pPr>
            <w:r w:rsidRPr="00C3312E">
              <w:rPr>
                <w:rFonts w:cstheme="minorHAnsi"/>
                <w:sz w:val="20"/>
                <w:szCs w:val="20"/>
              </w:rPr>
              <w:t xml:space="preserve">Fuller </w:t>
            </w:r>
            <w:r w:rsidR="00D80CEF" w:rsidRPr="00C3312E">
              <w:rPr>
                <w:sz w:val="20"/>
                <w:szCs w:val="20"/>
              </w:rPr>
              <w:t>Middle</w:t>
            </w:r>
          </w:p>
        </w:tc>
        <w:tc>
          <w:tcPr>
            <w:tcW w:w="912" w:type="dxa"/>
            <w:shd w:val="clear" w:color="auto" w:fill="BFBFBF" w:themeFill="background1" w:themeFillShade="BF"/>
          </w:tcPr>
          <w:p w14:paraId="17E5692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57001B7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3A2A134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BFBFBF" w:themeFill="background1" w:themeFillShade="BF"/>
          </w:tcPr>
          <w:p w14:paraId="7B31B28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913" w:type="dxa"/>
            <w:shd w:val="clear" w:color="auto" w:fill="BFBFBF" w:themeFill="background1" w:themeFillShade="BF"/>
          </w:tcPr>
          <w:p w14:paraId="3C9ABF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913" w:type="dxa"/>
            <w:shd w:val="clear" w:color="auto" w:fill="BFBFBF" w:themeFill="background1" w:themeFillShade="BF"/>
          </w:tcPr>
          <w:p w14:paraId="17C1F40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c>
          <w:tcPr>
            <w:tcW w:w="913" w:type="dxa"/>
            <w:shd w:val="clear" w:color="auto" w:fill="BFBFBF" w:themeFill="background1" w:themeFillShade="BF"/>
          </w:tcPr>
          <w:p w14:paraId="06BBF0A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r>
      <w:tr w:rsidR="00C3312E" w:rsidRPr="00C3312E" w14:paraId="654C4C05" w14:textId="77777777" w:rsidTr="00F37A4F">
        <w:tc>
          <w:tcPr>
            <w:tcW w:w="3150" w:type="dxa"/>
            <w:shd w:val="clear" w:color="auto" w:fill="auto"/>
          </w:tcPr>
          <w:p w14:paraId="3ACF2A93" w14:textId="11A6ACDF" w:rsidR="00C3312E" w:rsidRPr="00C3312E" w:rsidRDefault="00C3312E" w:rsidP="00C3312E">
            <w:pPr>
              <w:spacing w:after="0" w:line="240" w:lineRule="auto"/>
              <w:rPr>
                <w:rFonts w:cstheme="minorHAnsi"/>
                <w:sz w:val="20"/>
                <w:szCs w:val="20"/>
              </w:rPr>
            </w:pPr>
            <w:r w:rsidRPr="00C3312E">
              <w:rPr>
                <w:rFonts w:cstheme="minorHAnsi"/>
                <w:sz w:val="20"/>
                <w:szCs w:val="20"/>
              </w:rPr>
              <w:t xml:space="preserve">Walsh </w:t>
            </w:r>
            <w:r w:rsidR="00D80CEF" w:rsidRPr="00C3312E">
              <w:rPr>
                <w:sz w:val="20"/>
                <w:szCs w:val="20"/>
              </w:rPr>
              <w:t>Middle</w:t>
            </w:r>
          </w:p>
        </w:tc>
        <w:tc>
          <w:tcPr>
            <w:tcW w:w="912" w:type="dxa"/>
            <w:shd w:val="clear" w:color="auto" w:fill="auto"/>
          </w:tcPr>
          <w:p w14:paraId="38A1247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18FFD12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29069CC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3" w:type="dxa"/>
            <w:shd w:val="clear" w:color="auto" w:fill="auto"/>
          </w:tcPr>
          <w:p w14:paraId="7DBA5F0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42%</w:t>
            </w:r>
          </w:p>
        </w:tc>
        <w:tc>
          <w:tcPr>
            <w:tcW w:w="913" w:type="dxa"/>
            <w:shd w:val="clear" w:color="auto" w:fill="auto"/>
          </w:tcPr>
          <w:p w14:paraId="71DD7C3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56%</w:t>
            </w:r>
          </w:p>
        </w:tc>
        <w:tc>
          <w:tcPr>
            <w:tcW w:w="913" w:type="dxa"/>
            <w:shd w:val="clear" w:color="auto" w:fill="auto"/>
          </w:tcPr>
          <w:p w14:paraId="58F34BF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913" w:type="dxa"/>
            <w:shd w:val="clear" w:color="auto" w:fill="auto"/>
          </w:tcPr>
          <w:p w14:paraId="08B6BBB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49%</w:t>
            </w:r>
          </w:p>
        </w:tc>
      </w:tr>
      <w:tr w:rsidR="00C3312E" w:rsidRPr="00C3312E" w14:paraId="5F2A11C3" w14:textId="77777777" w:rsidTr="00F37A4F">
        <w:tc>
          <w:tcPr>
            <w:tcW w:w="3150" w:type="dxa"/>
            <w:shd w:val="clear" w:color="auto" w:fill="BFBFBF" w:themeFill="background1" w:themeFillShade="BF"/>
          </w:tcPr>
          <w:p w14:paraId="3B0D5547" w14:textId="117DCFF4" w:rsidR="00C3312E" w:rsidRPr="00C3312E" w:rsidRDefault="00C3312E" w:rsidP="00D80CEF">
            <w:pPr>
              <w:spacing w:after="0" w:line="240" w:lineRule="auto"/>
              <w:rPr>
                <w:rFonts w:cstheme="minorHAnsi"/>
                <w:sz w:val="20"/>
                <w:szCs w:val="20"/>
              </w:rPr>
            </w:pPr>
            <w:r w:rsidRPr="00C3312E">
              <w:rPr>
                <w:rFonts w:cstheme="minorHAnsi"/>
                <w:sz w:val="20"/>
                <w:szCs w:val="20"/>
              </w:rPr>
              <w:t>District</w:t>
            </w:r>
          </w:p>
        </w:tc>
        <w:tc>
          <w:tcPr>
            <w:tcW w:w="912" w:type="dxa"/>
            <w:shd w:val="clear" w:color="auto" w:fill="BFBFBF" w:themeFill="background1" w:themeFillShade="BF"/>
          </w:tcPr>
          <w:p w14:paraId="098D492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39%</w:t>
            </w:r>
          </w:p>
        </w:tc>
        <w:tc>
          <w:tcPr>
            <w:tcW w:w="913" w:type="dxa"/>
            <w:shd w:val="clear" w:color="auto" w:fill="BFBFBF" w:themeFill="background1" w:themeFillShade="BF"/>
          </w:tcPr>
          <w:p w14:paraId="0C3B43A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35%</w:t>
            </w:r>
          </w:p>
        </w:tc>
        <w:tc>
          <w:tcPr>
            <w:tcW w:w="913" w:type="dxa"/>
            <w:shd w:val="clear" w:color="auto" w:fill="BFBFBF" w:themeFill="background1" w:themeFillShade="BF"/>
          </w:tcPr>
          <w:p w14:paraId="589EBD7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913" w:type="dxa"/>
            <w:shd w:val="clear" w:color="auto" w:fill="BFBFBF" w:themeFill="background1" w:themeFillShade="BF"/>
          </w:tcPr>
          <w:p w14:paraId="5CD6BA9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913" w:type="dxa"/>
            <w:shd w:val="clear" w:color="auto" w:fill="BFBFBF" w:themeFill="background1" w:themeFillShade="BF"/>
          </w:tcPr>
          <w:p w14:paraId="34C04C0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3" w:type="dxa"/>
            <w:shd w:val="clear" w:color="auto" w:fill="BFBFBF" w:themeFill="background1" w:themeFillShade="BF"/>
          </w:tcPr>
          <w:p w14:paraId="503286D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41%</w:t>
            </w:r>
          </w:p>
        </w:tc>
        <w:tc>
          <w:tcPr>
            <w:tcW w:w="913" w:type="dxa"/>
            <w:shd w:val="clear" w:color="auto" w:fill="BFBFBF" w:themeFill="background1" w:themeFillShade="BF"/>
          </w:tcPr>
          <w:p w14:paraId="3D6B79B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37%</w:t>
            </w:r>
          </w:p>
        </w:tc>
      </w:tr>
      <w:tr w:rsidR="00C3312E" w:rsidRPr="00C3312E" w14:paraId="4ADBB47E" w14:textId="77777777" w:rsidTr="00F37A4F">
        <w:tc>
          <w:tcPr>
            <w:tcW w:w="3150" w:type="dxa"/>
            <w:shd w:val="clear" w:color="auto" w:fill="auto"/>
          </w:tcPr>
          <w:p w14:paraId="6BF85854"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State</w:t>
            </w:r>
          </w:p>
        </w:tc>
        <w:tc>
          <w:tcPr>
            <w:tcW w:w="912" w:type="dxa"/>
            <w:shd w:val="clear" w:color="auto" w:fill="auto"/>
          </w:tcPr>
          <w:p w14:paraId="31617D5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913" w:type="dxa"/>
            <w:shd w:val="clear" w:color="auto" w:fill="auto"/>
          </w:tcPr>
          <w:p w14:paraId="0412189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913" w:type="dxa"/>
            <w:shd w:val="clear" w:color="auto" w:fill="auto"/>
          </w:tcPr>
          <w:p w14:paraId="45465C9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913" w:type="dxa"/>
            <w:shd w:val="clear" w:color="auto" w:fill="auto"/>
          </w:tcPr>
          <w:p w14:paraId="375A800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47%</w:t>
            </w:r>
          </w:p>
        </w:tc>
        <w:tc>
          <w:tcPr>
            <w:tcW w:w="913" w:type="dxa"/>
            <w:shd w:val="clear" w:color="auto" w:fill="auto"/>
          </w:tcPr>
          <w:p w14:paraId="25EEFD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913" w:type="dxa"/>
            <w:shd w:val="clear" w:color="auto" w:fill="auto"/>
          </w:tcPr>
          <w:p w14:paraId="5C806A6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913" w:type="dxa"/>
            <w:shd w:val="clear" w:color="auto" w:fill="auto"/>
          </w:tcPr>
          <w:p w14:paraId="457F974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r>
    </w:tbl>
    <w:p w14:paraId="69A831F8" w14:textId="77777777" w:rsidR="00C3312E" w:rsidRPr="00C3312E" w:rsidRDefault="00C3312E" w:rsidP="00C3312E">
      <w:pPr>
        <w:spacing w:after="0" w:line="240" w:lineRule="auto"/>
      </w:pPr>
    </w:p>
    <w:p w14:paraId="7491DC05" w14:textId="77777777" w:rsidR="00C3312E" w:rsidRPr="00C3312E" w:rsidRDefault="00C3312E" w:rsidP="00C3312E">
      <w:pPr>
        <w:spacing w:after="0" w:line="240" w:lineRule="auto"/>
      </w:pPr>
    </w:p>
    <w:tbl>
      <w:tblPr>
        <w:tblStyle w:val="TableGrid5"/>
        <w:tblW w:w="0" w:type="auto"/>
        <w:tblLook w:val="04A0" w:firstRow="1" w:lastRow="0" w:firstColumn="1" w:lastColumn="0" w:noHBand="0" w:noVBand="1"/>
        <w:tblCaption w:val="Table 16: Framingham Public Schools"/>
        <w:tblDescription w:val="MCAS ELA and Math Percent Scoring Proficient or Advanced in Grade 10, 2018&#10;"/>
      </w:tblPr>
      <w:tblGrid>
        <w:gridCol w:w="3123"/>
        <w:gridCol w:w="3117"/>
        <w:gridCol w:w="3120"/>
      </w:tblGrid>
      <w:tr w:rsidR="00C3312E" w:rsidRPr="00C3312E" w14:paraId="59622605" w14:textId="77777777" w:rsidTr="00F37A4F">
        <w:tc>
          <w:tcPr>
            <w:tcW w:w="9360" w:type="dxa"/>
            <w:gridSpan w:val="3"/>
            <w:tcBorders>
              <w:top w:val="nil"/>
              <w:left w:val="nil"/>
              <w:bottom w:val="single" w:sz="4" w:space="0" w:color="auto"/>
              <w:right w:val="nil"/>
            </w:tcBorders>
          </w:tcPr>
          <w:p w14:paraId="1AB29F5C" w14:textId="77777777" w:rsidR="00C3312E" w:rsidRPr="00C3312E" w:rsidRDefault="00C3312E" w:rsidP="00C3312E">
            <w:pPr>
              <w:spacing w:after="0" w:line="240" w:lineRule="auto"/>
              <w:jc w:val="center"/>
              <w:rPr>
                <w:b/>
                <w:sz w:val="20"/>
                <w:szCs w:val="20"/>
              </w:rPr>
            </w:pPr>
            <w:r w:rsidRPr="00C3312E">
              <w:rPr>
                <w:b/>
                <w:sz w:val="20"/>
                <w:szCs w:val="20"/>
              </w:rPr>
              <w:t xml:space="preserve">Table 16: </w:t>
            </w:r>
            <w:r w:rsidRPr="00C3312E">
              <w:rPr>
                <w:rFonts w:cs="Times New Roman"/>
                <w:b/>
                <w:sz w:val="20"/>
                <w:szCs w:val="20"/>
              </w:rPr>
              <w:t>Framingham Public Schools</w:t>
            </w:r>
          </w:p>
          <w:p w14:paraId="5198437E" w14:textId="77777777" w:rsidR="00C3312E" w:rsidRPr="00C3312E" w:rsidRDefault="00C3312E" w:rsidP="00C3312E">
            <w:pPr>
              <w:spacing w:after="0" w:line="240" w:lineRule="auto"/>
              <w:jc w:val="center"/>
            </w:pPr>
            <w:r w:rsidRPr="00C3312E">
              <w:rPr>
                <w:b/>
                <w:sz w:val="20"/>
                <w:szCs w:val="20"/>
              </w:rPr>
              <w:t>MCAS ELA and Math Percent Scoring Proficient or Advanced in Grade 10, 2018</w:t>
            </w:r>
          </w:p>
        </w:tc>
      </w:tr>
      <w:tr w:rsidR="00C3312E" w:rsidRPr="00C3312E" w14:paraId="1DBC9085" w14:textId="77777777" w:rsidTr="00F37A4F">
        <w:tc>
          <w:tcPr>
            <w:tcW w:w="3123" w:type="dxa"/>
            <w:shd w:val="clear" w:color="auto" w:fill="BFBFBF" w:themeFill="background1" w:themeFillShade="BF"/>
          </w:tcPr>
          <w:p w14:paraId="25596137" w14:textId="77777777" w:rsidR="00C3312E" w:rsidRPr="00C3312E" w:rsidRDefault="00C3312E" w:rsidP="00EC5B5A">
            <w:pPr>
              <w:spacing w:after="0" w:line="240" w:lineRule="auto"/>
              <w:rPr>
                <w:rFonts w:ascii="Calibri" w:hAnsi="Calibri"/>
                <w:b/>
                <w:sz w:val="20"/>
                <w:szCs w:val="20"/>
              </w:rPr>
            </w:pPr>
            <w:r w:rsidRPr="00C3312E">
              <w:rPr>
                <w:rFonts w:ascii="Calibri" w:hAnsi="Calibri"/>
                <w:b/>
                <w:sz w:val="20"/>
                <w:szCs w:val="20"/>
              </w:rPr>
              <w:t>School</w:t>
            </w:r>
          </w:p>
        </w:tc>
        <w:tc>
          <w:tcPr>
            <w:tcW w:w="3117" w:type="dxa"/>
            <w:shd w:val="clear" w:color="auto" w:fill="BFBFBF" w:themeFill="background1" w:themeFillShade="BF"/>
          </w:tcPr>
          <w:p w14:paraId="70F334D3" w14:textId="77777777" w:rsidR="00C3312E" w:rsidRPr="00C3312E" w:rsidRDefault="00C3312E" w:rsidP="00C3312E">
            <w:pPr>
              <w:spacing w:after="0" w:line="240" w:lineRule="auto"/>
              <w:jc w:val="center"/>
              <w:rPr>
                <w:b/>
                <w:sz w:val="20"/>
                <w:szCs w:val="20"/>
              </w:rPr>
            </w:pPr>
            <w:r w:rsidRPr="00C3312E">
              <w:rPr>
                <w:b/>
                <w:sz w:val="20"/>
                <w:szCs w:val="20"/>
              </w:rPr>
              <w:t>ELA</w:t>
            </w:r>
          </w:p>
        </w:tc>
        <w:tc>
          <w:tcPr>
            <w:tcW w:w="3120" w:type="dxa"/>
            <w:shd w:val="clear" w:color="auto" w:fill="BFBFBF" w:themeFill="background1" w:themeFillShade="BF"/>
          </w:tcPr>
          <w:p w14:paraId="3D3E652F" w14:textId="77777777" w:rsidR="00C3312E" w:rsidRPr="00C3312E" w:rsidRDefault="00C3312E" w:rsidP="00C3312E">
            <w:pPr>
              <w:spacing w:after="0" w:line="240" w:lineRule="auto"/>
              <w:jc w:val="center"/>
              <w:rPr>
                <w:b/>
                <w:sz w:val="20"/>
                <w:szCs w:val="20"/>
              </w:rPr>
            </w:pPr>
            <w:r w:rsidRPr="00C3312E">
              <w:rPr>
                <w:b/>
                <w:sz w:val="20"/>
                <w:szCs w:val="20"/>
              </w:rPr>
              <w:t>Math</w:t>
            </w:r>
          </w:p>
        </w:tc>
      </w:tr>
      <w:tr w:rsidR="00C3312E" w:rsidRPr="00C3312E" w14:paraId="0C9F462C" w14:textId="77777777" w:rsidTr="00F37A4F">
        <w:tc>
          <w:tcPr>
            <w:tcW w:w="3123" w:type="dxa"/>
          </w:tcPr>
          <w:p w14:paraId="66010CFD" w14:textId="77777777" w:rsidR="00C3312E" w:rsidRPr="00C3312E" w:rsidRDefault="00C3312E" w:rsidP="00C3312E">
            <w:pPr>
              <w:spacing w:after="0" w:line="240" w:lineRule="auto"/>
              <w:rPr>
                <w:rFonts w:ascii="Calibri" w:hAnsi="Calibri"/>
                <w:sz w:val="20"/>
                <w:szCs w:val="20"/>
              </w:rPr>
            </w:pPr>
            <w:r w:rsidRPr="00C3312E">
              <w:rPr>
                <w:rFonts w:ascii="Calibri" w:hAnsi="Calibri"/>
                <w:sz w:val="20"/>
                <w:szCs w:val="20"/>
              </w:rPr>
              <w:t>Framingham High</w:t>
            </w:r>
          </w:p>
        </w:tc>
        <w:tc>
          <w:tcPr>
            <w:tcW w:w="3117" w:type="dxa"/>
          </w:tcPr>
          <w:p w14:paraId="515C3B79" w14:textId="77777777" w:rsidR="00C3312E" w:rsidRPr="00C3312E" w:rsidRDefault="00C3312E" w:rsidP="00C3312E">
            <w:pPr>
              <w:spacing w:after="0" w:line="240" w:lineRule="auto"/>
              <w:jc w:val="center"/>
              <w:rPr>
                <w:rFonts w:ascii="Calibri" w:hAnsi="Calibri"/>
                <w:sz w:val="20"/>
                <w:szCs w:val="20"/>
              </w:rPr>
            </w:pPr>
            <w:r w:rsidRPr="00C3312E">
              <w:rPr>
                <w:rFonts w:ascii="Calibri" w:hAnsi="Calibri"/>
                <w:sz w:val="20"/>
                <w:szCs w:val="20"/>
              </w:rPr>
              <w:t>89%</w:t>
            </w:r>
          </w:p>
        </w:tc>
        <w:tc>
          <w:tcPr>
            <w:tcW w:w="3120" w:type="dxa"/>
          </w:tcPr>
          <w:p w14:paraId="5A626A92" w14:textId="77777777" w:rsidR="00C3312E" w:rsidRPr="00C3312E" w:rsidRDefault="00C3312E" w:rsidP="00C3312E">
            <w:pPr>
              <w:spacing w:after="0" w:line="240" w:lineRule="auto"/>
              <w:jc w:val="center"/>
              <w:rPr>
                <w:rFonts w:ascii="Calibri" w:hAnsi="Calibri"/>
                <w:sz w:val="20"/>
                <w:szCs w:val="20"/>
              </w:rPr>
            </w:pPr>
            <w:r w:rsidRPr="00C3312E">
              <w:rPr>
                <w:rFonts w:ascii="Calibri" w:hAnsi="Calibri"/>
                <w:sz w:val="20"/>
                <w:szCs w:val="20"/>
              </w:rPr>
              <w:t>81%</w:t>
            </w:r>
          </w:p>
        </w:tc>
      </w:tr>
      <w:tr w:rsidR="00C3312E" w:rsidRPr="00C3312E" w14:paraId="5A5BDB25" w14:textId="77777777" w:rsidTr="00F37A4F">
        <w:tc>
          <w:tcPr>
            <w:tcW w:w="3123" w:type="dxa"/>
            <w:shd w:val="clear" w:color="auto" w:fill="BFBFBF" w:themeFill="background1" w:themeFillShade="BF"/>
          </w:tcPr>
          <w:p w14:paraId="5553C55F" w14:textId="77777777" w:rsidR="00C3312E" w:rsidRPr="00C3312E" w:rsidRDefault="00C3312E" w:rsidP="00C3312E">
            <w:pPr>
              <w:spacing w:after="0" w:line="240" w:lineRule="auto"/>
              <w:rPr>
                <w:rFonts w:ascii="Calibri" w:hAnsi="Calibri"/>
                <w:sz w:val="20"/>
                <w:szCs w:val="20"/>
              </w:rPr>
            </w:pPr>
            <w:r w:rsidRPr="00C3312E">
              <w:rPr>
                <w:rFonts w:ascii="Calibri" w:hAnsi="Calibri"/>
                <w:sz w:val="20"/>
                <w:szCs w:val="20"/>
              </w:rPr>
              <w:t>State</w:t>
            </w:r>
          </w:p>
        </w:tc>
        <w:tc>
          <w:tcPr>
            <w:tcW w:w="3117" w:type="dxa"/>
            <w:shd w:val="clear" w:color="auto" w:fill="BFBFBF" w:themeFill="background1" w:themeFillShade="BF"/>
          </w:tcPr>
          <w:p w14:paraId="09C7C0FB" w14:textId="77777777" w:rsidR="00C3312E" w:rsidRPr="00C3312E" w:rsidRDefault="00C3312E" w:rsidP="00C3312E">
            <w:pPr>
              <w:spacing w:after="0" w:line="240" w:lineRule="auto"/>
              <w:jc w:val="center"/>
              <w:rPr>
                <w:rFonts w:ascii="Calibri" w:hAnsi="Calibri"/>
                <w:sz w:val="20"/>
                <w:szCs w:val="20"/>
              </w:rPr>
            </w:pPr>
            <w:r w:rsidRPr="00C3312E">
              <w:rPr>
                <w:rFonts w:ascii="Calibri" w:hAnsi="Calibri"/>
                <w:sz w:val="20"/>
                <w:szCs w:val="20"/>
              </w:rPr>
              <w:t>91%</w:t>
            </w:r>
          </w:p>
        </w:tc>
        <w:tc>
          <w:tcPr>
            <w:tcW w:w="3120" w:type="dxa"/>
            <w:shd w:val="clear" w:color="auto" w:fill="BFBFBF" w:themeFill="background1" w:themeFillShade="BF"/>
          </w:tcPr>
          <w:p w14:paraId="4F430D23" w14:textId="77777777" w:rsidR="00C3312E" w:rsidRPr="00C3312E" w:rsidRDefault="00C3312E" w:rsidP="00C3312E">
            <w:pPr>
              <w:spacing w:after="0" w:line="240" w:lineRule="auto"/>
              <w:jc w:val="center"/>
              <w:rPr>
                <w:rFonts w:ascii="Calibri" w:hAnsi="Calibri"/>
                <w:sz w:val="20"/>
                <w:szCs w:val="20"/>
              </w:rPr>
            </w:pPr>
            <w:r w:rsidRPr="00C3312E">
              <w:rPr>
                <w:rFonts w:ascii="Calibri" w:hAnsi="Calibri"/>
                <w:sz w:val="20"/>
                <w:szCs w:val="20"/>
              </w:rPr>
              <w:t>78%</w:t>
            </w:r>
          </w:p>
        </w:tc>
      </w:tr>
    </w:tbl>
    <w:p w14:paraId="10F2F5B5" w14:textId="742588D4" w:rsidR="00C3312E" w:rsidRDefault="00C3312E" w:rsidP="00C3312E">
      <w:pPr>
        <w:spacing w:after="0" w:line="240" w:lineRule="auto"/>
      </w:pPr>
    </w:p>
    <w:p w14:paraId="5EFF20A1" w14:textId="7C93A4D0" w:rsidR="0089512A" w:rsidRDefault="0089512A" w:rsidP="00C3312E">
      <w:pPr>
        <w:spacing w:after="0" w:line="240" w:lineRule="auto"/>
      </w:pPr>
    </w:p>
    <w:p w14:paraId="4726C815" w14:textId="35D6A5AC" w:rsidR="0089512A" w:rsidRDefault="0089512A" w:rsidP="00C3312E">
      <w:pPr>
        <w:spacing w:after="0" w:line="240" w:lineRule="auto"/>
      </w:pPr>
    </w:p>
    <w:p w14:paraId="069E7B60" w14:textId="08EFB4B8" w:rsidR="0089512A" w:rsidRDefault="0089512A" w:rsidP="00C3312E">
      <w:pPr>
        <w:spacing w:after="0" w:line="240" w:lineRule="auto"/>
      </w:pPr>
    </w:p>
    <w:p w14:paraId="6EF4BC13" w14:textId="77777777" w:rsidR="0089512A" w:rsidRPr="00C3312E" w:rsidRDefault="0089512A" w:rsidP="00C3312E">
      <w:pPr>
        <w:spacing w:after="0" w:line="240" w:lineRule="auto"/>
      </w:pPr>
    </w:p>
    <w:tbl>
      <w:tblPr>
        <w:tblStyle w:val="TableGrid16"/>
        <w:tblW w:w="9558" w:type="dxa"/>
        <w:tblInd w:w="18" w:type="dxa"/>
        <w:tblLayout w:type="fixed"/>
        <w:tblLook w:val="04A0" w:firstRow="1" w:lastRow="0" w:firstColumn="1" w:lastColumn="0" w:noHBand="0" w:noVBand="1"/>
        <w:tblCaption w:val="Table 17: Framingham Public Schools"/>
        <w:tblDescription w:val="MCAS Science Percent Scoring Proficient or Advanced by School and Grade, 2018&#10;"/>
      </w:tblPr>
      <w:tblGrid>
        <w:gridCol w:w="3330"/>
        <w:gridCol w:w="778"/>
        <w:gridCol w:w="779"/>
        <w:gridCol w:w="778"/>
        <w:gridCol w:w="779"/>
        <w:gridCol w:w="778"/>
        <w:gridCol w:w="779"/>
        <w:gridCol w:w="778"/>
        <w:gridCol w:w="779"/>
      </w:tblGrid>
      <w:tr w:rsidR="00C3312E" w:rsidRPr="00C3312E" w14:paraId="6FC634DB" w14:textId="77777777" w:rsidTr="00697F37">
        <w:tc>
          <w:tcPr>
            <w:tcW w:w="9558" w:type="dxa"/>
            <w:gridSpan w:val="9"/>
            <w:tcBorders>
              <w:top w:val="nil"/>
              <w:left w:val="nil"/>
              <w:bottom w:val="single" w:sz="4" w:space="0" w:color="auto"/>
              <w:right w:val="nil"/>
            </w:tcBorders>
          </w:tcPr>
          <w:p w14:paraId="53C8DD5F"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lastRenderedPageBreak/>
              <w:t xml:space="preserve">Table 17: </w:t>
            </w:r>
            <w:r w:rsidRPr="00C3312E">
              <w:rPr>
                <w:rFonts w:cs="Times New Roman"/>
                <w:b/>
                <w:sz w:val="20"/>
                <w:szCs w:val="20"/>
              </w:rPr>
              <w:t>Framingham Public Schools</w:t>
            </w:r>
          </w:p>
          <w:p w14:paraId="5BE15D54"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MCAS Science Percent Scoring Proficient or Advanced by School and Grade, 2018</w:t>
            </w:r>
          </w:p>
        </w:tc>
      </w:tr>
      <w:tr w:rsidR="00C3312E" w:rsidRPr="00C3312E" w14:paraId="791B2162" w14:textId="77777777" w:rsidTr="00697F37">
        <w:tc>
          <w:tcPr>
            <w:tcW w:w="3330" w:type="dxa"/>
            <w:shd w:val="clear" w:color="auto" w:fill="BFBFBF" w:themeFill="background1" w:themeFillShade="BF"/>
          </w:tcPr>
          <w:p w14:paraId="21E6B17E" w14:textId="77777777" w:rsidR="00C3312E" w:rsidRPr="00C3312E" w:rsidRDefault="00C3312E" w:rsidP="00EC5B5A">
            <w:pPr>
              <w:spacing w:after="0" w:line="240" w:lineRule="auto"/>
              <w:rPr>
                <w:rFonts w:eastAsia="Times New Roman" w:cs="Times New Roman"/>
                <w:b/>
                <w:sz w:val="20"/>
                <w:szCs w:val="20"/>
              </w:rPr>
            </w:pPr>
            <w:r w:rsidRPr="00C3312E">
              <w:rPr>
                <w:rFonts w:eastAsia="Times New Roman" w:cs="Times New Roman"/>
                <w:b/>
                <w:sz w:val="20"/>
                <w:szCs w:val="20"/>
              </w:rPr>
              <w:t>School</w:t>
            </w:r>
          </w:p>
        </w:tc>
        <w:tc>
          <w:tcPr>
            <w:tcW w:w="778" w:type="dxa"/>
            <w:shd w:val="clear" w:color="auto" w:fill="BFBFBF" w:themeFill="background1" w:themeFillShade="BF"/>
          </w:tcPr>
          <w:p w14:paraId="2A33F309"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3</w:t>
            </w:r>
          </w:p>
        </w:tc>
        <w:tc>
          <w:tcPr>
            <w:tcW w:w="779" w:type="dxa"/>
            <w:shd w:val="clear" w:color="auto" w:fill="BFBFBF" w:themeFill="background1" w:themeFillShade="BF"/>
          </w:tcPr>
          <w:p w14:paraId="25FF65F4"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4</w:t>
            </w:r>
          </w:p>
        </w:tc>
        <w:tc>
          <w:tcPr>
            <w:tcW w:w="778" w:type="dxa"/>
            <w:shd w:val="clear" w:color="auto" w:fill="BFBFBF" w:themeFill="background1" w:themeFillShade="BF"/>
          </w:tcPr>
          <w:p w14:paraId="51F718A2"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5</w:t>
            </w:r>
          </w:p>
        </w:tc>
        <w:tc>
          <w:tcPr>
            <w:tcW w:w="779" w:type="dxa"/>
            <w:shd w:val="clear" w:color="auto" w:fill="BFBFBF" w:themeFill="background1" w:themeFillShade="BF"/>
          </w:tcPr>
          <w:p w14:paraId="0F78D446"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6</w:t>
            </w:r>
          </w:p>
        </w:tc>
        <w:tc>
          <w:tcPr>
            <w:tcW w:w="778" w:type="dxa"/>
            <w:shd w:val="clear" w:color="auto" w:fill="BFBFBF" w:themeFill="background1" w:themeFillShade="BF"/>
          </w:tcPr>
          <w:p w14:paraId="2974379B"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7</w:t>
            </w:r>
          </w:p>
        </w:tc>
        <w:tc>
          <w:tcPr>
            <w:tcW w:w="779" w:type="dxa"/>
            <w:shd w:val="clear" w:color="auto" w:fill="BFBFBF" w:themeFill="background1" w:themeFillShade="BF"/>
          </w:tcPr>
          <w:p w14:paraId="6A85F54C"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8</w:t>
            </w:r>
          </w:p>
        </w:tc>
        <w:tc>
          <w:tcPr>
            <w:tcW w:w="778" w:type="dxa"/>
            <w:shd w:val="clear" w:color="auto" w:fill="BFBFBF" w:themeFill="background1" w:themeFillShade="BF"/>
          </w:tcPr>
          <w:p w14:paraId="30204318"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10</w:t>
            </w:r>
          </w:p>
        </w:tc>
        <w:tc>
          <w:tcPr>
            <w:tcW w:w="779" w:type="dxa"/>
            <w:shd w:val="clear" w:color="auto" w:fill="BFBFBF" w:themeFill="background1" w:themeFillShade="BF"/>
          </w:tcPr>
          <w:p w14:paraId="60BACB6E"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Total</w:t>
            </w:r>
          </w:p>
        </w:tc>
      </w:tr>
      <w:tr w:rsidR="00C3312E" w:rsidRPr="00C3312E" w14:paraId="692E727A" w14:textId="77777777" w:rsidTr="00697F37">
        <w:tc>
          <w:tcPr>
            <w:tcW w:w="3330" w:type="dxa"/>
            <w:shd w:val="clear" w:color="auto" w:fill="auto"/>
          </w:tcPr>
          <w:p w14:paraId="20DCB86C" w14:textId="77777777" w:rsidR="00C3312E" w:rsidRPr="00C3312E" w:rsidRDefault="00C3312E" w:rsidP="00C3312E">
            <w:pPr>
              <w:spacing w:after="0" w:line="240" w:lineRule="auto"/>
              <w:rPr>
                <w:sz w:val="20"/>
                <w:szCs w:val="20"/>
              </w:rPr>
            </w:pPr>
            <w:r w:rsidRPr="00C3312E">
              <w:rPr>
                <w:sz w:val="20"/>
                <w:szCs w:val="20"/>
              </w:rPr>
              <w:t>Juniper Hill</w:t>
            </w:r>
          </w:p>
        </w:tc>
        <w:tc>
          <w:tcPr>
            <w:tcW w:w="778" w:type="dxa"/>
            <w:shd w:val="clear" w:color="auto" w:fill="auto"/>
          </w:tcPr>
          <w:p w14:paraId="4E9BB89D"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47062D69"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5308EED5"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8BF4B7B"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7DBF68F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332A261E"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73051FD7"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26A37E3B"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7D45A46E" w14:textId="77777777" w:rsidTr="00697F37">
        <w:tc>
          <w:tcPr>
            <w:tcW w:w="3330" w:type="dxa"/>
            <w:shd w:val="clear" w:color="auto" w:fill="BFBFBF" w:themeFill="background1" w:themeFillShade="BF"/>
          </w:tcPr>
          <w:p w14:paraId="35EA9261" w14:textId="229F873A" w:rsidR="00C3312E" w:rsidRPr="00C3312E" w:rsidRDefault="00C3312E" w:rsidP="00EE4DAB">
            <w:pPr>
              <w:spacing w:after="0" w:line="240" w:lineRule="auto"/>
              <w:rPr>
                <w:sz w:val="20"/>
                <w:szCs w:val="20"/>
              </w:rPr>
            </w:pPr>
            <w:r w:rsidRPr="00C3312E">
              <w:rPr>
                <w:sz w:val="20"/>
                <w:szCs w:val="20"/>
              </w:rPr>
              <w:t xml:space="preserve">King </w:t>
            </w:r>
          </w:p>
        </w:tc>
        <w:tc>
          <w:tcPr>
            <w:tcW w:w="778" w:type="dxa"/>
            <w:shd w:val="clear" w:color="auto" w:fill="BFBFBF" w:themeFill="background1" w:themeFillShade="BF"/>
          </w:tcPr>
          <w:p w14:paraId="02FE67D6"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74E232FD"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4CB013C"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1AFB25CD"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FE5FC7F"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25145181"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178792A4"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471149B6"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3A5A6628" w14:textId="77777777" w:rsidTr="00697F37">
        <w:tc>
          <w:tcPr>
            <w:tcW w:w="3330" w:type="dxa"/>
            <w:shd w:val="clear" w:color="auto" w:fill="auto"/>
          </w:tcPr>
          <w:p w14:paraId="73C1FD94" w14:textId="77777777" w:rsidR="00C3312E" w:rsidRPr="00C3312E" w:rsidRDefault="00C3312E" w:rsidP="00C3312E">
            <w:pPr>
              <w:spacing w:after="0" w:line="240" w:lineRule="auto"/>
              <w:rPr>
                <w:sz w:val="20"/>
                <w:szCs w:val="20"/>
              </w:rPr>
            </w:pPr>
            <w:r w:rsidRPr="00C3312E">
              <w:rPr>
                <w:sz w:val="20"/>
                <w:szCs w:val="20"/>
              </w:rPr>
              <w:t>Brophy</w:t>
            </w:r>
          </w:p>
        </w:tc>
        <w:tc>
          <w:tcPr>
            <w:tcW w:w="778" w:type="dxa"/>
            <w:shd w:val="clear" w:color="auto" w:fill="auto"/>
          </w:tcPr>
          <w:p w14:paraId="742A0D1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0C448AEA"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3C91F3F9" w14:textId="77777777" w:rsidR="00C3312E" w:rsidRPr="00C3312E" w:rsidRDefault="00C3312E" w:rsidP="00C3312E">
            <w:pPr>
              <w:spacing w:after="0" w:line="240" w:lineRule="auto"/>
              <w:jc w:val="center"/>
              <w:rPr>
                <w:sz w:val="20"/>
                <w:szCs w:val="20"/>
              </w:rPr>
            </w:pPr>
            <w:r w:rsidRPr="00C3312E">
              <w:rPr>
                <w:sz w:val="20"/>
                <w:szCs w:val="20"/>
              </w:rPr>
              <w:t>31%</w:t>
            </w:r>
          </w:p>
        </w:tc>
        <w:tc>
          <w:tcPr>
            <w:tcW w:w="779" w:type="dxa"/>
            <w:shd w:val="clear" w:color="auto" w:fill="auto"/>
          </w:tcPr>
          <w:p w14:paraId="46495D71"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0792848E"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AF40086"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1DC4CC5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21E070F7" w14:textId="77777777" w:rsidR="00C3312E" w:rsidRPr="00C3312E" w:rsidRDefault="00C3312E" w:rsidP="00C3312E">
            <w:pPr>
              <w:spacing w:after="0" w:line="240" w:lineRule="auto"/>
              <w:jc w:val="center"/>
              <w:rPr>
                <w:sz w:val="20"/>
                <w:szCs w:val="20"/>
              </w:rPr>
            </w:pPr>
            <w:r w:rsidRPr="00C3312E">
              <w:rPr>
                <w:sz w:val="20"/>
                <w:szCs w:val="20"/>
              </w:rPr>
              <w:t>31%</w:t>
            </w:r>
          </w:p>
        </w:tc>
      </w:tr>
      <w:tr w:rsidR="00C3312E" w:rsidRPr="00C3312E" w14:paraId="58079D28" w14:textId="77777777" w:rsidTr="00697F37">
        <w:tc>
          <w:tcPr>
            <w:tcW w:w="3330" w:type="dxa"/>
            <w:shd w:val="clear" w:color="auto" w:fill="BFBFBF" w:themeFill="background1" w:themeFillShade="BF"/>
          </w:tcPr>
          <w:p w14:paraId="390DEFBD" w14:textId="77777777" w:rsidR="00C3312E" w:rsidRPr="00C3312E" w:rsidRDefault="00C3312E" w:rsidP="00C3312E">
            <w:pPr>
              <w:spacing w:after="0" w:line="240" w:lineRule="auto"/>
              <w:rPr>
                <w:sz w:val="20"/>
                <w:szCs w:val="20"/>
              </w:rPr>
            </w:pPr>
            <w:r w:rsidRPr="00C3312E">
              <w:rPr>
                <w:sz w:val="20"/>
                <w:szCs w:val="20"/>
              </w:rPr>
              <w:t>Dunning</w:t>
            </w:r>
          </w:p>
        </w:tc>
        <w:tc>
          <w:tcPr>
            <w:tcW w:w="778" w:type="dxa"/>
            <w:shd w:val="clear" w:color="auto" w:fill="BFBFBF" w:themeFill="background1" w:themeFillShade="BF"/>
          </w:tcPr>
          <w:p w14:paraId="66B2EC04"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791544CB"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3FFD1CCD" w14:textId="77777777" w:rsidR="00C3312E" w:rsidRPr="00C3312E" w:rsidRDefault="00C3312E" w:rsidP="00C3312E">
            <w:pPr>
              <w:spacing w:after="0" w:line="240" w:lineRule="auto"/>
              <w:jc w:val="center"/>
              <w:rPr>
                <w:sz w:val="20"/>
                <w:szCs w:val="20"/>
              </w:rPr>
            </w:pPr>
            <w:r w:rsidRPr="00C3312E">
              <w:rPr>
                <w:sz w:val="20"/>
                <w:szCs w:val="20"/>
              </w:rPr>
              <w:t>40%</w:t>
            </w:r>
          </w:p>
        </w:tc>
        <w:tc>
          <w:tcPr>
            <w:tcW w:w="779" w:type="dxa"/>
            <w:shd w:val="clear" w:color="auto" w:fill="BFBFBF" w:themeFill="background1" w:themeFillShade="BF"/>
          </w:tcPr>
          <w:p w14:paraId="6C46C474"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71EB8A20"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741EF4B8"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629F23DD"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0E2FBA38" w14:textId="77777777" w:rsidR="00C3312E" w:rsidRPr="00C3312E" w:rsidRDefault="00C3312E" w:rsidP="00C3312E">
            <w:pPr>
              <w:spacing w:after="0" w:line="240" w:lineRule="auto"/>
              <w:jc w:val="center"/>
              <w:rPr>
                <w:sz w:val="20"/>
                <w:szCs w:val="20"/>
              </w:rPr>
            </w:pPr>
            <w:r w:rsidRPr="00C3312E">
              <w:rPr>
                <w:sz w:val="20"/>
                <w:szCs w:val="20"/>
              </w:rPr>
              <w:t>40%</w:t>
            </w:r>
          </w:p>
        </w:tc>
      </w:tr>
      <w:tr w:rsidR="00C3312E" w:rsidRPr="00C3312E" w14:paraId="4FCA45AC" w14:textId="77777777" w:rsidTr="00697F37">
        <w:tc>
          <w:tcPr>
            <w:tcW w:w="3330" w:type="dxa"/>
            <w:shd w:val="clear" w:color="auto" w:fill="auto"/>
          </w:tcPr>
          <w:p w14:paraId="3724E4D1" w14:textId="77777777" w:rsidR="00C3312E" w:rsidRPr="00C3312E" w:rsidRDefault="00C3312E" w:rsidP="00C3312E">
            <w:pPr>
              <w:spacing w:after="0" w:line="240" w:lineRule="auto"/>
              <w:rPr>
                <w:sz w:val="20"/>
                <w:szCs w:val="20"/>
              </w:rPr>
            </w:pPr>
            <w:r w:rsidRPr="00C3312E">
              <w:rPr>
                <w:sz w:val="20"/>
                <w:szCs w:val="20"/>
              </w:rPr>
              <w:t>Hemenway</w:t>
            </w:r>
          </w:p>
        </w:tc>
        <w:tc>
          <w:tcPr>
            <w:tcW w:w="778" w:type="dxa"/>
            <w:shd w:val="clear" w:color="auto" w:fill="auto"/>
          </w:tcPr>
          <w:p w14:paraId="1D6B053D"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2DB4AA70"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06FB43C9" w14:textId="77777777" w:rsidR="00C3312E" w:rsidRPr="00C3312E" w:rsidRDefault="00C3312E" w:rsidP="00C3312E">
            <w:pPr>
              <w:spacing w:after="0" w:line="240" w:lineRule="auto"/>
              <w:jc w:val="center"/>
              <w:rPr>
                <w:sz w:val="20"/>
                <w:szCs w:val="20"/>
              </w:rPr>
            </w:pPr>
            <w:r w:rsidRPr="00C3312E">
              <w:rPr>
                <w:sz w:val="20"/>
                <w:szCs w:val="20"/>
              </w:rPr>
              <w:t>63%</w:t>
            </w:r>
          </w:p>
        </w:tc>
        <w:tc>
          <w:tcPr>
            <w:tcW w:w="779" w:type="dxa"/>
            <w:shd w:val="clear" w:color="auto" w:fill="auto"/>
          </w:tcPr>
          <w:p w14:paraId="7064393A"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4FF463A6"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6D9FC1A0"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24D40DAA"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761CF404" w14:textId="77777777" w:rsidR="00C3312E" w:rsidRPr="00C3312E" w:rsidRDefault="00C3312E" w:rsidP="00C3312E">
            <w:pPr>
              <w:spacing w:after="0" w:line="240" w:lineRule="auto"/>
              <w:jc w:val="center"/>
              <w:rPr>
                <w:sz w:val="20"/>
                <w:szCs w:val="20"/>
              </w:rPr>
            </w:pPr>
            <w:r w:rsidRPr="00C3312E">
              <w:rPr>
                <w:sz w:val="20"/>
                <w:szCs w:val="20"/>
              </w:rPr>
              <w:t>63%</w:t>
            </w:r>
          </w:p>
        </w:tc>
      </w:tr>
      <w:tr w:rsidR="00C3312E" w:rsidRPr="00C3312E" w14:paraId="6D0AD959" w14:textId="77777777" w:rsidTr="00697F37">
        <w:tc>
          <w:tcPr>
            <w:tcW w:w="3330" w:type="dxa"/>
            <w:shd w:val="clear" w:color="auto" w:fill="BFBFBF" w:themeFill="background1" w:themeFillShade="BF"/>
          </w:tcPr>
          <w:p w14:paraId="1DDFBA04" w14:textId="77777777" w:rsidR="00C3312E" w:rsidRPr="00C3312E" w:rsidRDefault="00C3312E" w:rsidP="00C3312E">
            <w:pPr>
              <w:spacing w:after="0" w:line="240" w:lineRule="auto"/>
              <w:rPr>
                <w:sz w:val="20"/>
                <w:szCs w:val="20"/>
              </w:rPr>
            </w:pPr>
            <w:r w:rsidRPr="00C3312E">
              <w:rPr>
                <w:sz w:val="20"/>
                <w:szCs w:val="20"/>
              </w:rPr>
              <w:t>Barbieri</w:t>
            </w:r>
          </w:p>
        </w:tc>
        <w:tc>
          <w:tcPr>
            <w:tcW w:w="778" w:type="dxa"/>
            <w:shd w:val="clear" w:color="auto" w:fill="BFBFBF" w:themeFill="background1" w:themeFillShade="BF"/>
          </w:tcPr>
          <w:p w14:paraId="2AEFFFD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5436095C"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3811E1BE" w14:textId="77777777" w:rsidR="00C3312E" w:rsidRPr="00C3312E" w:rsidRDefault="00C3312E" w:rsidP="00C3312E">
            <w:pPr>
              <w:spacing w:after="0" w:line="240" w:lineRule="auto"/>
              <w:jc w:val="center"/>
              <w:rPr>
                <w:sz w:val="20"/>
                <w:szCs w:val="20"/>
              </w:rPr>
            </w:pPr>
            <w:r w:rsidRPr="00C3312E">
              <w:rPr>
                <w:sz w:val="20"/>
                <w:szCs w:val="20"/>
              </w:rPr>
              <w:t>26%</w:t>
            </w:r>
          </w:p>
        </w:tc>
        <w:tc>
          <w:tcPr>
            <w:tcW w:w="779" w:type="dxa"/>
            <w:shd w:val="clear" w:color="auto" w:fill="BFBFBF" w:themeFill="background1" w:themeFillShade="BF"/>
          </w:tcPr>
          <w:p w14:paraId="210E0F44"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336C63FE"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6044DB44"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4C9CB14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24A722C" w14:textId="77777777" w:rsidR="00C3312E" w:rsidRPr="00C3312E" w:rsidRDefault="00C3312E" w:rsidP="00C3312E">
            <w:pPr>
              <w:spacing w:after="0" w:line="240" w:lineRule="auto"/>
              <w:jc w:val="center"/>
              <w:rPr>
                <w:sz w:val="20"/>
                <w:szCs w:val="20"/>
              </w:rPr>
            </w:pPr>
            <w:r w:rsidRPr="00C3312E">
              <w:rPr>
                <w:sz w:val="20"/>
                <w:szCs w:val="20"/>
              </w:rPr>
              <w:t>26%</w:t>
            </w:r>
          </w:p>
        </w:tc>
      </w:tr>
      <w:tr w:rsidR="00C3312E" w:rsidRPr="00C3312E" w14:paraId="4D137A40" w14:textId="77777777" w:rsidTr="00697F37">
        <w:tc>
          <w:tcPr>
            <w:tcW w:w="3330" w:type="dxa"/>
            <w:shd w:val="clear" w:color="auto" w:fill="auto"/>
          </w:tcPr>
          <w:p w14:paraId="54412397" w14:textId="77777777" w:rsidR="00C3312E" w:rsidRPr="00C3312E" w:rsidRDefault="00C3312E" w:rsidP="00C3312E">
            <w:pPr>
              <w:spacing w:after="0" w:line="240" w:lineRule="auto"/>
              <w:rPr>
                <w:sz w:val="20"/>
                <w:szCs w:val="20"/>
              </w:rPr>
            </w:pPr>
            <w:r w:rsidRPr="00C3312E">
              <w:rPr>
                <w:sz w:val="20"/>
                <w:szCs w:val="20"/>
              </w:rPr>
              <w:t>Potter Road</w:t>
            </w:r>
          </w:p>
        </w:tc>
        <w:tc>
          <w:tcPr>
            <w:tcW w:w="778" w:type="dxa"/>
            <w:shd w:val="clear" w:color="auto" w:fill="auto"/>
          </w:tcPr>
          <w:p w14:paraId="61FF4639"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935E7E7"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440E51AC" w14:textId="77777777" w:rsidR="00C3312E" w:rsidRPr="00C3312E" w:rsidRDefault="00C3312E" w:rsidP="00C3312E">
            <w:pPr>
              <w:spacing w:after="0" w:line="240" w:lineRule="auto"/>
              <w:jc w:val="center"/>
              <w:rPr>
                <w:sz w:val="20"/>
                <w:szCs w:val="20"/>
              </w:rPr>
            </w:pPr>
            <w:r w:rsidRPr="00C3312E">
              <w:rPr>
                <w:sz w:val="20"/>
                <w:szCs w:val="20"/>
              </w:rPr>
              <w:t>51%</w:t>
            </w:r>
          </w:p>
        </w:tc>
        <w:tc>
          <w:tcPr>
            <w:tcW w:w="779" w:type="dxa"/>
            <w:shd w:val="clear" w:color="auto" w:fill="auto"/>
          </w:tcPr>
          <w:p w14:paraId="74601BA2"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26110220"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758B4B3B"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7BD20CD1"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4442ADD4" w14:textId="77777777" w:rsidR="00C3312E" w:rsidRPr="00C3312E" w:rsidRDefault="00C3312E" w:rsidP="00C3312E">
            <w:pPr>
              <w:spacing w:after="0" w:line="240" w:lineRule="auto"/>
              <w:jc w:val="center"/>
              <w:rPr>
                <w:sz w:val="20"/>
                <w:szCs w:val="20"/>
              </w:rPr>
            </w:pPr>
            <w:r w:rsidRPr="00C3312E">
              <w:rPr>
                <w:sz w:val="20"/>
                <w:szCs w:val="20"/>
              </w:rPr>
              <w:t>51%</w:t>
            </w:r>
          </w:p>
        </w:tc>
      </w:tr>
      <w:tr w:rsidR="00C3312E" w:rsidRPr="00C3312E" w14:paraId="5CE721C7" w14:textId="77777777" w:rsidTr="00697F37">
        <w:tc>
          <w:tcPr>
            <w:tcW w:w="3330" w:type="dxa"/>
            <w:shd w:val="clear" w:color="auto" w:fill="BFBFBF" w:themeFill="background1" w:themeFillShade="BF"/>
          </w:tcPr>
          <w:p w14:paraId="7F45DA17" w14:textId="77777777" w:rsidR="00C3312E" w:rsidRPr="00C3312E" w:rsidRDefault="00C3312E" w:rsidP="00C3312E">
            <w:pPr>
              <w:spacing w:after="0" w:line="240" w:lineRule="auto"/>
              <w:rPr>
                <w:sz w:val="20"/>
                <w:szCs w:val="20"/>
              </w:rPr>
            </w:pPr>
            <w:r w:rsidRPr="00C3312E">
              <w:rPr>
                <w:sz w:val="20"/>
                <w:szCs w:val="20"/>
              </w:rPr>
              <w:t>Stapleton</w:t>
            </w:r>
          </w:p>
        </w:tc>
        <w:tc>
          <w:tcPr>
            <w:tcW w:w="778" w:type="dxa"/>
            <w:shd w:val="clear" w:color="auto" w:fill="BFBFBF" w:themeFill="background1" w:themeFillShade="BF"/>
          </w:tcPr>
          <w:p w14:paraId="35CC935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043CB172"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770112C" w14:textId="77777777" w:rsidR="00C3312E" w:rsidRPr="00C3312E" w:rsidRDefault="00C3312E" w:rsidP="00C3312E">
            <w:pPr>
              <w:spacing w:after="0" w:line="240" w:lineRule="auto"/>
              <w:jc w:val="center"/>
              <w:rPr>
                <w:sz w:val="20"/>
                <w:szCs w:val="20"/>
              </w:rPr>
            </w:pPr>
            <w:r w:rsidRPr="00C3312E">
              <w:rPr>
                <w:sz w:val="20"/>
                <w:szCs w:val="20"/>
              </w:rPr>
              <w:t>47%</w:t>
            </w:r>
          </w:p>
        </w:tc>
        <w:tc>
          <w:tcPr>
            <w:tcW w:w="779" w:type="dxa"/>
            <w:shd w:val="clear" w:color="auto" w:fill="BFBFBF" w:themeFill="background1" w:themeFillShade="BF"/>
          </w:tcPr>
          <w:p w14:paraId="114F85A7"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32C701C7"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179C0C48"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588FE997"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240131FB" w14:textId="77777777" w:rsidR="00C3312E" w:rsidRPr="00C3312E" w:rsidRDefault="00C3312E" w:rsidP="00C3312E">
            <w:pPr>
              <w:spacing w:after="0" w:line="240" w:lineRule="auto"/>
              <w:jc w:val="center"/>
              <w:rPr>
                <w:sz w:val="20"/>
                <w:szCs w:val="20"/>
              </w:rPr>
            </w:pPr>
            <w:r w:rsidRPr="00C3312E">
              <w:rPr>
                <w:sz w:val="20"/>
                <w:szCs w:val="20"/>
              </w:rPr>
              <w:t>47%</w:t>
            </w:r>
          </w:p>
        </w:tc>
      </w:tr>
      <w:tr w:rsidR="00C3312E" w:rsidRPr="00C3312E" w14:paraId="2FF5FF7E" w14:textId="77777777" w:rsidTr="00697F37">
        <w:tc>
          <w:tcPr>
            <w:tcW w:w="3330" w:type="dxa"/>
            <w:shd w:val="clear" w:color="auto" w:fill="auto"/>
          </w:tcPr>
          <w:p w14:paraId="2A07C6F5" w14:textId="77777777" w:rsidR="00C3312E" w:rsidRPr="00C3312E" w:rsidRDefault="00C3312E" w:rsidP="00C3312E">
            <w:pPr>
              <w:spacing w:after="0" w:line="240" w:lineRule="auto"/>
              <w:rPr>
                <w:sz w:val="20"/>
                <w:szCs w:val="20"/>
              </w:rPr>
            </w:pPr>
            <w:r w:rsidRPr="00C3312E">
              <w:rPr>
                <w:sz w:val="20"/>
                <w:szCs w:val="20"/>
              </w:rPr>
              <w:t>McCarthy</w:t>
            </w:r>
          </w:p>
        </w:tc>
        <w:tc>
          <w:tcPr>
            <w:tcW w:w="778" w:type="dxa"/>
            <w:shd w:val="clear" w:color="auto" w:fill="auto"/>
          </w:tcPr>
          <w:p w14:paraId="07685B8E"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498D130E"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4420C9F7" w14:textId="77777777" w:rsidR="00C3312E" w:rsidRPr="00C3312E" w:rsidRDefault="00C3312E" w:rsidP="00C3312E">
            <w:pPr>
              <w:spacing w:after="0" w:line="240" w:lineRule="auto"/>
              <w:jc w:val="center"/>
              <w:rPr>
                <w:sz w:val="20"/>
                <w:szCs w:val="20"/>
              </w:rPr>
            </w:pPr>
            <w:r w:rsidRPr="00C3312E">
              <w:rPr>
                <w:sz w:val="20"/>
                <w:szCs w:val="20"/>
              </w:rPr>
              <w:t>26%</w:t>
            </w:r>
          </w:p>
        </w:tc>
        <w:tc>
          <w:tcPr>
            <w:tcW w:w="779" w:type="dxa"/>
            <w:shd w:val="clear" w:color="auto" w:fill="auto"/>
          </w:tcPr>
          <w:p w14:paraId="38F0E651"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0CC08640"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50EAEA0A"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5F216297"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ED01658" w14:textId="77777777" w:rsidR="00C3312E" w:rsidRPr="00C3312E" w:rsidRDefault="00C3312E" w:rsidP="00C3312E">
            <w:pPr>
              <w:spacing w:after="0" w:line="240" w:lineRule="auto"/>
              <w:jc w:val="center"/>
              <w:rPr>
                <w:sz w:val="20"/>
                <w:szCs w:val="20"/>
              </w:rPr>
            </w:pPr>
            <w:r w:rsidRPr="00C3312E">
              <w:rPr>
                <w:sz w:val="20"/>
                <w:szCs w:val="20"/>
              </w:rPr>
              <w:t>26%</w:t>
            </w:r>
          </w:p>
        </w:tc>
      </w:tr>
      <w:tr w:rsidR="00C3312E" w:rsidRPr="00C3312E" w14:paraId="35330477" w14:textId="77777777" w:rsidTr="00697F37">
        <w:tc>
          <w:tcPr>
            <w:tcW w:w="3330" w:type="dxa"/>
            <w:shd w:val="clear" w:color="auto" w:fill="BFBFBF" w:themeFill="background1" w:themeFillShade="BF"/>
          </w:tcPr>
          <w:p w14:paraId="0B57503B" w14:textId="77777777" w:rsidR="00C3312E" w:rsidRPr="00C3312E" w:rsidRDefault="00C3312E" w:rsidP="00C3312E">
            <w:pPr>
              <w:spacing w:after="0" w:line="240" w:lineRule="auto"/>
              <w:rPr>
                <w:sz w:val="20"/>
                <w:szCs w:val="20"/>
              </w:rPr>
            </w:pPr>
            <w:r w:rsidRPr="00C3312E">
              <w:rPr>
                <w:sz w:val="20"/>
                <w:szCs w:val="20"/>
              </w:rPr>
              <w:t>Wilson</w:t>
            </w:r>
          </w:p>
        </w:tc>
        <w:tc>
          <w:tcPr>
            <w:tcW w:w="778" w:type="dxa"/>
            <w:shd w:val="clear" w:color="auto" w:fill="BFBFBF" w:themeFill="background1" w:themeFillShade="BF"/>
          </w:tcPr>
          <w:p w14:paraId="2FAD978A"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19B5423"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EF795BD" w14:textId="77777777" w:rsidR="00C3312E" w:rsidRPr="00C3312E" w:rsidRDefault="00C3312E" w:rsidP="00C3312E">
            <w:pPr>
              <w:spacing w:after="0" w:line="240" w:lineRule="auto"/>
              <w:jc w:val="center"/>
              <w:rPr>
                <w:sz w:val="20"/>
                <w:szCs w:val="20"/>
              </w:rPr>
            </w:pPr>
            <w:r w:rsidRPr="00C3312E">
              <w:rPr>
                <w:sz w:val="20"/>
                <w:szCs w:val="20"/>
              </w:rPr>
              <w:t>14%</w:t>
            </w:r>
          </w:p>
        </w:tc>
        <w:tc>
          <w:tcPr>
            <w:tcW w:w="779" w:type="dxa"/>
            <w:shd w:val="clear" w:color="auto" w:fill="BFBFBF" w:themeFill="background1" w:themeFillShade="BF"/>
          </w:tcPr>
          <w:p w14:paraId="6B383106"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65BDAA50"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83BB813"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661171CA"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464737C3" w14:textId="77777777" w:rsidR="00C3312E" w:rsidRPr="00C3312E" w:rsidRDefault="00C3312E" w:rsidP="00C3312E">
            <w:pPr>
              <w:spacing w:after="0" w:line="240" w:lineRule="auto"/>
              <w:jc w:val="center"/>
              <w:rPr>
                <w:sz w:val="20"/>
                <w:szCs w:val="20"/>
              </w:rPr>
            </w:pPr>
            <w:r w:rsidRPr="00C3312E">
              <w:rPr>
                <w:sz w:val="20"/>
                <w:szCs w:val="20"/>
              </w:rPr>
              <w:t>14%</w:t>
            </w:r>
          </w:p>
        </w:tc>
      </w:tr>
      <w:tr w:rsidR="00C3312E" w:rsidRPr="00C3312E" w14:paraId="55C4A563" w14:textId="77777777" w:rsidTr="00697F37">
        <w:tc>
          <w:tcPr>
            <w:tcW w:w="3330" w:type="dxa"/>
            <w:shd w:val="clear" w:color="auto" w:fill="auto"/>
          </w:tcPr>
          <w:p w14:paraId="013F0DCB" w14:textId="77777777" w:rsidR="00C3312E" w:rsidRPr="00C3312E" w:rsidRDefault="00C3312E" w:rsidP="00C3312E">
            <w:pPr>
              <w:spacing w:after="0" w:line="240" w:lineRule="auto"/>
              <w:rPr>
                <w:sz w:val="20"/>
                <w:szCs w:val="20"/>
              </w:rPr>
            </w:pPr>
            <w:r w:rsidRPr="00C3312E">
              <w:rPr>
                <w:sz w:val="20"/>
                <w:szCs w:val="20"/>
              </w:rPr>
              <w:t>Cameron Middle</w:t>
            </w:r>
          </w:p>
        </w:tc>
        <w:tc>
          <w:tcPr>
            <w:tcW w:w="778" w:type="dxa"/>
            <w:shd w:val="clear" w:color="auto" w:fill="auto"/>
          </w:tcPr>
          <w:p w14:paraId="6B00DFF0"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B9BE710"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46FC0CF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4E8ACD8D"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3DFC884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C057892" w14:textId="77777777" w:rsidR="00C3312E" w:rsidRPr="00C3312E" w:rsidRDefault="00C3312E" w:rsidP="00C3312E">
            <w:pPr>
              <w:spacing w:after="0" w:line="240" w:lineRule="auto"/>
              <w:jc w:val="center"/>
              <w:rPr>
                <w:sz w:val="20"/>
                <w:szCs w:val="20"/>
              </w:rPr>
            </w:pPr>
            <w:r w:rsidRPr="00C3312E">
              <w:rPr>
                <w:sz w:val="20"/>
                <w:szCs w:val="20"/>
              </w:rPr>
              <w:t>18%</w:t>
            </w:r>
          </w:p>
        </w:tc>
        <w:tc>
          <w:tcPr>
            <w:tcW w:w="778" w:type="dxa"/>
            <w:shd w:val="clear" w:color="auto" w:fill="auto"/>
          </w:tcPr>
          <w:p w14:paraId="18EF2BE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2A7496A9" w14:textId="77777777" w:rsidR="00C3312E" w:rsidRPr="00C3312E" w:rsidRDefault="00C3312E" w:rsidP="00C3312E">
            <w:pPr>
              <w:spacing w:after="0" w:line="240" w:lineRule="auto"/>
              <w:jc w:val="center"/>
              <w:rPr>
                <w:sz w:val="20"/>
                <w:szCs w:val="20"/>
              </w:rPr>
            </w:pPr>
            <w:r w:rsidRPr="00C3312E">
              <w:rPr>
                <w:sz w:val="20"/>
                <w:szCs w:val="20"/>
              </w:rPr>
              <w:t>18%</w:t>
            </w:r>
          </w:p>
        </w:tc>
      </w:tr>
      <w:tr w:rsidR="00C3312E" w:rsidRPr="00C3312E" w14:paraId="21E7C8B5" w14:textId="77777777" w:rsidTr="00697F37">
        <w:tc>
          <w:tcPr>
            <w:tcW w:w="3330" w:type="dxa"/>
            <w:shd w:val="clear" w:color="auto" w:fill="BFBFBF" w:themeFill="background1" w:themeFillShade="BF"/>
          </w:tcPr>
          <w:p w14:paraId="7409B88E" w14:textId="5D138FC4" w:rsidR="00C3312E" w:rsidRPr="00C3312E" w:rsidRDefault="00C3312E" w:rsidP="00C3312E">
            <w:pPr>
              <w:spacing w:after="0" w:line="240" w:lineRule="auto"/>
              <w:rPr>
                <w:sz w:val="20"/>
                <w:szCs w:val="20"/>
              </w:rPr>
            </w:pPr>
            <w:r w:rsidRPr="00C3312E">
              <w:rPr>
                <w:sz w:val="20"/>
                <w:szCs w:val="20"/>
              </w:rPr>
              <w:t xml:space="preserve">Fuller </w:t>
            </w:r>
            <w:r w:rsidR="00EE4DAB" w:rsidRPr="00C3312E">
              <w:rPr>
                <w:sz w:val="20"/>
                <w:szCs w:val="20"/>
              </w:rPr>
              <w:t>Middle</w:t>
            </w:r>
          </w:p>
        </w:tc>
        <w:tc>
          <w:tcPr>
            <w:tcW w:w="778" w:type="dxa"/>
            <w:shd w:val="clear" w:color="auto" w:fill="BFBFBF" w:themeFill="background1" w:themeFillShade="BF"/>
          </w:tcPr>
          <w:p w14:paraId="33FA078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19FF0409"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674A7FC5"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01492BE"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04E454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75C3E4B1" w14:textId="77777777" w:rsidR="00C3312E" w:rsidRPr="00C3312E" w:rsidRDefault="00C3312E" w:rsidP="00C3312E">
            <w:pPr>
              <w:spacing w:after="0" w:line="240" w:lineRule="auto"/>
              <w:jc w:val="center"/>
              <w:rPr>
                <w:sz w:val="20"/>
                <w:szCs w:val="20"/>
              </w:rPr>
            </w:pPr>
            <w:r w:rsidRPr="00C3312E">
              <w:rPr>
                <w:sz w:val="20"/>
                <w:szCs w:val="20"/>
              </w:rPr>
              <w:t>10%</w:t>
            </w:r>
          </w:p>
        </w:tc>
        <w:tc>
          <w:tcPr>
            <w:tcW w:w="778" w:type="dxa"/>
            <w:shd w:val="clear" w:color="auto" w:fill="BFBFBF" w:themeFill="background1" w:themeFillShade="BF"/>
          </w:tcPr>
          <w:p w14:paraId="772953D5"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07820433" w14:textId="77777777" w:rsidR="00C3312E" w:rsidRPr="00C3312E" w:rsidRDefault="00C3312E" w:rsidP="00C3312E">
            <w:pPr>
              <w:spacing w:after="0" w:line="240" w:lineRule="auto"/>
              <w:jc w:val="center"/>
              <w:rPr>
                <w:sz w:val="20"/>
                <w:szCs w:val="20"/>
              </w:rPr>
            </w:pPr>
            <w:r w:rsidRPr="00C3312E">
              <w:rPr>
                <w:sz w:val="20"/>
                <w:szCs w:val="20"/>
              </w:rPr>
              <w:t>10%</w:t>
            </w:r>
          </w:p>
        </w:tc>
      </w:tr>
      <w:tr w:rsidR="00C3312E" w:rsidRPr="00C3312E" w14:paraId="57B537F0" w14:textId="77777777" w:rsidTr="00697F37">
        <w:tc>
          <w:tcPr>
            <w:tcW w:w="3330" w:type="dxa"/>
            <w:shd w:val="clear" w:color="auto" w:fill="auto"/>
          </w:tcPr>
          <w:p w14:paraId="540B99B9" w14:textId="527F27EC" w:rsidR="00C3312E" w:rsidRPr="00C3312E" w:rsidRDefault="00C3312E" w:rsidP="00C3312E">
            <w:pPr>
              <w:spacing w:after="0" w:line="240" w:lineRule="auto"/>
              <w:rPr>
                <w:sz w:val="20"/>
                <w:szCs w:val="20"/>
              </w:rPr>
            </w:pPr>
            <w:r w:rsidRPr="00C3312E">
              <w:rPr>
                <w:sz w:val="20"/>
                <w:szCs w:val="20"/>
              </w:rPr>
              <w:t xml:space="preserve">Walsh </w:t>
            </w:r>
            <w:r w:rsidR="00EE4DAB" w:rsidRPr="00C3312E">
              <w:rPr>
                <w:sz w:val="20"/>
                <w:szCs w:val="20"/>
              </w:rPr>
              <w:t>Middle</w:t>
            </w:r>
          </w:p>
        </w:tc>
        <w:tc>
          <w:tcPr>
            <w:tcW w:w="778" w:type="dxa"/>
            <w:shd w:val="clear" w:color="auto" w:fill="auto"/>
          </w:tcPr>
          <w:p w14:paraId="5C154378"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36CA36B3"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06A13E48"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72DF0E0B"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722ABD8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6CB67FF2" w14:textId="77777777" w:rsidR="00C3312E" w:rsidRPr="00C3312E" w:rsidRDefault="00C3312E" w:rsidP="00C3312E">
            <w:pPr>
              <w:spacing w:after="0" w:line="240" w:lineRule="auto"/>
              <w:jc w:val="center"/>
              <w:rPr>
                <w:sz w:val="20"/>
                <w:szCs w:val="20"/>
              </w:rPr>
            </w:pPr>
            <w:r w:rsidRPr="00C3312E">
              <w:rPr>
                <w:sz w:val="20"/>
                <w:szCs w:val="20"/>
              </w:rPr>
              <w:t>27%</w:t>
            </w:r>
          </w:p>
        </w:tc>
        <w:tc>
          <w:tcPr>
            <w:tcW w:w="778" w:type="dxa"/>
            <w:shd w:val="clear" w:color="auto" w:fill="auto"/>
          </w:tcPr>
          <w:p w14:paraId="305749E5"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FBAAE16" w14:textId="77777777" w:rsidR="00C3312E" w:rsidRPr="00C3312E" w:rsidRDefault="00C3312E" w:rsidP="00C3312E">
            <w:pPr>
              <w:spacing w:after="0" w:line="240" w:lineRule="auto"/>
              <w:jc w:val="center"/>
              <w:rPr>
                <w:sz w:val="20"/>
                <w:szCs w:val="20"/>
              </w:rPr>
            </w:pPr>
            <w:r w:rsidRPr="00C3312E">
              <w:rPr>
                <w:sz w:val="20"/>
                <w:szCs w:val="20"/>
              </w:rPr>
              <w:t>27%</w:t>
            </w:r>
          </w:p>
        </w:tc>
      </w:tr>
      <w:tr w:rsidR="00C3312E" w:rsidRPr="00C3312E" w14:paraId="67AA5A69" w14:textId="77777777" w:rsidTr="00697F37">
        <w:tc>
          <w:tcPr>
            <w:tcW w:w="3330" w:type="dxa"/>
            <w:shd w:val="clear" w:color="auto" w:fill="BFBFBF" w:themeFill="background1" w:themeFillShade="BF"/>
          </w:tcPr>
          <w:p w14:paraId="5E2FE9FF" w14:textId="77777777" w:rsidR="00C3312E" w:rsidRPr="00C3312E" w:rsidRDefault="00C3312E" w:rsidP="00C3312E">
            <w:pPr>
              <w:spacing w:after="0" w:line="240" w:lineRule="auto"/>
              <w:rPr>
                <w:sz w:val="20"/>
                <w:szCs w:val="20"/>
              </w:rPr>
            </w:pPr>
            <w:r w:rsidRPr="00C3312E">
              <w:rPr>
                <w:sz w:val="20"/>
                <w:szCs w:val="20"/>
              </w:rPr>
              <w:t>Framingham High</w:t>
            </w:r>
          </w:p>
        </w:tc>
        <w:tc>
          <w:tcPr>
            <w:tcW w:w="778" w:type="dxa"/>
            <w:shd w:val="clear" w:color="auto" w:fill="BFBFBF" w:themeFill="background1" w:themeFillShade="BF"/>
          </w:tcPr>
          <w:p w14:paraId="6F30C67B"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D3B5DA3"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98400EC"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482414E2"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2B41EFF4"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1B9F32EB"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45711B97" w14:textId="77777777" w:rsidR="00C3312E" w:rsidRPr="00C3312E" w:rsidRDefault="00C3312E" w:rsidP="00C3312E">
            <w:pPr>
              <w:spacing w:after="0" w:line="240" w:lineRule="auto"/>
              <w:jc w:val="center"/>
              <w:rPr>
                <w:sz w:val="20"/>
                <w:szCs w:val="20"/>
              </w:rPr>
            </w:pPr>
            <w:r w:rsidRPr="00C3312E">
              <w:rPr>
                <w:sz w:val="20"/>
                <w:szCs w:val="20"/>
              </w:rPr>
              <w:t>83%</w:t>
            </w:r>
          </w:p>
        </w:tc>
        <w:tc>
          <w:tcPr>
            <w:tcW w:w="779" w:type="dxa"/>
            <w:shd w:val="clear" w:color="auto" w:fill="BFBFBF" w:themeFill="background1" w:themeFillShade="BF"/>
          </w:tcPr>
          <w:p w14:paraId="1F3C4EDE" w14:textId="77777777" w:rsidR="00C3312E" w:rsidRPr="00C3312E" w:rsidRDefault="00C3312E" w:rsidP="00C3312E">
            <w:pPr>
              <w:spacing w:after="0" w:line="240" w:lineRule="auto"/>
              <w:jc w:val="center"/>
              <w:rPr>
                <w:sz w:val="20"/>
                <w:szCs w:val="20"/>
              </w:rPr>
            </w:pPr>
            <w:r w:rsidRPr="00C3312E">
              <w:rPr>
                <w:sz w:val="20"/>
                <w:szCs w:val="20"/>
              </w:rPr>
              <w:t>83%</w:t>
            </w:r>
          </w:p>
        </w:tc>
      </w:tr>
      <w:tr w:rsidR="00C3312E" w:rsidRPr="00C3312E" w14:paraId="7061FA75" w14:textId="77777777" w:rsidTr="00697F37">
        <w:tc>
          <w:tcPr>
            <w:tcW w:w="3330" w:type="dxa"/>
            <w:shd w:val="clear" w:color="auto" w:fill="auto"/>
          </w:tcPr>
          <w:p w14:paraId="0D5B5E17" w14:textId="61468086" w:rsidR="00C3312E" w:rsidRPr="00C3312E" w:rsidRDefault="00C3312E" w:rsidP="00EE4DAB">
            <w:pPr>
              <w:spacing w:after="0" w:line="240" w:lineRule="auto"/>
              <w:rPr>
                <w:sz w:val="20"/>
                <w:szCs w:val="20"/>
              </w:rPr>
            </w:pPr>
            <w:r w:rsidRPr="00C3312E">
              <w:rPr>
                <w:sz w:val="20"/>
                <w:szCs w:val="20"/>
              </w:rPr>
              <w:t>District</w:t>
            </w:r>
          </w:p>
        </w:tc>
        <w:tc>
          <w:tcPr>
            <w:tcW w:w="778" w:type="dxa"/>
            <w:shd w:val="clear" w:color="auto" w:fill="auto"/>
          </w:tcPr>
          <w:p w14:paraId="05355A12"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6ACD237A"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5AD6EF56" w14:textId="77777777" w:rsidR="00C3312E" w:rsidRPr="00C3312E" w:rsidRDefault="00C3312E" w:rsidP="00C3312E">
            <w:pPr>
              <w:spacing w:after="0" w:line="240" w:lineRule="auto"/>
              <w:jc w:val="center"/>
              <w:rPr>
                <w:sz w:val="20"/>
                <w:szCs w:val="20"/>
              </w:rPr>
            </w:pPr>
            <w:r w:rsidRPr="00C3312E">
              <w:rPr>
                <w:sz w:val="20"/>
                <w:szCs w:val="20"/>
              </w:rPr>
              <w:t>36%</w:t>
            </w:r>
          </w:p>
        </w:tc>
        <w:tc>
          <w:tcPr>
            <w:tcW w:w="779" w:type="dxa"/>
            <w:shd w:val="clear" w:color="auto" w:fill="auto"/>
          </w:tcPr>
          <w:p w14:paraId="02A8A55D"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auto"/>
          </w:tcPr>
          <w:p w14:paraId="1ADCA29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auto"/>
          </w:tcPr>
          <w:p w14:paraId="1D55A751" w14:textId="77777777" w:rsidR="00C3312E" w:rsidRPr="00C3312E" w:rsidRDefault="00C3312E" w:rsidP="00C3312E">
            <w:pPr>
              <w:spacing w:after="0" w:line="240" w:lineRule="auto"/>
              <w:jc w:val="center"/>
              <w:rPr>
                <w:sz w:val="20"/>
                <w:szCs w:val="20"/>
              </w:rPr>
            </w:pPr>
            <w:r w:rsidRPr="00C3312E">
              <w:rPr>
                <w:sz w:val="20"/>
                <w:szCs w:val="20"/>
              </w:rPr>
              <w:t>20%</w:t>
            </w:r>
          </w:p>
        </w:tc>
        <w:tc>
          <w:tcPr>
            <w:tcW w:w="778" w:type="dxa"/>
            <w:shd w:val="clear" w:color="auto" w:fill="auto"/>
          </w:tcPr>
          <w:p w14:paraId="7A008499" w14:textId="77777777" w:rsidR="00C3312E" w:rsidRPr="00C3312E" w:rsidRDefault="00C3312E" w:rsidP="00C3312E">
            <w:pPr>
              <w:spacing w:after="0" w:line="240" w:lineRule="auto"/>
              <w:jc w:val="center"/>
              <w:rPr>
                <w:sz w:val="20"/>
                <w:szCs w:val="20"/>
              </w:rPr>
            </w:pPr>
            <w:r w:rsidRPr="00C3312E">
              <w:rPr>
                <w:sz w:val="20"/>
                <w:szCs w:val="20"/>
              </w:rPr>
              <w:t>81%</w:t>
            </w:r>
          </w:p>
        </w:tc>
        <w:tc>
          <w:tcPr>
            <w:tcW w:w="779" w:type="dxa"/>
            <w:shd w:val="clear" w:color="auto" w:fill="auto"/>
          </w:tcPr>
          <w:p w14:paraId="00EBC7F0" w14:textId="77777777" w:rsidR="00C3312E" w:rsidRPr="00C3312E" w:rsidRDefault="00C3312E" w:rsidP="00C3312E">
            <w:pPr>
              <w:spacing w:after="0" w:line="240" w:lineRule="auto"/>
              <w:jc w:val="center"/>
              <w:rPr>
                <w:sz w:val="20"/>
                <w:szCs w:val="20"/>
              </w:rPr>
            </w:pPr>
            <w:r w:rsidRPr="00C3312E">
              <w:rPr>
                <w:sz w:val="20"/>
                <w:szCs w:val="20"/>
              </w:rPr>
              <w:t>42%</w:t>
            </w:r>
          </w:p>
        </w:tc>
      </w:tr>
      <w:tr w:rsidR="00C3312E" w:rsidRPr="00C3312E" w14:paraId="13B995BF" w14:textId="77777777" w:rsidTr="00697F37">
        <w:tc>
          <w:tcPr>
            <w:tcW w:w="3330" w:type="dxa"/>
            <w:shd w:val="clear" w:color="auto" w:fill="BFBFBF" w:themeFill="background1" w:themeFillShade="BF"/>
          </w:tcPr>
          <w:p w14:paraId="79D24427" w14:textId="77777777" w:rsidR="00C3312E" w:rsidRPr="00C3312E" w:rsidRDefault="00C3312E" w:rsidP="00C3312E">
            <w:pPr>
              <w:spacing w:after="0" w:line="240" w:lineRule="auto"/>
              <w:rPr>
                <w:sz w:val="20"/>
                <w:szCs w:val="20"/>
              </w:rPr>
            </w:pPr>
            <w:r w:rsidRPr="00C3312E">
              <w:rPr>
                <w:sz w:val="20"/>
                <w:szCs w:val="20"/>
              </w:rPr>
              <w:t>State</w:t>
            </w:r>
          </w:p>
        </w:tc>
        <w:tc>
          <w:tcPr>
            <w:tcW w:w="778" w:type="dxa"/>
            <w:shd w:val="clear" w:color="auto" w:fill="BFBFBF" w:themeFill="background1" w:themeFillShade="BF"/>
          </w:tcPr>
          <w:p w14:paraId="128D75E5"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57F0910E"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42F9AF23" w14:textId="77777777" w:rsidR="00C3312E" w:rsidRPr="00C3312E" w:rsidRDefault="00C3312E" w:rsidP="00C3312E">
            <w:pPr>
              <w:spacing w:after="0" w:line="240" w:lineRule="auto"/>
              <w:jc w:val="center"/>
              <w:rPr>
                <w:sz w:val="20"/>
                <w:szCs w:val="20"/>
              </w:rPr>
            </w:pPr>
            <w:r w:rsidRPr="00C3312E">
              <w:rPr>
                <w:sz w:val="20"/>
                <w:szCs w:val="20"/>
              </w:rPr>
              <w:t>47%</w:t>
            </w:r>
          </w:p>
        </w:tc>
        <w:tc>
          <w:tcPr>
            <w:tcW w:w="779" w:type="dxa"/>
            <w:shd w:val="clear" w:color="auto" w:fill="BFBFBF" w:themeFill="background1" w:themeFillShade="BF"/>
          </w:tcPr>
          <w:p w14:paraId="7FC09E83" w14:textId="77777777" w:rsidR="00C3312E" w:rsidRPr="00C3312E" w:rsidRDefault="00C3312E" w:rsidP="00C3312E">
            <w:pPr>
              <w:spacing w:after="0" w:line="240" w:lineRule="auto"/>
              <w:jc w:val="center"/>
              <w:rPr>
                <w:sz w:val="20"/>
                <w:szCs w:val="20"/>
              </w:rPr>
            </w:pPr>
            <w:r w:rsidRPr="00C3312E">
              <w:rPr>
                <w:sz w:val="20"/>
                <w:szCs w:val="20"/>
              </w:rPr>
              <w:t>--</w:t>
            </w:r>
          </w:p>
        </w:tc>
        <w:tc>
          <w:tcPr>
            <w:tcW w:w="778" w:type="dxa"/>
            <w:shd w:val="clear" w:color="auto" w:fill="BFBFBF" w:themeFill="background1" w:themeFillShade="BF"/>
          </w:tcPr>
          <w:p w14:paraId="1B8E0EC3" w14:textId="77777777" w:rsidR="00C3312E" w:rsidRPr="00C3312E" w:rsidRDefault="00C3312E" w:rsidP="00C3312E">
            <w:pPr>
              <w:spacing w:after="0" w:line="240" w:lineRule="auto"/>
              <w:jc w:val="center"/>
              <w:rPr>
                <w:sz w:val="20"/>
                <w:szCs w:val="20"/>
              </w:rPr>
            </w:pPr>
            <w:r w:rsidRPr="00C3312E">
              <w:rPr>
                <w:sz w:val="20"/>
                <w:szCs w:val="20"/>
              </w:rPr>
              <w:t>--</w:t>
            </w:r>
          </w:p>
        </w:tc>
        <w:tc>
          <w:tcPr>
            <w:tcW w:w="779" w:type="dxa"/>
            <w:shd w:val="clear" w:color="auto" w:fill="BFBFBF" w:themeFill="background1" w:themeFillShade="BF"/>
          </w:tcPr>
          <w:p w14:paraId="33D91C64" w14:textId="77777777" w:rsidR="00C3312E" w:rsidRPr="00C3312E" w:rsidRDefault="00C3312E" w:rsidP="00C3312E">
            <w:pPr>
              <w:spacing w:after="0" w:line="240" w:lineRule="auto"/>
              <w:jc w:val="center"/>
              <w:rPr>
                <w:sz w:val="20"/>
                <w:szCs w:val="20"/>
              </w:rPr>
            </w:pPr>
            <w:r w:rsidRPr="00C3312E">
              <w:rPr>
                <w:sz w:val="20"/>
                <w:szCs w:val="20"/>
              </w:rPr>
              <w:t>35%</w:t>
            </w:r>
          </w:p>
        </w:tc>
        <w:tc>
          <w:tcPr>
            <w:tcW w:w="778" w:type="dxa"/>
            <w:shd w:val="clear" w:color="auto" w:fill="BFBFBF" w:themeFill="background1" w:themeFillShade="BF"/>
          </w:tcPr>
          <w:p w14:paraId="2B230218" w14:textId="77777777" w:rsidR="00C3312E" w:rsidRPr="00C3312E" w:rsidRDefault="00C3312E" w:rsidP="00C3312E">
            <w:pPr>
              <w:spacing w:after="0" w:line="240" w:lineRule="auto"/>
              <w:jc w:val="center"/>
              <w:rPr>
                <w:sz w:val="20"/>
                <w:szCs w:val="20"/>
              </w:rPr>
            </w:pPr>
            <w:r w:rsidRPr="00C3312E">
              <w:rPr>
                <w:sz w:val="20"/>
                <w:szCs w:val="20"/>
              </w:rPr>
              <w:t>74%</w:t>
            </w:r>
          </w:p>
        </w:tc>
        <w:tc>
          <w:tcPr>
            <w:tcW w:w="779" w:type="dxa"/>
            <w:shd w:val="clear" w:color="auto" w:fill="BFBFBF" w:themeFill="background1" w:themeFillShade="BF"/>
          </w:tcPr>
          <w:p w14:paraId="79141D6B" w14:textId="77777777" w:rsidR="00C3312E" w:rsidRPr="00C3312E" w:rsidRDefault="00C3312E" w:rsidP="00C3312E">
            <w:pPr>
              <w:spacing w:after="0" w:line="240" w:lineRule="auto"/>
              <w:jc w:val="center"/>
              <w:rPr>
                <w:sz w:val="20"/>
                <w:szCs w:val="20"/>
              </w:rPr>
            </w:pPr>
            <w:r w:rsidRPr="00C3312E">
              <w:rPr>
                <w:sz w:val="20"/>
                <w:szCs w:val="20"/>
              </w:rPr>
              <w:t>52%</w:t>
            </w:r>
          </w:p>
        </w:tc>
      </w:tr>
    </w:tbl>
    <w:p w14:paraId="51B28E3D" w14:textId="3DE01ED0" w:rsidR="00C3312E" w:rsidRDefault="00C3312E" w:rsidP="00C3312E">
      <w:pPr>
        <w:spacing w:after="0" w:line="240" w:lineRule="auto"/>
      </w:pPr>
    </w:p>
    <w:p w14:paraId="5A0AD96B" w14:textId="77777777" w:rsidR="0089512A" w:rsidRPr="00C3312E" w:rsidRDefault="0089512A" w:rsidP="00C3312E">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 Framingham Public Schools"/>
        <w:tblDescription w:val="Next-Generation MCAS ELA Percent Meeting and Exceeding Expectations by School, 2018&#10;"/>
      </w:tblPr>
      <w:tblGrid>
        <w:gridCol w:w="2628"/>
        <w:gridCol w:w="693"/>
        <w:gridCol w:w="693"/>
        <w:gridCol w:w="693"/>
        <w:gridCol w:w="693"/>
        <w:gridCol w:w="693"/>
        <w:gridCol w:w="693"/>
        <w:gridCol w:w="693"/>
        <w:gridCol w:w="693"/>
        <w:gridCol w:w="693"/>
        <w:gridCol w:w="693"/>
      </w:tblGrid>
      <w:tr w:rsidR="00C3312E" w:rsidRPr="00C3312E" w14:paraId="3D436E4A" w14:textId="77777777" w:rsidTr="00F37A4F">
        <w:tc>
          <w:tcPr>
            <w:tcW w:w="9558" w:type="dxa"/>
            <w:gridSpan w:val="11"/>
            <w:tcBorders>
              <w:top w:val="nil"/>
              <w:left w:val="nil"/>
              <w:bottom w:val="single" w:sz="4" w:space="0" w:color="auto"/>
              <w:right w:val="nil"/>
            </w:tcBorders>
          </w:tcPr>
          <w:p w14:paraId="4A07896F" w14:textId="77777777" w:rsidR="00C3312E" w:rsidRPr="00C3312E" w:rsidRDefault="00C3312E" w:rsidP="00C3312E">
            <w:pPr>
              <w:spacing w:after="0" w:line="240" w:lineRule="auto"/>
              <w:jc w:val="center"/>
              <w:rPr>
                <w:b/>
                <w:sz w:val="20"/>
                <w:szCs w:val="20"/>
              </w:rPr>
            </w:pPr>
            <w:r w:rsidRPr="00C3312E">
              <w:rPr>
                <w:b/>
                <w:sz w:val="20"/>
                <w:szCs w:val="20"/>
              </w:rPr>
              <w:t xml:space="preserve">Table 18: </w:t>
            </w:r>
            <w:r w:rsidRPr="00C3312E">
              <w:rPr>
                <w:rFonts w:cs="Times New Roman"/>
                <w:b/>
                <w:sz w:val="20"/>
                <w:szCs w:val="20"/>
              </w:rPr>
              <w:t>Framingham Public Schools</w:t>
            </w:r>
          </w:p>
          <w:p w14:paraId="1E3047E9" w14:textId="77777777" w:rsidR="00C3312E" w:rsidRPr="00C3312E" w:rsidRDefault="00C3312E" w:rsidP="00C3312E">
            <w:pPr>
              <w:spacing w:after="0" w:line="240" w:lineRule="auto"/>
              <w:jc w:val="center"/>
              <w:rPr>
                <w:sz w:val="20"/>
                <w:szCs w:val="20"/>
              </w:rPr>
            </w:pPr>
            <w:r w:rsidRPr="00C3312E">
              <w:rPr>
                <w:b/>
                <w:sz w:val="20"/>
                <w:szCs w:val="20"/>
              </w:rPr>
              <w:t>Next-Generation MCAS ELA Percent Meeting and Exceeding Expectations by School, 2018</w:t>
            </w:r>
          </w:p>
        </w:tc>
      </w:tr>
      <w:tr w:rsidR="00C3312E" w:rsidRPr="00C3312E" w14:paraId="0011383C" w14:textId="77777777" w:rsidTr="00F37A4F">
        <w:trPr>
          <w:cantSplit/>
          <w:trHeight w:val="1043"/>
        </w:trPr>
        <w:tc>
          <w:tcPr>
            <w:tcW w:w="2628" w:type="dxa"/>
            <w:tcBorders>
              <w:left w:val="single" w:sz="4" w:space="0" w:color="auto"/>
            </w:tcBorders>
            <w:shd w:val="clear" w:color="auto" w:fill="BFBFBF" w:themeFill="background1" w:themeFillShade="BF"/>
            <w:vAlign w:val="center"/>
          </w:tcPr>
          <w:p w14:paraId="5EEAF302" w14:textId="77777777" w:rsidR="00C3312E" w:rsidRPr="00C3312E" w:rsidRDefault="00C3312E" w:rsidP="00F37A4F">
            <w:pPr>
              <w:spacing w:after="0" w:line="240" w:lineRule="auto"/>
              <w:rPr>
                <w:b/>
                <w:sz w:val="20"/>
                <w:szCs w:val="20"/>
              </w:rPr>
            </w:pPr>
            <w:r w:rsidRPr="00C3312E">
              <w:rPr>
                <w:b/>
                <w:sz w:val="20"/>
                <w:szCs w:val="20"/>
              </w:rPr>
              <w:t>School</w:t>
            </w:r>
          </w:p>
        </w:tc>
        <w:tc>
          <w:tcPr>
            <w:tcW w:w="693" w:type="dxa"/>
            <w:shd w:val="clear" w:color="auto" w:fill="BFBFBF" w:themeFill="background1" w:themeFillShade="BF"/>
            <w:textDirection w:val="tbRl"/>
            <w:vAlign w:val="center"/>
          </w:tcPr>
          <w:p w14:paraId="767983AB" w14:textId="77777777" w:rsidR="00C3312E" w:rsidRPr="00C3312E" w:rsidRDefault="00C3312E" w:rsidP="00F37A4F">
            <w:pPr>
              <w:spacing w:after="0" w:line="240" w:lineRule="auto"/>
              <w:ind w:left="113" w:right="113"/>
              <w:jc w:val="center"/>
              <w:rPr>
                <w:b/>
                <w:sz w:val="20"/>
                <w:szCs w:val="20"/>
              </w:rPr>
            </w:pPr>
            <w:r w:rsidRPr="00C3312E">
              <w:rPr>
                <w:b/>
                <w:sz w:val="20"/>
                <w:szCs w:val="20"/>
              </w:rPr>
              <w:t>All</w:t>
            </w:r>
          </w:p>
        </w:tc>
        <w:tc>
          <w:tcPr>
            <w:tcW w:w="693" w:type="dxa"/>
            <w:shd w:val="clear" w:color="auto" w:fill="BFBFBF" w:themeFill="background1" w:themeFillShade="BF"/>
            <w:textDirection w:val="tbRl"/>
            <w:vAlign w:val="center"/>
          </w:tcPr>
          <w:p w14:paraId="2EBD1F33" w14:textId="77777777" w:rsidR="00C3312E" w:rsidRPr="00C3312E" w:rsidRDefault="00C3312E" w:rsidP="00F37A4F">
            <w:pPr>
              <w:spacing w:after="0" w:line="240" w:lineRule="auto"/>
              <w:ind w:left="113" w:right="113"/>
              <w:jc w:val="center"/>
              <w:rPr>
                <w:b/>
                <w:sz w:val="20"/>
                <w:szCs w:val="20"/>
              </w:rPr>
            </w:pPr>
            <w:r w:rsidRPr="00C3312E">
              <w:rPr>
                <w:b/>
                <w:sz w:val="20"/>
                <w:szCs w:val="20"/>
              </w:rPr>
              <w:t>High Needs</w:t>
            </w:r>
          </w:p>
        </w:tc>
        <w:tc>
          <w:tcPr>
            <w:tcW w:w="693" w:type="dxa"/>
            <w:shd w:val="clear" w:color="auto" w:fill="BFBFBF" w:themeFill="background1" w:themeFillShade="BF"/>
            <w:textDirection w:val="tbRl"/>
            <w:vAlign w:val="center"/>
          </w:tcPr>
          <w:p w14:paraId="2862A68B" w14:textId="77777777" w:rsidR="00C3312E" w:rsidRPr="00C3312E" w:rsidRDefault="00C3312E" w:rsidP="00F37A4F">
            <w:pPr>
              <w:spacing w:after="0" w:line="240" w:lineRule="auto"/>
              <w:ind w:left="113" w:right="113"/>
              <w:jc w:val="center"/>
              <w:rPr>
                <w:b/>
                <w:sz w:val="20"/>
                <w:szCs w:val="20"/>
              </w:rPr>
            </w:pPr>
            <w:r w:rsidRPr="00C3312E">
              <w:rPr>
                <w:rFonts w:cs="Times New Roman"/>
                <w:b/>
                <w:sz w:val="20"/>
                <w:szCs w:val="20"/>
              </w:rPr>
              <w:t>Econ. Dis.</w:t>
            </w:r>
          </w:p>
        </w:tc>
        <w:tc>
          <w:tcPr>
            <w:tcW w:w="693" w:type="dxa"/>
            <w:shd w:val="clear" w:color="auto" w:fill="BFBFBF" w:themeFill="background1" w:themeFillShade="BF"/>
            <w:textDirection w:val="tbRl"/>
            <w:vAlign w:val="center"/>
          </w:tcPr>
          <w:p w14:paraId="6B9BF31E" w14:textId="77777777" w:rsidR="00C3312E" w:rsidRPr="00C3312E" w:rsidRDefault="00C3312E" w:rsidP="00F37A4F">
            <w:pPr>
              <w:spacing w:after="0" w:line="240" w:lineRule="auto"/>
              <w:ind w:left="113" w:right="113"/>
              <w:jc w:val="center"/>
              <w:rPr>
                <w:b/>
                <w:sz w:val="20"/>
                <w:szCs w:val="20"/>
              </w:rPr>
            </w:pPr>
            <w:r w:rsidRPr="00C3312E">
              <w:rPr>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58CAB0D2" w14:textId="68BD74CF" w:rsidR="00C3312E" w:rsidRPr="00C3312E" w:rsidRDefault="00C3312E" w:rsidP="00F37A4F">
            <w:pPr>
              <w:spacing w:after="0" w:line="240" w:lineRule="auto"/>
              <w:ind w:left="113" w:right="113"/>
              <w:jc w:val="center"/>
              <w:rPr>
                <w:b/>
                <w:sz w:val="20"/>
                <w:szCs w:val="20"/>
              </w:rPr>
            </w:pPr>
            <w:r w:rsidRPr="00C3312E">
              <w:rPr>
                <w:b/>
                <w:sz w:val="20"/>
                <w:szCs w:val="20"/>
              </w:rPr>
              <w:t>EL</w:t>
            </w:r>
          </w:p>
        </w:tc>
        <w:tc>
          <w:tcPr>
            <w:tcW w:w="693" w:type="dxa"/>
            <w:tcBorders>
              <w:left w:val="single" w:sz="4" w:space="0" w:color="auto"/>
            </w:tcBorders>
            <w:shd w:val="clear" w:color="auto" w:fill="BFBFBF" w:themeFill="background1" w:themeFillShade="BF"/>
            <w:textDirection w:val="tbRl"/>
            <w:vAlign w:val="center"/>
          </w:tcPr>
          <w:p w14:paraId="72EE49EB" w14:textId="77777777" w:rsidR="00C3312E" w:rsidRPr="00C3312E" w:rsidRDefault="00C3312E" w:rsidP="00F37A4F">
            <w:pPr>
              <w:spacing w:after="0" w:line="240" w:lineRule="auto"/>
              <w:ind w:left="113" w:right="113"/>
              <w:jc w:val="center"/>
              <w:rPr>
                <w:b/>
                <w:sz w:val="20"/>
                <w:szCs w:val="20"/>
              </w:rPr>
            </w:pPr>
            <w:r w:rsidRPr="00C3312E">
              <w:rPr>
                <w:b/>
                <w:sz w:val="20"/>
                <w:szCs w:val="20"/>
              </w:rPr>
              <w:t>African American</w:t>
            </w:r>
          </w:p>
        </w:tc>
        <w:tc>
          <w:tcPr>
            <w:tcW w:w="693" w:type="dxa"/>
            <w:shd w:val="clear" w:color="auto" w:fill="BFBFBF" w:themeFill="background1" w:themeFillShade="BF"/>
            <w:textDirection w:val="tbRl"/>
            <w:vAlign w:val="center"/>
          </w:tcPr>
          <w:p w14:paraId="3A96B036" w14:textId="77777777" w:rsidR="00C3312E" w:rsidRPr="00C3312E" w:rsidRDefault="00C3312E" w:rsidP="00F37A4F">
            <w:pPr>
              <w:spacing w:after="0" w:line="240" w:lineRule="auto"/>
              <w:ind w:left="113" w:right="113"/>
              <w:jc w:val="center"/>
              <w:rPr>
                <w:b/>
                <w:sz w:val="20"/>
                <w:szCs w:val="20"/>
              </w:rPr>
            </w:pPr>
            <w:r w:rsidRPr="00C3312E">
              <w:rPr>
                <w:b/>
                <w:sz w:val="20"/>
                <w:szCs w:val="20"/>
              </w:rPr>
              <w:t>Asian</w:t>
            </w:r>
          </w:p>
        </w:tc>
        <w:tc>
          <w:tcPr>
            <w:tcW w:w="693" w:type="dxa"/>
            <w:shd w:val="clear" w:color="auto" w:fill="BFBFBF" w:themeFill="background1" w:themeFillShade="BF"/>
            <w:textDirection w:val="tbRl"/>
            <w:vAlign w:val="center"/>
          </w:tcPr>
          <w:p w14:paraId="41F2DA90" w14:textId="77777777" w:rsidR="00C3312E" w:rsidRPr="00C3312E" w:rsidRDefault="00C3312E" w:rsidP="00F37A4F">
            <w:pPr>
              <w:spacing w:after="0" w:line="240" w:lineRule="auto"/>
              <w:ind w:left="113" w:right="113"/>
              <w:jc w:val="center"/>
              <w:rPr>
                <w:b/>
                <w:sz w:val="20"/>
                <w:szCs w:val="20"/>
              </w:rPr>
            </w:pPr>
            <w:r w:rsidRPr="00C3312E">
              <w:rPr>
                <w:b/>
                <w:sz w:val="20"/>
                <w:szCs w:val="20"/>
              </w:rPr>
              <w:t>Hispanic</w:t>
            </w:r>
          </w:p>
        </w:tc>
        <w:tc>
          <w:tcPr>
            <w:tcW w:w="693" w:type="dxa"/>
            <w:shd w:val="clear" w:color="auto" w:fill="BFBFBF" w:themeFill="background1" w:themeFillShade="BF"/>
            <w:textDirection w:val="tbRl"/>
            <w:vAlign w:val="center"/>
          </w:tcPr>
          <w:p w14:paraId="1CB7A314" w14:textId="77777777" w:rsidR="00C3312E" w:rsidRPr="00C3312E" w:rsidRDefault="00C3312E" w:rsidP="00F37A4F">
            <w:pPr>
              <w:spacing w:after="0" w:line="240" w:lineRule="auto"/>
              <w:ind w:left="113" w:right="113"/>
              <w:jc w:val="center"/>
              <w:rPr>
                <w:b/>
                <w:sz w:val="20"/>
                <w:szCs w:val="20"/>
              </w:rPr>
            </w:pPr>
            <w:r w:rsidRPr="00C3312E">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4BF7E4CC" w14:textId="77777777" w:rsidR="00C3312E" w:rsidRPr="00C3312E" w:rsidRDefault="00C3312E" w:rsidP="00F37A4F">
            <w:pPr>
              <w:spacing w:after="0" w:line="240" w:lineRule="auto"/>
              <w:ind w:left="113" w:right="113"/>
              <w:jc w:val="center"/>
              <w:rPr>
                <w:b/>
                <w:sz w:val="20"/>
                <w:szCs w:val="20"/>
              </w:rPr>
            </w:pPr>
            <w:r w:rsidRPr="00C3312E">
              <w:rPr>
                <w:b/>
                <w:sz w:val="20"/>
                <w:szCs w:val="20"/>
              </w:rPr>
              <w:t>White</w:t>
            </w:r>
          </w:p>
        </w:tc>
      </w:tr>
      <w:tr w:rsidR="00C3312E" w:rsidRPr="00C3312E" w14:paraId="2F490FAF" w14:textId="77777777" w:rsidTr="00F37A4F">
        <w:tc>
          <w:tcPr>
            <w:tcW w:w="2628" w:type="dxa"/>
            <w:tcBorders>
              <w:left w:val="single" w:sz="4" w:space="0" w:color="auto"/>
            </w:tcBorders>
          </w:tcPr>
          <w:p w14:paraId="2FA70C45" w14:textId="77777777" w:rsidR="00C3312E" w:rsidRPr="00C3312E" w:rsidRDefault="00C3312E" w:rsidP="00C3312E">
            <w:pPr>
              <w:spacing w:after="0" w:line="240" w:lineRule="auto"/>
              <w:rPr>
                <w:sz w:val="20"/>
                <w:szCs w:val="20"/>
              </w:rPr>
            </w:pPr>
            <w:r w:rsidRPr="00C3312E">
              <w:rPr>
                <w:sz w:val="20"/>
                <w:szCs w:val="20"/>
              </w:rPr>
              <w:t>Juniper Hill</w:t>
            </w:r>
          </w:p>
        </w:tc>
        <w:tc>
          <w:tcPr>
            <w:tcW w:w="693" w:type="dxa"/>
          </w:tcPr>
          <w:p w14:paraId="368E8EEE"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160E1C1A"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3658CA8B"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075EF9B6"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619E6BF8"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left w:val="single" w:sz="4" w:space="0" w:color="auto"/>
            </w:tcBorders>
          </w:tcPr>
          <w:p w14:paraId="15A0F36B"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5AA7200B"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58852D79"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082E4EE1"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7394D1FF"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26A9CEFE" w14:textId="77777777" w:rsidTr="00F37A4F">
        <w:tc>
          <w:tcPr>
            <w:tcW w:w="2628" w:type="dxa"/>
            <w:tcBorders>
              <w:left w:val="single" w:sz="4" w:space="0" w:color="auto"/>
            </w:tcBorders>
            <w:shd w:val="clear" w:color="auto" w:fill="BFBFBF" w:themeFill="background1" w:themeFillShade="BF"/>
          </w:tcPr>
          <w:p w14:paraId="20EB83B8" w14:textId="47372B20" w:rsidR="00C3312E" w:rsidRPr="00C3312E" w:rsidRDefault="00C3312E" w:rsidP="00697F37">
            <w:pPr>
              <w:spacing w:after="0" w:line="240" w:lineRule="auto"/>
              <w:rPr>
                <w:sz w:val="20"/>
                <w:szCs w:val="20"/>
              </w:rPr>
            </w:pPr>
            <w:r w:rsidRPr="00C3312E">
              <w:rPr>
                <w:sz w:val="20"/>
                <w:szCs w:val="20"/>
              </w:rPr>
              <w:t xml:space="preserve">King </w:t>
            </w:r>
          </w:p>
        </w:tc>
        <w:tc>
          <w:tcPr>
            <w:tcW w:w="693" w:type="dxa"/>
            <w:shd w:val="clear" w:color="auto" w:fill="BFBFBF" w:themeFill="background1" w:themeFillShade="BF"/>
          </w:tcPr>
          <w:p w14:paraId="0628E6D7" w14:textId="77777777" w:rsidR="00C3312E" w:rsidRPr="00C3312E" w:rsidRDefault="00C3312E" w:rsidP="00C3312E">
            <w:pPr>
              <w:spacing w:after="0" w:line="240" w:lineRule="auto"/>
              <w:jc w:val="center"/>
              <w:rPr>
                <w:sz w:val="20"/>
                <w:szCs w:val="20"/>
              </w:rPr>
            </w:pPr>
            <w:r w:rsidRPr="00C3312E">
              <w:rPr>
                <w:sz w:val="20"/>
                <w:szCs w:val="20"/>
              </w:rPr>
              <w:t>30%</w:t>
            </w:r>
          </w:p>
        </w:tc>
        <w:tc>
          <w:tcPr>
            <w:tcW w:w="693" w:type="dxa"/>
            <w:shd w:val="clear" w:color="auto" w:fill="BFBFBF" w:themeFill="background1" w:themeFillShade="BF"/>
          </w:tcPr>
          <w:p w14:paraId="6A2C7409"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shd w:val="clear" w:color="auto" w:fill="BFBFBF" w:themeFill="background1" w:themeFillShade="BF"/>
          </w:tcPr>
          <w:p w14:paraId="466C645F" w14:textId="77777777" w:rsidR="00C3312E" w:rsidRPr="00C3312E" w:rsidRDefault="00C3312E" w:rsidP="00C3312E">
            <w:pPr>
              <w:spacing w:after="0" w:line="240" w:lineRule="auto"/>
              <w:jc w:val="center"/>
              <w:rPr>
                <w:sz w:val="20"/>
                <w:szCs w:val="20"/>
              </w:rPr>
            </w:pPr>
            <w:r w:rsidRPr="00C3312E">
              <w:rPr>
                <w:sz w:val="20"/>
                <w:szCs w:val="20"/>
              </w:rPr>
              <w:t>12%</w:t>
            </w:r>
          </w:p>
        </w:tc>
        <w:tc>
          <w:tcPr>
            <w:tcW w:w="693" w:type="dxa"/>
            <w:shd w:val="clear" w:color="auto" w:fill="BFBFBF" w:themeFill="background1" w:themeFillShade="BF"/>
          </w:tcPr>
          <w:p w14:paraId="475367F4"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tcBorders>
              <w:right w:val="single" w:sz="4" w:space="0" w:color="auto"/>
            </w:tcBorders>
            <w:shd w:val="clear" w:color="auto" w:fill="BFBFBF" w:themeFill="background1" w:themeFillShade="BF"/>
          </w:tcPr>
          <w:p w14:paraId="65C7D481"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tcBorders>
              <w:left w:val="single" w:sz="4" w:space="0" w:color="auto"/>
            </w:tcBorders>
            <w:shd w:val="clear" w:color="auto" w:fill="BFBFBF" w:themeFill="background1" w:themeFillShade="BF"/>
          </w:tcPr>
          <w:p w14:paraId="3E304309"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5C8898DE"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7F5D6C5D"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3E132552"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7F8B863D" w14:textId="77777777" w:rsidR="00C3312E" w:rsidRPr="00C3312E" w:rsidRDefault="00C3312E" w:rsidP="00C3312E">
            <w:pPr>
              <w:spacing w:after="0" w:line="240" w:lineRule="auto"/>
              <w:jc w:val="center"/>
              <w:rPr>
                <w:sz w:val="20"/>
                <w:szCs w:val="20"/>
              </w:rPr>
            </w:pPr>
            <w:r w:rsidRPr="00C3312E">
              <w:rPr>
                <w:sz w:val="20"/>
                <w:szCs w:val="20"/>
              </w:rPr>
              <w:t>30%</w:t>
            </w:r>
          </w:p>
        </w:tc>
      </w:tr>
      <w:tr w:rsidR="00C3312E" w:rsidRPr="00C3312E" w14:paraId="3CC89228" w14:textId="77777777" w:rsidTr="00F37A4F">
        <w:tc>
          <w:tcPr>
            <w:tcW w:w="2628" w:type="dxa"/>
            <w:tcBorders>
              <w:left w:val="single" w:sz="4" w:space="0" w:color="auto"/>
            </w:tcBorders>
          </w:tcPr>
          <w:p w14:paraId="5B76B16D" w14:textId="77777777" w:rsidR="00C3312E" w:rsidRPr="00C3312E" w:rsidRDefault="00C3312E" w:rsidP="00C3312E">
            <w:pPr>
              <w:spacing w:after="0" w:line="240" w:lineRule="auto"/>
              <w:rPr>
                <w:sz w:val="20"/>
                <w:szCs w:val="20"/>
              </w:rPr>
            </w:pPr>
            <w:r w:rsidRPr="00C3312E">
              <w:rPr>
                <w:sz w:val="20"/>
                <w:szCs w:val="20"/>
              </w:rPr>
              <w:t>Brophy</w:t>
            </w:r>
          </w:p>
        </w:tc>
        <w:tc>
          <w:tcPr>
            <w:tcW w:w="693" w:type="dxa"/>
          </w:tcPr>
          <w:p w14:paraId="7381838D" w14:textId="77777777" w:rsidR="00C3312E" w:rsidRPr="00C3312E" w:rsidRDefault="00C3312E" w:rsidP="00C3312E">
            <w:pPr>
              <w:spacing w:after="0" w:line="240" w:lineRule="auto"/>
              <w:jc w:val="center"/>
              <w:rPr>
                <w:sz w:val="20"/>
                <w:szCs w:val="20"/>
              </w:rPr>
            </w:pPr>
            <w:r w:rsidRPr="00C3312E">
              <w:rPr>
                <w:sz w:val="20"/>
                <w:szCs w:val="20"/>
              </w:rPr>
              <w:t>33%</w:t>
            </w:r>
          </w:p>
        </w:tc>
        <w:tc>
          <w:tcPr>
            <w:tcW w:w="693" w:type="dxa"/>
          </w:tcPr>
          <w:p w14:paraId="4AA0BA13" w14:textId="77777777" w:rsidR="00C3312E" w:rsidRPr="00C3312E" w:rsidRDefault="00C3312E" w:rsidP="00C3312E">
            <w:pPr>
              <w:spacing w:after="0" w:line="240" w:lineRule="auto"/>
              <w:jc w:val="center"/>
              <w:rPr>
                <w:sz w:val="20"/>
                <w:szCs w:val="20"/>
              </w:rPr>
            </w:pPr>
            <w:r w:rsidRPr="00C3312E">
              <w:rPr>
                <w:sz w:val="20"/>
                <w:szCs w:val="20"/>
              </w:rPr>
              <w:t>22%</w:t>
            </w:r>
          </w:p>
        </w:tc>
        <w:tc>
          <w:tcPr>
            <w:tcW w:w="693" w:type="dxa"/>
          </w:tcPr>
          <w:p w14:paraId="130F3C81"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tcPr>
          <w:p w14:paraId="4A90CCEC"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tcBorders>
              <w:right w:val="single" w:sz="4" w:space="0" w:color="auto"/>
            </w:tcBorders>
          </w:tcPr>
          <w:p w14:paraId="30124C15"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tcBorders>
              <w:left w:val="single" w:sz="4" w:space="0" w:color="auto"/>
            </w:tcBorders>
          </w:tcPr>
          <w:p w14:paraId="48FD8D02" w14:textId="77777777" w:rsidR="00C3312E" w:rsidRPr="00C3312E" w:rsidRDefault="00C3312E" w:rsidP="00C3312E">
            <w:pPr>
              <w:spacing w:after="0" w:line="240" w:lineRule="auto"/>
              <w:jc w:val="center"/>
              <w:rPr>
                <w:sz w:val="20"/>
                <w:szCs w:val="20"/>
              </w:rPr>
            </w:pPr>
            <w:r w:rsidRPr="00C3312E">
              <w:rPr>
                <w:sz w:val="20"/>
                <w:szCs w:val="20"/>
              </w:rPr>
              <w:t>38%</w:t>
            </w:r>
          </w:p>
        </w:tc>
        <w:tc>
          <w:tcPr>
            <w:tcW w:w="693" w:type="dxa"/>
          </w:tcPr>
          <w:p w14:paraId="4217553A" w14:textId="77777777" w:rsidR="00C3312E" w:rsidRPr="00C3312E" w:rsidRDefault="00C3312E" w:rsidP="00C3312E">
            <w:pPr>
              <w:spacing w:after="0" w:line="240" w:lineRule="auto"/>
              <w:jc w:val="center"/>
              <w:rPr>
                <w:sz w:val="20"/>
                <w:szCs w:val="20"/>
              </w:rPr>
            </w:pPr>
            <w:r w:rsidRPr="00C3312E">
              <w:rPr>
                <w:sz w:val="20"/>
                <w:szCs w:val="20"/>
              </w:rPr>
              <w:t>80%</w:t>
            </w:r>
          </w:p>
        </w:tc>
        <w:tc>
          <w:tcPr>
            <w:tcW w:w="693" w:type="dxa"/>
          </w:tcPr>
          <w:p w14:paraId="142D6133"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tcPr>
          <w:p w14:paraId="2BF68DD0"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2CAB2574"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78E1CB3C" w14:textId="77777777" w:rsidTr="00F37A4F">
        <w:tc>
          <w:tcPr>
            <w:tcW w:w="2628" w:type="dxa"/>
            <w:tcBorders>
              <w:left w:val="single" w:sz="4" w:space="0" w:color="auto"/>
            </w:tcBorders>
            <w:shd w:val="clear" w:color="auto" w:fill="BFBFBF" w:themeFill="background1" w:themeFillShade="BF"/>
          </w:tcPr>
          <w:p w14:paraId="759BD927" w14:textId="77777777" w:rsidR="00C3312E" w:rsidRPr="00C3312E" w:rsidRDefault="00C3312E" w:rsidP="00C3312E">
            <w:pPr>
              <w:spacing w:after="0" w:line="240" w:lineRule="auto"/>
              <w:rPr>
                <w:sz w:val="20"/>
                <w:szCs w:val="20"/>
              </w:rPr>
            </w:pPr>
            <w:r w:rsidRPr="00C3312E">
              <w:rPr>
                <w:sz w:val="20"/>
                <w:szCs w:val="20"/>
              </w:rPr>
              <w:t>Dunning</w:t>
            </w:r>
          </w:p>
        </w:tc>
        <w:tc>
          <w:tcPr>
            <w:tcW w:w="693" w:type="dxa"/>
            <w:shd w:val="clear" w:color="auto" w:fill="BFBFBF" w:themeFill="background1" w:themeFillShade="BF"/>
          </w:tcPr>
          <w:p w14:paraId="76E69816" w14:textId="77777777" w:rsidR="00C3312E" w:rsidRPr="00C3312E" w:rsidRDefault="00C3312E" w:rsidP="00C3312E">
            <w:pPr>
              <w:spacing w:after="0" w:line="240" w:lineRule="auto"/>
              <w:jc w:val="center"/>
              <w:rPr>
                <w:sz w:val="20"/>
                <w:szCs w:val="20"/>
              </w:rPr>
            </w:pPr>
            <w:r w:rsidRPr="00C3312E">
              <w:rPr>
                <w:sz w:val="20"/>
                <w:szCs w:val="20"/>
              </w:rPr>
              <w:t>57%</w:t>
            </w:r>
          </w:p>
        </w:tc>
        <w:tc>
          <w:tcPr>
            <w:tcW w:w="693" w:type="dxa"/>
            <w:shd w:val="clear" w:color="auto" w:fill="BFBFBF" w:themeFill="background1" w:themeFillShade="BF"/>
          </w:tcPr>
          <w:p w14:paraId="07658BFE" w14:textId="77777777" w:rsidR="00C3312E" w:rsidRPr="00C3312E" w:rsidRDefault="00C3312E" w:rsidP="00C3312E">
            <w:pPr>
              <w:spacing w:after="0" w:line="240" w:lineRule="auto"/>
              <w:jc w:val="center"/>
              <w:rPr>
                <w:sz w:val="20"/>
                <w:szCs w:val="20"/>
              </w:rPr>
            </w:pPr>
            <w:r w:rsidRPr="00C3312E">
              <w:rPr>
                <w:sz w:val="20"/>
                <w:szCs w:val="20"/>
              </w:rPr>
              <w:t>33%</w:t>
            </w:r>
          </w:p>
        </w:tc>
        <w:tc>
          <w:tcPr>
            <w:tcW w:w="693" w:type="dxa"/>
            <w:shd w:val="clear" w:color="auto" w:fill="BFBFBF" w:themeFill="background1" w:themeFillShade="BF"/>
          </w:tcPr>
          <w:p w14:paraId="5DB83676" w14:textId="77777777" w:rsidR="00C3312E" w:rsidRPr="00C3312E" w:rsidRDefault="00C3312E" w:rsidP="00C3312E">
            <w:pPr>
              <w:spacing w:after="0" w:line="240" w:lineRule="auto"/>
              <w:jc w:val="center"/>
              <w:rPr>
                <w:sz w:val="20"/>
                <w:szCs w:val="20"/>
              </w:rPr>
            </w:pPr>
            <w:r w:rsidRPr="00C3312E">
              <w:rPr>
                <w:sz w:val="20"/>
                <w:szCs w:val="20"/>
              </w:rPr>
              <w:t>40%</w:t>
            </w:r>
          </w:p>
        </w:tc>
        <w:tc>
          <w:tcPr>
            <w:tcW w:w="693" w:type="dxa"/>
            <w:shd w:val="clear" w:color="auto" w:fill="BFBFBF" w:themeFill="background1" w:themeFillShade="BF"/>
          </w:tcPr>
          <w:p w14:paraId="7F0E26A1" w14:textId="77777777" w:rsidR="00C3312E" w:rsidRPr="00C3312E" w:rsidRDefault="00C3312E" w:rsidP="00C3312E">
            <w:pPr>
              <w:spacing w:after="0" w:line="240" w:lineRule="auto"/>
              <w:jc w:val="center"/>
              <w:rPr>
                <w:sz w:val="20"/>
                <w:szCs w:val="20"/>
              </w:rPr>
            </w:pPr>
            <w:r w:rsidRPr="00C3312E">
              <w:rPr>
                <w:sz w:val="20"/>
                <w:szCs w:val="20"/>
              </w:rPr>
              <w:t>15%</w:t>
            </w:r>
          </w:p>
        </w:tc>
        <w:tc>
          <w:tcPr>
            <w:tcW w:w="693" w:type="dxa"/>
            <w:tcBorders>
              <w:right w:val="single" w:sz="4" w:space="0" w:color="auto"/>
            </w:tcBorders>
            <w:shd w:val="clear" w:color="auto" w:fill="BFBFBF" w:themeFill="background1" w:themeFillShade="BF"/>
          </w:tcPr>
          <w:p w14:paraId="5CECDF8E"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tcBorders>
              <w:left w:val="single" w:sz="4" w:space="0" w:color="auto"/>
            </w:tcBorders>
            <w:shd w:val="clear" w:color="auto" w:fill="BFBFBF" w:themeFill="background1" w:themeFillShade="BF"/>
          </w:tcPr>
          <w:p w14:paraId="0649282D" w14:textId="77777777" w:rsidR="00C3312E" w:rsidRPr="00C3312E" w:rsidRDefault="00C3312E" w:rsidP="00C3312E">
            <w:pPr>
              <w:spacing w:after="0" w:line="240" w:lineRule="auto"/>
              <w:jc w:val="center"/>
              <w:rPr>
                <w:sz w:val="20"/>
                <w:szCs w:val="20"/>
              </w:rPr>
            </w:pPr>
            <w:r w:rsidRPr="00C3312E">
              <w:rPr>
                <w:sz w:val="20"/>
                <w:szCs w:val="20"/>
              </w:rPr>
              <w:t>50%</w:t>
            </w:r>
          </w:p>
        </w:tc>
        <w:tc>
          <w:tcPr>
            <w:tcW w:w="693" w:type="dxa"/>
            <w:shd w:val="clear" w:color="auto" w:fill="BFBFBF" w:themeFill="background1" w:themeFillShade="BF"/>
          </w:tcPr>
          <w:p w14:paraId="3F96F4CE" w14:textId="77777777" w:rsidR="00C3312E" w:rsidRPr="00C3312E" w:rsidRDefault="00C3312E" w:rsidP="00C3312E">
            <w:pPr>
              <w:spacing w:after="0" w:line="240" w:lineRule="auto"/>
              <w:jc w:val="center"/>
              <w:rPr>
                <w:sz w:val="20"/>
                <w:szCs w:val="20"/>
              </w:rPr>
            </w:pPr>
            <w:r w:rsidRPr="00C3312E">
              <w:rPr>
                <w:sz w:val="20"/>
                <w:szCs w:val="20"/>
              </w:rPr>
              <w:t>68%</w:t>
            </w:r>
          </w:p>
        </w:tc>
        <w:tc>
          <w:tcPr>
            <w:tcW w:w="693" w:type="dxa"/>
            <w:shd w:val="clear" w:color="auto" w:fill="BFBFBF" w:themeFill="background1" w:themeFillShade="BF"/>
          </w:tcPr>
          <w:p w14:paraId="1D3A4DFE" w14:textId="77777777" w:rsidR="00C3312E" w:rsidRPr="00C3312E" w:rsidRDefault="00C3312E" w:rsidP="00C3312E">
            <w:pPr>
              <w:spacing w:after="0" w:line="240" w:lineRule="auto"/>
              <w:jc w:val="center"/>
              <w:rPr>
                <w:sz w:val="20"/>
                <w:szCs w:val="20"/>
              </w:rPr>
            </w:pPr>
            <w:r w:rsidRPr="00C3312E">
              <w:rPr>
                <w:sz w:val="20"/>
                <w:szCs w:val="20"/>
              </w:rPr>
              <w:t>32%</w:t>
            </w:r>
          </w:p>
        </w:tc>
        <w:tc>
          <w:tcPr>
            <w:tcW w:w="693" w:type="dxa"/>
            <w:shd w:val="clear" w:color="auto" w:fill="BFBFBF" w:themeFill="background1" w:themeFillShade="BF"/>
          </w:tcPr>
          <w:p w14:paraId="60CEC3DE" w14:textId="77777777" w:rsidR="00C3312E" w:rsidRPr="00C3312E" w:rsidRDefault="00C3312E" w:rsidP="00C3312E">
            <w:pPr>
              <w:spacing w:after="0" w:line="240" w:lineRule="auto"/>
              <w:jc w:val="center"/>
              <w:rPr>
                <w:sz w:val="20"/>
                <w:szCs w:val="20"/>
              </w:rPr>
            </w:pPr>
            <w:r w:rsidRPr="00C3312E">
              <w:rPr>
                <w:sz w:val="20"/>
                <w:szCs w:val="20"/>
              </w:rPr>
              <w:t>80%</w:t>
            </w:r>
          </w:p>
        </w:tc>
        <w:tc>
          <w:tcPr>
            <w:tcW w:w="693" w:type="dxa"/>
            <w:tcBorders>
              <w:right w:val="single" w:sz="4" w:space="0" w:color="auto"/>
            </w:tcBorders>
            <w:shd w:val="clear" w:color="auto" w:fill="BFBFBF" w:themeFill="background1" w:themeFillShade="BF"/>
          </w:tcPr>
          <w:p w14:paraId="773CF722" w14:textId="77777777" w:rsidR="00C3312E" w:rsidRPr="00C3312E" w:rsidRDefault="00C3312E" w:rsidP="00C3312E">
            <w:pPr>
              <w:spacing w:after="0" w:line="240" w:lineRule="auto"/>
              <w:jc w:val="center"/>
              <w:rPr>
                <w:sz w:val="20"/>
                <w:szCs w:val="20"/>
              </w:rPr>
            </w:pPr>
            <w:r w:rsidRPr="00C3312E">
              <w:rPr>
                <w:sz w:val="20"/>
                <w:szCs w:val="20"/>
              </w:rPr>
              <w:t>58%</w:t>
            </w:r>
          </w:p>
        </w:tc>
      </w:tr>
      <w:tr w:rsidR="00C3312E" w:rsidRPr="00C3312E" w14:paraId="7CC98070" w14:textId="77777777" w:rsidTr="00F37A4F">
        <w:tc>
          <w:tcPr>
            <w:tcW w:w="2628" w:type="dxa"/>
            <w:tcBorders>
              <w:left w:val="single" w:sz="4" w:space="0" w:color="auto"/>
            </w:tcBorders>
          </w:tcPr>
          <w:p w14:paraId="093EAE9E" w14:textId="77777777" w:rsidR="00C3312E" w:rsidRPr="00C3312E" w:rsidRDefault="00C3312E" w:rsidP="00C3312E">
            <w:pPr>
              <w:spacing w:after="0" w:line="240" w:lineRule="auto"/>
              <w:rPr>
                <w:sz w:val="20"/>
                <w:szCs w:val="20"/>
              </w:rPr>
            </w:pPr>
            <w:r w:rsidRPr="00C3312E">
              <w:rPr>
                <w:sz w:val="20"/>
                <w:szCs w:val="20"/>
              </w:rPr>
              <w:t>Hemenway</w:t>
            </w:r>
          </w:p>
        </w:tc>
        <w:tc>
          <w:tcPr>
            <w:tcW w:w="693" w:type="dxa"/>
          </w:tcPr>
          <w:p w14:paraId="44BD9394" w14:textId="77777777" w:rsidR="00C3312E" w:rsidRPr="00C3312E" w:rsidRDefault="00C3312E" w:rsidP="00C3312E">
            <w:pPr>
              <w:spacing w:after="0" w:line="240" w:lineRule="auto"/>
              <w:jc w:val="center"/>
              <w:rPr>
                <w:sz w:val="20"/>
                <w:szCs w:val="20"/>
              </w:rPr>
            </w:pPr>
            <w:r w:rsidRPr="00C3312E">
              <w:rPr>
                <w:sz w:val="20"/>
                <w:szCs w:val="20"/>
              </w:rPr>
              <w:t>67%</w:t>
            </w:r>
          </w:p>
        </w:tc>
        <w:tc>
          <w:tcPr>
            <w:tcW w:w="693" w:type="dxa"/>
          </w:tcPr>
          <w:p w14:paraId="37D366BD" w14:textId="77777777" w:rsidR="00C3312E" w:rsidRPr="00C3312E" w:rsidRDefault="00C3312E" w:rsidP="00C3312E">
            <w:pPr>
              <w:spacing w:after="0" w:line="240" w:lineRule="auto"/>
              <w:jc w:val="center"/>
              <w:rPr>
                <w:sz w:val="20"/>
                <w:szCs w:val="20"/>
              </w:rPr>
            </w:pPr>
            <w:r w:rsidRPr="00C3312E">
              <w:rPr>
                <w:sz w:val="20"/>
                <w:szCs w:val="20"/>
              </w:rPr>
              <w:t>41%</w:t>
            </w:r>
          </w:p>
        </w:tc>
        <w:tc>
          <w:tcPr>
            <w:tcW w:w="693" w:type="dxa"/>
          </w:tcPr>
          <w:p w14:paraId="44192F8F" w14:textId="77777777" w:rsidR="00C3312E" w:rsidRPr="00C3312E" w:rsidRDefault="00C3312E" w:rsidP="00C3312E">
            <w:pPr>
              <w:spacing w:after="0" w:line="240" w:lineRule="auto"/>
              <w:jc w:val="center"/>
              <w:rPr>
                <w:sz w:val="20"/>
                <w:szCs w:val="20"/>
              </w:rPr>
            </w:pPr>
            <w:r w:rsidRPr="00C3312E">
              <w:rPr>
                <w:sz w:val="20"/>
                <w:szCs w:val="20"/>
              </w:rPr>
              <w:t>46%</w:t>
            </w:r>
          </w:p>
        </w:tc>
        <w:tc>
          <w:tcPr>
            <w:tcW w:w="693" w:type="dxa"/>
          </w:tcPr>
          <w:p w14:paraId="1542650E"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tcBorders>
              <w:right w:val="single" w:sz="4" w:space="0" w:color="auto"/>
            </w:tcBorders>
          </w:tcPr>
          <w:p w14:paraId="2F2B9757" w14:textId="77777777" w:rsidR="00C3312E" w:rsidRPr="00C3312E" w:rsidRDefault="00C3312E" w:rsidP="00C3312E">
            <w:pPr>
              <w:spacing w:after="0" w:line="240" w:lineRule="auto"/>
              <w:jc w:val="center"/>
              <w:rPr>
                <w:sz w:val="20"/>
                <w:szCs w:val="20"/>
              </w:rPr>
            </w:pPr>
            <w:r w:rsidRPr="00C3312E">
              <w:rPr>
                <w:sz w:val="20"/>
                <w:szCs w:val="20"/>
              </w:rPr>
              <w:t>50%</w:t>
            </w:r>
          </w:p>
        </w:tc>
        <w:tc>
          <w:tcPr>
            <w:tcW w:w="693" w:type="dxa"/>
            <w:tcBorders>
              <w:left w:val="single" w:sz="4" w:space="0" w:color="auto"/>
            </w:tcBorders>
          </w:tcPr>
          <w:p w14:paraId="3659A27F" w14:textId="77777777" w:rsidR="00C3312E" w:rsidRPr="00C3312E" w:rsidRDefault="00C3312E" w:rsidP="00C3312E">
            <w:pPr>
              <w:spacing w:after="0" w:line="240" w:lineRule="auto"/>
              <w:jc w:val="center"/>
              <w:rPr>
                <w:sz w:val="20"/>
                <w:szCs w:val="20"/>
              </w:rPr>
            </w:pPr>
            <w:r w:rsidRPr="00C3312E">
              <w:rPr>
                <w:sz w:val="20"/>
                <w:szCs w:val="20"/>
              </w:rPr>
              <w:t>57%</w:t>
            </w:r>
          </w:p>
        </w:tc>
        <w:tc>
          <w:tcPr>
            <w:tcW w:w="693" w:type="dxa"/>
          </w:tcPr>
          <w:p w14:paraId="27BBBD54" w14:textId="77777777" w:rsidR="00C3312E" w:rsidRPr="00C3312E" w:rsidRDefault="00C3312E" w:rsidP="00C3312E">
            <w:pPr>
              <w:spacing w:after="0" w:line="240" w:lineRule="auto"/>
              <w:jc w:val="center"/>
              <w:rPr>
                <w:sz w:val="20"/>
                <w:szCs w:val="20"/>
              </w:rPr>
            </w:pPr>
            <w:r w:rsidRPr="00C3312E">
              <w:rPr>
                <w:sz w:val="20"/>
                <w:szCs w:val="20"/>
              </w:rPr>
              <w:t>62%</w:t>
            </w:r>
          </w:p>
        </w:tc>
        <w:tc>
          <w:tcPr>
            <w:tcW w:w="693" w:type="dxa"/>
          </w:tcPr>
          <w:p w14:paraId="685AF52A" w14:textId="77777777" w:rsidR="00C3312E" w:rsidRPr="00C3312E" w:rsidRDefault="00C3312E" w:rsidP="00C3312E">
            <w:pPr>
              <w:spacing w:after="0" w:line="240" w:lineRule="auto"/>
              <w:jc w:val="center"/>
              <w:rPr>
                <w:sz w:val="20"/>
                <w:szCs w:val="20"/>
              </w:rPr>
            </w:pPr>
            <w:r w:rsidRPr="00C3312E">
              <w:rPr>
                <w:sz w:val="20"/>
                <w:szCs w:val="20"/>
              </w:rPr>
              <w:t>59%</w:t>
            </w:r>
          </w:p>
        </w:tc>
        <w:tc>
          <w:tcPr>
            <w:tcW w:w="693" w:type="dxa"/>
          </w:tcPr>
          <w:p w14:paraId="047C2833" w14:textId="77777777" w:rsidR="00C3312E" w:rsidRPr="00C3312E" w:rsidRDefault="00C3312E" w:rsidP="00C3312E">
            <w:pPr>
              <w:spacing w:after="0" w:line="240" w:lineRule="auto"/>
              <w:jc w:val="center"/>
              <w:rPr>
                <w:sz w:val="20"/>
                <w:szCs w:val="20"/>
              </w:rPr>
            </w:pPr>
            <w:r w:rsidRPr="00C3312E">
              <w:rPr>
                <w:sz w:val="20"/>
                <w:szCs w:val="20"/>
              </w:rPr>
              <w:t>75%</w:t>
            </w:r>
          </w:p>
        </w:tc>
        <w:tc>
          <w:tcPr>
            <w:tcW w:w="693" w:type="dxa"/>
            <w:tcBorders>
              <w:right w:val="single" w:sz="4" w:space="0" w:color="auto"/>
            </w:tcBorders>
          </w:tcPr>
          <w:p w14:paraId="2A1EDB22" w14:textId="77777777" w:rsidR="00C3312E" w:rsidRPr="00C3312E" w:rsidRDefault="00C3312E" w:rsidP="00C3312E">
            <w:pPr>
              <w:spacing w:after="0" w:line="240" w:lineRule="auto"/>
              <w:jc w:val="center"/>
              <w:rPr>
                <w:sz w:val="20"/>
                <w:szCs w:val="20"/>
              </w:rPr>
            </w:pPr>
            <w:r w:rsidRPr="00C3312E">
              <w:rPr>
                <w:sz w:val="20"/>
                <w:szCs w:val="20"/>
              </w:rPr>
              <w:t>69%</w:t>
            </w:r>
          </w:p>
        </w:tc>
      </w:tr>
      <w:tr w:rsidR="00C3312E" w:rsidRPr="00C3312E" w14:paraId="7EE33347" w14:textId="77777777" w:rsidTr="00F37A4F">
        <w:tc>
          <w:tcPr>
            <w:tcW w:w="2628" w:type="dxa"/>
            <w:tcBorders>
              <w:left w:val="single" w:sz="4" w:space="0" w:color="auto"/>
            </w:tcBorders>
            <w:shd w:val="clear" w:color="auto" w:fill="BFBFBF" w:themeFill="background1" w:themeFillShade="BF"/>
          </w:tcPr>
          <w:p w14:paraId="595147C4" w14:textId="77777777" w:rsidR="00C3312E" w:rsidRPr="00C3312E" w:rsidRDefault="00C3312E" w:rsidP="00C3312E">
            <w:pPr>
              <w:spacing w:after="0" w:line="240" w:lineRule="auto"/>
              <w:rPr>
                <w:sz w:val="20"/>
                <w:szCs w:val="20"/>
              </w:rPr>
            </w:pPr>
            <w:r w:rsidRPr="00C3312E">
              <w:rPr>
                <w:sz w:val="20"/>
                <w:szCs w:val="20"/>
              </w:rPr>
              <w:t>Barbieri</w:t>
            </w:r>
          </w:p>
        </w:tc>
        <w:tc>
          <w:tcPr>
            <w:tcW w:w="693" w:type="dxa"/>
            <w:shd w:val="clear" w:color="auto" w:fill="BFBFBF" w:themeFill="background1" w:themeFillShade="BF"/>
          </w:tcPr>
          <w:p w14:paraId="1E3B0671" w14:textId="77777777" w:rsidR="00C3312E" w:rsidRPr="00C3312E" w:rsidRDefault="00C3312E" w:rsidP="00C3312E">
            <w:pPr>
              <w:spacing w:after="0" w:line="240" w:lineRule="auto"/>
              <w:jc w:val="center"/>
              <w:rPr>
                <w:sz w:val="20"/>
                <w:szCs w:val="20"/>
              </w:rPr>
            </w:pPr>
            <w:r w:rsidRPr="00C3312E">
              <w:rPr>
                <w:sz w:val="20"/>
                <w:szCs w:val="20"/>
              </w:rPr>
              <w:t>29%</w:t>
            </w:r>
          </w:p>
        </w:tc>
        <w:tc>
          <w:tcPr>
            <w:tcW w:w="693" w:type="dxa"/>
            <w:shd w:val="clear" w:color="auto" w:fill="BFBFBF" w:themeFill="background1" w:themeFillShade="BF"/>
          </w:tcPr>
          <w:p w14:paraId="5972E787" w14:textId="77777777" w:rsidR="00C3312E" w:rsidRPr="00C3312E" w:rsidRDefault="00C3312E" w:rsidP="00C3312E">
            <w:pPr>
              <w:spacing w:after="0" w:line="240" w:lineRule="auto"/>
              <w:jc w:val="center"/>
              <w:rPr>
                <w:sz w:val="20"/>
                <w:szCs w:val="20"/>
              </w:rPr>
            </w:pPr>
            <w:r w:rsidRPr="00C3312E">
              <w:rPr>
                <w:sz w:val="20"/>
                <w:szCs w:val="20"/>
              </w:rPr>
              <w:t>12%</w:t>
            </w:r>
          </w:p>
        </w:tc>
        <w:tc>
          <w:tcPr>
            <w:tcW w:w="693" w:type="dxa"/>
            <w:shd w:val="clear" w:color="auto" w:fill="BFBFBF" w:themeFill="background1" w:themeFillShade="BF"/>
          </w:tcPr>
          <w:p w14:paraId="28291503"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shd w:val="clear" w:color="auto" w:fill="BFBFBF" w:themeFill="background1" w:themeFillShade="BF"/>
          </w:tcPr>
          <w:p w14:paraId="4B17EE4E" w14:textId="77777777" w:rsidR="00C3312E" w:rsidRPr="00C3312E" w:rsidRDefault="00C3312E" w:rsidP="00C3312E">
            <w:pPr>
              <w:spacing w:after="0" w:line="240" w:lineRule="auto"/>
              <w:jc w:val="center"/>
              <w:rPr>
                <w:sz w:val="20"/>
                <w:szCs w:val="20"/>
              </w:rPr>
            </w:pPr>
            <w:r w:rsidRPr="00C3312E">
              <w:rPr>
                <w:sz w:val="20"/>
                <w:szCs w:val="20"/>
              </w:rPr>
              <w:t>4%</w:t>
            </w:r>
          </w:p>
        </w:tc>
        <w:tc>
          <w:tcPr>
            <w:tcW w:w="693" w:type="dxa"/>
            <w:tcBorders>
              <w:right w:val="single" w:sz="4" w:space="0" w:color="auto"/>
            </w:tcBorders>
            <w:shd w:val="clear" w:color="auto" w:fill="BFBFBF" w:themeFill="background1" w:themeFillShade="BF"/>
          </w:tcPr>
          <w:p w14:paraId="701DF47C"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left w:val="single" w:sz="4" w:space="0" w:color="auto"/>
            </w:tcBorders>
            <w:shd w:val="clear" w:color="auto" w:fill="BFBFBF" w:themeFill="background1" w:themeFillShade="BF"/>
          </w:tcPr>
          <w:p w14:paraId="48392432"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shd w:val="clear" w:color="auto" w:fill="BFBFBF" w:themeFill="background1" w:themeFillShade="BF"/>
          </w:tcPr>
          <w:p w14:paraId="532E6269"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35824497"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shd w:val="clear" w:color="auto" w:fill="BFBFBF" w:themeFill="background1" w:themeFillShade="BF"/>
          </w:tcPr>
          <w:p w14:paraId="618E24A7"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252105AB" w14:textId="77777777" w:rsidR="00C3312E" w:rsidRPr="00C3312E" w:rsidRDefault="00C3312E" w:rsidP="00C3312E">
            <w:pPr>
              <w:spacing w:after="0" w:line="240" w:lineRule="auto"/>
              <w:jc w:val="center"/>
              <w:rPr>
                <w:sz w:val="20"/>
                <w:szCs w:val="20"/>
              </w:rPr>
            </w:pPr>
            <w:r w:rsidRPr="00C3312E">
              <w:rPr>
                <w:sz w:val="20"/>
                <w:szCs w:val="20"/>
              </w:rPr>
              <w:t>54%</w:t>
            </w:r>
          </w:p>
        </w:tc>
      </w:tr>
      <w:tr w:rsidR="00C3312E" w:rsidRPr="00C3312E" w14:paraId="032D7BD6" w14:textId="77777777" w:rsidTr="00F37A4F">
        <w:tc>
          <w:tcPr>
            <w:tcW w:w="2628" w:type="dxa"/>
            <w:tcBorders>
              <w:left w:val="single" w:sz="4" w:space="0" w:color="auto"/>
            </w:tcBorders>
          </w:tcPr>
          <w:p w14:paraId="6D3339E7" w14:textId="77777777" w:rsidR="00C3312E" w:rsidRPr="00C3312E" w:rsidRDefault="00C3312E" w:rsidP="00C3312E">
            <w:pPr>
              <w:spacing w:after="0" w:line="240" w:lineRule="auto"/>
              <w:rPr>
                <w:sz w:val="20"/>
                <w:szCs w:val="20"/>
              </w:rPr>
            </w:pPr>
            <w:r w:rsidRPr="00C3312E">
              <w:rPr>
                <w:sz w:val="20"/>
                <w:szCs w:val="20"/>
              </w:rPr>
              <w:t>Potter Road</w:t>
            </w:r>
          </w:p>
        </w:tc>
        <w:tc>
          <w:tcPr>
            <w:tcW w:w="693" w:type="dxa"/>
          </w:tcPr>
          <w:p w14:paraId="614150B9" w14:textId="77777777" w:rsidR="00C3312E" w:rsidRPr="00C3312E" w:rsidRDefault="00C3312E" w:rsidP="00C3312E">
            <w:pPr>
              <w:spacing w:after="0" w:line="240" w:lineRule="auto"/>
              <w:jc w:val="center"/>
              <w:rPr>
                <w:sz w:val="20"/>
                <w:szCs w:val="20"/>
              </w:rPr>
            </w:pPr>
            <w:r w:rsidRPr="00C3312E">
              <w:rPr>
                <w:sz w:val="20"/>
                <w:szCs w:val="20"/>
              </w:rPr>
              <w:t>50%</w:t>
            </w:r>
          </w:p>
        </w:tc>
        <w:tc>
          <w:tcPr>
            <w:tcW w:w="693" w:type="dxa"/>
          </w:tcPr>
          <w:p w14:paraId="21C2A226" w14:textId="77777777" w:rsidR="00C3312E" w:rsidRPr="00C3312E" w:rsidRDefault="00C3312E" w:rsidP="00C3312E">
            <w:pPr>
              <w:spacing w:after="0" w:line="240" w:lineRule="auto"/>
              <w:jc w:val="center"/>
              <w:rPr>
                <w:sz w:val="20"/>
                <w:szCs w:val="20"/>
              </w:rPr>
            </w:pPr>
            <w:r w:rsidRPr="00C3312E">
              <w:rPr>
                <w:sz w:val="20"/>
                <w:szCs w:val="20"/>
              </w:rPr>
              <w:t>36%</w:t>
            </w:r>
          </w:p>
        </w:tc>
        <w:tc>
          <w:tcPr>
            <w:tcW w:w="693" w:type="dxa"/>
          </w:tcPr>
          <w:p w14:paraId="42D35695" w14:textId="77777777" w:rsidR="00C3312E" w:rsidRPr="00C3312E" w:rsidRDefault="00C3312E" w:rsidP="00C3312E">
            <w:pPr>
              <w:spacing w:after="0" w:line="240" w:lineRule="auto"/>
              <w:jc w:val="center"/>
              <w:rPr>
                <w:sz w:val="20"/>
                <w:szCs w:val="20"/>
              </w:rPr>
            </w:pPr>
            <w:r w:rsidRPr="00C3312E">
              <w:rPr>
                <w:sz w:val="20"/>
                <w:szCs w:val="20"/>
              </w:rPr>
              <w:t>37%</w:t>
            </w:r>
          </w:p>
        </w:tc>
        <w:tc>
          <w:tcPr>
            <w:tcW w:w="693" w:type="dxa"/>
          </w:tcPr>
          <w:p w14:paraId="40AD769C" w14:textId="77777777" w:rsidR="00C3312E" w:rsidRPr="00C3312E" w:rsidRDefault="00C3312E" w:rsidP="00C3312E">
            <w:pPr>
              <w:spacing w:after="0" w:line="240" w:lineRule="auto"/>
              <w:jc w:val="center"/>
              <w:rPr>
                <w:sz w:val="20"/>
                <w:szCs w:val="20"/>
              </w:rPr>
            </w:pPr>
            <w:r w:rsidRPr="00C3312E">
              <w:rPr>
                <w:sz w:val="20"/>
                <w:szCs w:val="20"/>
              </w:rPr>
              <w:t>30%</w:t>
            </w:r>
          </w:p>
        </w:tc>
        <w:tc>
          <w:tcPr>
            <w:tcW w:w="693" w:type="dxa"/>
            <w:tcBorders>
              <w:right w:val="single" w:sz="4" w:space="0" w:color="auto"/>
            </w:tcBorders>
          </w:tcPr>
          <w:p w14:paraId="59AC0866" w14:textId="77777777" w:rsidR="00C3312E" w:rsidRPr="00C3312E" w:rsidRDefault="00C3312E" w:rsidP="00C3312E">
            <w:pPr>
              <w:spacing w:after="0" w:line="240" w:lineRule="auto"/>
              <w:jc w:val="center"/>
              <w:rPr>
                <w:sz w:val="20"/>
                <w:szCs w:val="20"/>
              </w:rPr>
            </w:pPr>
            <w:r w:rsidRPr="00C3312E">
              <w:rPr>
                <w:sz w:val="20"/>
                <w:szCs w:val="20"/>
              </w:rPr>
              <w:t>34%</w:t>
            </w:r>
          </w:p>
        </w:tc>
        <w:tc>
          <w:tcPr>
            <w:tcW w:w="693" w:type="dxa"/>
            <w:tcBorders>
              <w:left w:val="single" w:sz="4" w:space="0" w:color="auto"/>
            </w:tcBorders>
          </w:tcPr>
          <w:p w14:paraId="37CB2711" w14:textId="77777777" w:rsidR="00C3312E" w:rsidRPr="00C3312E" w:rsidRDefault="00C3312E" w:rsidP="00C3312E">
            <w:pPr>
              <w:spacing w:after="0" w:line="240" w:lineRule="auto"/>
              <w:jc w:val="center"/>
              <w:rPr>
                <w:sz w:val="20"/>
                <w:szCs w:val="20"/>
              </w:rPr>
            </w:pPr>
            <w:r w:rsidRPr="00C3312E">
              <w:rPr>
                <w:sz w:val="20"/>
                <w:szCs w:val="20"/>
              </w:rPr>
              <w:t>46%</w:t>
            </w:r>
          </w:p>
        </w:tc>
        <w:tc>
          <w:tcPr>
            <w:tcW w:w="693" w:type="dxa"/>
          </w:tcPr>
          <w:p w14:paraId="07A6943E" w14:textId="77777777" w:rsidR="00C3312E" w:rsidRPr="00C3312E" w:rsidRDefault="00C3312E" w:rsidP="00C3312E">
            <w:pPr>
              <w:spacing w:after="0" w:line="240" w:lineRule="auto"/>
              <w:jc w:val="center"/>
              <w:rPr>
                <w:sz w:val="20"/>
                <w:szCs w:val="20"/>
              </w:rPr>
            </w:pPr>
            <w:r w:rsidRPr="00C3312E">
              <w:rPr>
                <w:sz w:val="20"/>
                <w:szCs w:val="20"/>
              </w:rPr>
              <w:t>58%</w:t>
            </w:r>
          </w:p>
        </w:tc>
        <w:tc>
          <w:tcPr>
            <w:tcW w:w="693" w:type="dxa"/>
          </w:tcPr>
          <w:p w14:paraId="1C91B291" w14:textId="77777777" w:rsidR="00C3312E" w:rsidRPr="00C3312E" w:rsidRDefault="00C3312E" w:rsidP="00C3312E">
            <w:pPr>
              <w:spacing w:after="0" w:line="240" w:lineRule="auto"/>
              <w:jc w:val="center"/>
              <w:rPr>
                <w:sz w:val="20"/>
                <w:szCs w:val="20"/>
              </w:rPr>
            </w:pPr>
            <w:r w:rsidRPr="00C3312E">
              <w:rPr>
                <w:sz w:val="20"/>
                <w:szCs w:val="20"/>
              </w:rPr>
              <w:t>65%</w:t>
            </w:r>
          </w:p>
        </w:tc>
        <w:tc>
          <w:tcPr>
            <w:tcW w:w="693" w:type="dxa"/>
          </w:tcPr>
          <w:p w14:paraId="1C7C2651" w14:textId="77777777" w:rsidR="00C3312E" w:rsidRPr="00C3312E" w:rsidRDefault="00C3312E" w:rsidP="00C3312E">
            <w:pPr>
              <w:spacing w:after="0" w:line="240" w:lineRule="auto"/>
              <w:jc w:val="center"/>
              <w:rPr>
                <w:sz w:val="20"/>
                <w:szCs w:val="20"/>
              </w:rPr>
            </w:pPr>
            <w:r w:rsidRPr="00C3312E">
              <w:rPr>
                <w:sz w:val="20"/>
                <w:szCs w:val="20"/>
              </w:rPr>
              <w:t>64%</w:t>
            </w:r>
          </w:p>
        </w:tc>
        <w:tc>
          <w:tcPr>
            <w:tcW w:w="693" w:type="dxa"/>
            <w:tcBorders>
              <w:right w:val="single" w:sz="4" w:space="0" w:color="auto"/>
            </w:tcBorders>
          </w:tcPr>
          <w:p w14:paraId="61D6A965" w14:textId="77777777" w:rsidR="00C3312E" w:rsidRPr="00C3312E" w:rsidRDefault="00C3312E" w:rsidP="00C3312E">
            <w:pPr>
              <w:spacing w:after="0" w:line="240" w:lineRule="auto"/>
              <w:jc w:val="center"/>
              <w:rPr>
                <w:sz w:val="20"/>
                <w:szCs w:val="20"/>
              </w:rPr>
            </w:pPr>
            <w:r w:rsidRPr="00C3312E">
              <w:rPr>
                <w:sz w:val="20"/>
                <w:szCs w:val="20"/>
              </w:rPr>
              <w:t>48%</w:t>
            </w:r>
          </w:p>
        </w:tc>
      </w:tr>
      <w:tr w:rsidR="00C3312E" w:rsidRPr="00C3312E" w14:paraId="74AA3AF0" w14:textId="77777777" w:rsidTr="00F37A4F">
        <w:tc>
          <w:tcPr>
            <w:tcW w:w="2628" w:type="dxa"/>
            <w:tcBorders>
              <w:left w:val="single" w:sz="4" w:space="0" w:color="auto"/>
            </w:tcBorders>
            <w:shd w:val="clear" w:color="auto" w:fill="BFBFBF" w:themeFill="background1" w:themeFillShade="BF"/>
          </w:tcPr>
          <w:p w14:paraId="02F462B0" w14:textId="77777777" w:rsidR="00C3312E" w:rsidRPr="00C3312E" w:rsidRDefault="00C3312E" w:rsidP="00C3312E">
            <w:pPr>
              <w:spacing w:after="0" w:line="240" w:lineRule="auto"/>
              <w:rPr>
                <w:sz w:val="20"/>
                <w:szCs w:val="20"/>
              </w:rPr>
            </w:pPr>
            <w:r w:rsidRPr="00C3312E">
              <w:rPr>
                <w:sz w:val="20"/>
                <w:szCs w:val="20"/>
              </w:rPr>
              <w:t>Stapleton</w:t>
            </w:r>
          </w:p>
        </w:tc>
        <w:tc>
          <w:tcPr>
            <w:tcW w:w="693" w:type="dxa"/>
            <w:shd w:val="clear" w:color="auto" w:fill="BFBFBF" w:themeFill="background1" w:themeFillShade="BF"/>
          </w:tcPr>
          <w:p w14:paraId="747AB847" w14:textId="77777777" w:rsidR="00C3312E" w:rsidRPr="00C3312E" w:rsidRDefault="00C3312E" w:rsidP="00C3312E">
            <w:pPr>
              <w:spacing w:after="0" w:line="240" w:lineRule="auto"/>
              <w:jc w:val="center"/>
              <w:rPr>
                <w:sz w:val="20"/>
                <w:szCs w:val="20"/>
              </w:rPr>
            </w:pPr>
            <w:r w:rsidRPr="00C3312E">
              <w:rPr>
                <w:sz w:val="20"/>
                <w:szCs w:val="20"/>
              </w:rPr>
              <w:t>34%</w:t>
            </w:r>
          </w:p>
        </w:tc>
        <w:tc>
          <w:tcPr>
            <w:tcW w:w="693" w:type="dxa"/>
            <w:shd w:val="clear" w:color="auto" w:fill="BFBFBF" w:themeFill="background1" w:themeFillShade="BF"/>
          </w:tcPr>
          <w:p w14:paraId="22FC716E"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shd w:val="clear" w:color="auto" w:fill="BFBFBF" w:themeFill="background1" w:themeFillShade="BF"/>
          </w:tcPr>
          <w:p w14:paraId="49983BB0"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shd w:val="clear" w:color="auto" w:fill="BFBFBF" w:themeFill="background1" w:themeFillShade="BF"/>
          </w:tcPr>
          <w:p w14:paraId="7036A7A6"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tcBorders>
              <w:right w:val="single" w:sz="4" w:space="0" w:color="auto"/>
            </w:tcBorders>
            <w:shd w:val="clear" w:color="auto" w:fill="BFBFBF" w:themeFill="background1" w:themeFillShade="BF"/>
          </w:tcPr>
          <w:p w14:paraId="7BCA8DE7"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left w:val="single" w:sz="4" w:space="0" w:color="auto"/>
            </w:tcBorders>
            <w:shd w:val="clear" w:color="auto" w:fill="BFBFBF" w:themeFill="background1" w:themeFillShade="BF"/>
          </w:tcPr>
          <w:p w14:paraId="24B2C7D6" w14:textId="77777777" w:rsidR="00C3312E" w:rsidRPr="00C3312E" w:rsidRDefault="00C3312E" w:rsidP="00C3312E">
            <w:pPr>
              <w:spacing w:after="0" w:line="240" w:lineRule="auto"/>
              <w:jc w:val="center"/>
              <w:rPr>
                <w:sz w:val="20"/>
                <w:szCs w:val="20"/>
              </w:rPr>
            </w:pPr>
            <w:r w:rsidRPr="00C3312E">
              <w:rPr>
                <w:sz w:val="20"/>
                <w:szCs w:val="20"/>
              </w:rPr>
              <w:t>27%</w:t>
            </w:r>
          </w:p>
        </w:tc>
        <w:tc>
          <w:tcPr>
            <w:tcW w:w="693" w:type="dxa"/>
            <w:shd w:val="clear" w:color="auto" w:fill="BFBFBF" w:themeFill="background1" w:themeFillShade="BF"/>
          </w:tcPr>
          <w:p w14:paraId="79A92C63"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6A18D563"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shd w:val="clear" w:color="auto" w:fill="BFBFBF" w:themeFill="background1" w:themeFillShade="BF"/>
          </w:tcPr>
          <w:p w14:paraId="55BF27E1"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2169D8AD" w14:textId="77777777" w:rsidR="00C3312E" w:rsidRPr="00C3312E" w:rsidRDefault="00C3312E" w:rsidP="00C3312E">
            <w:pPr>
              <w:spacing w:after="0" w:line="240" w:lineRule="auto"/>
              <w:jc w:val="center"/>
              <w:rPr>
                <w:sz w:val="20"/>
                <w:szCs w:val="20"/>
              </w:rPr>
            </w:pPr>
            <w:r w:rsidRPr="00C3312E">
              <w:rPr>
                <w:sz w:val="20"/>
                <w:szCs w:val="20"/>
              </w:rPr>
              <w:t>40%</w:t>
            </w:r>
          </w:p>
        </w:tc>
      </w:tr>
      <w:tr w:rsidR="00C3312E" w:rsidRPr="00C3312E" w14:paraId="0123A3E7" w14:textId="77777777" w:rsidTr="00F37A4F">
        <w:tc>
          <w:tcPr>
            <w:tcW w:w="2628" w:type="dxa"/>
            <w:tcBorders>
              <w:left w:val="single" w:sz="4" w:space="0" w:color="auto"/>
            </w:tcBorders>
          </w:tcPr>
          <w:p w14:paraId="41A3FE13" w14:textId="77777777" w:rsidR="00C3312E" w:rsidRPr="00C3312E" w:rsidRDefault="00C3312E" w:rsidP="00C3312E">
            <w:pPr>
              <w:spacing w:after="0" w:line="240" w:lineRule="auto"/>
              <w:rPr>
                <w:sz w:val="20"/>
                <w:szCs w:val="20"/>
              </w:rPr>
            </w:pPr>
            <w:r w:rsidRPr="00C3312E">
              <w:rPr>
                <w:sz w:val="20"/>
                <w:szCs w:val="20"/>
              </w:rPr>
              <w:t>McCarthy</w:t>
            </w:r>
          </w:p>
        </w:tc>
        <w:tc>
          <w:tcPr>
            <w:tcW w:w="693" w:type="dxa"/>
          </w:tcPr>
          <w:p w14:paraId="4B570687" w14:textId="77777777" w:rsidR="00C3312E" w:rsidRPr="00C3312E" w:rsidRDefault="00C3312E" w:rsidP="00C3312E">
            <w:pPr>
              <w:spacing w:after="0" w:line="240" w:lineRule="auto"/>
              <w:jc w:val="center"/>
              <w:rPr>
                <w:sz w:val="20"/>
                <w:szCs w:val="20"/>
              </w:rPr>
            </w:pPr>
            <w:r w:rsidRPr="00C3312E">
              <w:rPr>
                <w:sz w:val="20"/>
                <w:szCs w:val="20"/>
              </w:rPr>
              <w:t>32%</w:t>
            </w:r>
          </w:p>
        </w:tc>
        <w:tc>
          <w:tcPr>
            <w:tcW w:w="693" w:type="dxa"/>
          </w:tcPr>
          <w:p w14:paraId="64A24AE6"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tcPr>
          <w:p w14:paraId="41203BF0" w14:textId="77777777" w:rsidR="00C3312E" w:rsidRPr="00C3312E" w:rsidRDefault="00C3312E" w:rsidP="00C3312E">
            <w:pPr>
              <w:spacing w:after="0" w:line="240" w:lineRule="auto"/>
              <w:jc w:val="center"/>
              <w:rPr>
                <w:sz w:val="20"/>
                <w:szCs w:val="20"/>
              </w:rPr>
            </w:pPr>
            <w:r w:rsidRPr="00C3312E">
              <w:rPr>
                <w:sz w:val="20"/>
                <w:szCs w:val="20"/>
              </w:rPr>
              <w:t>22%</w:t>
            </w:r>
          </w:p>
        </w:tc>
        <w:tc>
          <w:tcPr>
            <w:tcW w:w="693" w:type="dxa"/>
          </w:tcPr>
          <w:p w14:paraId="0CA82CA0"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tcBorders>
              <w:right w:val="single" w:sz="4" w:space="0" w:color="auto"/>
            </w:tcBorders>
          </w:tcPr>
          <w:p w14:paraId="2AC49FB6" w14:textId="77777777" w:rsidR="00C3312E" w:rsidRPr="00C3312E" w:rsidRDefault="00C3312E" w:rsidP="00C3312E">
            <w:pPr>
              <w:spacing w:after="0" w:line="240" w:lineRule="auto"/>
              <w:jc w:val="center"/>
              <w:rPr>
                <w:sz w:val="20"/>
                <w:szCs w:val="20"/>
              </w:rPr>
            </w:pPr>
            <w:r w:rsidRPr="00C3312E">
              <w:rPr>
                <w:sz w:val="20"/>
                <w:szCs w:val="20"/>
              </w:rPr>
              <w:t>14%</w:t>
            </w:r>
          </w:p>
        </w:tc>
        <w:tc>
          <w:tcPr>
            <w:tcW w:w="693" w:type="dxa"/>
            <w:tcBorders>
              <w:left w:val="single" w:sz="4" w:space="0" w:color="auto"/>
            </w:tcBorders>
          </w:tcPr>
          <w:p w14:paraId="542FDBB0"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tcPr>
          <w:p w14:paraId="4B0BCF38"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1F1980D8"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tcPr>
          <w:p w14:paraId="3070AEB8" w14:textId="77777777" w:rsidR="00C3312E" w:rsidRPr="00C3312E" w:rsidRDefault="00C3312E" w:rsidP="00C3312E">
            <w:pPr>
              <w:spacing w:after="0" w:line="240" w:lineRule="auto"/>
              <w:jc w:val="center"/>
              <w:rPr>
                <w:sz w:val="20"/>
                <w:szCs w:val="20"/>
              </w:rPr>
            </w:pPr>
            <w:r w:rsidRPr="00C3312E">
              <w:rPr>
                <w:sz w:val="20"/>
                <w:szCs w:val="20"/>
              </w:rPr>
              <w:t>35%</w:t>
            </w:r>
          </w:p>
        </w:tc>
        <w:tc>
          <w:tcPr>
            <w:tcW w:w="693" w:type="dxa"/>
            <w:tcBorders>
              <w:right w:val="single" w:sz="4" w:space="0" w:color="auto"/>
            </w:tcBorders>
          </w:tcPr>
          <w:p w14:paraId="6DEB90EC"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27ABDA38" w14:textId="77777777" w:rsidTr="00F37A4F">
        <w:tc>
          <w:tcPr>
            <w:tcW w:w="2628" w:type="dxa"/>
            <w:tcBorders>
              <w:left w:val="single" w:sz="4" w:space="0" w:color="auto"/>
            </w:tcBorders>
            <w:shd w:val="clear" w:color="auto" w:fill="BFBFBF" w:themeFill="background1" w:themeFillShade="BF"/>
          </w:tcPr>
          <w:p w14:paraId="4F537343" w14:textId="77777777" w:rsidR="00C3312E" w:rsidRPr="00C3312E" w:rsidRDefault="00C3312E" w:rsidP="00C3312E">
            <w:pPr>
              <w:spacing w:after="0" w:line="240" w:lineRule="auto"/>
              <w:rPr>
                <w:sz w:val="20"/>
                <w:szCs w:val="20"/>
              </w:rPr>
            </w:pPr>
            <w:r w:rsidRPr="00C3312E">
              <w:rPr>
                <w:sz w:val="20"/>
                <w:szCs w:val="20"/>
              </w:rPr>
              <w:t>Wilson</w:t>
            </w:r>
          </w:p>
        </w:tc>
        <w:tc>
          <w:tcPr>
            <w:tcW w:w="693" w:type="dxa"/>
            <w:shd w:val="clear" w:color="auto" w:fill="BFBFBF" w:themeFill="background1" w:themeFillShade="BF"/>
          </w:tcPr>
          <w:p w14:paraId="4F79C0D5" w14:textId="77777777" w:rsidR="00C3312E" w:rsidRPr="00C3312E" w:rsidRDefault="00C3312E" w:rsidP="00C3312E">
            <w:pPr>
              <w:spacing w:after="0" w:line="240" w:lineRule="auto"/>
              <w:jc w:val="center"/>
              <w:rPr>
                <w:sz w:val="20"/>
                <w:szCs w:val="20"/>
              </w:rPr>
            </w:pPr>
            <w:r w:rsidRPr="00C3312E">
              <w:rPr>
                <w:sz w:val="20"/>
                <w:szCs w:val="20"/>
              </w:rPr>
              <w:t>22%</w:t>
            </w:r>
          </w:p>
        </w:tc>
        <w:tc>
          <w:tcPr>
            <w:tcW w:w="693" w:type="dxa"/>
            <w:shd w:val="clear" w:color="auto" w:fill="BFBFBF" w:themeFill="background1" w:themeFillShade="BF"/>
          </w:tcPr>
          <w:p w14:paraId="0CE79B7A"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shd w:val="clear" w:color="auto" w:fill="BFBFBF" w:themeFill="background1" w:themeFillShade="BF"/>
          </w:tcPr>
          <w:p w14:paraId="2C44409B"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shd w:val="clear" w:color="auto" w:fill="BFBFBF" w:themeFill="background1" w:themeFillShade="BF"/>
          </w:tcPr>
          <w:p w14:paraId="516F575E" w14:textId="77777777" w:rsidR="00C3312E" w:rsidRPr="00C3312E" w:rsidRDefault="00C3312E" w:rsidP="00C3312E">
            <w:pPr>
              <w:spacing w:after="0" w:line="240" w:lineRule="auto"/>
              <w:jc w:val="center"/>
              <w:rPr>
                <w:sz w:val="20"/>
                <w:szCs w:val="20"/>
              </w:rPr>
            </w:pPr>
            <w:r w:rsidRPr="00C3312E">
              <w:rPr>
                <w:sz w:val="20"/>
                <w:szCs w:val="20"/>
              </w:rPr>
              <w:t>4%</w:t>
            </w:r>
          </w:p>
        </w:tc>
        <w:tc>
          <w:tcPr>
            <w:tcW w:w="693" w:type="dxa"/>
            <w:tcBorders>
              <w:right w:val="single" w:sz="4" w:space="0" w:color="auto"/>
            </w:tcBorders>
            <w:shd w:val="clear" w:color="auto" w:fill="BFBFBF" w:themeFill="background1" w:themeFillShade="BF"/>
          </w:tcPr>
          <w:p w14:paraId="3777A1EB"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tcBorders>
              <w:left w:val="single" w:sz="4" w:space="0" w:color="auto"/>
            </w:tcBorders>
            <w:shd w:val="clear" w:color="auto" w:fill="BFBFBF" w:themeFill="background1" w:themeFillShade="BF"/>
          </w:tcPr>
          <w:p w14:paraId="038B7603"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shd w:val="clear" w:color="auto" w:fill="BFBFBF" w:themeFill="background1" w:themeFillShade="BF"/>
          </w:tcPr>
          <w:p w14:paraId="183B0910"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2BD77897"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shd w:val="clear" w:color="auto" w:fill="BFBFBF" w:themeFill="background1" w:themeFillShade="BF"/>
          </w:tcPr>
          <w:p w14:paraId="043A012A"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404B6699" w14:textId="77777777" w:rsidR="00C3312E" w:rsidRPr="00C3312E" w:rsidRDefault="00C3312E" w:rsidP="00C3312E">
            <w:pPr>
              <w:spacing w:after="0" w:line="240" w:lineRule="auto"/>
              <w:jc w:val="center"/>
              <w:rPr>
                <w:sz w:val="20"/>
                <w:szCs w:val="20"/>
              </w:rPr>
            </w:pPr>
            <w:r w:rsidRPr="00C3312E">
              <w:rPr>
                <w:sz w:val="20"/>
                <w:szCs w:val="20"/>
              </w:rPr>
              <w:t>22%</w:t>
            </w:r>
          </w:p>
        </w:tc>
      </w:tr>
      <w:tr w:rsidR="00C3312E" w:rsidRPr="00C3312E" w14:paraId="2640BAA6" w14:textId="77777777" w:rsidTr="00F37A4F">
        <w:tc>
          <w:tcPr>
            <w:tcW w:w="2628" w:type="dxa"/>
            <w:tcBorders>
              <w:left w:val="single" w:sz="4" w:space="0" w:color="auto"/>
            </w:tcBorders>
          </w:tcPr>
          <w:p w14:paraId="06DF59A2" w14:textId="77777777" w:rsidR="00C3312E" w:rsidRPr="00C3312E" w:rsidRDefault="00C3312E" w:rsidP="00C3312E">
            <w:pPr>
              <w:spacing w:after="0" w:line="240" w:lineRule="auto"/>
              <w:rPr>
                <w:sz w:val="20"/>
                <w:szCs w:val="20"/>
              </w:rPr>
            </w:pPr>
            <w:r w:rsidRPr="00C3312E">
              <w:rPr>
                <w:sz w:val="20"/>
                <w:szCs w:val="20"/>
              </w:rPr>
              <w:t>Cameron Middle</w:t>
            </w:r>
          </w:p>
        </w:tc>
        <w:tc>
          <w:tcPr>
            <w:tcW w:w="693" w:type="dxa"/>
          </w:tcPr>
          <w:p w14:paraId="417E53AC"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tcPr>
          <w:p w14:paraId="265CD3B0" w14:textId="77777777" w:rsidR="00C3312E" w:rsidRPr="00C3312E" w:rsidRDefault="00C3312E" w:rsidP="00C3312E">
            <w:pPr>
              <w:spacing w:after="0" w:line="240" w:lineRule="auto"/>
              <w:jc w:val="center"/>
              <w:rPr>
                <w:sz w:val="20"/>
                <w:szCs w:val="20"/>
              </w:rPr>
            </w:pPr>
            <w:r w:rsidRPr="00C3312E">
              <w:rPr>
                <w:sz w:val="20"/>
                <w:szCs w:val="20"/>
              </w:rPr>
              <w:t>16%</w:t>
            </w:r>
          </w:p>
        </w:tc>
        <w:tc>
          <w:tcPr>
            <w:tcW w:w="693" w:type="dxa"/>
          </w:tcPr>
          <w:p w14:paraId="5231D77C"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tcPr>
          <w:p w14:paraId="5D249400" w14:textId="77777777" w:rsidR="00C3312E" w:rsidRPr="00C3312E" w:rsidRDefault="00C3312E" w:rsidP="00C3312E">
            <w:pPr>
              <w:spacing w:after="0" w:line="240" w:lineRule="auto"/>
              <w:jc w:val="center"/>
              <w:rPr>
                <w:sz w:val="20"/>
                <w:szCs w:val="20"/>
              </w:rPr>
            </w:pPr>
            <w:r w:rsidRPr="00C3312E">
              <w:rPr>
                <w:sz w:val="20"/>
                <w:szCs w:val="20"/>
              </w:rPr>
              <w:t>4%</w:t>
            </w:r>
          </w:p>
        </w:tc>
        <w:tc>
          <w:tcPr>
            <w:tcW w:w="693" w:type="dxa"/>
            <w:tcBorders>
              <w:right w:val="single" w:sz="4" w:space="0" w:color="auto"/>
            </w:tcBorders>
          </w:tcPr>
          <w:p w14:paraId="5F4EA9AD" w14:textId="77777777" w:rsidR="00C3312E" w:rsidRPr="00C3312E" w:rsidRDefault="00C3312E" w:rsidP="00C3312E">
            <w:pPr>
              <w:spacing w:after="0" w:line="240" w:lineRule="auto"/>
              <w:jc w:val="center"/>
              <w:rPr>
                <w:sz w:val="20"/>
                <w:szCs w:val="20"/>
              </w:rPr>
            </w:pPr>
            <w:r w:rsidRPr="00C3312E">
              <w:rPr>
                <w:sz w:val="20"/>
                <w:szCs w:val="20"/>
              </w:rPr>
              <w:t>15%</w:t>
            </w:r>
          </w:p>
        </w:tc>
        <w:tc>
          <w:tcPr>
            <w:tcW w:w="693" w:type="dxa"/>
            <w:tcBorders>
              <w:left w:val="single" w:sz="4" w:space="0" w:color="auto"/>
            </w:tcBorders>
          </w:tcPr>
          <w:p w14:paraId="67D03E57"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tcPr>
          <w:p w14:paraId="3AF49068" w14:textId="77777777" w:rsidR="00C3312E" w:rsidRPr="00C3312E" w:rsidRDefault="00C3312E" w:rsidP="00C3312E">
            <w:pPr>
              <w:spacing w:after="0" w:line="240" w:lineRule="auto"/>
              <w:jc w:val="center"/>
              <w:rPr>
                <w:sz w:val="20"/>
                <w:szCs w:val="20"/>
              </w:rPr>
            </w:pPr>
            <w:r w:rsidRPr="00C3312E">
              <w:rPr>
                <w:sz w:val="20"/>
                <w:szCs w:val="20"/>
              </w:rPr>
              <w:t>73%</w:t>
            </w:r>
          </w:p>
        </w:tc>
        <w:tc>
          <w:tcPr>
            <w:tcW w:w="693" w:type="dxa"/>
          </w:tcPr>
          <w:p w14:paraId="5354C8D6" w14:textId="77777777" w:rsidR="00C3312E" w:rsidRPr="00C3312E" w:rsidRDefault="00C3312E" w:rsidP="00C3312E">
            <w:pPr>
              <w:spacing w:after="0" w:line="240" w:lineRule="auto"/>
              <w:jc w:val="center"/>
              <w:rPr>
                <w:sz w:val="20"/>
                <w:szCs w:val="20"/>
              </w:rPr>
            </w:pPr>
            <w:r w:rsidRPr="00C3312E">
              <w:rPr>
                <w:sz w:val="20"/>
                <w:szCs w:val="20"/>
              </w:rPr>
              <w:t>13%</w:t>
            </w:r>
          </w:p>
        </w:tc>
        <w:tc>
          <w:tcPr>
            <w:tcW w:w="693" w:type="dxa"/>
          </w:tcPr>
          <w:p w14:paraId="76A99886" w14:textId="77777777" w:rsidR="00C3312E" w:rsidRPr="00C3312E" w:rsidRDefault="00C3312E" w:rsidP="00C3312E">
            <w:pPr>
              <w:spacing w:after="0" w:line="240" w:lineRule="auto"/>
              <w:jc w:val="center"/>
              <w:rPr>
                <w:sz w:val="20"/>
                <w:szCs w:val="20"/>
              </w:rPr>
            </w:pPr>
            <w:r w:rsidRPr="00C3312E">
              <w:rPr>
                <w:sz w:val="20"/>
                <w:szCs w:val="20"/>
              </w:rPr>
              <w:t>35%</w:t>
            </w:r>
          </w:p>
        </w:tc>
        <w:tc>
          <w:tcPr>
            <w:tcW w:w="693" w:type="dxa"/>
            <w:tcBorders>
              <w:right w:val="single" w:sz="4" w:space="0" w:color="auto"/>
            </w:tcBorders>
          </w:tcPr>
          <w:p w14:paraId="634D4443" w14:textId="77777777" w:rsidR="00C3312E" w:rsidRPr="00C3312E" w:rsidRDefault="00C3312E" w:rsidP="00C3312E">
            <w:pPr>
              <w:spacing w:after="0" w:line="240" w:lineRule="auto"/>
              <w:jc w:val="center"/>
              <w:rPr>
                <w:sz w:val="20"/>
                <w:szCs w:val="20"/>
              </w:rPr>
            </w:pPr>
            <w:r w:rsidRPr="00C3312E">
              <w:rPr>
                <w:sz w:val="20"/>
                <w:szCs w:val="20"/>
              </w:rPr>
              <w:t>35%</w:t>
            </w:r>
          </w:p>
        </w:tc>
      </w:tr>
      <w:tr w:rsidR="00C3312E" w:rsidRPr="00C3312E" w14:paraId="1DDCFA6E" w14:textId="77777777" w:rsidTr="00F37A4F">
        <w:tc>
          <w:tcPr>
            <w:tcW w:w="2628" w:type="dxa"/>
            <w:tcBorders>
              <w:left w:val="single" w:sz="4" w:space="0" w:color="auto"/>
            </w:tcBorders>
            <w:shd w:val="clear" w:color="auto" w:fill="BFBFBF" w:themeFill="background1" w:themeFillShade="BF"/>
          </w:tcPr>
          <w:p w14:paraId="1C4532E5" w14:textId="2A7E431E" w:rsidR="00C3312E" w:rsidRPr="00C3312E" w:rsidRDefault="00C3312E" w:rsidP="00C3312E">
            <w:pPr>
              <w:spacing w:after="0" w:line="240" w:lineRule="auto"/>
              <w:rPr>
                <w:sz w:val="20"/>
                <w:szCs w:val="20"/>
              </w:rPr>
            </w:pPr>
            <w:r w:rsidRPr="00C3312E">
              <w:rPr>
                <w:sz w:val="20"/>
                <w:szCs w:val="20"/>
              </w:rPr>
              <w:t xml:space="preserve">Fuller </w:t>
            </w:r>
            <w:r w:rsidR="00697F37" w:rsidRPr="00C3312E">
              <w:rPr>
                <w:sz w:val="20"/>
                <w:szCs w:val="20"/>
              </w:rPr>
              <w:t>Middle</w:t>
            </w:r>
          </w:p>
        </w:tc>
        <w:tc>
          <w:tcPr>
            <w:tcW w:w="693" w:type="dxa"/>
            <w:shd w:val="clear" w:color="auto" w:fill="BFBFBF" w:themeFill="background1" w:themeFillShade="BF"/>
          </w:tcPr>
          <w:p w14:paraId="25BE44B3"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shd w:val="clear" w:color="auto" w:fill="BFBFBF" w:themeFill="background1" w:themeFillShade="BF"/>
          </w:tcPr>
          <w:p w14:paraId="0F5E41C6" w14:textId="77777777" w:rsidR="00C3312E" w:rsidRPr="00C3312E" w:rsidRDefault="00C3312E" w:rsidP="00C3312E">
            <w:pPr>
              <w:spacing w:after="0" w:line="240" w:lineRule="auto"/>
              <w:jc w:val="center"/>
              <w:rPr>
                <w:sz w:val="20"/>
                <w:szCs w:val="20"/>
              </w:rPr>
            </w:pPr>
            <w:r w:rsidRPr="00C3312E">
              <w:rPr>
                <w:sz w:val="20"/>
                <w:szCs w:val="20"/>
              </w:rPr>
              <w:t>16%</w:t>
            </w:r>
          </w:p>
        </w:tc>
        <w:tc>
          <w:tcPr>
            <w:tcW w:w="693" w:type="dxa"/>
            <w:shd w:val="clear" w:color="auto" w:fill="BFBFBF" w:themeFill="background1" w:themeFillShade="BF"/>
          </w:tcPr>
          <w:p w14:paraId="2E0E0BFE"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shd w:val="clear" w:color="auto" w:fill="BFBFBF" w:themeFill="background1" w:themeFillShade="BF"/>
          </w:tcPr>
          <w:p w14:paraId="6BEED88D" w14:textId="77777777" w:rsidR="00C3312E" w:rsidRPr="00C3312E" w:rsidRDefault="00C3312E" w:rsidP="00C3312E">
            <w:pPr>
              <w:spacing w:after="0" w:line="240" w:lineRule="auto"/>
              <w:jc w:val="center"/>
              <w:rPr>
                <w:sz w:val="20"/>
                <w:szCs w:val="20"/>
              </w:rPr>
            </w:pPr>
            <w:r w:rsidRPr="00C3312E">
              <w:rPr>
                <w:sz w:val="20"/>
                <w:szCs w:val="20"/>
              </w:rPr>
              <w:t>8%</w:t>
            </w:r>
          </w:p>
        </w:tc>
        <w:tc>
          <w:tcPr>
            <w:tcW w:w="693" w:type="dxa"/>
            <w:tcBorders>
              <w:right w:val="single" w:sz="4" w:space="0" w:color="auto"/>
            </w:tcBorders>
            <w:shd w:val="clear" w:color="auto" w:fill="BFBFBF" w:themeFill="background1" w:themeFillShade="BF"/>
          </w:tcPr>
          <w:p w14:paraId="44F68BCA"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tcBorders>
              <w:left w:val="single" w:sz="4" w:space="0" w:color="auto"/>
            </w:tcBorders>
            <w:shd w:val="clear" w:color="auto" w:fill="BFBFBF" w:themeFill="background1" w:themeFillShade="BF"/>
          </w:tcPr>
          <w:p w14:paraId="415D93E2"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shd w:val="clear" w:color="auto" w:fill="BFBFBF" w:themeFill="background1" w:themeFillShade="BF"/>
          </w:tcPr>
          <w:p w14:paraId="3DFF143A" w14:textId="77777777" w:rsidR="00C3312E" w:rsidRPr="00C3312E" w:rsidRDefault="00C3312E" w:rsidP="00C3312E">
            <w:pPr>
              <w:spacing w:after="0" w:line="240" w:lineRule="auto"/>
              <w:jc w:val="center"/>
              <w:rPr>
                <w:sz w:val="20"/>
                <w:szCs w:val="20"/>
              </w:rPr>
            </w:pPr>
            <w:r w:rsidRPr="00C3312E">
              <w:rPr>
                <w:sz w:val="20"/>
                <w:szCs w:val="20"/>
              </w:rPr>
              <w:t>75%</w:t>
            </w:r>
          </w:p>
        </w:tc>
        <w:tc>
          <w:tcPr>
            <w:tcW w:w="693" w:type="dxa"/>
            <w:shd w:val="clear" w:color="auto" w:fill="BFBFBF" w:themeFill="background1" w:themeFillShade="BF"/>
          </w:tcPr>
          <w:p w14:paraId="7DB7C7B6"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shd w:val="clear" w:color="auto" w:fill="BFBFBF" w:themeFill="background1" w:themeFillShade="BF"/>
          </w:tcPr>
          <w:p w14:paraId="0E759EBC" w14:textId="77777777" w:rsidR="00C3312E" w:rsidRPr="00C3312E" w:rsidRDefault="00C3312E" w:rsidP="00C3312E">
            <w:pPr>
              <w:spacing w:after="0" w:line="240" w:lineRule="auto"/>
              <w:jc w:val="center"/>
              <w:rPr>
                <w:sz w:val="20"/>
                <w:szCs w:val="20"/>
              </w:rPr>
            </w:pPr>
            <w:r w:rsidRPr="00C3312E">
              <w:rPr>
                <w:sz w:val="20"/>
                <w:szCs w:val="20"/>
              </w:rPr>
              <w:t>59%</w:t>
            </w:r>
          </w:p>
        </w:tc>
        <w:tc>
          <w:tcPr>
            <w:tcW w:w="693" w:type="dxa"/>
            <w:tcBorders>
              <w:right w:val="single" w:sz="4" w:space="0" w:color="auto"/>
            </w:tcBorders>
            <w:shd w:val="clear" w:color="auto" w:fill="BFBFBF" w:themeFill="background1" w:themeFillShade="BF"/>
          </w:tcPr>
          <w:p w14:paraId="51575176"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53499DBD" w14:textId="77777777" w:rsidTr="00F37A4F">
        <w:tc>
          <w:tcPr>
            <w:tcW w:w="2628" w:type="dxa"/>
            <w:tcBorders>
              <w:left w:val="single" w:sz="4" w:space="0" w:color="auto"/>
            </w:tcBorders>
          </w:tcPr>
          <w:p w14:paraId="41800A47" w14:textId="48E19D3B" w:rsidR="00C3312E" w:rsidRPr="00C3312E" w:rsidRDefault="00C3312E" w:rsidP="00C3312E">
            <w:pPr>
              <w:spacing w:after="0" w:line="240" w:lineRule="auto"/>
              <w:rPr>
                <w:sz w:val="20"/>
                <w:szCs w:val="20"/>
              </w:rPr>
            </w:pPr>
            <w:r w:rsidRPr="00C3312E">
              <w:rPr>
                <w:sz w:val="20"/>
                <w:szCs w:val="20"/>
              </w:rPr>
              <w:t xml:space="preserve">Walsh </w:t>
            </w:r>
            <w:r w:rsidR="00697F37" w:rsidRPr="00C3312E">
              <w:rPr>
                <w:sz w:val="20"/>
                <w:szCs w:val="20"/>
              </w:rPr>
              <w:t>Middle</w:t>
            </w:r>
          </w:p>
        </w:tc>
        <w:tc>
          <w:tcPr>
            <w:tcW w:w="693" w:type="dxa"/>
          </w:tcPr>
          <w:p w14:paraId="68172819" w14:textId="77777777" w:rsidR="00C3312E" w:rsidRPr="00C3312E" w:rsidRDefault="00C3312E" w:rsidP="00C3312E">
            <w:pPr>
              <w:spacing w:after="0" w:line="240" w:lineRule="auto"/>
              <w:jc w:val="center"/>
              <w:rPr>
                <w:sz w:val="20"/>
                <w:szCs w:val="20"/>
              </w:rPr>
            </w:pPr>
            <w:r w:rsidRPr="00C3312E">
              <w:rPr>
                <w:sz w:val="20"/>
                <w:szCs w:val="20"/>
              </w:rPr>
              <w:t>48%</w:t>
            </w:r>
          </w:p>
        </w:tc>
        <w:tc>
          <w:tcPr>
            <w:tcW w:w="693" w:type="dxa"/>
          </w:tcPr>
          <w:p w14:paraId="5B6A2CE9"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Pr>
          <w:p w14:paraId="1349BAB8"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Pr>
          <w:p w14:paraId="0E8CD0AE"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right w:val="single" w:sz="4" w:space="0" w:color="auto"/>
            </w:tcBorders>
          </w:tcPr>
          <w:p w14:paraId="4B2E60A7"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tcBorders>
              <w:left w:val="single" w:sz="4" w:space="0" w:color="auto"/>
            </w:tcBorders>
          </w:tcPr>
          <w:p w14:paraId="4D3EBE69" w14:textId="77777777" w:rsidR="00C3312E" w:rsidRPr="00C3312E" w:rsidRDefault="00C3312E" w:rsidP="00C3312E">
            <w:pPr>
              <w:spacing w:after="0" w:line="240" w:lineRule="auto"/>
              <w:jc w:val="center"/>
              <w:rPr>
                <w:sz w:val="20"/>
                <w:szCs w:val="20"/>
              </w:rPr>
            </w:pPr>
            <w:r w:rsidRPr="00C3312E">
              <w:rPr>
                <w:sz w:val="20"/>
                <w:szCs w:val="20"/>
              </w:rPr>
              <w:t>30%</w:t>
            </w:r>
          </w:p>
        </w:tc>
        <w:tc>
          <w:tcPr>
            <w:tcW w:w="693" w:type="dxa"/>
          </w:tcPr>
          <w:p w14:paraId="7B1B9084" w14:textId="77777777" w:rsidR="00C3312E" w:rsidRPr="00C3312E" w:rsidRDefault="00C3312E" w:rsidP="00C3312E">
            <w:pPr>
              <w:spacing w:after="0" w:line="240" w:lineRule="auto"/>
              <w:jc w:val="center"/>
              <w:rPr>
                <w:sz w:val="20"/>
                <w:szCs w:val="20"/>
              </w:rPr>
            </w:pPr>
            <w:r w:rsidRPr="00C3312E">
              <w:rPr>
                <w:sz w:val="20"/>
                <w:szCs w:val="20"/>
              </w:rPr>
              <w:t>60%</w:t>
            </w:r>
          </w:p>
        </w:tc>
        <w:tc>
          <w:tcPr>
            <w:tcW w:w="693" w:type="dxa"/>
          </w:tcPr>
          <w:p w14:paraId="6B841801" w14:textId="77777777" w:rsidR="00C3312E" w:rsidRPr="00C3312E" w:rsidRDefault="00C3312E" w:rsidP="00C3312E">
            <w:pPr>
              <w:spacing w:after="0" w:line="240" w:lineRule="auto"/>
              <w:jc w:val="center"/>
              <w:rPr>
                <w:sz w:val="20"/>
                <w:szCs w:val="20"/>
              </w:rPr>
            </w:pPr>
            <w:r w:rsidRPr="00C3312E">
              <w:rPr>
                <w:sz w:val="20"/>
                <w:szCs w:val="20"/>
              </w:rPr>
              <w:t>27%</w:t>
            </w:r>
          </w:p>
        </w:tc>
        <w:tc>
          <w:tcPr>
            <w:tcW w:w="693" w:type="dxa"/>
          </w:tcPr>
          <w:p w14:paraId="4599C889" w14:textId="77777777" w:rsidR="00C3312E" w:rsidRPr="00C3312E" w:rsidRDefault="00C3312E" w:rsidP="00C3312E">
            <w:pPr>
              <w:spacing w:after="0" w:line="240" w:lineRule="auto"/>
              <w:jc w:val="center"/>
              <w:rPr>
                <w:sz w:val="20"/>
                <w:szCs w:val="20"/>
              </w:rPr>
            </w:pPr>
            <w:r w:rsidRPr="00C3312E">
              <w:rPr>
                <w:sz w:val="20"/>
                <w:szCs w:val="20"/>
              </w:rPr>
              <w:t>58%</w:t>
            </w:r>
          </w:p>
        </w:tc>
        <w:tc>
          <w:tcPr>
            <w:tcW w:w="693" w:type="dxa"/>
            <w:tcBorders>
              <w:right w:val="single" w:sz="4" w:space="0" w:color="auto"/>
            </w:tcBorders>
          </w:tcPr>
          <w:p w14:paraId="37AF1872" w14:textId="77777777" w:rsidR="00C3312E" w:rsidRPr="00C3312E" w:rsidRDefault="00C3312E" w:rsidP="00C3312E">
            <w:pPr>
              <w:spacing w:after="0" w:line="240" w:lineRule="auto"/>
              <w:jc w:val="center"/>
              <w:rPr>
                <w:sz w:val="20"/>
                <w:szCs w:val="20"/>
              </w:rPr>
            </w:pPr>
            <w:r w:rsidRPr="00C3312E">
              <w:rPr>
                <w:sz w:val="20"/>
                <w:szCs w:val="20"/>
              </w:rPr>
              <w:t>60%</w:t>
            </w:r>
          </w:p>
        </w:tc>
      </w:tr>
      <w:tr w:rsidR="00C3312E" w:rsidRPr="00C3312E" w14:paraId="678736F6" w14:textId="77777777" w:rsidTr="00F37A4F">
        <w:tc>
          <w:tcPr>
            <w:tcW w:w="2628" w:type="dxa"/>
            <w:tcBorders>
              <w:left w:val="single" w:sz="4" w:space="0" w:color="auto"/>
            </w:tcBorders>
            <w:shd w:val="clear" w:color="auto" w:fill="BFBFBF" w:themeFill="background1" w:themeFillShade="BF"/>
          </w:tcPr>
          <w:p w14:paraId="4A352AB6" w14:textId="16D8E647" w:rsidR="00C3312E" w:rsidRPr="00C3312E" w:rsidRDefault="00C3312E" w:rsidP="00697F37">
            <w:pPr>
              <w:spacing w:after="0" w:line="240" w:lineRule="auto"/>
              <w:rPr>
                <w:sz w:val="20"/>
                <w:szCs w:val="20"/>
              </w:rPr>
            </w:pPr>
            <w:r w:rsidRPr="00C3312E">
              <w:rPr>
                <w:sz w:val="20"/>
                <w:szCs w:val="20"/>
              </w:rPr>
              <w:t>District</w:t>
            </w:r>
          </w:p>
        </w:tc>
        <w:tc>
          <w:tcPr>
            <w:tcW w:w="693" w:type="dxa"/>
            <w:shd w:val="clear" w:color="auto" w:fill="BFBFBF" w:themeFill="background1" w:themeFillShade="BF"/>
          </w:tcPr>
          <w:p w14:paraId="74B453CB" w14:textId="77777777" w:rsidR="00C3312E" w:rsidRPr="00C3312E" w:rsidRDefault="00C3312E" w:rsidP="00C3312E">
            <w:pPr>
              <w:spacing w:after="0" w:line="240" w:lineRule="auto"/>
              <w:jc w:val="center"/>
              <w:rPr>
                <w:sz w:val="20"/>
                <w:szCs w:val="20"/>
              </w:rPr>
            </w:pPr>
            <w:r w:rsidRPr="00C3312E">
              <w:rPr>
                <w:sz w:val="20"/>
                <w:szCs w:val="20"/>
              </w:rPr>
              <w:t>38%</w:t>
            </w:r>
          </w:p>
        </w:tc>
        <w:tc>
          <w:tcPr>
            <w:tcW w:w="693" w:type="dxa"/>
            <w:shd w:val="clear" w:color="auto" w:fill="BFBFBF" w:themeFill="background1" w:themeFillShade="BF"/>
          </w:tcPr>
          <w:p w14:paraId="44FF7E1E"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shd w:val="clear" w:color="auto" w:fill="BFBFBF" w:themeFill="background1" w:themeFillShade="BF"/>
          </w:tcPr>
          <w:p w14:paraId="189629FB"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shd w:val="clear" w:color="auto" w:fill="BFBFBF" w:themeFill="background1" w:themeFillShade="BF"/>
          </w:tcPr>
          <w:p w14:paraId="53D536EF"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tcBorders>
              <w:right w:val="single" w:sz="4" w:space="0" w:color="auto"/>
            </w:tcBorders>
            <w:shd w:val="clear" w:color="auto" w:fill="BFBFBF" w:themeFill="background1" w:themeFillShade="BF"/>
          </w:tcPr>
          <w:p w14:paraId="35A943DE"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tcBorders>
              <w:left w:val="single" w:sz="4" w:space="0" w:color="auto"/>
            </w:tcBorders>
            <w:shd w:val="clear" w:color="auto" w:fill="BFBFBF" w:themeFill="background1" w:themeFillShade="BF"/>
          </w:tcPr>
          <w:p w14:paraId="399D7BB5" w14:textId="77777777" w:rsidR="00C3312E" w:rsidRPr="00C3312E" w:rsidRDefault="00C3312E" w:rsidP="00C3312E">
            <w:pPr>
              <w:spacing w:after="0" w:line="240" w:lineRule="auto"/>
              <w:jc w:val="center"/>
              <w:rPr>
                <w:sz w:val="20"/>
                <w:szCs w:val="20"/>
              </w:rPr>
            </w:pPr>
            <w:r w:rsidRPr="00C3312E">
              <w:rPr>
                <w:sz w:val="20"/>
                <w:szCs w:val="20"/>
              </w:rPr>
              <w:t>25%</w:t>
            </w:r>
          </w:p>
        </w:tc>
        <w:tc>
          <w:tcPr>
            <w:tcW w:w="693" w:type="dxa"/>
            <w:shd w:val="clear" w:color="auto" w:fill="BFBFBF" w:themeFill="background1" w:themeFillShade="BF"/>
          </w:tcPr>
          <w:p w14:paraId="699FA359" w14:textId="77777777" w:rsidR="00C3312E" w:rsidRPr="00C3312E" w:rsidRDefault="00C3312E" w:rsidP="00C3312E">
            <w:pPr>
              <w:spacing w:after="0" w:line="240" w:lineRule="auto"/>
              <w:jc w:val="center"/>
              <w:rPr>
                <w:sz w:val="20"/>
                <w:szCs w:val="20"/>
              </w:rPr>
            </w:pPr>
            <w:r w:rsidRPr="00C3312E">
              <w:rPr>
                <w:sz w:val="20"/>
                <w:szCs w:val="20"/>
              </w:rPr>
              <w:t>60%</w:t>
            </w:r>
          </w:p>
        </w:tc>
        <w:tc>
          <w:tcPr>
            <w:tcW w:w="693" w:type="dxa"/>
            <w:shd w:val="clear" w:color="auto" w:fill="BFBFBF" w:themeFill="background1" w:themeFillShade="BF"/>
          </w:tcPr>
          <w:p w14:paraId="2C4A69F2"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shd w:val="clear" w:color="auto" w:fill="BFBFBF" w:themeFill="background1" w:themeFillShade="BF"/>
          </w:tcPr>
          <w:p w14:paraId="3DCF2FDF" w14:textId="77777777" w:rsidR="00C3312E" w:rsidRPr="00C3312E" w:rsidRDefault="00C3312E" w:rsidP="00C3312E">
            <w:pPr>
              <w:spacing w:after="0" w:line="240" w:lineRule="auto"/>
              <w:jc w:val="center"/>
              <w:rPr>
                <w:sz w:val="20"/>
                <w:szCs w:val="20"/>
              </w:rPr>
            </w:pPr>
            <w:r w:rsidRPr="00C3312E">
              <w:rPr>
                <w:sz w:val="20"/>
                <w:szCs w:val="20"/>
              </w:rPr>
              <w:t>49%</w:t>
            </w:r>
          </w:p>
        </w:tc>
        <w:tc>
          <w:tcPr>
            <w:tcW w:w="693" w:type="dxa"/>
            <w:tcBorders>
              <w:right w:val="single" w:sz="4" w:space="0" w:color="auto"/>
            </w:tcBorders>
            <w:shd w:val="clear" w:color="auto" w:fill="BFBFBF" w:themeFill="background1" w:themeFillShade="BF"/>
          </w:tcPr>
          <w:p w14:paraId="506C5860"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573E7266" w14:textId="77777777" w:rsidTr="00F37A4F">
        <w:trPr>
          <w:trHeight w:val="70"/>
        </w:trPr>
        <w:tc>
          <w:tcPr>
            <w:tcW w:w="2628" w:type="dxa"/>
            <w:tcBorders>
              <w:left w:val="single" w:sz="4" w:space="0" w:color="auto"/>
            </w:tcBorders>
            <w:shd w:val="clear" w:color="auto" w:fill="auto"/>
          </w:tcPr>
          <w:p w14:paraId="49545E46" w14:textId="77777777" w:rsidR="00C3312E" w:rsidRPr="00C3312E" w:rsidRDefault="00C3312E" w:rsidP="00C3312E">
            <w:pPr>
              <w:spacing w:after="0" w:line="240" w:lineRule="auto"/>
              <w:rPr>
                <w:sz w:val="20"/>
                <w:szCs w:val="20"/>
              </w:rPr>
            </w:pPr>
            <w:r w:rsidRPr="00C3312E">
              <w:rPr>
                <w:sz w:val="20"/>
                <w:szCs w:val="20"/>
              </w:rPr>
              <w:t>State</w:t>
            </w:r>
          </w:p>
        </w:tc>
        <w:tc>
          <w:tcPr>
            <w:tcW w:w="693" w:type="dxa"/>
            <w:shd w:val="clear" w:color="auto" w:fill="auto"/>
          </w:tcPr>
          <w:p w14:paraId="44B1744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51%</w:t>
            </w:r>
          </w:p>
        </w:tc>
        <w:tc>
          <w:tcPr>
            <w:tcW w:w="693" w:type="dxa"/>
            <w:shd w:val="clear" w:color="auto" w:fill="auto"/>
          </w:tcPr>
          <w:p w14:paraId="66C6A14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693" w:type="dxa"/>
            <w:shd w:val="clear" w:color="auto" w:fill="auto"/>
          </w:tcPr>
          <w:p w14:paraId="6D2536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32%</w:t>
            </w:r>
          </w:p>
        </w:tc>
        <w:tc>
          <w:tcPr>
            <w:tcW w:w="693" w:type="dxa"/>
            <w:shd w:val="clear" w:color="auto" w:fill="auto"/>
          </w:tcPr>
          <w:p w14:paraId="479BFD9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c>
          <w:tcPr>
            <w:tcW w:w="693" w:type="dxa"/>
            <w:tcBorders>
              <w:right w:val="single" w:sz="4" w:space="0" w:color="auto"/>
            </w:tcBorders>
            <w:shd w:val="clear" w:color="auto" w:fill="auto"/>
          </w:tcPr>
          <w:p w14:paraId="465D62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30%</w:t>
            </w:r>
          </w:p>
        </w:tc>
        <w:tc>
          <w:tcPr>
            <w:tcW w:w="693" w:type="dxa"/>
            <w:tcBorders>
              <w:left w:val="single" w:sz="4" w:space="0" w:color="auto"/>
            </w:tcBorders>
            <w:shd w:val="clear" w:color="auto" w:fill="auto"/>
          </w:tcPr>
          <w:p w14:paraId="07A23D1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693" w:type="dxa"/>
            <w:shd w:val="clear" w:color="auto" w:fill="auto"/>
          </w:tcPr>
          <w:p w14:paraId="760F417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71%</w:t>
            </w:r>
          </w:p>
        </w:tc>
        <w:tc>
          <w:tcPr>
            <w:tcW w:w="693" w:type="dxa"/>
            <w:shd w:val="clear" w:color="auto" w:fill="auto"/>
          </w:tcPr>
          <w:p w14:paraId="424EB04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693" w:type="dxa"/>
            <w:shd w:val="clear" w:color="auto" w:fill="auto"/>
          </w:tcPr>
          <w:p w14:paraId="5FCE0D1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54%</w:t>
            </w:r>
          </w:p>
        </w:tc>
        <w:tc>
          <w:tcPr>
            <w:tcW w:w="693" w:type="dxa"/>
            <w:tcBorders>
              <w:right w:val="single" w:sz="4" w:space="0" w:color="auto"/>
            </w:tcBorders>
            <w:shd w:val="clear" w:color="auto" w:fill="auto"/>
          </w:tcPr>
          <w:p w14:paraId="7ED89E5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58%</w:t>
            </w:r>
          </w:p>
        </w:tc>
      </w:tr>
    </w:tbl>
    <w:p w14:paraId="11B79F54" w14:textId="6D43BF20" w:rsidR="00C3312E" w:rsidRDefault="00C3312E" w:rsidP="00C3312E">
      <w:pPr>
        <w:spacing w:after="0" w:line="240" w:lineRule="auto"/>
      </w:pPr>
    </w:p>
    <w:p w14:paraId="5B0825FC" w14:textId="62A61C05" w:rsidR="0089512A" w:rsidRDefault="0089512A" w:rsidP="00C3312E">
      <w:pPr>
        <w:spacing w:after="0" w:line="240" w:lineRule="auto"/>
      </w:pPr>
    </w:p>
    <w:p w14:paraId="198DE61A" w14:textId="73C137B4" w:rsidR="0089512A" w:rsidRDefault="0089512A" w:rsidP="00C3312E">
      <w:pPr>
        <w:spacing w:after="0" w:line="240" w:lineRule="auto"/>
      </w:pPr>
    </w:p>
    <w:p w14:paraId="5682E070" w14:textId="75E8FFD3" w:rsidR="0089512A" w:rsidRDefault="0089512A" w:rsidP="00C3312E">
      <w:pPr>
        <w:spacing w:after="0" w:line="240" w:lineRule="auto"/>
      </w:pPr>
    </w:p>
    <w:p w14:paraId="06AB4B60" w14:textId="74774FF4" w:rsidR="0089512A" w:rsidRDefault="0089512A" w:rsidP="00C3312E">
      <w:pPr>
        <w:spacing w:after="0" w:line="240" w:lineRule="auto"/>
      </w:pPr>
    </w:p>
    <w:p w14:paraId="204338AE" w14:textId="4DE23A8F" w:rsidR="0089512A" w:rsidRDefault="0089512A" w:rsidP="00C3312E">
      <w:pPr>
        <w:spacing w:after="0" w:line="240" w:lineRule="auto"/>
      </w:pPr>
    </w:p>
    <w:p w14:paraId="7AED677F" w14:textId="77777777" w:rsidR="0089512A" w:rsidRPr="00C3312E" w:rsidRDefault="0089512A" w:rsidP="00C3312E">
      <w:pPr>
        <w:spacing w:after="0" w:line="240" w:lineRule="auto"/>
      </w:pPr>
    </w:p>
    <w:p w14:paraId="4C681F0C" w14:textId="77777777" w:rsidR="00C3312E" w:rsidRPr="00C3312E" w:rsidRDefault="00C3312E" w:rsidP="00C3312E">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 Framingham Public Schools"/>
        <w:tblDescription w:val="Next-Generation MCAS Math Percent Meeting and Exceeding Expectations by School, 2018&#10;"/>
      </w:tblPr>
      <w:tblGrid>
        <w:gridCol w:w="2628"/>
        <w:gridCol w:w="693"/>
        <w:gridCol w:w="693"/>
        <w:gridCol w:w="693"/>
        <w:gridCol w:w="693"/>
        <w:gridCol w:w="693"/>
        <w:gridCol w:w="693"/>
        <w:gridCol w:w="693"/>
        <w:gridCol w:w="693"/>
        <w:gridCol w:w="693"/>
        <w:gridCol w:w="693"/>
      </w:tblGrid>
      <w:tr w:rsidR="00C3312E" w:rsidRPr="00C3312E" w14:paraId="568D6D6D" w14:textId="77777777" w:rsidTr="00A66217">
        <w:tc>
          <w:tcPr>
            <w:tcW w:w="9558" w:type="dxa"/>
            <w:gridSpan w:val="11"/>
            <w:tcBorders>
              <w:top w:val="nil"/>
              <w:left w:val="nil"/>
              <w:right w:val="nil"/>
            </w:tcBorders>
          </w:tcPr>
          <w:p w14:paraId="517BFEC7" w14:textId="77777777" w:rsidR="00C3312E" w:rsidRPr="00C3312E" w:rsidRDefault="00C3312E" w:rsidP="00C3312E">
            <w:pPr>
              <w:spacing w:after="0" w:line="240" w:lineRule="auto"/>
              <w:jc w:val="center"/>
              <w:rPr>
                <w:b/>
                <w:sz w:val="20"/>
                <w:szCs w:val="20"/>
              </w:rPr>
            </w:pPr>
            <w:r w:rsidRPr="00C3312E">
              <w:rPr>
                <w:b/>
                <w:sz w:val="20"/>
                <w:szCs w:val="20"/>
              </w:rPr>
              <w:lastRenderedPageBreak/>
              <w:t xml:space="preserve">Table 19: </w:t>
            </w:r>
            <w:r w:rsidRPr="00C3312E">
              <w:rPr>
                <w:rFonts w:cs="Times New Roman"/>
                <w:b/>
                <w:sz w:val="20"/>
                <w:szCs w:val="20"/>
              </w:rPr>
              <w:t>Framingham Public Schools</w:t>
            </w:r>
          </w:p>
          <w:p w14:paraId="1CE9F5F5" w14:textId="77777777" w:rsidR="00C3312E" w:rsidRPr="00C3312E" w:rsidRDefault="00C3312E" w:rsidP="00C3312E">
            <w:pPr>
              <w:spacing w:after="0" w:line="240" w:lineRule="auto"/>
              <w:jc w:val="center"/>
              <w:rPr>
                <w:sz w:val="20"/>
                <w:szCs w:val="20"/>
              </w:rPr>
            </w:pPr>
            <w:r w:rsidRPr="00C3312E">
              <w:rPr>
                <w:b/>
                <w:sz w:val="20"/>
                <w:szCs w:val="20"/>
              </w:rPr>
              <w:t>Next-Generation MCAS Math Percent Meeting and Exceeding Expectations by School, 2018</w:t>
            </w:r>
          </w:p>
        </w:tc>
      </w:tr>
      <w:tr w:rsidR="00C3312E" w:rsidRPr="00C3312E" w14:paraId="20D3BBBD" w14:textId="77777777" w:rsidTr="00A66217">
        <w:trPr>
          <w:cantSplit/>
          <w:trHeight w:val="1043"/>
        </w:trPr>
        <w:tc>
          <w:tcPr>
            <w:tcW w:w="2628" w:type="dxa"/>
            <w:tcBorders>
              <w:left w:val="single" w:sz="4" w:space="0" w:color="auto"/>
            </w:tcBorders>
            <w:shd w:val="clear" w:color="auto" w:fill="BFBFBF" w:themeFill="background1" w:themeFillShade="BF"/>
            <w:vAlign w:val="center"/>
          </w:tcPr>
          <w:p w14:paraId="0AABDBFF" w14:textId="77777777" w:rsidR="00C3312E" w:rsidRPr="00C3312E" w:rsidRDefault="00C3312E" w:rsidP="00A66217">
            <w:pPr>
              <w:spacing w:after="0" w:line="240" w:lineRule="auto"/>
              <w:rPr>
                <w:b/>
                <w:sz w:val="20"/>
                <w:szCs w:val="20"/>
              </w:rPr>
            </w:pPr>
            <w:r w:rsidRPr="00C3312E">
              <w:rPr>
                <w:b/>
                <w:sz w:val="20"/>
                <w:szCs w:val="20"/>
              </w:rPr>
              <w:t>School</w:t>
            </w:r>
          </w:p>
        </w:tc>
        <w:tc>
          <w:tcPr>
            <w:tcW w:w="693" w:type="dxa"/>
            <w:shd w:val="clear" w:color="auto" w:fill="BFBFBF" w:themeFill="background1" w:themeFillShade="BF"/>
            <w:textDirection w:val="tbRl"/>
            <w:vAlign w:val="center"/>
          </w:tcPr>
          <w:p w14:paraId="7E23809A" w14:textId="77777777" w:rsidR="00C3312E" w:rsidRPr="00C3312E" w:rsidRDefault="00C3312E" w:rsidP="00A66217">
            <w:pPr>
              <w:spacing w:after="0" w:line="240" w:lineRule="auto"/>
              <w:ind w:left="113" w:right="113"/>
              <w:jc w:val="center"/>
              <w:rPr>
                <w:b/>
                <w:sz w:val="20"/>
                <w:szCs w:val="20"/>
              </w:rPr>
            </w:pPr>
            <w:r w:rsidRPr="00C3312E">
              <w:rPr>
                <w:b/>
                <w:sz w:val="20"/>
                <w:szCs w:val="20"/>
              </w:rPr>
              <w:t>All</w:t>
            </w:r>
          </w:p>
        </w:tc>
        <w:tc>
          <w:tcPr>
            <w:tcW w:w="693" w:type="dxa"/>
            <w:shd w:val="clear" w:color="auto" w:fill="BFBFBF" w:themeFill="background1" w:themeFillShade="BF"/>
            <w:textDirection w:val="tbRl"/>
            <w:vAlign w:val="center"/>
          </w:tcPr>
          <w:p w14:paraId="33099247" w14:textId="77777777" w:rsidR="00C3312E" w:rsidRPr="00C3312E" w:rsidRDefault="00C3312E" w:rsidP="00A66217">
            <w:pPr>
              <w:spacing w:after="0" w:line="240" w:lineRule="auto"/>
              <w:ind w:left="113" w:right="113"/>
              <w:jc w:val="center"/>
              <w:rPr>
                <w:b/>
                <w:sz w:val="20"/>
                <w:szCs w:val="20"/>
              </w:rPr>
            </w:pPr>
            <w:r w:rsidRPr="00C3312E">
              <w:rPr>
                <w:b/>
                <w:sz w:val="20"/>
                <w:szCs w:val="20"/>
              </w:rPr>
              <w:t>High Needs</w:t>
            </w:r>
          </w:p>
        </w:tc>
        <w:tc>
          <w:tcPr>
            <w:tcW w:w="693" w:type="dxa"/>
            <w:shd w:val="clear" w:color="auto" w:fill="BFBFBF" w:themeFill="background1" w:themeFillShade="BF"/>
            <w:textDirection w:val="tbRl"/>
            <w:vAlign w:val="center"/>
          </w:tcPr>
          <w:p w14:paraId="113D6ADD" w14:textId="77777777" w:rsidR="00C3312E" w:rsidRPr="00C3312E" w:rsidRDefault="00C3312E" w:rsidP="00A66217">
            <w:pPr>
              <w:spacing w:after="0" w:line="240" w:lineRule="auto"/>
              <w:ind w:left="113" w:right="113"/>
              <w:jc w:val="center"/>
              <w:rPr>
                <w:b/>
                <w:sz w:val="20"/>
                <w:szCs w:val="20"/>
              </w:rPr>
            </w:pPr>
            <w:r w:rsidRPr="00C3312E">
              <w:rPr>
                <w:rFonts w:cs="Times New Roman"/>
                <w:b/>
                <w:sz w:val="20"/>
                <w:szCs w:val="20"/>
              </w:rPr>
              <w:t>Econ. Dis.</w:t>
            </w:r>
          </w:p>
        </w:tc>
        <w:tc>
          <w:tcPr>
            <w:tcW w:w="693" w:type="dxa"/>
            <w:shd w:val="clear" w:color="auto" w:fill="BFBFBF" w:themeFill="background1" w:themeFillShade="BF"/>
            <w:textDirection w:val="tbRl"/>
            <w:vAlign w:val="center"/>
          </w:tcPr>
          <w:p w14:paraId="7C39552E" w14:textId="77777777" w:rsidR="00C3312E" w:rsidRPr="00C3312E" w:rsidRDefault="00C3312E" w:rsidP="00A66217">
            <w:pPr>
              <w:spacing w:after="0" w:line="240" w:lineRule="auto"/>
              <w:ind w:left="113" w:right="113"/>
              <w:jc w:val="center"/>
              <w:rPr>
                <w:b/>
                <w:sz w:val="20"/>
                <w:szCs w:val="20"/>
              </w:rPr>
            </w:pPr>
            <w:r w:rsidRPr="00C3312E">
              <w:rPr>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3E85CF0E" w14:textId="1A06F036" w:rsidR="00C3312E" w:rsidRPr="00C3312E" w:rsidRDefault="00C3312E" w:rsidP="00A66217">
            <w:pPr>
              <w:spacing w:after="0" w:line="240" w:lineRule="auto"/>
              <w:ind w:left="113" w:right="113"/>
              <w:jc w:val="center"/>
              <w:rPr>
                <w:b/>
                <w:sz w:val="20"/>
                <w:szCs w:val="20"/>
              </w:rPr>
            </w:pPr>
            <w:r w:rsidRPr="00C3312E">
              <w:rPr>
                <w:b/>
                <w:sz w:val="20"/>
                <w:szCs w:val="20"/>
              </w:rPr>
              <w:t>EL</w:t>
            </w:r>
          </w:p>
        </w:tc>
        <w:tc>
          <w:tcPr>
            <w:tcW w:w="693" w:type="dxa"/>
            <w:tcBorders>
              <w:left w:val="single" w:sz="4" w:space="0" w:color="auto"/>
            </w:tcBorders>
            <w:shd w:val="clear" w:color="auto" w:fill="BFBFBF" w:themeFill="background1" w:themeFillShade="BF"/>
            <w:textDirection w:val="tbRl"/>
            <w:vAlign w:val="center"/>
          </w:tcPr>
          <w:p w14:paraId="2E6523FA" w14:textId="77777777" w:rsidR="00C3312E" w:rsidRPr="00C3312E" w:rsidRDefault="00C3312E" w:rsidP="00A66217">
            <w:pPr>
              <w:spacing w:after="0" w:line="240" w:lineRule="auto"/>
              <w:ind w:left="113" w:right="113"/>
              <w:jc w:val="center"/>
              <w:rPr>
                <w:b/>
                <w:sz w:val="20"/>
                <w:szCs w:val="20"/>
              </w:rPr>
            </w:pPr>
            <w:r w:rsidRPr="00C3312E">
              <w:rPr>
                <w:b/>
                <w:sz w:val="20"/>
                <w:szCs w:val="20"/>
              </w:rPr>
              <w:t>African American</w:t>
            </w:r>
          </w:p>
        </w:tc>
        <w:tc>
          <w:tcPr>
            <w:tcW w:w="693" w:type="dxa"/>
            <w:shd w:val="clear" w:color="auto" w:fill="BFBFBF" w:themeFill="background1" w:themeFillShade="BF"/>
            <w:textDirection w:val="tbRl"/>
            <w:vAlign w:val="center"/>
          </w:tcPr>
          <w:p w14:paraId="79220A21" w14:textId="77777777" w:rsidR="00C3312E" w:rsidRPr="00C3312E" w:rsidRDefault="00C3312E" w:rsidP="00A66217">
            <w:pPr>
              <w:spacing w:after="0" w:line="240" w:lineRule="auto"/>
              <w:ind w:left="113" w:right="113"/>
              <w:jc w:val="center"/>
              <w:rPr>
                <w:b/>
                <w:sz w:val="20"/>
                <w:szCs w:val="20"/>
              </w:rPr>
            </w:pPr>
            <w:r w:rsidRPr="00C3312E">
              <w:rPr>
                <w:b/>
                <w:sz w:val="20"/>
                <w:szCs w:val="20"/>
              </w:rPr>
              <w:t>Asian</w:t>
            </w:r>
          </w:p>
        </w:tc>
        <w:tc>
          <w:tcPr>
            <w:tcW w:w="693" w:type="dxa"/>
            <w:shd w:val="clear" w:color="auto" w:fill="BFBFBF" w:themeFill="background1" w:themeFillShade="BF"/>
            <w:textDirection w:val="tbRl"/>
            <w:vAlign w:val="center"/>
          </w:tcPr>
          <w:p w14:paraId="29EB8BCD" w14:textId="77777777" w:rsidR="00C3312E" w:rsidRPr="00C3312E" w:rsidRDefault="00C3312E" w:rsidP="00A66217">
            <w:pPr>
              <w:spacing w:after="0" w:line="240" w:lineRule="auto"/>
              <w:ind w:left="113" w:right="113"/>
              <w:jc w:val="center"/>
              <w:rPr>
                <w:b/>
                <w:sz w:val="20"/>
                <w:szCs w:val="20"/>
              </w:rPr>
            </w:pPr>
            <w:r w:rsidRPr="00C3312E">
              <w:rPr>
                <w:b/>
                <w:sz w:val="20"/>
                <w:szCs w:val="20"/>
              </w:rPr>
              <w:t>Hispanic</w:t>
            </w:r>
          </w:p>
        </w:tc>
        <w:tc>
          <w:tcPr>
            <w:tcW w:w="693" w:type="dxa"/>
            <w:shd w:val="clear" w:color="auto" w:fill="BFBFBF" w:themeFill="background1" w:themeFillShade="BF"/>
            <w:textDirection w:val="tbRl"/>
            <w:vAlign w:val="center"/>
          </w:tcPr>
          <w:p w14:paraId="4C5EFC08" w14:textId="77777777" w:rsidR="00C3312E" w:rsidRPr="00C3312E" w:rsidRDefault="00C3312E" w:rsidP="00A66217">
            <w:pPr>
              <w:spacing w:after="0" w:line="240" w:lineRule="auto"/>
              <w:ind w:left="113" w:right="113"/>
              <w:jc w:val="center"/>
              <w:rPr>
                <w:b/>
                <w:sz w:val="20"/>
                <w:szCs w:val="20"/>
              </w:rPr>
            </w:pPr>
            <w:r w:rsidRPr="00C3312E">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72F7A076" w14:textId="77777777" w:rsidR="00C3312E" w:rsidRPr="00C3312E" w:rsidRDefault="00C3312E" w:rsidP="00A66217">
            <w:pPr>
              <w:spacing w:after="0" w:line="240" w:lineRule="auto"/>
              <w:ind w:left="113" w:right="113"/>
              <w:jc w:val="center"/>
              <w:rPr>
                <w:b/>
                <w:sz w:val="20"/>
                <w:szCs w:val="20"/>
              </w:rPr>
            </w:pPr>
            <w:r w:rsidRPr="00C3312E">
              <w:rPr>
                <w:b/>
                <w:sz w:val="20"/>
                <w:szCs w:val="20"/>
              </w:rPr>
              <w:t>White</w:t>
            </w:r>
          </w:p>
        </w:tc>
      </w:tr>
      <w:tr w:rsidR="00C3312E" w:rsidRPr="00C3312E" w14:paraId="5FDBBACB" w14:textId="77777777" w:rsidTr="00A66217">
        <w:tc>
          <w:tcPr>
            <w:tcW w:w="2628" w:type="dxa"/>
            <w:tcBorders>
              <w:left w:val="single" w:sz="4" w:space="0" w:color="auto"/>
            </w:tcBorders>
          </w:tcPr>
          <w:p w14:paraId="75D618A6" w14:textId="77777777" w:rsidR="00C3312E" w:rsidRPr="00C3312E" w:rsidRDefault="00C3312E" w:rsidP="00C3312E">
            <w:pPr>
              <w:spacing w:after="0" w:line="240" w:lineRule="auto"/>
              <w:rPr>
                <w:sz w:val="20"/>
                <w:szCs w:val="20"/>
              </w:rPr>
            </w:pPr>
            <w:r w:rsidRPr="00C3312E">
              <w:rPr>
                <w:sz w:val="20"/>
                <w:szCs w:val="20"/>
              </w:rPr>
              <w:t>Juniper Hill</w:t>
            </w:r>
          </w:p>
        </w:tc>
        <w:tc>
          <w:tcPr>
            <w:tcW w:w="693" w:type="dxa"/>
          </w:tcPr>
          <w:p w14:paraId="317C9416"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1349EC88"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1603DD66"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2D514A2D"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22977C10"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left w:val="single" w:sz="4" w:space="0" w:color="auto"/>
            </w:tcBorders>
          </w:tcPr>
          <w:p w14:paraId="287F31E1"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32A943D4"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229BF39C"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53DD681C"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6FEFDC1A"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49086BB4" w14:textId="77777777" w:rsidTr="00A66217">
        <w:tc>
          <w:tcPr>
            <w:tcW w:w="2628" w:type="dxa"/>
            <w:tcBorders>
              <w:left w:val="single" w:sz="4" w:space="0" w:color="auto"/>
            </w:tcBorders>
            <w:shd w:val="clear" w:color="auto" w:fill="BFBFBF" w:themeFill="background1" w:themeFillShade="BF"/>
          </w:tcPr>
          <w:p w14:paraId="0B99E693" w14:textId="173A06DC" w:rsidR="00C3312E" w:rsidRPr="00C3312E" w:rsidRDefault="00C3312E" w:rsidP="00697F37">
            <w:pPr>
              <w:spacing w:after="0" w:line="240" w:lineRule="auto"/>
              <w:rPr>
                <w:sz w:val="20"/>
                <w:szCs w:val="20"/>
              </w:rPr>
            </w:pPr>
            <w:r w:rsidRPr="00C3312E">
              <w:rPr>
                <w:sz w:val="20"/>
                <w:szCs w:val="20"/>
              </w:rPr>
              <w:t xml:space="preserve">King </w:t>
            </w:r>
          </w:p>
        </w:tc>
        <w:tc>
          <w:tcPr>
            <w:tcW w:w="693" w:type="dxa"/>
            <w:shd w:val="clear" w:color="auto" w:fill="BFBFBF" w:themeFill="background1" w:themeFillShade="BF"/>
          </w:tcPr>
          <w:p w14:paraId="2A2F4D4D" w14:textId="77777777" w:rsidR="00C3312E" w:rsidRPr="00C3312E" w:rsidRDefault="00C3312E" w:rsidP="00C3312E">
            <w:pPr>
              <w:spacing w:after="0" w:line="240" w:lineRule="auto"/>
              <w:jc w:val="center"/>
              <w:rPr>
                <w:sz w:val="20"/>
                <w:szCs w:val="20"/>
              </w:rPr>
            </w:pPr>
            <w:r w:rsidRPr="00C3312E">
              <w:rPr>
                <w:sz w:val="20"/>
                <w:szCs w:val="20"/>
              </w:rPr>
              <w:t>36%</w:t>
            </w:r>
          </w:p>
        </w:tc>
        <w:tc>
          <w:tcPr>
            <w:tcW w:w="693" w:type="dxa"/>
            <w:shd w:val="clear" w:color="auto" w:fill="BFBFBF" w:themeFill="background1" w:themeFillShade="BF"/>
          </w:tcPr>
          <w:p w14:paraId="73B549C7"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shd w:val="clear" w:color="auto" w:fill="BFBFBF" w:themeFill="background1" w:themeFillShade="BF"/>
          </w:tcPr>
          <w:p w14:paraId="0CDC4A16"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shd w:val="clear" w:color="auto" w:fill="BFBFBF" w:themeFill="background1" w:themeFillShade="BF"/>
          </w:tcPr>
          <w:p w14:paraId="7A12EBF4"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right w:val="single" w:sz="4" w:space="0" w:color="auto"/>
            </w:tcBorders>
            <w:shd w:val="clear" w:color="auto" w:fill="BFBFBF" w:themeFill="background1" w:themeFillShade="BF"/>
          </w:tcPr>
          <w:p w14:paraId="42F2F829"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tcBorders>
              <w:left w:val="single" w:sz="4" w:space="0" w:color="auto"/>
            </w:tcBorders>
            <w:shd w:val="clear" w:color="auto" w:fill="BFBFBF" w:themeFill="background1" w:themeFillShade="BF"/>
          </w:tcPr>
          <w:p w14:paraId="7E2714EF"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3C5AFF13"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09F84543"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1485C826"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6B5C251B" w14:textId="77777777" w:rsidR="00C3312E" w:rsidRPr="00C3312E" w:rsidRDefault="00C3312E" w:rsidP="00C3312E">
            <w:pPr>
              <w:spacing w:after="0" w:line="240" w:lineRule="auto"/>
              <w:jc w:val="center"/>
              <w:rPr>
                <w:sz w:val="20"/>
                <w:szCs w:val="20"/>
              </w:rPr>
            </w:pPr>
            <w:r w:rsidRPr="00C3312E">
              <w:rPr>
                <w:sz w:val="20"/>
                <w:szCs w:val="20"/>
              </w:rPr>
              <w:t>33%</w:t>
            </w:r>
          </w:p>
        </w:tc>
      </w:tr>
      <w:tr w:rsidR="00C3312E" w:rsidRPr="00C3312E" w14:paraId="25A02A54" w14:textId="77777777" w:rsidTr="00A66217">
        <w:tc>
          <w:tcPr>
            <w:tcW w:w="2628" w:type="dxa"/>
            <w:tcBorders>
              <w:left w:val="single" w:sz="4" w:space="0" w:color="auto"/>
            </w:tcBorders>
          </w:tcPr>
          <w:p w14:paraId="6318ABA2" w14:textId="77777777" w:rsidR="00C3312E" w:rsidRPr="00C3312E" w:rsidRDefault="00C3312E" w:rsidP="00C3312E">
            <w:pPr>
              <w:spacing w:after="0" w:line="240" w:lineRule="auto"/>
              <w:rPr>
                <w:sz w:val="20"/>
                <w:szCs w:val="20"/>
              </w:rPr>
            </w:pPr>
            <w:r w:rsidRPr="00C3312E">
              <w:rPr>
                <w:sz w:val="20"/>
                <w:szCs w:val="20"/>
              </w:rPr>
              <w:t>Brophy</w:t>
            </w:r>
          </w:p>
        </w:tc>
        <w:tc>
          <w:tcPr>
            <w:tcW w:w="693" w:type="dxa"/>
          </w:tcPr>
          <w:p w14:paraId="447D5E7C" w14:textId="77777777" w:rsidR="00C3312E" w:rsidRPr="00C3312E" w:rsidRDefault="00C3312E" w:rsidP="00C3312E">
            <w:pPr>
              <w:spacing w:after="0" w:line="240" w:lineRule="auto"/>
              <w:jc w:val="center"/>
              <w:rPr>
                <w:sz w:val="20"/>
                <w:szCs w:val="20"/>
              </w:rPr>
            </w:pPr>
            <w:r w:rsidRPr="00C3312E">
              <w:rPr>
                <w:sz w:val="20"/>
                <w:szCs w:val="20"/>
              </w:rPr>
              <w:t>38%</w:t>
            </w:r>
          </w:p>
        </w:tc>
        <w:tc>
          <w:tcPr>
            <w:tcW w:w="693" w:type="dxa"/>
          </w:tcPr>
          <w:p w14:paraId="189EA5D3" w14:textId="77777777" w:rsidR="00C3312E" w:rsidRPr="00C3312E" w:rsidRDefault="00C3312E" w:rsidP="00C3312E">
            <w:pPr>
              <w:spacing w:after="0" w:line="240" w:lineRule="auto"/>
              <w:jc w:val="center"/>
              <w:rPr>
                <w:sz w:val="20"/>
                <w:szCs w:val="20"/>
              </w:rPr>
            </w:pPr>
            <w:r w:rsidRPr="00C3312E">
              <w:rPr>
                <w:sz w:val="20"/>
                <w:szCs w:val="20"/>
              </w:rPr>
              <w:t>26%</w:t>
            </w:r>
          </w:p>
        </w:tc>
        <w:tc>
          <w:tcPr>
            <w:tcW w:w="693" w:type="dxa"/>
          </w:tcPr>
          <w:p w14:paraId="194C3CE9" w14:textId="77777777" w:rsidR="00C3312E" w:rsidRPr="00C3312E" w:rsidRDefault="00C3312E" w:rsidP="00C3312E">
            <w:pPr>
              <w:spacing w:after="0" w:line="240" w:lineRule="auto"/>
              <w:jc w:val="center"/>
              <w:rPr>
                <w:sz w:val="20"/>
                <w:szCs w:val="20"/>
              </w:rPr>
            </w:pPr>
            <w:r w:rsidRPr="00C3312E">
              <w:rPr>
                <w:sz w:val="20"/>
                <w:szCs w:val="20"/>
              </w:rPr>
              <w:t>22%</w:t>
            </w:r>
          </w:p>
        </w:tc>
        <w:tc>
          <w:tcPr>
            <w:tcW w:w="693" w:type="dxa"/>
          </w:tcPr>
          <w:p w14:paraId="1CC98566" w14:textId="77777777" w:rsidR="00C3312E" w:rsidRPr="00C3312E" w:rsidRDefault="00C3312E" w:rsidP="00C3312E">
            <w:pPr>
              <w:spacing w:after="0" w:line="240" w:lineRule="auto"/>
              <w:jc w:val="center"/>
              <w:rPr>
                <w:sz w:val="20"/>
                <w:szCs w:val="20"/>
              </w:rPr>
            </w:pPr>
            <w:r w:rsidRPr="00C3312E">
              <w:rPr>
                <w:sz w:val="20"/>
                <w:szCs w:val="20"/>
              </w:rPr>
              <w:t>15%</w:t>
            </w:r>
          </w:p>
        </w:tc>
        <w:tc>
          <w:tcPr>
            <w:tcW w:w="693" w:type="dxa"/>
            <w:tcBorders>
              <w:right w:val="single" w:sz="4" w:space="0" w:color="auto"/>
            </w:tcBorders>
          </w:tcPr>
          <w:p w14:paraId="7A0F49DB"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Borders>
              <w:left w:val="single" w:sz="4" w:space="0" w:color="auto"/>
            </w:tcBorders>
          </w:tcPr>
          <w:p w14:paraId="3791526A"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tcPr>
          <w:p w14:paraId="5D139016" w14:textId="77777777" w:rsidR="00C3312E" w:rsidRPr="00C3312E" w:rsidRDefault="00C3312E" w:rsidP="00C3312E">
            <w:pPr>
              <w:spacing w:after="0" w:line="240" w:lineRule="auto"/>
              <w:jc w:val="center"/>
              <w:rPr>
                <w:sz w:val="20"/>
                <w:szCs w:val="20"/>
              </w:rPr>
            </w:pPr>
            <w:r w:rsidRPr="00C3312E">
              <w:rPr>
                <w:sz w:val="20"/>
                <w:szCs w:val="20"/>
              </w:rPr>
              <w:t>80%</w:t>
            </w:r>
          </w:p>
        </w:tc>
        <w:tc>
          <w:tcPr>
            <w:tcW w:w="693" w:type="dxa"/>
          </w:tcPr>
          <w:p w14:paraId="528B8531" w14:textId="77777777" w:rsidR="00C3312E" w:rsidRPr="00C3312E" w:rsidRDefault="00C3312E" w:rsidP="00C3312E">
            <w:pPr>
              <w:spacing w:after="0" w:line="240" w:lineRule="auto"/>
              <w:jc w:val="center"/>
              <w:rPr>
                <w:sz w:val="20"/>
                <w:szCs w:val="20"/>
              </w:rPr>
            </w:pPr>
            <w:r w:rsidRPr="00C3312E">
              <w:rPr>
                <w:sz w:val="20"/>
                <w:szCs w:val="20"/>
              </w:rPr>
              <w:t>26%</w:t>
            </w:r>
          </w:p>
        </w:tc>
        <w:tc>
          <w:tcPr>
            <w:tcW w:w="693" w:type="dxa"/>
          </w:tcPr>
          <w:p w14:paraId="4D81838A"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tcPr>
          <w:p w14:paraId="7CA01DB2" w14:textId="77777777" w:rsidR="00C3312E" w:rsidRPr="00C3312E" w:rsidRDefault="00C3312E" w:rsidP="00C3312E">
            <w:pPr>
              <w:spacing w:after="0" w:line="240" w:lineRule="auto"/>
              <w:jc w:val="center"/>
              <w:rPr>
                <w:sz w:val="20"/>
                <w:szCs w:val="20"/>
              </w:rPr>
            </w:pPr>
            <w:r w:rsidRPr="00C3312E">
              <w:rPr>
                <w:sz w:val="20"/>
                <w:szCs w:val="20"/>
              </w:rPr>
              <w:t>52%</w:t>
            </w:r>
          </w:p>
        </w:tc>
      </w:tr>
      <w:tr w:rsidR="00C3312E" w:rsidRPr="00C3312E" w14:paraId="1EC9A987" w14:textId="77777777" w:rsidTr="00A66217">
        <w:tc>
          <w:tcPr>
            <w:tcW w:w="2628" w:type="dxa"/>
            <w:tcBorders>
              <w:left w:val="single" w:sz="4" w:space="0" w:color="auto"/>
            </w:tcBorders>
            <w:shd w:val="clear" w:color="auto" w:fill="BFBFBF" w:themeFill="background1" w:themeFillShade="BF"/>
          </w:tcPr>
          <w:p w14:paraId="0C84AB51" w14:textId="77777777" w:rsidR="00C3312E" w:rsidRPr="00C3312E" w:rsidRDefault="00C3312E" w:rsidP="00C3312E">
            <w:pPr>
              <w:spacing w:after="0" w:line="240" w:lineRule="auto"/>
              <w:rPr>
                <w:sz w:val="20"/>
                <w:szCs w:val="20"/>
              </w:rPr>
            </w:pPr>
            <w:r w:rsidRPr="00C3312E">
              <w:rPr>
                <w:sz w:val="20"/>
                <w:szCs w:val="20"/>
              </w:rPr>
              <w:t>Dunning</w:t>
            </w:r>
          </w:p>
        </w:tc>
        <w:tc>
          <w:tcPr>
            <w:tcW w:w="693" w:type="dxa"/>
            <w:shd w:val="clear" w:color="auto" w:fill="BFBFBF" w:themeFill="background1" w:themeFillShade="BF"/>
          </w:tcPr>
          <w:p w14:paraId="58ACEAE3" w14:textId="77777777" w:rsidR="00C3312E" w:rsidRPr="00C3312E" w:rsidRDefault="00C3312E" w:rsidP="00C3312E">
            <w:pPr>
              <w:spacing w:after="0" w:line="240" w:lineRule="auto"/>
              <w:jc w:val="center"/>
              <w:rPr>
                <w:sz w:val="20"/>
                <w:szCs w:val="20"/>
              </w:rPr>
            </w:pPr>
            <w:r w:rsidRPr="00C3312E">
              <w:rPr>
                <w:sz w:val="20"/>
                <w:szCs w:val="20"/>
              </w:rPr>
              <w:t>52%</w:t>
            </w:r>
          </w:p>
        </w:tc>
        <w:tc>
          <w:tcPr>
            <w:tcW w:w="693" w:type="dxa"/>
            <w:shd w:val="clear" w:color="auto" w:fill="BFBFBF" w:themeFill="background1" w:themeFillShade="BF"/>
          </w:tcPr>
          <w:p w14:paraId="7CBBE399" w14:textId="77777777" w:rsidR="00C3312E" w:rsidRPr="00C3312E" w:rsidRDefault="00C3312E" w:rsidP="00C3312E">
            <w:pPr>
              <w:spacing w:after="0" w:line="240" w:lineRule="auto"/>
              <w:jc w:val="center"/>
              <w:rPr>
                <w:sz w:val="20"/>
                <w:szCs w:val="20"/>
              </w:rPr>
            </w:pPr>
            <w:r w:rsidRPr="00C3312E">
              <w:rPr>
                <w:sz w:val="20"/>
                <w:szCs w:val="20"/>
              </w:rPr>
              <w:t>34%</w:t>
            </w:r>
          </w:p>
        </w:tc>
        <w:tc>
          <w:tcPr>
            <w:tcW w:w="693" w:type="dxa"/>
            <w:shd w:val="clear" w:color="auto" w:fill="BFBFBF" w:themeFill="background1" w:themeFillShade="BF"/>
          </w:tcPr>
          <w:p w14:paraId="4F175C51" w14:textId="77777777" w:rsidR="00C3312E" w:rsidRPr="00C3312E" w:rsidRDefault="00C3312E" w:rsidP="00C3312E">
            <w:pPr>
              <w:spacing w:after="0" w:line="240" w:lineRule="auto"/>
              <w:jc w:val="center"/>
              <w:rPr>
                <w:sz w:val="20"/>
                <w:szCs w:val="20"/>
              </w:rPr>
            </w:pPr>
            <w:r w:rsidRPr="00C3312E">
              <w:rPr>
                <w:sz w:val="20"/>
                <w:szCs w:val="20"/>
              </w:rPr>
              <w:t>35%</w:t>
            </w:r>
          </w:p>
        </w:tc>
        <w:tc>
          <w:tcPr>
            <w:tcW w:w="693" w:type="dxa"/>
            <w:shd w:val="clear" w:color="auto" w:fill="BFBFBF" w:themeFill="background1" w:themeFillShade="BF"/>
          </w:tcPr>
          <w:p w14:paraId="4E3D7374"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tcBorders>
              <w:right w:val="single" w:sz="4" w:space="0" w:color="auto"/>
            </w:tcBorders>
            <w:shd w:val="clear" w:color="auto" w:fill="BFBFBF" w:themeFill="background1" w:themeFillShade="BF"/>
          </w:tcPr>
          <w:p w14:paraId="268315CA"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tcBorders>
              <w:left w:val="single" w:sz="4" w:space="0" w:color="auto"/>
            </w:tcBorders>
            <w:shd w:val="clear" w:color="auto" w:fill="BFBFBF" w:themeFill="background1" w:themeFillShade="BF"/>
          </w:tcPr>
          <w:p w14:paraId="0DE7A866" w14:textId="77777777" w:rsidR="00C3312E" w:rsidRPr="00C3312E" w:rsidRDefault="00C3312E" w:rsidP="00C3312E">
            <w:pPr>
              <w:spacing w:after="0" w:line="240" w:lineRule="auto"/>
              <w:jc w:val="center"/>
              <w:rPr>
                <w:sz w:val="20"/>
                <w:szCs w:val="20"/>
              </w:rPr>
            </w:pPr>
            <w:r w:rsidRPr="00C3312E">
              <w:rPr>
                <w:sz w:val="20"/>
                <w:szCs w:val="20"/>
              </w:rPr>
              <w:t>40%</w:t>
            </w:r>
          </w:p>
        </w:tc>
        <w:tc>
          <w:tcPr>
            <w:tcW w:w="693" w:type="dxa"/>
            <w:shd w:val="clear" w:color="auto" w:fill="BFBFBF" w:themeFill="background1" w:themeFillShade="BF"/>
          </w:tcPr>
          <w:p w14:paraId="0B340582" w14:textId="77777777" w:rsidR="00C3312E" w:rsidRPr="00C3312E" w:rsidRDefault="00C3312E" w:rsidP="00C3312E">
            <w:pPr>
              <w:spacing w:after="0" w:line="240" w:lineRule="auto"/>
              <w:jc w:val="center"/>
              <w:rPr>
                <w:sz w:val="20"/>
                <w:szCs w:val="20"/>
              </w:rPr>
            </w:pPr>
            <w:r w:rsidRPr="00C3312E">
              <w:rPr>
                <w:sz w:val="20"/>
                <w:szCs w:val="20"/>
              </w:rPr>
              <w:t>55%</w:t>
            </w:r>
          </w:p>
        </w:tc>
        <w:tc>
          <w:tcPr>
            <w:tcW w:w="693" w:type="dxa"/>
            <w:shd w:val="clear" w:color="auto" w:fill="BFBFBF" w:themeFill="background1" w:themeFillShade="BF"/>
          </w:tcPr>
          <w:p w14:paraId="65C40565" w14:textId="77777777" w:rsidR="00C3312E" w:rsidRPr="00C3312E" w:rsidRDefault="00C3312E" w:rsidP="00C3312E">
            <w:pPr>
              <w:spacing w:after="0" w:line="240" w:lineRule="auto"/>
              <w:jc w:val="center"/>
              <w:rPr>
                <w:sz w:val="20"/>
                <w:szCs w:val="20"/>
              </w:rPr>
            </w:pPr>
            <w:r w:rsidRPr="00C3312E">
              <w:rPr>
                <w:sz w:val="20"/>
                <w:szCs w:val="20"/>
              </w:rPr>
              <w:t>26%</w:t>
            </w:r>
          </w:p>
        </w:tc>
        <w:tc>
          <w:tcPr>
            <w:tcW w:w="693" w:type="dxa"/>
            <w:shd w:val="clear" w:color="auto" w:fill="BFBFBF" w:themeFill="background1" w:themeFillShade="BF"/>
          </w:tcPr>
          <w:p w14:paraId="2C0FE43C" w14:textId="77777777" w:rsidR="00C3312E" w:rsidRPr="00C3312E" w:rsidRDefault="00C3312E" w:rsidP="00C3312E">
            <w:pPr>
              <w:spacing w:after="0" w:line="240" w:lineRule="auto"/>
              <w:jc w:val="center"/>
              <w:rPr>
                <w:sz w:val="20"/>
                <w:szCs w:val="20"/>
              </w:rPr>
            </w:pPr>
            <w:r w:rsidRPr="00C3312E">
              <w:rPr>
                <w:sz w:val="20"/>
                <w:szCs w:val="20"/>
              </w:rPr>
              <w:t>50%</w:t>
            </w:r>
          </w:p>
        </w:tc>
        <w:tc>
          <w:tcPr>
            <w:tcW w:w="693" w:type="dxa"/>
            <w:tcBorders>
              <w:right w:val="single" w:sz="4" w:space="0" w:color="auto"/>
            </w:tcBorders>
            <w:shd w:val="clear" w:color="auto" w:fill="BFBFBF" w:themeFill="background1" w:themeFillShade="BF"/>
          </w:tcPr>
          <w:p w14:paraId="78B3A4E4" w14:textId="77777777" w:rsidR="00C3312E" w:rsidRPr="00C3312E" w:rsidRDefault="00C3312E" w:rsidP="00C3312E">
            <w:pPr>
              <w:spacing w:after="0" w:line="240" w:lineRule="auto"/>
              <w:jc w:val="center"/>
              <w:rPr>
                <w:sz w:val="20"/>
                <w:szCs w:val="20"/>
              </w:rPr>
            </w:pPr>
            <w:r w:rsidRPr="00C3312E">
              <w:rPr>
                <w:sz w:val="20"/>
                <w:szCs w:val="20"/>
              </w:rPr>
              <w:t>58%</w:t>
            </w:r>
          </w:p>
        </w:tc>
      </w:tr>
      <w:tr w:rsidR="00C3312E" w:rsidRPr="00C3312E" w14:paraId="3113A591" w14:textId="77777777" w:rsidTr="00A66217">
        <w:tc>
          <w:tcPr>
            <w:tcW w:w="2628" w:type="dxa"/>
            <w:tcBorders>
              <w:left w:val="single" w:sz="4" w:space="0" w:color="auto"/>
            </w:tcBorders>
          </w:tcPr>
          <w:p w14:paraId="39796CB2" w14:textId="77777777" w:rsidR="00C3312E" w:rsidRPr="00C3312E" w:rsidRDefault="00C3312E" w:rsidP="00C3312E">
            <w:pPr>
              <w:spacing w:after="0" w:line="240" w:lineRule="auto"/>
              <w:rPr>
                <w:sz w:val="20"/>
                <w:szCs w:val="20"/>
              </w:rPr>
            </w:pPr>
            <w:r w:rsidRPr="00C3312E">
              <w:rPr>
                <w:sz w:val="20"/>
                <w:szCs w:val="20"/>
              </w:rPr>
              <w:t>Hemenway</w:t>
            </w:r>
          </w:p>
        </w:tc>
        <w:tc>
          <w:tcPr>
            <w:tcW w:w="693" w:type="dxa"/>
          </w:tcPr>
          <w:p w14:paraId="024BBB8A" w14:textId="77777777" w:rsidR="00C3312E" w:rsidRPr="00C3312E" w:rsidRDefault="00C3312E" w:rsidP="00C3312E">
            <w:pPr>
              <w:spacing w:after="0" w:line="240" w:lineRule="auto"/>
              <w:jc w:val="center"/>
              <w:rPr>
                <w:sz w:val="20"/>
                <w:szCs w:val="20"/>
              </w:rPr>
            </w:pPr>
            <w:r w:rsidRPr="00C3312E">
              <w:rPr>
                <w:sz w:val="20"/>
                <w:szCs w:val="20"/>
              </w:rPr>
              <w:t>59%</w:t>
            </w:r>
          </w:p>
        </w:tc>
        <w:tc>
          <w:tcPr>
            <w:tcW w:w="693" w:type="dxa"/>
          </w:tcPr>
          <w:p w14:paraId="2E664C90" w14:textId="77777777" w:rsidR="00C3312E" w:rsidRPr="00C3312E" w:rsidRDefault="00C3312E" w:rsidP="00C3312E">
            <w:pPr>
              <w:spacing w:after="0" w:line="240" w:lineRule="auto"/>
              <w:jc w:val="center"/>
              <w:rPr>
                <w:sz w:val="20"/>
                <w:szCs w:val="20"/>
              </w:rPr>
            </w:pPr>
            <w:r w:rsidRPr="00C3312E">
              <w:rPr>
                <w:sz w:val="20"/>
                <w:szCs w:val="20"/>
              </w:rPr>
              <w:t>36%</w:t>
            </w:r>
          </w:p>
        </w:tc>
        <w:tc>
          <w:tcPr>
            <w:tcW w:w="693" w:type="dxa"/>
          </w:tcPr>
          <w:p w14:paraId="25940955" w14:textId="77777777" w:rsidR="00C3312E" w:rsidRPr="00C3312E" w:rsidRDefault="00C3312E" w:rsidP="00C3312E">
            <w:pPr>
              <w:spacing w:after="0" w:line="240" w:lineRule="auto"/>
              <w:jc w:val="center"/>
              <w:rPr>
                <w:sz w:val="20"/>
                <w:szCs w:val="20"/>
              </w:rPr>
            </w:pPr>
            <w:r w:rsidRPr="00C3312E">
              <w:rPr>
                <w:sz w:val="20"/>
                <w:szCs w:val="20"/>
              </w:rPr>
              <w:t>31%</w:t>
            </w:r>
          </w:p>
        </w:tc>
        <w:tc>
          <w:tcPr>
            <w:tcW w:w="693" w:type="dxa"/>
          </w:tcPr>
          <w:p w14:paraId="3B36C444" w14:textId="77777777" w:rsidR="00C3312E" w:rsidRPr="00C3312E" w:rsidRDefault="00C3312E" w:rsidP="00C3312E">
            <w:pPr>
              <w:spacing w:after="0" w:line="240" w:lineRule="auto"/>
              <w:jc w:val="center"/>
              <w:rPr>
                <w:sz w:val="20"/>
                <w:szCs w:val="20"/>
              </w:rPr>
            </w:pPr>
            <w:r w:rsidRPr="00C3312E">
              <w:rPr>
                <w:sz w:val="20"/>
                <w:szCs w:val="20"/>
              </w:rPr>
              <w:t>28%</w:t>
            </w:r>
          </w:p>
        </w:tc>
        <w:tc>
          <w:tcPr>
            <w:tcW w:w="693" w:type="dxa"/>
            <w:tcBorders>
              <w:right w:val="single" w:sz="4" w:space="0" w:color="auto"/>
            </w:tcBorders>
          </w:tcPr>
          <w:p w14:paraId="3F143BFF" w14:textId="77777777" w:rsidR="00C3312E" w:rsidRPr="00C3312E" w:rsidRDefault="00C3312E" w:rsidP="00C3312E">
            <w:pPr>
              <w:spacing w:after="0" w:line="240" w:lineRule="auto"/>
              <w:jc w:val="center"/>
              <w:rPr>
                <w:sz w:val="20"/>
                <w:szCs w:val="20"/>
              </w:rPr>
            </w:pPr>
            <w:r w:rsidRPr="00C3312E">
              <w:rPr>
                <w:sz w:val="20"/>
                <w:szCs w:val="20"/>
              </w:rPr>
              <w:t>34%</w:t>
            </w:r>
          </w:p>
        </w:tc>
        <w:tc>
          <w:tcPr>
            <w:tcW w:w="693" w:type="dxa"/>
            <w:tcBorders>
              <w:left w:val="single" w:sz="4" w:space="0" w:color="auto"/>
            </w:tcBorders>
          </w:tcPr>
          <w:p w14:paraId="064E7092" w14:textId="77777777" w:rsidR="00C3312E" w:rsidRPr="00C3312E" w:rsidRDefault="00C3312E" w:rsidP="00C3312E">
            <w:pPr>
              <w:spacing w:after="0" w:line="240" w:lineRule="auto"/>
              <w:jc w:val="center"/>
              <w:rPr>
                <w:sz w:val="20"/>
                <w:szCs w:val="20"/>
              </w:rPr>
            </w:pPr>
            <w:r w:rsidRPr="00C3312E">
              <w:rPr>
                <w:sz w:val="20"/>
                <w:szCs w:val="20"/>
              </w:rPr>
              <w:t>29%</w:t>
            </w:r>
          </w:p>
        </w:tc>
        <w:tc>
          <w:tcPr>
            <w:tcW w:w="693" w:type="dxa"/>
          </w:tcPr>
          <w:p w14:paraId="0A4136BB" w14:textId="77777777" w:rsidR="00C3312E" w:rsidRPr="00C3312E" w:rsidRDefault="00C3312E" w:rsidP="00C3312E">
            <w:pPr>
              <w:spacing w:after="0" w:line="240" w:lineRule="auto"/>
              <w:jc w:val="center"/>
              <w:rPr>
                <w:sz w:val="20"/>
                <w:szCs w:val="20"/>
              </w:rPr>
            </w:pPr>
            <w:r w:rsidRPr="00C3312E">
              <w:rPr>
                <w:sz w:val="20"/>
                <w:szCs w:val="20"/>
              </w:rPr>
              <w:t>67%</w:t>
            </w:r>
          </w:p>
        </w:tc>
        <w:tc>
          <w:tcPr>
            <w:tcW w:w="693" w:type="dxa"/>
          </w:tcPr>
          <w:p w14:paraId="02DD656D" w14:textId="77777777" w:rsidR="00C3312E" w:rsidRPr="00C3312E" w:rsidRDefault="00C3312E" w:rsidP="00C3312E">
            <w:pPr>
              <w:spacing w:after="0" w:line="240" w:lineRule="auto"/>
              <w:jc w:val="center"/>
              <w:rPr>
                <w:sz w:val="20"/>
                <w:szCs w:val="20"/>
              </w:rPr>
            </w:pPr>
            <w:r w:rsidRPr="00C3312E">
              <w:rPr>
                <w:sz w:val="20"/>
                <w:szCs w:val="20"/>
              </w:rPr>
              <w:t>45%</w:t>
            </w:r>
          </w:p>
        </w:tc>
        <w:tc>
          <w:tcPr>
            <w:tcW w:w="693" w:type="dxa"/>
          </w:tcPr>
          <w:p w14:paraId="0288B0A3" w14:textId="77777777" w:rsidR="00C3312E" w:rsidRPr="00C3312E" w:rsidRDefault="00C3312E" w:rsidP="00C3312E">
            <w:pPr>
              <w:spacing w:after="0" w:line="240" w:lineRule="auto"/>
              <w:jc w:val="center"/>
              <w:rPr>
                <w:sz w:val="20"/>
                <w:szCs w:val="20"/>
              </w:rPr>
            </w:pPr>
            <w:r w:rsidRPr="00C3312E">
              <w:rPr>
                <w:sz w:val="20"/>
                <w:szCs w:val="20"/>
              </w:rPr>
              <w:t>83%</w:t>
            </w:r>
          </w:p>
        </w:tc>
        <w:tc>
          <w:tcPr>
            <w:tcW w:w="693" w:type="dxa"/>
            <w:tcBorders>
              <w:right w:val="single" w:sz="4" w:space="0" w:color="auto"/>
            </w:tcBorders>
          </w:tcPr>
          <w:p w14:paraId="50ED0CDF" w14:textId="77777777" w:rsidR="00C3312E" w:rsidRPr="00C3312E" w:rsidRDefault="00C3312E" w:rsidP="00C3312E">
            <w:pPr>
              <w:spacing w:after="0" w:line="240" w:lineRule="auto"/>
              <w:jc w:val="center"/>
              <w:rPr>
                <w:sz w:val="20"/>
                <w:szCs w:val="20"/>
              </w:rPr>
            </w:pPr>
            <w:r w:rsidRPr="00C3312E">
              <w:rPr>
                <w:sz w:val="20"/>
                <w:szCs w:val="20"/>
              </w:rPr>
              <w:t>60%</w:t>
            </w:r>
          </w:p>
        </w:tc>
      </w:tr>
      <w:tr w:rsidR="00C3312E" w:rsidRPr="00C3312E" w14:paraId="7EEEC080" w14:textId="77777777" w:rsidTr="00A66217">
        <w:tc>
          <w:tcPr>
            <w:tcW w:w="2628" w:type="dxa"/>
            <w:tcBorders>
              <w:left w:val="single" w:sz="4" w:space="0" w:color="auto"/>
            </w:tcBorders>
            <w:shd w:val="clear" w:color="auto" w:fill="BFBFBF" w:themeFill="background1" w:themeFillShade="BF"/>
          </w:tcPr>
          <w:p w14:paraId="59C386B6" w14:textId="77777777" w:rsidR="00C3312E" w:rsidRPr="00C3312E" w:rsidRDefault="00C3312E" w:rsidP="00C3312E">
            <w:pPr>
              <w:spacing w:after="0" w:line="240" w:lineRule="auto"/>
              <w:rPr>
                <w:sz w:val="20"/>
                <w:szCs w:val="20"/>
              </w:rPr>
            </w:pPr>
            <w:r w:rsidRPr="00C3312E">
              <w:rPr>
                <w:sz w:val="20"/>
                <w:szCs w:val="20"/>
              </w:rPr>
              <w:t>Barbieri</w:t>
            </w:r>
          </w:p>
        </w:tc>
        <w:tc>
          <w:tcPr>
            <w:tcW w:w="693" w:type="dxa"/>
            <w:shd w:val="clear" w:color="auto" w:fill="BFBFBF" w:themeFill="background1" w:themeFillShade="BF"/>
          </w:tcPr>
          <w:p w14:paraId="3D13E88E"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shd w:val="clear" w:color="auto" w:fill="BFBFBF" w:themeFill="background1" w:themeFillShade="BF"/>
          </w:tcPr>
          <w:p w14:paraId="3FCD73C4" w14:textId="77777777" w:rsidR="00C3312E" w:rsidRPr="00C3312E" w:rsidRDefault="00C3312E" w:rsidP="00C3312E">
            <w:pPr>
              <w:spacing w:after="0" w:line="240" w:lineRule="auto"/>
              <w:jc w:val="center"/>
              <w:rPr>
                <w:sz w:val="20"/>
                <w:szCs w:val="20"/>
              </w:rPr>
            </w:pPr>
            <w:r w:rsidRPr="00C3312E">
              <w:rPr>
                <w:sz w:val="20"/>
                <w:szCs w:val="20"/>
              </w:rPr>
              <w:t>7%</w:t>
            </w:r>
          </w:p>
        </w:tc>
        <w:tc>
          <w:tcPr>
            <w:tcW w:w="693" w:type="dxa"/>
            <w:shd w:val="clear" w:color="auto" w:fill="BFBFBF" w:themeFill="background1" w:themeFillShade="BF"/>
          </w:tcPr>
          <w:p w14:paraId="47DEFA6C"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shd w:val="clear" w:color="auto" w:fill="BFBFBF" w:themeFill="background1" w:themeFillShade="BF"/>
          </w:tcPr>
          <w:p w14:paraId="5039E15E" w14:textId="77777777" w:rsidR="00C3312E" w:rsidRPr="00C3312E" w:rsidRDefault="00C3312E" w:rsidP="00C3312E">
            <w:pPr>
              <w:spacing w:after="0" w:line="240" w:lineRule="auto"/>
              <w:jc w:val="center"/>
              <w:rPr>
                <w:sz w:val="20"/>
                <w:szCs w:val="20"/>
              </w:rPr>
            </w:pPr>
            <w:r w:rsidRPr="00C3312E">
              <w:rPr>
                <w:sz w:val="20"/>
                <w:szCs w:val="20"/>
              </w:rPr>
              <w:t>2%</w:t>
            </w:r>
          </w:p>
        </w:tc>
        <w:tc>
          <w:tcPr>
            <w:tcW w:w="693" w:type="dxa"/>
            <w:tcBorders>
              <w:right w:val="single" w:sz="4" w:space="0" w:color="auto"/>
            </w:tcBorders>
            <w:shd w:val="clear" w:color="auto" w:fill="BFBFBF" w:themeFill="background1" w:themeFillShade="BF"/>
          </w:tcPr>
          <w:p w14:paraId="5787AEB6" w14:textId="77777777" w:rsidR="00C3312E" w:rsidRPr="00C3312E" w:rsidRDefault="00C3312E" w:rsidP="00C3312E">
            <w:pPr>
              <w:spacing w:after="0" w:line="240" w:lineRule="auto"/>
              <w:jc w:val="center"/>
              <w:rPr>
                <w:sz w:val="20"/>
                <w:szCs w:val="20"/>
              </w:rPr>
            </w:pPr>
            <w:r w:rsidRPr="00C3312E">
              <w:rPr>
                <w:sz w:val="20"/>
                <w:szCs w:val="20"/>
              </w:rPr>
              <w:t>7%</w:t>
            </w:r>
          </w:p>
        </w:tc>
        <w:tc>
          <w:tcPr>
            <w:tcW w:w="693" w:type="dxa"/>
            <w:tcBorders>
              <w:left w:val="single" w:sz="4" w:space="0" w:color="auto"/>
            </w:tcBorders>
            <w:shd w:val="clear" w:color="auto" w:fill="BFBFBF" w:themeFill="background1" w:themeFillShade="BF"/>
          </w:tcPr>
          <w:p w14:paraId="0B46549C"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shd w:val="clear" w:color="auto" w:fill="BFBFBF" w:themeFill="background1" w:themeFillShade="BF"/>
          </w:tcPr>
          <w:p w14:paraId="2428AC01"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475B7934" w14:textId="77777777" w:rsidR="00C3312E" w:rsidRPr="00C3312E" w:rsidRDefault="00C3312E" w:rsidP="00C3312E">
            <w:pPr>
              <w:spacing w:after="0" w:line="240" w:lineRule="auto"/>
              <w:jc w:val="center"/>
              <w:rPr>
                <w:sz w:val="20"/>
                <w:szCs w:val="20"/>
              </w:rPr>
            </w:pPr>
            <w:r w:rsidRPr="00C3312E">
              <w:rPr>
                <w:sz w:val="20"/>
                <w:szCs w:val="20"/>
              </w:rPr>
              <w:t>13%</w:t>
            </w:r>
          </w:p>
        </w:tc>
        <w:tc>
          <w:tcPr>
            <w:tcW w:w="693" w:type="dxa"/>
            <w:shd w:val="clear" w:color="auto" w:fill="BFBFBF" w:themeFill="background1" w:themeFillShade="BF"/>
          </w:tcPr>
          <w:p w14:paraId="1B45ADBD"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5B26EA13"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6536F53E" w14:textId="77777777" w:rsidTr="00A66217">
        <w:tc>
          <w:tcPr>
            <w:tcW w:w="2628" w:type="dxa"/>
            <w:tcBorders>
              <w:left w:val="single" w:sz="4" w:space="0" w:color="auto"/>
            </w:tcBorders>
          </w:tcPr>
          <w:p w14:paraId="285BFA65" w14:textId="77777777" w:rsidR="00C3312E" w:rsidRPr="00C3312E" w:rsidRDefault="00C3312E" w:rsidP="00C3312E">
            <w:pPr>
              <w:spacing w:after="0" w:line="240" w:lineRule="auto"/>
              <w:rPr>
                <w:sz w:val="20"/>
                <w:szCs w:val="20"/>
              </w:rPr>
            </w:pPr>
            <w:r w:rsidRPr="00C3312E">
              <w:rPr>
                <w:sz w:val="20"/>
                <w:szCs w:val="20"/>
              </w:rPr>
              <w:t>Potter Road</w:t>
            </w:r>
          </w:p>
        </w:tc>
        <w:tc>
          <w:tcPr>
            <w:tcW w:w="693" w:type="dxa"/>
          </w:tcPr>
          <w:p w14:paraId="6BA1ACF6" w14:textId="77777777" w:rsidR="00C3312E" w:rsidRPr="00C3312E" w:rsidRDefault="00C3312E" w:rsidP="00C3312E">
            <w:pPr>
              <w:spacing w:after="0" w:line="240" w:lineRule="auto"/>
              <w:jc w:val="center"/>
              <w:rPr>
                <w:sz w:val="20"/>
                <w:szCs w:val="20"/>
              </w:rPr>
            </w:pPr>
            <w:r w:rsidRPr="00C3312E">
              <w:rPr>
                <w:sz w:val="20"/>
                <w:szCs w:val="20"/>
              </w:rPr>
              <w:t>47%</w:t>
            </w:r>
          </w:p>
        </w:tc>
        <w:tc>
          <w:tcPr>
            <w:tcW w:w="693" w:type="dxa"/>
          </w:tcPr>
          <w:p w14:paraId="34754304" w14:textId="77777777" w:rsidR="00C3312E" w:rsidRPr="00C3312E" w:rsidRDefault="00C3312E" w:rsidP="00C3312E">
            <w:pPr>
              <w:spacing w:after="0" w:line="240" w:lineRule="auto"/>
              <w:jc w:val="center"/>
              <w:rPr>
                <w:sz w:val="20"/>
                <w:szCs w:val="20"/>
              </w:rPr>
            </w:pPr>
            <w:r w:rsidRPr="00C3312E">
              <w:rPr>
                <w:sz w:val="20"/>
                <w:szCs w:val="20"/>
              </w:rPr>
              <w:t>29%</w:t>
            </w:r>
          </w:p>
        </w:tc>
        <w:tc>
          <w:tcPr>
            <w:tcW w:w="693" w:type="dxa"/>
          </w:tcPr>
          <w:p w14:paraId="1198CECA" w14:textId="77777777" w:rsidR="00C3312E" w:rsidRPr="00C3312E" w:rsidRDefault="00C3312E" w:rsidP="00C3312E">
            <w:pPr>
              <w:spacing w:after="0" w:line="240" w:lineRule="auto"/>
              <w:jc w:val="center"/>
              <w:rPr>
                <w:sz w:val="20"/>
                <w:szCs w:val="20"/>
              </w:rPr>
            </w:pPr>
            <w:r w:rsidRPr="00C3312E">
              <w:rPr>
                <w:sz w:val="20"/>
                <w:szCs w:val="20"/>
              </w:rPr>
              <w:t>27%</w:t>
            </w:r>
          </w:p>
        </w:tc>
        <w:tc>
          <w:tcPr>
            <w:tcW w:w="693" w:type="dxa"/>
          </w:tcPr>
          <w:p w14:paraId="2E41E929"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tcBorders>
              <w:right w:val="single" w:sz="4" w:space="0" w:color="auto"/>
            </w:tcBorders>
          </w:tcPr>
          <w:p w14:paraId="319A9234" w14:textId="77777777" w:rsidR="00C3312E" w:rsidRPr="00C3312E" w:rsidRDefault="00C3312E" w:rsidP="00C3312E">
            <w:pPr>
              <w:spacing w:after="0" w:line="240" w:lineRule="auto"/>
              <w:jc w:val="center"/>
              <w:rPr>
                <w:sz w:val="20"/>
                <w:szCs w:val="20"/>
              </w:rPr>
            </w:pPr>
            <w:r w:rsidRPr="00C3312E">
              <w:rPr>
                <w:sz w:val="20"/>
                <w:szCs w:val="20"/>
              </w:rPr>
              <w:t>28%</w:t>
            </w:r>
          </w:p>
        </w:tc>
        <w:tc>
          <w:tcPr>
            <w:tcW w:w="693" w:type="dxa"/>
            <w:tcBorders>
              <w:left w:val="single" w:sz="4" w:space="0" w:color="auto"/>
            </w:tcBorders>
          </w:tcPr>
          <w:p w14:paraId="11E7933C" w14:textId="77777777" w:rsidR="00C3312E" w:rsidRPr="00C3312E" w:rsidRDefault="00C3312E" w:rsidP="00C3312E">
            <w:pPr>
              <w:spacing w:after="0" w:line="240" w:lineRule="auto"/>
              <w:jc w:val="center"/>
              <w:rPr>
                <w:sz w:val="20"/>
                <w:szCs w:val="20"/>
              </w:rPr>
            </w:pPr>
            <w:r w:rsidRPr="00C3312E">
              <w:rPr>
                <w:sz w:val="20"/>
                <w:szCs w:val="20"/>
              </w:rPr>
              <w:t>14%</w:t>
            </w:r>
          </w:p>
        </w:tc>
        <w:tc>
          <w:tcPr>
            <w:tcW w:w="693" w:type="dxa"/>
          </w:tcPr>
          <w:p w14:paraId="7C081D11" w14:textId="77777777" w:rsidR="00C3312E" w:rsidRPr="00C3312E" w:rsidRDefault="00C3312E" w:rsidP="00C3312E">
            <w:pPr>
              <w:spacing w:after="0" w:line="240" w:lineRule="auto"/>
              <w:jc w:val="center"/>
              <w:rPr>
                <w:sz w:val="20"/>
                <w:szCs w:val="20"/>
              </w:rPr>
            </w:pPr>
            <w:r w:rsidRPr="00C3312E">
              <w:rPr>
                <w:sz w:val="20"/>
                <w:szCs w:val="20"/>
              </w:rPr>
              <w:t>75%</w:t>
            </w:r>
          </w:p>
        </w:tc>
        <w:tc>
          <w:tcPr>
            <w:tcW w:w="693" w:type="dxa"/>
          </w:tcPr>
          <w:p w14:paraId="5E4FFED3" w14:textId="77777777" w:rsidR="00C3312E" w:rsidRPr="00C3312E" w:rsidRDefault="00C3312E" w:rsidP="00C3312E">
            <w:pPr>
              <w:spacing w:after="0" w:line="240" w:lineRule="auto"/>
              <w:jc w:val="center"/>
              <w:rPr>
                <w:sz w:val="20"/>
                <w:szCs w:val="20"/>
              </w:rPr>
            </w:pPr>
            <w:r w:rsidRPr="00C3312E">
              <w:rPr>
                <w:sz w:val="20"/>
                <w:szCs w:val="20"/>
              </w:rPr>
              <w:t>35%</w:t>
            </w:r>
          </w:p>
        </w:tc>
        <w:tc>
          <w:tcPr>
            <w:tcW w:w="693" w:type="dxa"/>
          </w:tcPr>
          <w:p w14:paraId="3DEFC2FD" w14:textId="77777777" w:rsidR="00C3312E" w:rsidRPr="00C3312E" w:rsidRDefault="00C3312E" w:rsidP="00C3312E">
            <w:pPr>
              <w:spacing w:after="0" w:line="240" w:lineRule="auto"/>
              <w:jc w:val="center"/>
              <w:rPr>
                <w:sz w:val="20"/>
                <w:szCs w:val="20"/>
              </w:rPr>
            </w:pPr>
            <w:r w:rsidRPr="00C3312E">
              <w:rPr>
                <w:sz w:val="20"/>
                <w:szCs w:val="20"/>
              </w:rPr>
              <w:t>55%</w:t>
            </w:r>
          </w:p>
        </w:tc>
        <w:tc>
          <w:tcPr>
            <w:tcW w:w="693" w:type="dxa"/>
            <w:tcBorders>
              <w:right w:val="single" w:sz="4" w:space="0" w:color="auto"/>
            </w:tcBorders>
          </w:tcPr>
          <w:p w14:paraId="321831B0" w14:textId="77777777" w:rsidR="00C3312E" w:rsidRPr="00C3312E" w:rsidRDefault="00C3312E" w:rsidP="00C3312E">
            <w:pPr>
              <w:spacing w:after="0" w:line="240" w:lineRule="auto"/>
              <w:jc w:val="center"/>
              <w:rPr>
                <w:sz w:val="20"/>
                <w:szCs w:val="20"/>
              </w:rPr>
            </w:pPr>
            <w:r w:rsidRPr="00C3312E">
              <w:rPr>
                <w:sz w:val="20"/>
                <w:szCs w:val="20"/>
              </w:rPr>
              <w:t>48%</w:t>
            </w:r>
          </w:p>
        </w:tc>
      </w:tr>
      <w:tr w:rsidR="00C3312E" w:rsidRPr="00C3312E" w14:paraId="62F6E2B3" w14:textId="77777777" w:rsidTr="00A66217">
        <w:tc>
          <w:tcPr>
            <w:tcW w:w="2628" w:type="dxa"/>
            <w:tcBorders>
              <w:left w:val="single" w:sz="4" w:space="0" w:color="auto"/>
            </w:tcBorders>
            <w:shd w:val="clear" w:color="auto" w:fill="BFBFBF" w:themeFill="background1" w:themeFillShade="BF"/>
          </w:tcPr>
          <w:p w14:paraId="086B303B" w14:textId="77777777" w:rsidR="00C3312E" w:rsidRPr="00C3312E" w:rsidRDefault="00C3312E" w:rsidP="00C3312E">
            <w:pPr>
              <w:spacing w:after="0" w:line="240" w:lineRule="auto"/>
              <w:rPr>
                <w:sz w:val="20"/>
                <w:szCs w:val="20"/>
              </w:rPr>
            </w:pPr>
            <w:r w:rsidRPr="00C3312E">
              <w:rPr>
                <w:sz w:val="20"/>
                <w:szCs w:val="20"/>
              </w:rPr>
              <w:t>Stapleton</w:t>
            </w:r>
          </w:p>
        </w:tc>
        <w:tc>
          <w:tcPr>
            <w:tcW w:w="693" w:type="dxa"/>
            <w:shd w:val="clear" w:color="auto" w:fill="BFBFBF" w:themeFill="background1" w:themeFillShade="BF"/>
          </w:tcPr>
          <w:p w14:paraId="1325FFB5" w14:textId="77777777" w:rsidR="00C3312E" w:rsidRPr="00C3312E" w:rsidRDefault="00C3312E" w:rsidP="00C3312E">
            <w:pPr>
              <w:spacing w:after="0" w:line="240" w:lineRule="auto"/>
              <w:jc w:val="center"/>
              <w:rPr>
                <w:sz w:val="20"/>
                <w:szCs w:val="20"/>
              </w:rPr>
            </w:pPr>
            <w:r w:rsidRPr="00C3312E">
              <w:rPr>
                <w:sz w:val="20"/>
                <w:szCs w:val="20"/>
              </w:rPr>
              <w:t>35%</w:t>
            </w:r>
          </w:p>
        </w:tc>
        <w:tc>
          <w:tcPr>
            <w:tcW w:w="693" w:type="dxa"/>
            <w:shd w:val="clear" w:color="auto" w:fill="BFBFBF" w:themeFill="background1" w:themeFillShade="BF"/>
          </w:tcPr>
          <w:p w14:paraId="33CF860A" w14:textId="77777777" w:rsidR="00C3312E" w:rsidRPr="00C3312E" w:rsidRDefault="00C3312E" w:rsidP="00C3312E">
            <w:pPr>
              <w:spacing w:after="0" w:line="240" w:lineRule="auto"/>
              <w:jc w:val="center"/>
              <w:rPr>
                <w:sz w:val="20"/>
                <w:szCs w:val="20"/>
              </w:rPr>
            </w:pPr>
            <w:r w:rsidRPr="00C3312E">
              <w:rPr>
                <w:sz w:val="20"/>
                <w:szCs w:val="20"/>
              </w:rPr>
              <w:t>13%</w:t>
            </w:r>
          </w:p>
        </w:tc>
        <w:tc>
          <w:tcPr>
            <w:tcW w:w="693" w:type="dxa"/>
            <w:shd w:val="clear" w:color="auto" w:fill="BFBFBF" w:themeFill="background1" w:themeFillShade="BF"/>
          </w:tcPr>
          <w:p w14:paraId="3B560BD1" w14:textId="77777777" w:rsidR="00C3312E" w:rsidRPr="00C3312E" w:rsidRDefault="00C3312E" w:rsidP="00C3312E">
            <w:pPr>
              <w:spacing w:after="0" w:line="240" w:lineRule="auto"/>
              <w:jc w:val="center"/>
              <w:rPr>
                <w:sz w:val="20"/>
                <w:szCs w:val="20"/>
              </w:rPr>
            </w:pPr>
            <w:r w:rsidRPr="00C3312E">
              <w:rPr>
                <w:sz w:val="20"/>
                <w:szCs w:val="20"/>
              </w:rPr>
              <w:t>14%</w:t>
            </w:r>
          </w:p>
        </w:tc>
        <w:tc>
          <w:tcPr>
            <w:tcW w:w="693" w:type="dxa"/>
            <w:shd w:val="clear" w:color="auto" w:fill="BFBFBF" w:themeFill="background1" w:themeFillShade="BF"/>
          </w:tcPr>
          <w:p w14:paraId="6F103720" w14:textId="77777777" w:rsidR="00C3312E" w:rsidRPr="00C3312E" w:rsidRDefault="00C3312E" w:rsidP="00C3312E">
            <w:pPr>
              <w:spacing w:after="0" w:line="240" w:lineRule="auto"/>
              <w:jc w:val="center"/>
              <w:rPr>
                <w:sz w:val="20"/>
                <w:szCs w:val="20"/>
              </w:rPr>
            </w:pPr>
            <w:r w:rsidRPr="00C3312E">
              <w:rPr>
                <w:sz w:val="20"/>
                <w:szCs w:val="20"/>
              </w:rPr>
              <w:t>8%</w:t>
            </w:r>
          </w:p>
        </w:tc>
        <w:tc>
          <w:tcPr>
            <w:tcW w:w="693" w:type="dxa"/>
            <w:tcBorders>
              <w:right w:val="single" w:sz="4" w:space="0" w:color="auto"/>
            </w:tcBorders>
            <w:shd w:val="clear" w:color="auto" w:fill="BFBFBF" w:themeFill="background1" w:themeFillShade="BF"/>
          </w:tcPr>
          <w:p w14:paraId="5C1FBD89"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left w:val="single" w:sz="4" w:space="0" w:color="auto"/>
            </w:tcBorders>
            <w:shd w:val="clear" w:color="auto" w:fill="BFBFBF" w:themeFill="background1" w:themeFillShade="BF"/>
          </w:tcPr>
          <w:p w14:paraId="48B714CC" w14:textId="77777777" w:rsidR="00C3312E" w:rsidRPr="00C3312E" w:rsidRDefault="00C3312E" w:rsidP="00C3312E">
            <w:pPr>
              <w:spacing w:after="0" w:line="240" w:lineRule="auto"/>
              <w:jc w:val="center"/>
              <w:rPr>
                <w:sz w:val="20"/>
                <w:szCs w:val="20"/>
              </w:rPr>
            </w:pPr>
            <w:r w:rsidRPr="00C3312E">
              <w:rPr>
                <w:sz w:val="20"/>
                <w:szCs w:val="20"/>
              </w:rPr>
              <w:t>27%</w:t>
            </w:r>
          </w:p>
        </w:tc>
        <w:tc>
          <w:tcPr>
            <w:tcW w:w="693" w:type="dxa"/>
            <w:shd w:val="clear" w:color="auto" w:fill="BFBFBF" w:themeFill="background1" w:themeFillShade="BF"/>
          </w:tcPr>
          <w:p w14:paraId="32A5C2C2"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1C2D4E7E" w14:textId="77777777" w:rsidR="00C3312E" w:rsidRPr="00C3312E" w:rsidRDefault="00C3312E" w:rsidP="00C3312E">
            <w:pPr>
              <w:spacing w:after="0" w:line="240" w:lineRule="auto"/>
              <w:jc w:val="center"/>
              <w:rPr>
                <w:sz w:val="20"/>
                <w:szCs w:val="20"/>
              </w:rPr>
            </w:pPr>
            <w:r w:rsidRPr="00C3312E">
              <w:rPr>
                <w:sz w:val="20"/>
                <w:szCs w:val="20"/>
              </w:rPr>
              <w:t>11%</w:t>
            </w:r>
          </w:p>
        </w:tc>
        <w:tc>
          <w:tcPr>
            <w:tcW w:w="693" w:type="dxa"/>
            <w:shd w:val="clear" w:color="auto" w:fill="BFBFBF" w:themeFill="background1" w:themeFillShade="BF"/>
          </w:tcPr>
          <w:p w14:paraId="1128EC3A"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69FB263D" w14:textId="77777777" w:rsidR="00C3312E" w:rsidRPr="00C3312E" w:rsidRDefault="00C3312E" w:rsidP="00C3312E">
            <w:pPr>
              <w:spacing w:after="0" w:line="240" w:lineRule="auto"/>
              <w:jc w:val="center"/>
              <w:rPr>
                <w:sz w:val="20"/>
                <w:szCs w:val="20"/>
              </w:rPr>
            </w:pPr>
            <w:r w:rsidRPr="00C3312E">
              <w:rPr>
                <w:sz w:val="20"/>
                <w:szCs w:val="20"/>
              </w:rPr>
              <w:t>41%</w:t>
            </w:r>
          </w:p>
        </w:tc>
      </w:tr>
      <w:tr w:rsidR="00C3312E" w:rsidRPr="00C3312E" w14:paraId="287DED54" w14:textId="77777777" w:rsidTr="00A66217">
        <w:tc>
          <w:tcPr>
            <w:tcW w:w="2628" w:type="dxa"/>
            <w:tcBorders>
              <w:left w:val="single" w:sz="4" w:space="0" w:color="auto"/>
            </w:tcBorders>
          </w:tcPr>
          <w:p w14:paraId="3463E67D" w14:textId="77777777" w:rsidR="00C3312E" w:rsidRPr="00C3312E" w:rsidRDefault="00C3312E" w:rsidP="00C3312E">
            <w:pPr>
              <w:spacing w:after="0" w:line="240" w:lineRule="auto"/>
              <w:rPr>
                <w:sz w:val="20"/>
                <w:szCs w:val="20"/>
              </w:rPr>
            </w:pPr>
            <w:r w:rsidRPr="00C3312E">
              <w:rPr>
                <w:sz w:val="20"/>
                <w:szCs w:val="20"/>
              </w:rPr>
              <w:t>McCarthy</w:t>
            </w:r>
          </w:p>
        </w:tc>
        <w:tc>
          <w:tcPr>
            <w:tcW w:w="693" w:type="dxa"/>
          </w:tcPr>
          <w:p w14:paraId="778E0DBE" w14:textId="77777777" w:rsidR="00C3312E" w:rsidRPr="00C3312E" w:rsidRDefault="00C3312E" w:rsidP="00C3312E">
            <w:pPr>
              <w:spacing w:after="0" w:line="240" w:lineRule="auto"/>
              <w:jc w:val="center"/>
              <w:rPr>
                <w:sz w:val="20"/>
                <w:szCs w:val="20"/>
              </w:rPr>
            </w:pPr>
            <w:r w:rsidRPr="00C3312E">
              <w:rPr>
                <w:sz w:val="20"/>
                <w:szCs w:val="20"/>
              </w:rPr>
              <w:t>29%</w:t>
            </w:r>
          </w:p>
        </w:tc>
        <w:tc>
          <w:tcPr>
            <w:tcW w:w="693" w:type="dxa"/>
          </w:tcPr>
          <w:p w14:paraId="1FB2250A" w14:textId="77777777" w:rsidR="00C3312E" w:rsidRPr="00C3312E" w:rsidRDefault="00C3312E" w:rsidP="00C3312E">
            <w:pPr>
              <w:spacing w:after="0" w:line="240" w:lineRule="auto"/>
              <w:jc w:val="center"/>
              <w:rPr>
                <w:sz w:val="20"/>
                <w:szCs w:val="20"/>
              </w:rPr>
            </w:pPr>
            <w:r w:rsidRPr="00C3312E">
              <w:rPr>
                <w:sz w:val="20"/>
                <w:szCs w:val="20"/>
              </w:rPr>
              <w:t>16%</w:t>
            </w:r>
          </w:p>
        </w:tc>
        <w:tc>
          <w:tcPr>
            <w:tcW w:w="693" w:type="dxa"/>
          </w:tcPr>
          <w:p w14:paraId="1043C395"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tcPr>
          <w:p w14:paraId="12B2E188" w14:textId="77777777" w:rsidR="00C3312E" w:rsidRPr="00C3312E" w:rsidRDefault="00C3312E" w:rsidP="00C3312E">
            <w:pPr>
              <w:spacing w:after="0" w:line="240" w:lineRule="auto"/>
              <w:jc w:val="center"/>
              <w:rPr>
                <w:sz w:val="20"/>
                <w:szCs w:val="20"/>
              </w:rPr>
            </w:pPr>
            <w:r w:rsidRPr="00C3312E">
              <w:rPr>
                <w:sz w:val="20"/>
                <w:szCs w:val="20"/>
              </w:rPr>
              <w:t>5%</w:t>
            </w:r>
          </w:p>
        </w:tc>
        <w:tc>
          <w:tcPr>
            <w:tcW w:w="693" w:type="dxa"/>
            <w:tcBorders>
              <w:right w:val="single" w:sz="4" w:space="0" w:color="auto"/>
            </w:tcBorders>
          </w:tcPr>
          <w:p w14:paraId="7382CCEF"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tcBorders>
              <w:left w:val="single" w:sz="4" w:space="0" w:color="auto"/>
            </w:tcBorders>
          </w:tcPr>
          <w:p w14:paraId="7BFCE54E"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tcPr>
          <w:p w14:paraId="2FF5E489"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Pr>
          <w:p w14:paraId="074D37B6" w14:textId="77777777" w:rsidR="00C3312E" w:rsidRPr="00C3312E" w:rsidRDefault="00C3312E" w:rsidP="00C3312E">
            <w:pPr>
              <w:spacing w:after="0" w:line="240" w:lineRule="auto"/>
              <w:jc w:val="center"/>
              <w:rPr>
                <w:sz w:val="20"/>
                <w:szCs w:val="20"/>
              </w:rPr>
            </w:pPr>
            <w:r w:rsidRPr="00C3312E">
              <w:rPr>
                <w:sz w:val="20"/>
                <w:szCs w:val="20"/>
              </w:rPr>
              <w:t>13%</w:t>
            </w:r>
          </w:p>
        </w:tc>
        <w:tc>
          <w:tcPr>
            <w:tcW w:w="693" w:type="dxa"/>
          </w:tcPr>
          <w:p w14:paraId="385EEFB9" w14:textId="77777777" w:rsidR="00C3312E" w:rsidRPr="00C3312E" w:rsidRDefault="00C3312E" w:rsidP="00C3312E">
            <w:pPr>
              <w:spacing w:after="0" w:line="240" w:lineRule="auto"/>
              <w:jc w:val="center"/>
              <w:rPr>
                <w:sz w:val="20"/>
                <w:szCs w:val="20"/>
              </w:rPr>
            </w:pPr>
            <w:r w:rsidRPr="00C3312E">
              <w:rPr>
                <w:sz w:val="20"/>
                <w:szCs w:val="20"/>
              </w:rPr>
              <w:t>12%</w:t>
            </w:r>
          </w:p>
        </w:tc>
        <w:tc>
          <w:tcPr>
            <w:tcW w:w="693" w:type="dxa"/>
            <w:tcBorders>
              <w:right w:val="single" w:sz="4" w:space="0" w:color="auto"/>
            </w:tcBorders>
          </w:tcPr>
          <w:p w14:paraId="2D1F654C" w14:textId="77777777" w:rsidR="00C3312E" w:rsidRPr="00C3312E" w:rsidRDefault="00C3312E" w:rsidP="00C3312E">
            <w:pPr>
              <w:spacing w:after="0" w:line="240" w:lineRule="auto"/>
              <w:jc w:val="center"/>
              <w:rPr>
                <w:sz w:val="20"/>
                <w:szCs w:val="20"/>
              </w:rPr>
            </w:pPr>
            <w:r w:rsidRPr="00C3312E">
              <w:rPr>
                <w:sz w:val="20"/>
                <w:szCs w:val="20"/>
              </w:rPr>
              <w:t>44%</w:t>
            </w:r>
          </w:p>
        </w:tc>
      </w:tr>
      <w:tr w:rsidR="00C3312E" w:rsidRPr="00C3312E" w14:paraId="15D2ADEF" w14:textId="77777777" w:rsidTr="00A66217">
        <w:tc>
          <w:tcPr>
            <w:tcW w:w="2628" w:type="dxa"/>
            <w:tcBorders>
              <w:left w:val="single" w:sz="4" w:space="0" w:color="auto"/>
            </w:tcBorders>
            <w:shd w:val="clear" w:color="auto" w:fill="BFBFBF" w:themeFill="background1" w:themeFillShade="BF"/>
          </w:tcPr>
          <w:p w14:paraId="02066565" w14:textId="77777777" w:rsidR="00C3312E" w:rsidRPr="00C3312E" w:rsidRDefault="00C3312E" w:rsidP="00C3312E">
            <w:pPr>
              <w:spacing w:after="0" w:line="240" w:lineRule="auto"/>
              <w:rPr>
                <w:sz w:val="20"/>
                <w:szCs w:val="20"/>
              </w:rPr>
            </w:pPr>
            <w:r w:rsidRPr="00C3312E">
              <w:rPr>
                <w:sz w:val="20"/>
                <w:szCs w:val="20"/>
              </w:rPr>
              <w:t>Wilson</w:t>
            </w:r>
          </w:p>
        </w:tc>
        <w:tc>
          <w:tcPr>
            <w:tcW w:w="693" w:type="dxa"/>
            <w:shd w:val="clear" w:color="auto" w:fill="BFBFBF" w:themeFill="background1" w:themeFillShade="BF"/>
          </w:tcPr>
          <w:p w14:paraId="4A6C77CE"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shd w:val="clear" w:color="auto" w:fill="BFBFBF" w:themeFill="background1" w:themeFillShade="BF"/>
          </w:tcPr>
          <w:p w14:paraId="3E3D08CF"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shd w:val="clear" w:color="auto" w:fill="BFBFBF" w:themeFill="background1" w:themeFillShade="BF"/>
          </w:tcPr>
          <w:p w14:paraId="4687B80D" w14:textId="77777777" w:rsidR="00C3312E" w:rsidRPr="00C3312E" w:rsidRDefault="00C3312E" w:rsidP="00C3312E">
            <w:pPr>
              <w:spacing w:after="0" w:line="240" w:lineRule="auto"/>
              <w:jc w:val="center"/>
              <w:rPr>
                <w:sz w:val="20"/>
                <w:szCs w:val="20"/>
              </w:rPr>
            </w:pPr>
            <w:r w:rsidRPr="00C3312E">
              <w:rPr>
                <w:sz w:val="20"/>
                <w:szCs w:val="20"/>
              </w:rPr>
              <w:t>15%</w:t>
            </w:r>
          </w:p>
        </w:tc>
        <w:tc>
          <w:tcPr>
            <w:tcW w:w="693" w:type="dxa"/>
            <w:shd w:val="clear" w:color="auto" w:fill="BFBFBF" w:themeFill="background1" w:themeFillShade="BF"/>
          </w:tcPr>
          <w:p w14:paraId="5FACB62B" w14:textId="77777777" w:rsidR="00C3312E" w:rsidRPr="00C3312E" w:rsidRDefault="00C3312E" w:rsidP="00C3312E">
            <w:pPr>
              <w:spacing w:after="0" w:line="240" w:lineRule="auto"/>
              <w:jc w:val="center"/>
              <w:rPr>
                <w:sz w:val="20"/>
                <w:szCs w:val="20"/>
              </w:rPr>
            </w:pPr>
            <w:r w:rsidRPr="00C3312E">
              <w:rPr>
                <w:sz w:val="20"/>
                <w:szCs w:val="20"/>
              </w:rPr>
              <w:t>4%</w:t>
            </w:r>
          </w:p>
        </w:tc>
        <w:tc>
          <w:tcPr>
            <w:tcW w:w="693" w:type="dxa"/>
            <w:tcBorders>
              <w:right w:val="single" w:sz="4" w:space="0" w:color="auto"/>
            </w:tcBorders>
            <w:shd w:val="clear" w:color="auto" w:fill="BFBFBF" w:themeFill="background1" w:themeFillShade="BF"/>
          </w:tcPr>
          <w:p w14:paraId="7FD57B97"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tcBorders>
              <w:left w:val="single" w:sz="4" w:space="0" w:color="auto"/>
            </w:tcBorders>
            <w:shd w:val="clear" w:color="auto" w:fill="BFBFBF" w:themeFill="background1" w:themeFillShade="BF"/>
          </w:tcPr>
          <w:p w14:paraId="3BF3463E" w14:textId="77777777" w:rsidR="00C3312E" w:rsidRPr="00C3312E" w:rsidRDefault="00C3312E" w:rsidP="00C3312E">
            <w:pPr>
              <w:spacing w:after="0" w:line="240" w:lineRule="auto"/>
              <w:jc w:val="center"/>
              <w:rPr>
                <w:sz w:val="20"/>
                <w:szCs w:val="20"/>
              </w:rPr>
            </w:pPr>
            <w:r w:rsidRPr="00C3312E">
              <w:rPr>
                <w:sz w:val="20"/>
                <w:szCs w:val="20"/>
              </w:rPr>
              <w:t>28%</w:t>
            </w:r>
          </w:p>
        </w:tc>
        <w:tc>
          <w:tcPr>
            <w:tcW w:w="693" w:type="dxa"/>
            <w:shd w:val="clear" w:color="auto" w:fill="BFBFBF" w:themeFill="background1" w:themeFillShade="BF"/>
          </w:tcPr>
          <w:p w14:paraId="7EDA920F"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shd w:val="clear" w:color="auto" w:fill="BFBFBF" w:themeFill="background1" w:themeFillShade="BF"/>
          </w:tcPr>
          <w:p w14:paraId="22224BFA"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shd w:val="clear" w:color="auto" w:fill="BFBFBF" w:themeFill="background1" w:themeFillShade="BF"/>
          </w:tcPr>
          <w:p w14:paraId="18C9797C" w14:textId="77777777" w:rsidR="00C3312E" w:rsidRPr="00C3312E" w:rsidRDefault="00C3312E" w:rsidP="00C3312E">
            <w:pPr>
              <w:spacing w:after="0" w:line="240" w:lineRule="auto"/>
              <w:jc w:val="center"/>
              <w:rPr>
                <w:sz w:val="20"/>
                <w:szCs w:val="20"/>
              </w:rPr>
            </w:pPr>
            <w:r w:rsidRPr="00C3312E">
              <w:rPr>
                <w:sz w:val="20"/>
                <w:szCs w:val="20"/>
              </w:rPr>
              <w:t>--</w:t>
            </w:r>
          </w:p>
        </w:tc>
        <w:tc>
          <w:tcPr>
            <w:tcW w:w="693" w:type="dxa"/>
            <w:tcBorders>
              <w:right w:val="single" w:sz="4" w:space="0" w:color="auto"/>
            </w:tcBorders>
            <w:shd w:val="clear" w:color="auto" w:fill="BFBFBF" w:themeFill="background1" w:themeFillShade="BF"/>
          </w:tcPr>
          <w:p w14:paraId="04463E5A" w14:textId="77777777" w:rsidR="00C3312E" w:rsidRPr="00C3312E" w:rsidRDefault="00C3312E" w:rsidP="00C3312E">
            <w:pPr>
              <w:spacing w:after="0" w:line="240" w:lineRule="auto"/>
              <w:jc w:val="center"/>
              <w:rPr>
                <w:sz w:val="20"/>
                <w:szCs w:val="20"/>
              </w:rPr>
            </w:pPr>
            <w:r w:rsidRPr="00C3312E">
              <w:rPr>
                <w:sz w:val="20"/>
                <w:szCs w:val="20"/>
              </w:rPr>
              <w:t>21%</w:t>
            </w:r>
          </w:p>
        </w:tc>
      </w:tr>
      <w:tr w:rsidR="00C3312E" w:rsidRPr="00C3312E" w14:paraId="5F17CFAA" w14:textId="77777777" w:rsidTr="00A66217">
        <w:tc>
          <w:tcPr>
            <w:tcW w:w="2628" w:type="dxa"/>
            <w:tcBorders>
              <w:left w:val="single" w:sz="4" w:space="0" w:color="auto"/>
            </w:tcBorders>
          </w:tcPr>
          <w:p w14:paraId="4E6755E2" w14:textId="77777777" w:rsidR="00C3312E" w:rsidRPr="00C3312E" w:rsidRDefault="00C3312E" w:rsidP="00C3312E">
            <w:pPr>
              <w:spacing w:after="0" w:line="240" w:lineRule="auto"/>
              <w:rPr>
                <w:sz w:val="20"/>
                <w:szCs w:val="20"/>
              </w:rPr>
            </w:pPr>
            <w:r w:rsidRPr="00C3312E">
              <w:rPr>
                <w:sz w:val="20"/>
                <w:szCs w:val="20"/>
              </w:rPr>
              <w:t>Cameron Middle</w:t>
            </w:r>
          </w:p>
        </w:tc>
        <w:tc>
          <w:tcPr>
            <w:tcW w:w="693" w:type="dxa"/>
          </w:tcPr>
          <w:p w14:paraId="6D569172" w14:textId="77777777" w:rsidR="00C3312E" w:rsidRPr="00C3312E" w:rsidRDefault="00C3312E" w:rsidP="00C3312E">
            <w:pPr>
              <w:spacing w:after="0" w:line="240" w:lineRule="auto"/>
              <w:jc w:val="center"/>
              <w:rPr>
                <w:sz w:val="20"/>
                <w:szCs w:val="20"/>
              </w:rPr>
            </w:pPr>
            <w:r w:rsidRPr="00C3312E">
              <w:rPr>
                <w:sz w:val="20"/>
                <w:szCs w:val="20"/>
              </w:rPr>
              <w:t>42%</w:t>
            </w:r>
          </w:p>
        </w:tc>
        <w:tc>
          <w:tcPr>
            <w:tcW w:w="693" w:type="dxa"/>
          </w:tcPr>
          <w:p w14:paraId="2D16B428" w14:textId="77777777" w:rsidR="00C3312E" w:rsidRPr="00C3312E" w:rsidRDefault="00C3312E" w:rsidP="00C3312E">
            <w:pPr>
              <w:spacing w:after="0" w:line="240" w:lineRule="auto"/>
              <w:jc w:val="center"/>
              <w:rPr>
                <w:sz w:val="20"/>
                <w:szCs w:val="20"/>
              </w:rPr>
            </w:pPr>
            <w:r w:rsidRPr="00C3312E">
              <w:rPr>
                <w:sz w:val="20"/>
                <w:szCs w:val="20"/>
              </w:rPr>
              <w:t>29%</w:t>
            </w:r>
          </w:p>
        </w:tc>
        <w:tc>
          <w:tcPr>
            <w:tcW w:w="693" w:type="dxa"/>
          </w:tcPr>
          <w:p w14:paraId="5B0A322E" w14:textId="77777777" w:rsidR="00C3312E" w:rsidRPr="00C3312E" w:rsidRDefault="00C3312E" w:rsidP="00C3312E">
            <w:pPr>
              <w:spacing w:after="0" w:line="240" w:lineRule="auto"/>
              <w:jc w:val="center"/>
              <w:rPr>
                <w:sz w:val="20"/>
                <w:szCs w:val="20"/>
              </w:rPr>
            </w:pPr>
            <w:r w:rsidRPr="00C3312E">
              <w:rPr>
                <w:sz w:val="20"/>
                <w:szCs w:val="20"/>
              </w:rPr>
              <w:t>28%</w:t>
            </w:r>
          </w:p>
        </w:tc>
        <w:tc>
          <w:tcPr>
            <w:tcW w:w="693" w:type="dxa"/>
          </w:tcPr>
          <w:p w14:paraId="3133EBC6" w14:textId="77777777" w:rsidR="00C3312E" w:rsidRPr="00C3312E" w:rsidRDefault="00C3312E" w:rsidP="00C3312E">
            <w:pPr>
              <w:spacing w:after="0" w:line="240" w:lineRule="auto"/>
              <w:jc w:val="center"/>
              <w:rPr>
                <w:sz w:val="20"/>
                <w:szCs w:val="20"/>
              </w:rPr>
            </w:pPr>
            <w:r w:rsidRPr="00C3312E">
              <w:rPr>
                <w:sz w:val="20"/>
                <w:szCs w:val="20"/>
              </w:rPr>
              <w:t>13%</w:t>
            </w:r>
          </w:p>
        </w:tc>
        <w:tc>
          <w:tcPr>
            <w:tcW w:w="693" w:type="dxa"/>
            <w:tcBorders>
              <w:right w:val="single" w:sz="4" w:space="0" w:color="auto"/>
            </w:tcBorders>
          </w:tcPr>
          <w:p w14:paraId="2FE8D556"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Borders>
              <w:left w:val="single" w:sz="4" w:space="0" w:color="auto"/>
            </w:tcBorders>
          </w:tcPr>
          <w:p w14:paraId="124D05E2"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tcPr>
          <w:p w14:paraId="2FE76713" w14:textId="77777777" w:rsidR="00C3312E" w:rsidRPr="00C3312E" w:rsidRDefault="00C3312E" w:rsidP="00C3312E">
            <w:pPr>
              <w:spacing w:after="0" w:line="240" w:lineRule="auto"/>
              <w:jc w:val="center"/>
              <w:rPr>
                <w:sz w:val="20"/>
                <w:szCs w:val="20"/>
              </w:rPr>
            </w:pPr>
            <w:r w:rsidRPr="00C3312E">
              <w:rPr>
                <w:sz w:val="20"/>
                <w:szCs w:val="20"/>
              </w:rPr>
              <w:t>80%</w:t>
            </w:r>
          </w:p>
        </w:tc>
        <w:tc>
          <w:tcPr>
            <w:tcW w:w="693" w:type="dxa"/>
          </w:tcPr>
          <w:p w14:paraId="5B6A11AD"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tcPr>
          <w:p w14:paraId="0F350885" w14:textId="77777777" w:rsidR="00C3312E" w:rsidRPr="00C3312E" w:rsidRDefault="00C3312E" w:rsidP="00C3312E">
            <w:pPr>
              <w:spacing w:after="0" w:line="240" w:lineRule="auto"/>
              <w:jc w:val="center"/>
              <w:rPr>
                <w:sz w:val="20"/>
                <w:szCs w:val="20"/>
              </w:rPr>
            </w:pPr>
            <w:r w:rsidRPr="00C3312E">
              <w:rPr>
                <w:sz w:val="20"/>
                <w:szCs w:val="20"/>
              </w:rPr>
              <w:t>45%</w:t>
            </w:r>
          </w:p>
        </w:tc>
        <w:tc>
          <w:tcPr>
            <w:tcW w:w="693" w:type="dxa"/>
            <w:tcBorders>
              <w:right w:val="single" w:sz="4" w:space="0" w:color="auto"/>
            </w:tcBorders>
          </w:tcPr>
          <w:p w14:paraId="009494A9" w14:textId="77777777" w:rsidR="00C3312E" w:rsidRPr="00C3312E" w:rsidRDefault="00C3312E" w:rsidP="00C3312E">
            <w:pPr>
              <w:spacing w:after="0" w:line="240" w:lineRule="auto"/>
              <w:jc w:val="center"/>
              <w:rPr>
                <w:sz w:val="20"/>
                <w:szCs w:val="20"/>
              </w:rPr>
            </w:pPr>
            <w:r w:rsidRPr="00C3312E">
              <w:rPr>
                <w:sz w:val="20"/>
                <w:szCs w:val="20"/>
              </w:rPr>
              <w:t>48%</w:t>
            </w:r>
          </w:p>
        </w:tc>
      </w:tr>
      <w:tr w:rsidR="00C3312E" w:rsidRPr="00C3312E" w14:paraId="7546D9EB" w14:textId="77777777" w:rsidTr="00A66217">
        <w:tc>
          <w:tcPr>
            <w:tcW w:w="2628" w:type="dxa"/>
            <w:tcBorders>
              <w:left w:val="single" w:sz="4" w:space="0" w:color="auto"/>
            </w:tcBorders>
            <w:shd w:val="clear" w:color="auto" w:fill="BFBFBF" w:themeFill="background1" w:themeFillShade="BF"/>
          </w:tcPr>
          <w:p w14:paraId="2F869669" w14:textId="2825E517" w:rsidR="00C3312E" w:rsidRPr="00C3312E" w:rsidRDefault="00C3312E" w:rsidP="00C3312E">
            <w:pPr>
              <w:spacing w:after="0" w:line="240" w:lineRule="auto"/>
              <w:rPr>
                <w:sz w:val="20"/>
                <w:szCs w:val="20"/>
              </w:rPr>
            </w:pPr>
            <w:r w:rsidRPr="00C3312E">
              <w:rPr>
                <w:sz w:val="20"/>
                <w:szCs w:val="20"/>
              </w:rPr>
              <w:t xml:space="preserve">Fuller </w:t>
            </w:r>
            <w:r w:rsidR="00697F37" w:rsidRPr="00C3312E">
              <w:rPr>
                <w:sz w:val="20"/>
                <w:szCs w:val="20"/>
              </w:rPr>
              <w:t>Middle</w:t>
            </w:r>
          </w:p>
        </w:tc>
        <w:tc>
          <w:tcPr>
            <w:tcW w:w="693" w:type="dxa"/>
            <w:shd w:val="clear" w:color="auto" w:fill="BFBFBF" w:themeFill="background1" w:themeFillShade="BF"/>
          </w:tcPr>
          <w:p w14:paraId="5944FD6E"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shd w:val="clear" w:color="auto" w:fill="BFBFBF" w:themeFill="background1" w:themeFillShade="BF"/>
          </w:tcPr>
          <w:p w14:paraId="46BB4325" w14:textId="77777777" w:rsidR="00C3312E" w:rsidRPr="00C3312E" w:rsidRDefault="00C3312E" w:rsidP="00C3312E">
            <w:pPr>
              <w:spacing w:after="0" w:line="240" w:lineRule="auto"/>
              <w:jc w:val="center"/>
              <w:rPr>
                <w:sz w:val="20"/>
                <w:szCs w:val="20"/>
              </w:rPr>
            </w:pPr>
            <w:r w:rsidRPr="00C3312E">
              <w:rPr>
                <w:sz w:val="20"/>
                <w:szCs w:val="20"/>
              </w:rPr>
              <w:t>8%</w:t>
            </w:r>
          </w:p>
        </w:tc>
        <w:tc>
          <w:tcPr>
            <w:tcW w:w="693" w:type="dxa"/>
            <w:shd w:val="clear" w:color="auto" w:fill="BFBFBF" w:themeFill="background1" w:themeFillShade="BF"/>
          </w:tcPr>
          <w:p w14:paraId="190BC8A5" w14:textId="77777777" w:rsidR="00C3312E" w:rsidRPr="00C3312E" w:rsidRDefault="00C3312E" w:rsidP="00C3312E">
            <w:pPr>
              <w:spacing w:after="0" w:line="240" w:lineRule="auto"/>
              <w:jc w:val="center"/>
              <w:rPr>
                <w:sz w:val="20"/>
                <w:szCs w:val="20"/>
              </w:rPr>
            </w:pPr>
            <w:r w:rsidRPr="00C3312E">
              <w:rPr>
                <w:sz w:val="20"/>
                <w:szCs w:val="20"/>
              </w:rPr>
              <w:t>8%</w:t>
            </w:r>
          </w:p>
        </w:tc>
        <w:tc>
          <w:tcPr>
            <w:tcW w:w="693" w:type="dxa"/>
            <w:shd w:val="clear" w:color="auto" w:fill="BFBFBF" w:themeFill="background1" w:themeFillShade="BF"/>
          </w:tcPr>
          <w:p w14:paraId="741D327D"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tcBorders>
              <w:right w:val="single" w:sz="4" w:space="0" w:color="auto"/>
            </w:tcBorders>
            <w:shd w:val="clear" w:color="auto" w:fill="BFBFBF" w:themeFill="background1" w:themeFillShade="BF"/>
          </w:tcPr>
          <w:p w14:paraId="1F26C95E" w14:textId="77777777" w:rsidR="00C3312E" w:rsidRPr="00C3312E" w:rsidRDefault="00C3312E" w:rsidP="00C3312E">
            <w:pPr>
              <w:spacing w:after="0" w:line="240" w:lineRule="auto"/>
              <w:jc w:val="center"/>
              <w:rPr>
                <w:sz w:val="20"/>
                <w:szCs w:val="20"/>
              </w:rPr>
            </w:pPr>
            <w:r w:rsidRPr="00C3312E">
              <w:rPr>
                <w:sz w:val="20"/>
                <w:szCs w:val="20"/>
              </w:rPr>
              <w:t>7%</w:t>
            </w:r>
          </w:p>
        </w:tc>
        <w:tc>
          <w:tcPr>
            <w:tcW w:w="693" w:type="dxa"/>
            <w:tcBorders>
              <w:left w:val="single" w:sz="4" w:space="0" w:color="auto"/>
            </w:tcBorders>
            <w:shd w:val="clear" w:color="auto" w:fill="BFBFBF" w:themeFill="background1" w:themeFillShade="BF"/>
          </w:tcPr>
          <w:p w14:paraId="2E07DA9D" w14:textId="77777777" w:rsidR="00C3312E" w:rsidRPr="00C3312E" w:rsidRDefault="00C3312E" w:rsidP="00C3312E">
            <w:pPr>
              <w:spacing w:after="0" w:line="240" w:lineRule="auto"/>
              <w:jc w:val="center"/>
              <w:rPr>
                <w:sz w:val="20"/>
                <w:szCs w:val="20"/>
              </w:rPr>
            </w:pPr>
            <w:r w:rsidRPr="00C3312E">
              <w:rPr>
                <w:sz w:val="20"/>
                <w:szCs w:val="20"/>
              </w:rPr>
              <w:t>2%</w:t>
            </w:r>
          </w:p>
        </w:tc>
        <w:tc>
          <w:tcPr>
            <w:tcW w:w="693" w:type="dxa"/>
            <w:shd w:val="clear" w:color="auto" w:fill="BFBFBF" w:themeFill="background1" w:themeFillShade="BF"/>
          </w:tcPr>
          <w:p w14:paraId="7E5A8D1A" w14:textId="77777777" w:rsidR="00C3312E" w:rsidRPr="00C3312E" w:rsidRDefault="00C3312E" w:rsidP="00C3312E">
            <w:pPr>
              <w:spacing w:after="0" w:line="240" w:lineRule="auto"/>
              <w:jc w:val="center"/>
              <w:rPr>
                <w:sz w:val="20"/>
                <w:szCs w:val="20"/>
              </w:rPr>
            </w:pPr>
            <w:r w:rsidRPr="00C3312E">
              <w:rPr>
                <w:sz w:val="20"/>
                <w:szCs w:val="20"/>
              </w:rPr>
              <w:t>83%</w:t>
            </w:r>
          </w:p>
        </w:tc>
        <w:tc>
          <w:tcPr>
            <w:tcW w:w="693" w:type="dxa"/>
            <w:shd w:val="clear" w:color="auto" w:fill="BFBFBF" w:themeFill="background1" w:themeFillShade="BF"/>
          </w:tcPr>
          <w:p w14:paraId="72E41701" w14:textId="77777777" w:rsidR="00C3312E" w:rsidRPr="00C3312E" w:rsidRDefault="00C3312E" w:rsidP="00C3312E">
            <w:pPr>
              <w:spacing w:after="0" w:line="240" w:lineRule="auto"/>
              <w:jc w:val="center"/>
              <w:rPr>
                <w:sz w:val="20"/>
                <w:szCs w:val="20"/>
              </w:rPr>
            </w:pPr>
            <w:r w:rsidRPr="00C3312E">
              <w:rPr>
                <w:sz w:val="20"/>
                <w:szCs w:val="20"/>
              </w:rPr>
              <w:t>6%</w:t>
            </w:r>
          </w:p>
        </w:tc>
        <w:tc>
          <w:tcPr>
            <w:tcW w:w="693" w:type="dxa"/>
            <w:shd w:val="clear" w:color="auto" w:fill="BFBFBF" w:themeFill="background1" w:themeFillShade="BF"/>
          </w:tcPr>
          <w:p w14:paraId="3353653E" w14:textId="77777777" w:rsidR="00C3312E" w:rsidRPr="00C3312E" w:rsidRDefault="00C3312E" w:rsidP="00C3312E">
            <w:pPr>
              <w:spacing w:after="0" w:line="240" w:lineRule="auto"/>
              <w:jc w:val="center"/>
              <w:rPr>
                <w:sz w:val="20"/>
                <w:szCs w:val="20"/>
              </w:rPr>
            </w:pPr>
            <w:r w:rsidRPr="00C3312E">
              <w:rPr>
                <w:sz w:val="20"/>
                <w:szCs w:val="20"/>
              </w:rPr>
              <w:t>25%</w:t>
            </w:r>
          </w:p>
        </w:tc>
        <w:tc>
          <w:tcPr>
            <w:tcW w:w="693" w:type="dxa"/>
            <w:tcBorders>
              <w:right w:val="single" w:sz="4" w:space="0" w:color="auto"/>
            </w:tcBorders>
            <w:shd w:val="clear" w:color="auto" w:fill="BFBFBF" w:themeFill="background1" w:themeFillShade="BF"/>
          </w:tcPr>
          <w:p w14:paraId="215FDA4F" w14:textId="77777777" w:rsidR="00C3312E" w:rsidRPr="00C3312E" w:rsidRDefault="00C3312E" w:rsidP="00C3312E">
            <w:pPr>
              <w:spacing w:after="0" w:line="240" w:lineRule="auto"/>
              <w:jc w:val="center"/>
              <w:rPr>
                <w:sz w:val="20"/>
                <w:szCs w:val="20"/>
              </w:rPr>
            </w:pPr>
            <w:r w:rsidRPr="00C3312E">
              <w:rPr>
                <w:sz w:val="20"/>
                <w:szCs w:val="20"/>
              </w:rPr>
              <w:t>30%</w:t>
            </w:r>
          </w:p>
        </w:tc>
      </w:tr>
      <w:tr w:rsidR="00C3312E" w:rsidRPr="00C3312E" w14:paraId="69DA17F9" w14:textId="77777777" w:rsidTr="00A66217">
        <w:tc>
          <w:tcPr>
            <w:tcW w:w="2628" w:type="dxa"/>
            <w:tcBorders>
              <w:left w:val="single" w:sz="4" w:space="0" w:color="auto"/>
            </w:tcBorders>
          </w:tcPr>
          <w:p w14:paraId="3A2308AE" w14:textId="310F12E8" w:rsidR="00C3312E" w:rsidRPr="00C3312E" w:rsidRDefault="00C3312E" w:rsidP="00217E84">
            <w:pPr>
              <w:spacing w:after="0" w:line="240" w:lineRule="auto"/>
              <w:rPr>
                <w:sz w:val="20"/>
                <w:szCs w:val="20"/>
              </w:rPr>
            </w:pPr>
            <w:r w:rsidRPr="00C3312E">
              <w:rPr>
                <w:sz w:val="20"/>
                <w:szCs w:val="20"/>
              </w:rPr>
              <w:t xml:space="preserve">Walsh </w:t>
            </w:r>
            <w:r w:rsidR="00697F37" w:rsidRPr="00C3312E">
              <w:rPr>
                <w:sz w:val="20"/>
                <w:szCs w:val="20"/>
              </w:rPr>
              <w:t>Middle</w:t>
            </w:r>
          </w:p>
        </w:tc>
        <w:tc>
          <w:tcPr>
            <w:tcW w:w="693" w:type="dxa"/>
          </w:tcPr>
          <w:p w14:paraId="6D10BBDF" w14:textId="77777777" w:rsidR="00C3312E" w:rsidRPr="00C3312E" w:rsidRDefault="00C3312E" w:rsidP="00C3312E">
            <w:pPr>
              <w:spacing w:after="0" w:line="240" w:lineRule="auto"/>
              <w:jc w:val="center"/>
              <w:rPr>
                <w:sz w:val="20"/>
                <w:szCs w:val="20"/>
              </w:rPr>
            </w:pPr>
            <w:r w:rsidRPr="00C3312E">
              <w:rPr>
                <w:sz w:val="20"/>
                <w:szCs w:val="20"/>
              </w:rPr>
              <w:t>49%</w:t>
            </w:r>
          </w:p>
        </w:tc>
        <w:tc>
          <w:tcPr>
            <w:tcW w:w="693" w:type="dxa"/>
          </w:tcPr>
          <w:p w14:paraId="360450D9"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Pr>
          <w:p w14:paraId="5E9E71F7"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tcPr>
          <w:p w14:paraId="7F870876" w14:textId="77777777" w:rsidR="00C3312E" w:rsidRPr="00C3312E" w:rsidRDefault="00C3312E" w:rsidP="00C3312E">
            <w:pPr>
              <w:spacing w:after="0" w:line="240" w:lineRule="auto"/>
              <w:jc w:val="center"/>
              <w:rPr>
                <w:sz w:val="20"/>
                <w:szCs w:val="20"/>
              </w:rPr>
            </w:pPr>
            <w:r w:rsidRPr="00C3312E">
              <w:rPr>
                <w:sz w:val="20"/>
                <w:szCs w:val="20"/>
              </w:rPr>
              <w:t>10%</w:t>
            </w:r>
          </w:p>
        </w:tc>
        <w:tc>
          <w:tcPr>
            <w:tcW w:w="693" w:type="dxa"/>
            <w:tcBorders>
              <w:right w:val="single" w:sz="4" w:space="0" w:color="auto"/>
            </w:tcBorders>
          </w:tcPr>
          <w:p w14:paraId="7A5CA11B" w14:textId="77777777" w:rsidR="00C3312E" w:rsidRPr="00C3312E" w:rsidRDefault="00C3312E" w:rsidP="00C3312E">
            <w:pPr>
              <w:spacing w:after="0" w:line="240" w:lineRule="auto"/>
              <w:jc w:val="center"/>
              <w:rPr>
                <w:sz w:val="20"/>
                <w:szCs w:val="20"/>
              </w:rPr>
            </w:pPr>
            <w:r w:rsidRPr="00C3312E">
              <w:rPr>
                <w:sz w:val="20"/>
                <w:szCs w:val="20"/>
              </w:rPr>
              <w:t>23%</w:t>
            </w:r>
          </w:p>
        </w:tc>
        <w:tc>
          <w:tcPr>
            <w:tcW w:w="693" w:type="dxa"/>
            <w:tcBorders>
              <w:left w:val="single" w:sz="4" w:space="0" w:color="auto"/>
            </w:tcBorders>
          </w:tcPr>
          <w:p w14:paraId="4E9D8DF5" w14:textId="77777777" w:rsidR="00C3312E" w:rsidRPr="00C3312E" w:rsidRDefault="00C3312E" w:rsidP="00C3312E">
            <w:pPr>
              <w:spacing w:after="0" w:line="240" w:lineRule="auto"/>
              <w:jc w:val="center"/>
              <w:rPr>
                <w:sz w:val="20"/>
                <w:szCs w:val="20"/>
              </w:rPr>
            </w:pPr>
            <w:r w:rsidRPr="00C3312E">
              <w:rPr>
                <w:sz w:val="20"/>
                <w:szCs w:val="20"/>
              </w:rPr>
              <w:t>21%</w:t>
            </w:r>
          </w:p>
        </w:tc>
        <w:tc>
          <w:tcPr>
            <w:tcW w:w="693" w:type="dxa"/>
          </w:tcPr>
          <w:p w14:paraId="0D5BC14E" w14:textId="77777777" w:rsidR="00C3312E" w:rsidRPr="00C3312E" w:rsidRDefault="00C3312E" w:rsidP="00C3312E">
            <w:pPr>
              <w:spacing w:after="0" w:line="240" w:lineRule="auto"/>
              <w:jc w:val="center"/>
              <w:rPr>
                <w:sz w:val="20"/>
                <w:szCs w:val="20"/>
              </w:rPr>
            </w:pPr>
            <w:r w:rsidRPr="00C3312E">
              <w:rPr>
                <w:sz w:val="20"/>
                <w:szCs w:val="20"/>
              </w:rPr>
              <w:t>67%</w:t>
            </w:r>
          </w:p>
        </w:tc>
        <w:tc>
          <w:tcPr>
            <w:tcW w:w="693" w:type="dxa"/>
          </w:tcPr>
          <w:p w14:paraId="141383E3" w14:textId="77777777" w:rsidR="00C3312E" w:rsidRPr="00C3312E" w:rsidRDefault="00C3312E" w:rsidP="00C3312E">
            <w:pPr>
              <w:spacing w:after="0" w:line="240" w:lineRule="auto"/>
              <w:jc w:val="center"/>
              <w:rPr>
                <w:sz w:val="20"/>
                <w:szCs w:val="20"/>
              </w:rPr>
            </w:pPr>
            <w:r w:rsidRPr="00C3312E">
              <w:rPr>
                <w:sz w:val="20"/>
                <w:szCs w:val="20"/>
              </w:rPr>
              <w:t>28%</w:t>
            </w:r>
          </w:p>
        </w:tc>
        <w:tc>
          <w:tcPr>
            <w:tcW w:w="693" w:type="dxa"/>
          </w:tcPr>
          <w:p w14:paraId="4BB757EE" w14:textId="77777777" w:rsidR="00C3312E" w:rsidRPr="00C3312E" w:rsidRDefault="00C3312E" w:rsidP="00C3312E">
            <w:pPr>
              <w:spacing w:after="0" w:line="240" w:lineRule="auto"/>
              <w:jc w:val="center"/>
              <w:rPr>
                <w:sz w:val="20"/>
                <w:szCs w:val="20"/>
              </w:rPr>
            </w:pPr>
            <w:r w:rsidRPr="00C3312E">
              <w:rPr>
                <w:sz w:val="20"/>
                <w:szCs w:val="20"/>
              </w:rPr>
              <w:t>63%</w:t>
            </w:r>
          </w:p>
        </w:tc>
        <w:tc>
          <w:tcPr>
            <w:tcW w:w="693" w:type="dxa"/>
            <w:tcBorders>
              <w:right w:val="single" w:sz="4" w:space="0" w:color="auto"/>
            </w:tcBorders>
          </w:tcPr>
          <w:p w14:paraId="53B535B4" w14:textId="77777777" w:rsidR="00C3312E" w:rsidRPr="00C3312E" w:rsidRDefault="00C3312E" w:rsidP="00C3312E">
            <w:pPr>
              <w:spacing w:after="0" w:line="240" w:lineRule="auto"/>
              <w:jc w:val="center"/>
              <w:rPr>
                <w:sz w:val="20"/>
                <w:szCs w:val="20"/>
              </w:rPr>
            </w:pPr>
            <w:r w:rsidRPr="00C3312E">
              <w:rPr>
                <w:sz w:val="20"/>
                <w:szCs w:val="20"/>
              </w:rPr>
              <w:t>61%</w:t>
            </w:r>
          </w:p>
        </w:tc>
      </w:tr>
      <w:tr w:rsidR="00C3312E" w:rsidRPr="00C3312E" w14:paraId="0FE56213" w14:textId="77777777" w:rsidTr="00A66217">
        <w:tc>
          <w:tcPr>
            <w:tcW w:w="2628" w:type="dxa"/>
            <w:tcBorders>
              <w:left w:val="single" w:sz="4" w:space="0" w:color="auto"/>
            </w:tcBorders>
            <w:shd w:val="clear" w:color="auto" w:fill="BFBFBF" w:themeFill="background1" w:themeFillShade="BF"/>
          </w:tcPr>
          <w:p w14:paraId="6ED6A6A3" w14:textId="1B76128A" w:rsidR="00C3312E" w:rsidRPr="00C3312E" w:rsidRDefault="00C3312E" w:rsidP="00697F37">
            <w:pPr>
              <w:spacing w:after="0" w:line="240" w:lineRule="auto"/>
              <w:rPr>
                <w:sz w:val="20"/>
                <w:szCs w:val="20"/>
              </w:rPr>
            </w:pPr>
            <w:r w:rsidRPr="00C3312E">
              <w:rPr>
                <w:sz w:val="20"/>
                <w:szCs w:val="20"/>
              </w:rPr>
              <w:t>District</w:t>
            </w:r>
          </w:p>
        </w:tc>
        <w:tc>
          <w:tcPr>
            <w:tcW w:w="693" w:type="dxa"/>
            <w:shd w:val="clear" w:color="auto" w:fill="BFBFBF" w:themeFill="background1" w:themeFillShade="BF"/>
          </w:tcPr>
          <w:p w14:paraId="3BC3ACBB" w14:textId="77777777" w:rsidR="00C3312E" w:rsidRPr="00C3312E" w:rsidRDefault="00C3312E" w:rsidP="00C3312E">
            <w:pPr>
              <w:spacing w:after="0" w:line="240" w:lineRule="auto"/>
              <w:jc w:val="center"/>
              <w:rPr>
                <w:sz w:val="20"/>
                <w:szCs w:val="20"/>
              </w:rPr>
            </w:pPr>
            <w:r w:rsidRPr="00C3312E">
              <w:rPr>
                <w:sz w:val="20"/>
                <w:szCs w:val="20"/>
              </w:rPr>
              <w:t>37%</w:t>
            </w:r>
          </w:p>
        </w:tc>
        <w:tc>
          <w:tcPr>
            <w:tcW w:w="693" w:type="dxa"/>
            <w:shd w:val="clear" w:color="auto" w:fill="BFBFBF" w:themeFill="background1" w:themeFillShade="BF"/>
          </w:tcPr>
          <w:p w14:paraId="5CC662F7" w14:textId="77777777" w:rsidR="00C3312E" w:rsidRPr="00C3312E" w:rsidRDefault="00C3312E" w:rsidP="00C3312E">
            <w:pPr>
              <w:spacing w:after="0" w:line="240" w:lineRule="auto"/>
              <w:jc w:val="center"/>
              <w:rPr>
                <w:sz w:val="20"/>
                <w:szCs w:val="20"/>
              </w:rPr>
            </w:pPr>
            <w:r w:rsidRPr="00C3312E">
              <w:rPr>
                <w:sz w:val="20"/>
                <w:szCs w:val="20"/>
              </w:rPr>
              <w:t>20%</w:t>
            </w:r>
          </w:p>
        </w:tc>
        <w:tc>
          <w:tcPr>
            <w:tcW w:w="693" w:type="dxa"/>
            <w:shd w:val="clear" w:color="auto" w:fill="BFBFBF" w:themeFill="background1" w:themeFillShade="BF"/>
          </w:tcPr>
          <w:p w14:paraId="41CF8030" w14:textId="77777777" w:rsidR="00C3312E" w:rsidRPr="00C3312E" w:rsidRDefault="00C3312E" w:rsidP="00C3312E">
            <w:pPr>
              <w:spacing w:after="0" w:line="240" w:lineRule="auto"/>
              <w:jc w:val="center"/>
              <w:rPr>
                <w:sz w:val="20"/>
                <w:szCs w:val="20"/>
              </w:rPr>
            </w:pPr>
            <w:r w:rsidRPr="00C3312E">
              <w:rPr>
                <w:sz w:val="20"/>
                <w:szCs w:val="20"/>
              </w:rPr>
              <w:t>17%</w:t>
            </w:r>
          </w:p>
        </w:tc>
        <w:tc>
          <w:tcPr>
            <w:tcW w:w="693" w:type="dxa"/>
            <w:shd w:val="clear" w:color="auto" w:fill="BFBFBF" w:themeFill="background1" w:themeFillShade="BF"/>
          </w:tcPr>
          <w:p w14:paraId="50757ED6" w14:textId="77777777" w:rsidR="00C3312E" w:rsidRPr="00C3312E" w:rsidRDefault="00C3312E" w:rsidP="00C3312E">
            <w:pPr>
              <w:spacing w:after="0" w:line="240" w:lineRule="auto"/>
              <w:jc w:val="center"/>
              <w:rPr>
                <w:sz w:val="20"/>
                <w:szCs w:val="20"/>
              </w:rPr>
            </w:pPr>
            <w:r w:rsidRPr="00C3312E">
              <w:rPr>
                <w:sz w:val="20"/>
                <w:szCs w:val="20"/>
              </w:rPr>
              <w:t>9%</w:t>
            </w:r>
          </w:p>
        </w:tc>
        <w:tc>
          <w:tcPr>
            <w:tcW w:w="693" w:type="dxa"/>
            <w:tcBorders>
              <w:right w:val="single" w:sz="4" w:space="0" w:color="auto"/>
            </w:tcBorders>
            <w:shd w:val="clear" w:color="auto" w:fill="BFBFBF" w:themeFill="background1" w:themeFillShade="BF"/>
          </w:tcPr>
          <w:p w14:paraId="468FC9EF"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tcBorders>
              <w:left w:val="single" w:sz="4" w:space="0" w:color="auto"/>
            </w:tcBorders>
            <w:shd w:val="clear" w:color="auto" w:fill="BFBFBF" w:themeFill="background1" w:themeFillShade="BF"/>
          </w:tcPr>
          <w:p w14:paraId="1542A8C6" w14:textId="77777777" w:rsidR="00C3312E" w:rsidRPr="00C3312E" w:rsidRDefault="00C3312E" w:rsidP="00C3312E">
            <w:pPr>
              <w:spacing w:after="0" w:line="240" w:lineRule="auto"/>
              <w:jc w:val="center"/>
              <w:rPr>
                <w:sz w:val="20"/>
                <w:szCs w:val="20"/>
              </w:rPr>
            </w:pPr>
            <w:r w:rsidRPr="00C3312E">
              <w:rPr>
                <w:sz w:val="20"/>
                <w:szCs w:val="20"/>
              </w:rPr>
              <w:t>19%</w:t>
            </w:r>
          </w:p>
        </w:tc>
        <w:tc>
          <w:tcPr>
            <w:tcW w:w="693" w:type="dxa"/>
            <w:shd w:val="clear" w:color="auto" w:fill="BFBFBF" w:themeFill="background1" w:themeFillShade="BF"/>
          </w:tcPr>
          <w:p w14:paraId="39516A54" w14:textId="77777777" w:rsidR="00C3312E" w:rsidRPr="00C3312E" w:rsidRDefault="00C3312E" w:rsidP="00C3312E">
            <w:pPr>
              <w:spacing w:after="0" w:line="240" w:lineRule="auto"/>
              <w:jc w:val="center"/>
              <w:rPr>
                <w:sz w:val="20"/>
                <w:szCs w:val="20"/>
              </w:rPr>
            </w:pPr>
            <w:r w:rsidRPr="00C3312E">
              <w:rPr>
                <w:sz w:val="20"/>
                <w:szCs w:val="20"/>
              </w:rPr>
              <w:t>63%</w:t>
            </w:r>
          </w:p>
        </w:tc>
        <w:tc>
          <w:tcPr>
            <w:tcW w:w="693" w:type="dxa"/>
            <w:shd w:val="clear" w:color="auto" w:fill="BFBFBF" w:themeFill="background1" w:themeFillShade="BF"/>
          </w:tcPr>
          <w:p w14:paraId="0368ED6A" w14:textId="77777777" w:rsidR="00C3312E" w:rsidRPr="00C3312E" w:rsidRDefault="00C3312E" w:rsidP="00C3312E">
            <w:pPr>
              <w:spacing w:after="0" w:line="240" w:lineRule="auto"/>
              <w:jc w:val="center"/>
              <w:rPr>
                <w:sz w:val="20"/>
                <w:szCs w:val="20"/>
              </w:rPr>
            </w:pPr>
            <w:r w:rsidRPr="00C3312E">
              <w:rPr>
                <w:sz w:val="20"/>
                <w:szCs w:val="20"/>
              </w:rPr>
              <w:t>18%</w:t>
            </w:r>
          </w:p>
        </w:tc>
        <w:tc>
          <w:tcPr>
            <w:tcW w:w="693" w:type="dxa"/>
            <w:shd w:val="clear" w:color="auto" w:fill="BFBFBF" w:themeFill="background1" w:themeFillShade="BF"/>
          </w:tcPr>
          <w:p w14:paraId="6B68A743" w14:textId="77777777" w:rsidR="00C3312E" w:rsidRPr="00C3312E" w:rsidRDefault="00C3312E" w:rsidP="00C3312E">
            <w:pPr>
              <w:spacing w:after="0" w:line="240" w:lineRule="auto"/>
              <w:jc w:val="center"/>
              <w:rPr>
                <w:sz w:val="20"/>
                <w:szCs w:val="20"/>
              </w:rPr>
            </w:pPr>
            <w:r w:rsidRPr="00C3312E">
              <w:rPr>
                <w:sz w:val="20"/>
                <w:szCs w:val="20"/>
              </w:rPr>
              <w:t>42%</w:t>
            </w:r>
          </w:p>
        </w:tc>
        <w:tc>
          <w:tcPr>
            <w:tcW w:w="693" w:type="dxa"/>
            <w:tcBorders>
              <w:right w:val="single" w:sz="4" w:space="0" w:color="auto"/>
            </w:tcBorders>
            <w:shd w:val="clear" w:color="auto" w:fill="BFBFBF" w:themeFill="background1" w:themeFillShade="BF"/>
          </w:tcPr>
          <w:p w14:paraId="28E5B88B"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13C42961" w14:textId="77777777" w:rsidTr="00A66217">
        <w:tc>
          <w:tcPr>
            <w:tcW w:w="2628" w:type="dxa"/>
            <w:tcBorders>
              <w:left w:val="single" w:sz="4" w:space="0" w:color="auto"/>
            </w:tcBorders>
            <w:shd w:val="clear" w:color="auto" w:fill="auto"/>
          </w:tcPr>
          <w:p w14:paraId="6DF02181" w14:textId="77777777" w:rsidR="00C3312E" w:rsidRPr="00C3312E" w:rsidRDefault="00C3312E" w:rsidP="00C3312E">
            <w:pPr>
              <w:spacing w:after="0" w:line="240" w:lineRule="auto"/>
              <w:rPr>
                <w:sz w:val="20"/>
                <w:szCs w:val="20"/>
              </w:rPr>
            </w:pPr>
            <w:r w:rsidRPr="00C3312E">
              <w:rPr>
                <w:sz w:val="20"/>
                <w:szCs w:val="20"/>
              </w:rPr>
              <w:t>State</w:t>
            </w:r>
          </w:p>
        </w:tc>
        <w:tc>
          <w:tcPr>
            <w:tcW w:w="693" w:type="dxa"/>
            <w:shd w:val="clear" w:color="auto" w:fill="auto"/>
          </w:tcPr>
          <w:p w14:paraId="3042515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693" w:type="dxa"/>
            <w:shd w:val="clear" w:color="auto" w:fill="auto"/>
          </w:tcPr>
          <w:p w14:paraId="7B36693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28%</w:t>
            </w:r>
          </w:p>
        </w:tc>
        <w:tc>
          <w:tcPr>
            <w:tcW w:w="693" w:type="dxa"/>
            <w:shd w:val="clear" w:color="auto" w:fill="auto"/>
          </w:tcPr>
          <w:p w14:paraId="716F462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27%</w:t>
            </w:r>
          </w:p>
        </w:tc>
        <w:tc>
          <w:tcPr>
            <w:tcW w:w="693" w:type="dxa"/>
            <w:shd w:val="clear" w:color="auto" w:fill="auto"/>
          </w:tcPr>
          <w:p w14:paraId="54E465C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c>
          <w:tcPr>
            <w:tcW w:w="693" w:type="dxa"/>
            <w:tcBorders>
              <w:right w:val="single" w:sz="4" w:space="0" w:color="auto"/>
            </w:tcBorders>
            <w:shd w:val="clear" w:color="auto" w:fill="auto"/>
          </w:tcPr>
          <w:p w14:paraId="59220C2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30%</w:t>
            </w:r>
          </w:p>
        </w:tc>
        <w:tc>
          <w:tcPr>
            <w:tcW w:w="693" w:type="dxa"/>
            <w:tcBorders>
              <w:left w:val="single" w:sz="4" w:space="0" w:color="auto"/>
            </w:tcBorders>
            <w:shd w:val="clear" w:color="auto" w:fill="auto"/>
          </w:tcPr>
          <w:p w14:paraId="0A3984E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c>
          <w:tcPr>
            <w:tcW w:w="693" w:type="dxa"/>
            <w:shd w:val="clear" w:color="auto" w:fill="auto"/>
          </w:tcPr>
          <w:p w14:paraId="5BAD072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74%</w:t>
            </w:r>
          </w:p>
        </w:tc>
        <w:tc>
          <w:tcPr>
            <w:tcW w:w="693" w:type="dxa"/>
            <w:shd w:val="clear" w:color="auto" w:fill="auto"/>
          </w:tcPr>
          <w:p w14:paraId="17F876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27%</w:t>
            </w:r>
          </w:p>
        </w:tc>
        <w:tc>
          <w:tcPr>
            <w:tcW w:w="693" w:type="dxa"/>
            <w:shd w:val="clear" w:color="auto" w:fill="auto"/>
          </w:tcPr>
          <w:p w14:paraId="31F7436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49%</w:t>
            </w:r>
          </w:p>
        </w:tc>
        <w:tc>
          <w:tcPr>
            <w:tcW w:w="693" w:type="dxa"/>
            <w:tcBorders>
              <w:right w:val="single" w:sz="4" w:space="0" w:color="auto"/>
            </w:tcBorders>
            <w:shd w:val="clear" w:color="auto" w:fill="auto"/>
          </w:tcPr>
          <w:p w14:paraId="75E2AAE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55%</w:t>
            </w:r>
          </w:p>
        </w:tc>
      </w:tr>
    </w:tbl>
    <w:p w14:paraId="67743BA3" w14:textId="00A87464" w:rsidR="00C3312E" w:rsidRDefault="00C3312E" w:rsidP="00C3312E">
      <w:pPr>
        <w:spacing w:after="0" w:line="240" w:lineRule="auto"/>
      </w:pPr>
    </w:p>
    <w:p w14:paraId="5985E08A" w14:textId="00040187" w:rsidR="0089512A" w:rsidRDefault="0089512A" w:rsidP="00C3312E">
      <w:pPr>
        <w:spacing w:after="0" w:line="240" w:lineRule="auto"/>
      </w:pPr>
    </w:p>
    <w:p w14:paraId="34BB4C7E" w14:textId="77777777" w:rsidR="0089512A" w:rsidRPr="00C3312E" w:rsidRDefault="0089512A" w:rsidP="00C3312E">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Framingham Public Schools"/>
        <w:tblDescription w:val="MCAS ELA and Math Percent Scoring Proficient or Advanced in Grade 10, 2015–2018&#10;"/>
      </w:tblPr>
      <w:tblGrid>
        <w:gridCol w:w="2322"/>
        <w:gridCol w:w="661"/>
        <w:gridCol w:w="662"/>
        <w:gridCol w:w="661"/>
        <w:gridCol w:w="662"/>
        <w:gridCol w:w="900"/>
        <w:gridCol w:w="697"/>
        <w:gridCol w:w="698"/>
        <w:gridCol w:w="697"/>
        <w:gridCol w:w="698"/>
        <w:gridCol w:w="900"/>
      </w:tblGrid>
      <w:tr w:rsidR="00C3312E" w:rsidRPr="00C3312E" w14:paraId="68C24268" w14:textId="77777777" w:rsidTr="00A66217">
        <w:tc>
          <w:tcPr>
            <w:tcW w:w="9558" w:type="dxa"/>
            <w:gridSpan w:val="11"/>
            <w:shd w:val="clear" w:color="auto" w:fill="auto"/>
          </w:tcPr>
          <w:p w14:paraId="7120CE67" w14:textId="77777777" w:rsidR="00C3312E" w:rsidRPr="00C3312E" w:rsidRDefault="00C3312E" w:rsidP="00C3312E">
            <w:pPr>
              <w:spacing w:after="0" w:line="240" w:lineRule="auto"/>
              <w:jc w:val="center"/>
              <w:rPr>
                <w:b/>
                <w:sz w:val="20"/>
                <w:szCs w:val="20"/>
              </w:rPr>
            </w:pPr>
            <w:r w:rsidRPr="00C3312E">
              <w:rPr>
                <w:b/>
                <w:sz w:val="20"/>
                <w:szCs w:val="20"/>
              </w:rPr>
              <w:t xml:space="preserve">Table 20: </w:t>
            </w:r>
            <w:r w:rsidRPr="00C3312E">
              <w:rPr>
                <w:rFonts w:cs="Times New Roman"/>
                <w:b/>
                <w:sz w:val="20"/>
                <w:szCs w:val="20"/>
              </w:rPr>
              <w:t>Framingham Public Schools</w:t>
            </w:r>
          </w:p>
          <w:p w14:paraId="129B3EBB" w14:textId="1BB1E5D7" w:rsidR="00C3312E" w:rsidRPr="00C3312E" w:rsidRDefault="00C3312E" w:rsidP="00697F37">
            <w:pPr>
              <w:spacing w:after="0" w:line="240" w:lineRule="auto"/>
              <w:jc w:val="center"/>
              <w:rPr>
                <w:b/>
                <w:sz w:val="20"/>
                <w:szCs w:val="20"/>
              </w:rPr>
            </w:pPr>
            <w:r w:rsidRPr="00C3312E">
              <w:rPr>
                <w:b/>
                <w:sz w:val="20"/>
                <w:szCs w:val="20"/>
              </w:rPr>
              <w:t>MCAS ELA and Math Percent Scoring Proficient or Advanced in Grade 10, 2015</w:t>
            </w:r>
            <w:r w:rsidR="00697F37">
              <w:rPr>
                <w:b/>
                <w:sz w:val="20"/>
                <w:szCs w:val="20"/>
              </w:rPr>
              <w:t>–</w:t>
            </w:r>
            <w:r w:rsidRPr="00C3312E">
              <w:rPr>
                <w:b/>
                <w:sz w:val="20"/>
                <w:szCs w:val="20"/>
              </w:rPr>
              <w:t>2018</w:t>
            </w:r>
          </w:p>
        </w:tc>
      </w:tr>
      <w:tr w:rsidR="00C3312E" w:rsidRPr="00C3312E" w14:paraId="5131D90D" w14:textId="77777777" w:rsidTr="00A66217">
        <w:trPr>
          <w:trHeight w:val="233"/>
        </w:trPr>
        <w:tc>
          <w:tcPr>
            <w:tcW w:w="2322" w:type="dxa"/>
            <w:tcBorders>
              <w:top w:val="single" w:sz="4" w:space="0" w:color="auto"/>
              <w:left w:val="single" w:sz="4" w:space="0" w:color="auto"/>
            </w:tcBorders>
            <w:shd w:val="clear" w:color="auto" w:fill="BFBFBF" w:themeFill="background1" w:themeFillShade="BF"/>
          </w:tcPr>
          <w:p w14:paraId="7F7A6BA4" w14:textId="77777777" w:rsidR="00C3312E" w:rsidRPr="00C3312E" w:rsidRDefault="00C3312E" w:rsidP="00C3312E">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168066F2" w14:textId="77777777" w:rsidR="00C3312E" w:rsidRPr="00C3312E" w:rsidRDefault="00C3312E" w:rsidP="00C3312E">
            <w:pPr>
              <w:spacing w:after="0" w:line="240" w:lineRule="auto"/>
              <w:jc w:val="center"/>
              <w:rPr>
                <w:b/>
                <w:sz w:val="20"/>
                <w:szCs w:val="20"/>
              </w:rPr>
            </w:pPr>
            <w:r w:rsidRPr="00C3312E">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56FA08D6" w14:textId="77777777" w:rsidR="00C3312E" w:rsidRPr="00C3312E" w:rsidRDefault="00C3312E" w:rsidP="00C3312E">
            <w:pPr>
              <w:spacing w:after="0" w:line="240" w:lineRule="auto"/>
              <w:jc w:val="center"/>
              <w:rPr>
                <w:b/>
                <w:sz w:val="20"/>
                <w:szCs w:val="20"/>
              </w:rPr>
            </w:pPr>
            <w:r w:rsidRPr="00C3312E">
              <w:rPr>
                <w:b/>
                <w:sz w:val="20"/>
                <w:szCs w:val="20"/>
              </w:rPr>
              <w:t>Math</w:t>
            </w:r>
          </w:p>
        </w:tc>
      </w:tr>
      <w:tr w:rsidR="00C3312E" w:rsidRPr="00C3312E" w14:paraId="382975CD" w14:textId="77777777" w:rsidTr="00A66217">
        <w:trPr>
          <w:trHeight w:val="233"/>
        </w:trPr>
        <w:tc>
          <w:tcPr>
            <w:tcW w:w="2322" w:type="dxa"/>
            <w:tcBorders>
              <w:top w:val="single" w:sz="4" w:space="0" w:color="auto"/>
              <w:left w:val="single" w:sz="4" w:space="0" w:color="auto"/>
            </w:tcBorders>
            <w:shd w:val="clear" w:color="auto" w:fill="BFBFBF" w:themeFill="background1" w:themeFillShade="BF"/>
            <w:vAlign w:val="center"/>
          </w:tcPr>
          <w:p w14:paraId="0060A35D" w14:textId="77777777" w:rsidR="00C3312E" w:rsidRPr="00C3312E" w:rsidRDefault="00C3312E" w:rsidP="00A66217">
            <w:pPr>
              <w:spacing w:after="0" w:line="240" w:lineRule="auto"/>
              <w:jc w:val="center"/>
              <w:rPr>
                <w:rFonts w:ascii="Calibri" w:hAnsi="Calibri"/>
                <w:b/>
                <w:sz w:val="20"/>
                <w:szCs w:val="20"/>
              </w:rPr>
            </w:pPr>
            <w:r w:rsidRPr="00C3312E">
              <w:rPr>
                <w:rFonts w:ascii="Calibri" w:hAnsi="Calibri"/>
                <w:b/>
                <w:sz w:val="20"/>
                <w:szCs w:val="20"/>
              </w:rPr>
              <w:t>School/Group</w:t>
            </w:r>
          </w:p>
        </w:tc>
        <w:tc>
          <w:tcPr>
            <w:tcW w:w="661" w:type="dxa"/>
            <w:shd w:val="clear" w:color="auto" w:fill="BFBFBF" w:themeFill="background1" w:themeFillShade="BF"/>
            <w:vAlign w:val="center"/>
          </w:tcPr>
          <w:p w14:paraId="1667DFE2" w14:textId="77777777" w:rsidR="00C3312E" w:rsidRPr="00C3312E" w:rsidRDefault="00C3312E" w:rsidP="00A66217">
            <w:pPr>
              <w:spacing w:after="0" w:line="240" w:lineRule="auto"/>
              <w:jc w:val="center"/>
              <w:rPr>
                <w:b/>
                <w:sz w:val="20"/>
                <w:szCs w:val="20"/>
              </w:rPr>
            </w:pPr>
            <w:r w:rsidRPr="00C3312E">
              <w:rPr>
                <w:b/>
                <w:sz w:val="20"/>
                <w:szCs w:val="20"/>
              </w:rPr>
              <w:t>2015</w:t>
            </w:r>
          </w:p>
        </w:tc>
        <w:tc>
          <w:tcPr>
            <w:tcW w:w="662" w:type="dxa"/>
            <w:shd w:val="clear" w:color="auto" w:fill="BFBFBF" w:themeFill="background1" w:themeFillShade="BF"/>
            <w:vAlign w:val="center"/>
          </w:tcPr>
          <w:p w14:paraId="2A04A451" w14:textId="77777777" w:rsidR="00C3312E" w:rsidRPr="00C3312E" w:rsidRDefault="00C3312E" w:rsidP="00A66217">
            <w:pPr>
              <w:spacing w:after="0" w:line="240" w:lineRule="auto"/>
              <w:jc w:val="center"/>
              <w:rPr>
                <w:b/>
                <w:sz w:val="20"/>
                <w:szCs w:val="20"/>
              </w:rPr>
            </w:pPr>
            <w:r w:rsidRPr="00C3312E">
              <w:rPr>
                <w:b/>
                <w:sz w:val="20"/>
                <w:szCs w:val="20"/>
              </w:rPr>
              <w:t>2016</w:t>
            </w:r>
          </w:p>
        </w:tc>
        <w:tc>
          <w:tcPr>
            <w:tcW w:w="661" w:type="dxa"/>
            <w:shd w:val="clear" w:color="auto" w:fill="BFBFBF" w:themeFill="background1" w:themeFillShade="BF"/>
            <w:vAlign w:val="center"/>
          </w:tcPr>
          <w:p w14:paraId="0F2076A6" w14:textId="77777777" w:rsidR="00C3312E" w:rsidRPr="00C3312E" w:rsidRDefault="00C3312E" w:rsidP="00A66217">
            <w:pPr>
              <w:spacing w:after="0" w:line="240" w:lineRule="auto"/>
              <w:jc w:val="center"/>
              <w:rPr>
                <w:b/>
                <w:sz w:val="20"/>
                <w:szCs w:val="20"/>
              </w:rPr>
            </w:pPr>
            <w:r w:rsidRPr="00C3312E">
              <w:rPr>
                <w:b/>
                <w:sz w:val="20"/>
                <w:szCs w:val="20"/>
              </w:rPr>
              <w:t>2017</w:t>
            </w:r>
          </w:p>
        </w:tc>
        <w:tc>
          <w:tcPr>
            <w:tcW w:w="662" w:type="dxa"/>
            <w:shd w:val="clear" w:color="auto" w:fill="BFBFBF" w:themeFill="background1" w:themeFillShade="BF"/>
            <w:vAlign w:val="center"/>
          </w:tcPr>
          <w:p w14:paraId="6B748556" w14:textId="77777777" w:rsidR="00C3312E" w:rsidRPr="00C3312E" w:rsidRDefault="00C3312E" w:rsidP="00A66217">
            <w:pPr>
              <w:spacing w:after="0" w:line="240" w:lineRule="auto"/>
              <w:jc w:val="center"/>
              <w:rPr>
                <w:b/>
                <w:sz w:val="20"/>
                <w:szCs w:val="20"/>
              </w:rPr>
            </w:pPr>
            <w:r w:rsidRPr="00C3312E">
              <w:rPr>
                <w:b/>
                <w:sz w:val="20"/>
                <w:szCs w:val="20"/>
              </w:rPr>
              <w:t>2018</w:t>
            </w:r>
          </w:p>
        </w:tc>
        <w:tc>
          <w:tcPr>
            <w:tcW w:w="900" w:type="dxa"/>
            <w:tcBorders>
              <w:right w:val="single" w:sz="18" w:space="0" w:color="auto"/>
            </w:tcBorders>
            <w:shd w:val="clear" w:color="auto" w:fill="BFBFBF" w:themeFill="background1" w:themeFillShade="BF"/>
            <w:vAlign w:val="center"/>
          </w:tcPr>
          <w:p w14:paraId="702C1592" w14:textId="12CB3B4E" w:rsidR="00C3312E" w:rsidRPr="00C3312E" w:rsidRDefault="00687DCC" w:rsidP="00A66217">
            <w:pPr>
              <w:spacing w:after="0" w:line="240" w:lineRule="auto"/>
              <w:jc w:val="center"/>
              <w:rPr>
                <w:b/>
                <w:sz w:val="20"/>
                <w:szCs w:val="20"/>
              </w:rPr>
            </w:pPr>
            <w:r>
              <w:rPr>
                <w:b/>
                <w:sz w:val="20"/>
                <w:szCs w:val="20"/>
              </w:rPr>
              <w:t>4</w:t>
            </w:r>
            <w:r w:rsidR="00DE33D5">
              <w:rPr>
                <w:b/>
                <w:sz w:val="20"/>
                <w:szCs w:val="20"/>
              </w:rPr>
              <w:t>-</w:t>
            </w:r>
            <w:r w:rsidR="00C3312E" w:rsidRPr="00C3312E">
              <w:rPr>
                <w:b/>
                <w:sz w:val="20"/>
                <w:szCs w:val="20"/>
              </w:rPr>
              <w:t>yr</w:t>
            </w:r>
            <w:r w:rsidR="00DE33D5">
              <w:rPr>
                <w:b/>
                <w:sz w:val="20"/>
                <w:szCs w:val="20"/>
              </w:rPr>
              <w:t xml:space="preserve"> </w:t>
            </w:r>
            <w:r w:rsidR="00C3312E" w:rsidRPr="00C3312E">
              <w:rPr>
                <w:b/>
                <w:sz w:val="20"/>
                <w:szCs w:val="20"/>
              </w:rPr>
              <w:t>Change</w:t>
            </w:r>
          </w:p>
        </w:tc>
        <w:tc>
          <w:tcPr>
            <w:tcW w:w="697" w:type="dxa"/>
            <w:shd w:val="clear" w:color="auto" w:fill="BFBFBF" w:themeFill="background1" w:themeFillShade="BF"/>
            <w:vAlign w:val="center"/>
          </w:tcPr>
          <w:p w14:paraId="66448071" w14:textId="77777777" w:rsidR="00C3312E" w:rsidRPr="00C3312E" w:rsidRDefault="00C3312E" w:rsidP="00A66217">
            <w:pPr>
              <w:spacing w:after="0" w:line="240" w:lineRule="auto"/>
              <w:jc w:val="center"/>
              <w:rPr>
                <w:b/>
                <w:sz w:val="20"/>
                <w:szCs w:val="20"/>
              </w:rPr>
            </w:pPr>
            <w:r w:rsidRPr="00C3312E">
              <w:rPr>
                <w:b/>
                <w:sz w:val="20"/>
                <w:szCs w:val="20"/>
              </w:rPr>
              <w:t>2015</w:t>
            </w:r>
          </w:p>
        </w:tc>
        <w:tc>
          <w:tcPr>
            <w:tcW w:w="698" w:type="dxa"/>
            <w:shd w:val="clear" w:color="auto" w:fill="BFBFBF" w:themeFill="background1" w:themeFillShade="BF"/>
            <w:vAlign w:val="center"/>
          </w:tcPr>
          <w:p w14:paraId="6D00595F" w14:textId="77777777" w:rsidR="00C3312E" w:rsidRPr="00C3312E" w:rsidRDefault="00C3312E" w:rsidP="00A66217">
            <w:pPr>
              <w:spacing w:after="0" w:line="240" w:lineRule="auto"/>
              <w:jc w:val="center"/>
              <w:rPr>
                <w:b/>
                <w:sz w:val="20"/>
                <w:szCs w:val="20"/>
              </w:rPr>
            </w:pPr>
            <w:r w:rsidRPr="00C3312E">
              <w:rPr>
                <w:b/>
                <w:sz w:val="20"/>
                <w:szCs w:val="20"/>
              </w:rPr>
              <w:t>2016</w:t>
            </w:r>
          </w:p>
        </w:tc>
        <w:tc>
          <w:tcPr>
            <w:tcW w:w="697" w:type="dxa"/>
            <w:shd w:val="clear" w:color="auto" w:fill="BFBFBF" w:themeFill="background1" w:themeFillShade="BF"/>
            <w:vAlign w:val="center"/>
          </w:tcPr>
          <w:p w14:paraId="4171880C" w14:textId="77777777" w:rsidR="00C3312E" w:rsidRPr="00C3312E" w:rsidRDefault="00C3312E" w:rsidP="00A66217">
            <w:pPr>
              <w:spacing w:after="0" w:line="240" w:lineRule="auto"/>
              <w:jc w:val="center"/>
              <w:rPr>
                <w:b/>
                <w:sz w:val="20"/>
                <w:szCs w:val="20"/>
              </w:rPr>
            </w:pPr>
            <w:r w:rsidRPr="00C3312E">
              <w:rPr>
                <w:b/>
                <w:sz w:val="20"/>
                <w:szCs w:val="20"/>
              </w:rPr>
              <w:t>2017</w:t>
            </w:r>
          </w:p>
        </w:tc>
        <w:tc>
          <w:tcPr>
            <w:tcW w:w="698" w:type="dxa"/>
            <w:shd w:val="clear" w:color="auto" w:fill="BFBFBF" w:themeFill="background1" w:themeFillShade="BF"/>
            <w:vAlign w:val="center"/>
          </w:tcPr>
          <w:p w14:paraId="3B7D1BFC" w14:textId="77777777" w:rsidR="00C3312E" w:rsidRPr="00C3312E" w:rsidRDefault="00C3312E" w:rsidP="00A66217">
            <w:pPr>
              <w:spacing w:after="0" w:line="240" w:lineRule="auto"/>
              <w:jc w:val="center"/>
              <w:rPr>
                <w:b/>
                <w:sz w:val="20"/>
                <w:szCs w:val="20"/>
              </w:rPr>
            </w:pPr>
            <w:r w:rsidRPr="00C3312E">
              <w:rPr>
                <w:b/>
                <w:sz w:val="20"/>
                <w:szCs w:val="20"/>
              </w:rPr>
              <w:t>2018</w:t>
            </w:r>
          </w:p>
        </w:tc>
        <w:tc>
          <w:tcPr>
            <w:tcW w:w="900" w:type="dxa"/>
            <w:tcBorders>
              <w:right w:val="single" w:sz="18" w:space="0" w:color="auto"/>
            </w:tcBorders>
            <w:shd w:val="clear" w:color="auto" w:fill="BFBFBF" w:themeFill="background1" w:themeFillShade="BF"/>
            <w:vAlign w:val="center"/>
          </w:tcPr>
          <w:p w14:paraId="49A77467" w14:textId="77777777" w:rsidR="00C3312E" w:rsidRPr="00C3312E" w:rsidRDefault="00C3312E" w:rsidP="00A66217">
            <w:pPr>
              <w:spacing w:after="0" w:line="240" w:lineRule="auto"/>
              <w:jc w:val="center"/>
              <w:rPr>
                <w:b/>
                <w:sz w:val="20"/>
                <w:szCs w:val="20"/>
              </w:rPr>
            </w:pPr>
            <w:r w:rsidRPr="00C3312E">
              <w:rPr>
                <w:b/>
                <w:sz w:val="20"/>
                <w:szCs w:val="20"/>
              </w:rPr>
              <w:t>4-yr Change</w:t>
            </w:r>
          </w:p>
        </w:tc>
      </w:tr>
      <w:tr w:rsidR="00C3312E" w:rsidRPr="00C3312E" w14:paraId="58045456" w14:textId="77777777" w:rsidTr="00A66217">
        <w:tc>
          <w:tcPr>
            <w:tcW w:w="2322" w:type="dxa"/>
            <w:tcBorders>
              <w:top w:val="single" w:sz="4" w:space="0" w:color="auto"/>
              <w:left w:val="single" w:sz="4" w:space="0" w:color="auto"/>
            </w:tcBorders>
            <w:shd w:val="clear" w:color="auto" w:fill="BFBFBF" w:themeFill="background1" w:themeFillShade="BF"/>
          </w:tcPr>
          <w:p w14:paraId="2998FFE8" w14:textId="77777777" w:rsidR="00C3312E" w:rsidRPr="00C3312E" w:rsidRDefault="00C3312E" w:rsidP="00C3312E">
            <w:pPr>
              <w:spacing w:after="0" w:line="240" w:lineRule="auto"/>
              <w:rPr>
                <w:sz w:val="20"/>
                <w:szCs w:val="20"/>
              </w:rPr>
            </w:pPr>
            <w:r w:rsidRPr="00C3312E">
              <w:rPr>
                <w:sz w:val="20"/>
                <w:szCs w:val="20"/>
              </w:rPr>
              <w:t>Framingham High</w:t>
            </w:r>
          </w:p>
        </w:tc>
        <w:tc>
          <w:tcPr>
            <w:tcW w:w="661" w:type="dxa"/>
            <w:shd w:val="clear" w:color="auto" w:fill="BFBFBF" w:themeFill="background1" w:themeFillShade="BF"/>
          </w:tcPr>
          <w:p w14:paraId="6D9E373A" w14:textId="77777777" w:rsidR="00C3312E" w:rsidRPr="00C3312E" w:rsidRDefault="00C3312E" w:rsidP="00C3312E">
            <w:pPr>
              <w:spacing w:after="0" w:line="240" w:lineRule="auto"/>
              <w:jc w:val="center"/>
              <w:rPr>
                <w:sz w:val="20"/>
                <w:szCs w:val="20"/>
              </w:rPr>
            </w:pPr>
            <w:r w:rsidRPr="00C3312E">
              <w:rPr>
                <w:sz w:val="20"/>
                <w:szCs w:val="20"/>
              </w:rPr>
              <w:t>96%</w:t>
            </w:r>
          </w:p>
        </w:tc>
        <w:tc>
          <w:tcPr>
            <w:tcW w:w="662" w:type="dxa"/>
            <w:shd w:val="clear" w:color="auto" w:fill="BFBFBF" w:themeFill="background1" w:themeFillShade="BF"/>
          </w:tcPr>
          <w:p w14:paraId="69B9A501" w14:textId="77777777" w:rsidR="00C3312E" w:rsidRPr="00C3312E" w:rsidRDefault="00C3312E" w:rsidP="00C3312E">
            <w:pPr>
              <w:spacing w:after="0" w:line="240" w:lineRule="auto"/>
              <w:jc w:val="center"/>
              <w:rPr>
                <w:sz w:val="20"/>
                <w:szCs w:val="20"/>
              </w:rPr>
            </w:pPr>
            <w:r w:rsidRPr="00C3312E">
              <w:rPr>
                <w:sz w:val="20"/>
                <w:szCs w:val="20"/>
              </w:rPr>
              <w:t>93%</w:t>
            </w:r>
          </w:p>
        </w:tc>
        <w:tc>
          <w:tcPr>
            <w:tcW w:w="661" w:type="dxa"/>
            <w:shd w:val="clear" w:color="auto" w:fill="BFBFBF" w:themeFill="background1" w:themeFillShade="BF"/>
          </w:tcPr>
          <w:p w14:paraId="11FBF7CD" w14:textId="77777777" w:rsidR="00C3312E" w:rsidRPr="00C3312E" w:rsidRDefault="00C3312E" w:rsidP="00C3312E">
            <w:pPr>
              <w:spacing w:after="0" w:line="240" w:lineRule="auto"/>
              <w:jc w:val="center"/>
              <w:rPr>
                <w:sz w:val="20"/>
                <w:szCs w:val="20"/>
              </w:rPr>
            </w:pPr>
            <w:r w:rsidRPr="00C3312E">
              <w:rPr>
                <w:sz w:val="20"/>
                <w:szCs w:val="20"/>
              </w:rPr>
              <w:t>91%</w:t>
            </w:r>
          </w:p>
        </w:tc>
        <w:tc>
          <w:tcPr>
            <w:tcW w:w="662" w:type="dxa"/>
            <w:shd w:val="clear" w:color="auto" w:fill="BFBFBF" w:themeFill="background1" w:themeFillShade="BF"/>
          </w:tcPr>
          <w:p w14:paraId="0A5E1E2F" w14:textId="77777777" w:rsidR="00C3312E" w:rsidRPr="00C3312E" w:rsidRDefault="00C3312E" w:rsidP="00C3312E">
            <w:pPr>
              <w:spacing w:after="0" w:line="240" w:lineRule="auto"/>
              <w:jc w:val="center"/>
              <w:rPr>
                <w:sz w:val="20"/>
                <w:szCs w:val="20"/>
              </w:rPr>
            </w:pPr>
            <w:r w:rsidRPr="00C3312E">
              <w:rPr>
                <w:sz w:val="20"/>
                <w:szCs w:val="20"/>
              </w:rPr>
              <w:t>89%</w:t>
            </w:r>
          </w:p>
        </w:tc>
        <w:tc>
          <w:tcPr>
            <w:tcW w:w="900" w:type="dxa"/>
            <w:tcBorders>
              <w:right w:val="single" w:sz="18" w:space="0" w:color="auto"/>
            </w:tcBorders>
            <w:shd w:val="clear" w:color="auto" w:fill="BFBFBF" w:themeFill="background1" w:themeFillShade="BF"/>
          </w:tcPr>
          <w:p w14:paraId="57B8B914" w14:textId="77777777" w:rsidR="00C3312E" w:rsidRPr="00C3312E" w:rsidRDefault="00C3312E" w:rsidP="00C3312E">
            <w:pPr>
              <w:spacing w:after="0" w:line="240" w:lineRule="auto"/>
              <w:jc w:val="center"/>
              <w:rPr>
                <w:sz w:val="20"/>
                <w:szCs w:val="20"/>
              </w:rPr>
            </w:pPr>
            <w:r w:rsidRPr="00C3312E">
              <w:rPr>
                <w:sz w:val="20"/>
                <w:szCs w:val="20"/>
              </w:rPr>
              <w:t>-7%</w:t>
            </w:r>
          </w:p>
        </w:tc>
        <w:tc>
          <w:tcPr>
            <w:tcW w:w="697" w:type="dxa"/>
            <w:tcBorders>
              <w:top w:val="single" w:sz="4" w:space="0" w:color="auto"/>
              <w:left w:val="single" w:sz="18" w:space="0" w:color="auto"/>
            </w:tcBorders>
            <w:shd w:val="clear" w:color="auto" w:fill="BFBFBF" w:themeFill="background1" w:themeFillShade="BF"/>
          </w:tcPr>
          <w:p w14:paraId="64A12375" w14:textId="77777777" w:rsidR="00C3312E" w:rsidRPr="00C3312E" w:rsidRDefault="00C3312E" w:rsidP="00C3312E">
            <w:pPr>
              <w:spacing w:after="0" w:line="240" w:lineRule="auto"/>
              <w:jc w:val="center"/>
              <w:rPr>
                <w:sz w:val="20"/>
                <w:szCs w:val="20"/>
              </w:rPr>
            </w:pPr>
            <w:r w:rsidRPr="00C3312E">
              <w:rPr>
                <w:sz w:val="20"/>
                <w:szCs w:val="20"/>
              </w:rPr>
              <w:t>86%</w:t>
            </w:r>
          </w:p>
        </w:tc>
        <w:tc>
          <w:tcPr>
            <w:tcW w:w="698" w:type="dxa"/>
            <w:shd w:val="clear" w:color="auto" w:fill="BFBFBF" w:themeFill="background1" w:themeFillShade="BF"/>
          </w:tcPr>
          <w:p w14:paraId="14DA2EA0" w14:textId="77777777" w:rsidR="00C3312E" w:rsidRPr="00C3312E" w:rsidRDefault="00C3312E" w:rsidP="00C3312E">
            <w:pPr>
              <w:spacing w:after="0" w:line="240" w:lineRule="auto"/>
              <w:jc w:val="center"/>
              <w:rPr>
                <w:sz w:val="20"/>
                <w:szCs w:val="20"/>
              </w:rPr>
            </w:pPr>
            <w:r w:rsidRPr="00C3312E">
              <w:rPr>
                <w:sz w:val="20"/>
                <w:szCs w:val="20"/>
              </w:rPr>
              <w:t>84%</w:t>
            </w:r>
          </w:p>
        </w:tc>
        <w:tc>
          <w:tcPr>
            <w:tcW w:w="697" w:type="dxa"/>
            <w:shd w:val="clear" w:color="auto" w:fill="BFBFBF" w:themeFill="background1" w:themeFillShade="BF"/>
          </w:tcPr>
          <w:p w14:paraId="113B71EA" w14:textId="77777777" w:rsidR="00C3312E" w:rsidRPr="00C3312E" w:rsidRDefault="00C3312E" w:rsidP="00C3312E">
            <w:pPr>
              <w:spacing w:after="0" w:line="240" w:lineRule="auto"/>
              <w:jc w:val="center"/>
              <w:rPr>
                <w:sz w:val="20"/>
                <w:szCs w:val="20"/>
              </w:rPr>
            </w:pPr>
            <w:r w:rsidRPr="00C3312E">
              <w:rPr>
                <w:sz w:val="20"/>
                <w:szCs w:val="20"/>
              </w:rPr>
              <w:t>85%</w:t>
            </w:r>
          </w:p>
        </w:tc>
        <w:tc>
          <w:tcPr>
            <w:tcW w:w="698" w:type="dxa"/>
            <w:shd w:val="clear" w:color="auto" w:fill="BFBFBF" w:themeFill="background1" w:themeFillShade="BF"/>
          </w:tcPr>
          <w:p w14:paraId="308DE3EB" w14:textId="77777777" w:rsidR="00C3312E" w:rsidRPr="00C3312E" w:rsidRDefault="00C3312E" w:rsidP="00C3312E">
            <w:pPr>
              <w:spacing w:after="0" w:line="240" w:lineRule="auto"/>
              <w:jc w:val="center"/>
              <w:rPr>
                <w:sz w:val="20"/>
                <w:szCs w:val="20"/>
              </w:rPr>
            </w:pPr>
            <w:r w:rsidRPr="00C3312E">
              <w:rPr>
                <w:sz w:val="20"/>
                <w:szCs w:val="20"/>
              </w:rPr>
              <w:t>81%</w:t>
            </w:r>
          </w:p>
        </w:tc>
        <w:tc>
          <w:tcPr>
            <w:tcW w:w="900" w:type="dxa"/>
            <w:tcBorders>
              <w:top w:val="single" w:sz="4" w:space="0" w:color="auto"/>
              <w:right w:val="single" w:sz="4" w:space="0" w:color="auto"/>
            </w:tcBorders>
            <w:shd w:val="clear" w:color="auto" w:fill="BFBFBF" w:themeFill="background1" w:themeFillShade="BF"/>
          </w:tcPr>
          <w:p w14:paraId="4E6D73E7"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565D83D7" w14:textId="77777777" w:rsidTr="00A66217">
        <w:tc>
          <w:tcPr>
            <w:tcW w:w="2322" w:type="dxa"/>
            <w:tcBorders>
              <w:top w:val="single" w:sz="4" w:space="0" w:color="auto"/>
              <w:left w:val="single" w:sz="4" w:space="0" w:color="auto"/>
              <w:bottom w:val="single" w:sz="4" w:space="0" w:color="auto"/>
            </w:tcBorders>
          </w:tcPr>
          <w:p w14:paraId="346CFD4C" w14:textId="77777777" w:rsidR="00C3312E" w:rsidRPr="00C3312E" w:rsidRDefault="00C3312E" w:rsidP="00C3312E">
            <w:pPr>
              <w:spacing w:after="0" w:line="240" w:lineRule="auto"/>
              <w:rPr>
                <w:sz w:val="20"/>
                <w:szCs w:val="20"/>
              </w:rPr>
            </w:pPr>
            <w:r w:rsidRPr="00C3312E">
              <w:rPr>
                <w:sz w:val="20"/>
                <w:szCs w:val="20"/>
              </w:rPr>
              <w:t>African American/Black</w:t>
            </w:r>
          </w:p>
        </w:tc>
        <w:tc>
          <w:tcPr>
            <w:tcW w:w="661" w:type="dxa"/>
          </w:tcPr>
          <w:p w14:paraId="543E0C13" w14:textId="77777777" w:rsidR="00C3312E" w:rsidRPr="00C3312E" w:rsidRDefault="00C3312E" w:rsidP="00C3312E">
            <w:pPr>
              <w:spacing w:after="0" w:line="240" w:lineRule="auto"/>
              <w:jc w:val="center"/>
              <w:rPr>
                <w:sz w:val="20"/>
                <w:szCs w:val="20"/>
              </w:rPr>
            </w:pPr>
            <w:r w:rsidRPr="00C3312E">
              <w:rPr>
                <w:sz w:val="20"/>
                <w:szCs w:val="20"/>
              </w:rPr>
              <w:t>91%</w:t>
            </w:r>
          </w:p>
        </w:tc>
        <w:tc>
          <w:tcPr>
            <w:tcW w:w="662" w:type="dxa"/>
          </w:tcPr>
          <w:p w14:paraId="6B6208F8" w14:textId="77777777" w:rsidR="00C3312E" w:rsidRPr="00C3312E" w:rsidRDefault="00C3312E" w:rsidP="00C3312E">
            <w:pPr>
              <w:spacing w:after="0" w:line="240" w:lineRule="auto"/>
              <w:jc w:val="center"/>
              <w:rPr>
                <w:sz w:val="20"/>
                <w:szCs w:val="20"/>
              </w:rPr>
            </w:pPr>
            <w:r w:rsidRPr="00C3312E">
              <w:rPr>
                <w:sz w:val="20"/>
                <w:szCs w:val="20"/>
              </w:rPr>
              <w:t>84%</w:t>
            </w:r>
          </w:p>
        </w:tc>
        <w:tc>
          <w:tcPr>
            <w:tcW w:w="661" w:type="dxa"/>
          </w:tcPr>
          <w:p w14:paraId="2AFF0AA8" w14:textId="77777777" w:rsidR="00C3312E" w:rsidRPr="00C3312E" w:rsidRDefault="00C3312E" w:rsidP="00C3312E">
            <w:pPr>
              <w:spacing w:after="0" w:line="240" w:lineRule="auto"/>
              <w:jc w:val="center"/>
              <w:rPr>
                <w:sz w:val="20"/>
                <w:szCs w:val="20"/>
              </w:rPr>
            </w:pPr>
            <w:r w:rsidRPr="00C3312E">
              <w:rPr>
                <w:sz w:val="20"/>
                <w:szCs w:val="20"/>
              </w:rPr>
              <w:t>97%</w:t>
            </w:r>
          </w:p>
        </w:tc>
        <w:tc>
          <w:tcPr>
            <w:tcW w:w="662" w:type="dxa"/>
          </w:tcPr>
          <w:p w14:paraId="15488C8D" w14:textId="77777777" w:rsidR="00C3312E" w:rsidRPr="00C3312E" w:rsidRDefault="00C3312E" w:rsidP="00C3312E">
            <w:pPr>
              <w:spacing w:after="0" w:line="240" w:lineRule="auto"/>
              <w:jc w:val="center"/>
              <w:rPr>
                <w:sz w:val="20"/>
                <w:szCs w:val="20"/>
              </w:rPr>
            </w:pPr>
            <w:r w:rsidRPr="00C3312E">
              <w:rPr>
                <w:sz w:val="20"/>
                <w:szCs w:val="20"/>
              </w:rPr>
              <w:t>90%</w:t>
            </w:r>
          </w:p>
        </w:tc>
        <w:tc>
          <w:tcPr>
            <w:tcW w:w="900" w:type="dxa"/>
            <w:tcBorders>
              <w:right w:val="single" w:sz="18" w:space="0" w:color="auto"/>
            </w:tcBorders>
          </w:tcPr>
          <w:p w14:paraId="1B44B592" w14:textId="77777777" w:rsidR="00C3312E" w:rsidRPr="00C3312E" w:rsidRDefault="00C3312E" w:rsidP="00C3312E">
            <w:pPr>
              <w:spacing w:after="0" w:line="240" w:lineRule="auto"/>
              <w:jc w:val="center"/>
              <w:rPr>
                <w:sz w:val="20"/>
                <w:szCs w:val="20"/>
              </w:rPr>
            </w:pPr>
            <w:r w:rsidRPr="00C3312E">
              <w:rPr>
                <w:sz w:val="20"/>
                <w:szCs w:val="20"/>
              </w:rPr>
              <w:t>-1%</w:t>
            </w:r>
          </w:p>
        </w:tc>
        <w:tc>
          <w:tcPr>
            <w:tcW w:w="697" w:type="dxa"/>
            <w:tcBorders>
              <w:top w:val="single" w:sz="4" w:space="0" w:color="auto"/>
              <w:left w:val="single" w:sz="18" w:space="0" w:color="auto"/>
              <w:bottom w:val="single" w:sz="4" w:space="0" w:color="auto"/>
            </w:tcBorders>
          </w:tcPr>
          <w:p w14:paraId="35F66C4B" w14:textId="77777777" w:rsidR="00C3312E" w:rsidRPr="00C3312E" w:rsidRDefault="00C3312E" w:rsidP="00C3312E">
            <w:pPr>
              <w:spacing w:after="0" w:line="240" w:lineRule="auto"/>
              <w:jc w:val="center"/>
              <w:rPr>
                <w:sz w:val="20"/>
                <w:szCs w:val="20"/>
              </w:rPr>
            </w:pPr>
            <w:r w:rsidRPr="00C3312E">
              <w:rPr>
                <w:sz w:val="20"/>
                <w:szCs w:val="20"/>
              </w:rPr>
              <w:t>68%</w:t>
            </w:r>
          </w:p>
        </w:tc>
        <w:tc>
          <w:tcPr>
            <w:tcW w:w="698" w:type="dxa"/>
          </w:tcPr>
          <w:p w14:paraId="49A5534F" w14:textId="77777777" w:rsidR="00C3312E" w:rsidRPr="00C3312E" w:rsidRDefault="00C3312E" w:rsidP="00C3312E">
            <w:pPr>
              <w:spacing w:after="0" w:line="240" w:lineRule="auto"/>
              <w:jc w:val="center"/>
              <w:rPr>
                <w:sz w:val="20"/>
                <w:szCs w:val="20"/>
              </w:rPr>
            </w:pPr>
            <w:r w:rsidRPr="00C3312E">
              <w:rPr>
                <w:sz w:val="20"/>
                <w:szCs w:val="20"/>
              </w:rPr>
              <w:t>60%</w:t>
            </w:r>
          </w:p>
        </w:tc>
        <w:tc>
          <w:tcPr>
            <w:tcW w:w="697" w:type="dxa"/>
          </w:tcPr>
          <w:p w14:paraId="6679E446" w14:textId="77777777" w:rsidR="00C3312E" w:rsidRPr="00C3312E" w:rsidRDefault="00C3312E" w:rsidP="00C3312E">
            <w:pPr>
              <w:spacing w:after="0" w:line="240" w:lineRule="auto"/>
              <w:jc w:val="center"/>
              <w:rPr>
                <w:sz w:val="20"/>
                <w:szCs w:val="20"/>
              </w:rPr>
            </w:pPr>
            <w:r w:rsidRPr="00C3312E">
              <w:rPr>
                <w:sz w:val="20"/>
                <w:szCs w:val="20"/>
              </w:rPr>
              <w:t>84%</w:t>
            </w:r>
          </w:p>
        </w:tc>
        <w:tc>
          <w:tcPr>
            <w:tcW w:w="698" w:type="dxa"/>
          </w:tcPr>
          <w:p w14:paraId="6D3744D1" w14:textId="77777777" w:rsidR="00C3312E" w:rsidRPr="00C3312E" w:rsidRDefault="00C3312E" w:rsidP="00C3312E">
            <w:pPr>
              <w:spacing w:after="0" w:line="240" w:lineRule="auto"/>
              <w:jc w:val="center"/>
              <w:rPr>
                <w:sz w:val="20"/>
                <w:szCs w:val="20"/>
              </w:rPr>
            </w:pPr>
            <w:r w:rsidRPr="00C3312E">
              <w:rPr>
                <w:sz w:val="20"/>
                <w:szCs w:val="20"/>
              </w:rPr>
              <w:t>70%</w:t>
            </w:r>
          </w:p>
        </w:tc>
        <w:tc>
          <w:tcPr>
            <w:tcW w:w="900" w:type="dxa"/>
            <w:tcBorders>
              <w:top w:val="single" w:sz="4" w:space="0" w:color="auto"/>
              <w:bottom w:val="single" w:sz="4" w:space="0" w:color="auto"/>
              <w:right w:val="single" w:sz="4" w:space="0" w:color="auto"/>
            </w:tcBorders>
          </w:tcPr>
          <w:p w14:paraId="7C57FBA3" w14:textId="77777777" w:rsidR="00C3312E" w:rsidRPr="00C3312E" w:rsidRDefault="00C3312E" w:rsidP="00C3312E">
            <w:pPr>
              <w:spacing w:after="0" w:line="240" w:lineRule="auto"/>
              <w:jc w:val="center"/>
              <w:rPr>
                <w:sz w:val="20"/>
                <w:szCs w:val="20"/>
              </w:rPr>
            </w:pPr>
            <w:r w:rsidRPr="00C3312E">
              <w:rPr>
                <w:sz w:val="20"/>
                <w:szCs w:val="20"/>
              </w:rPr>
              <w:t>2%</w:t>
            </w:r>
          </w:p>
        </w:tc>
      </w:tr>
      <w:tr w:rsidR="00C3312E" w:rsidRPr="00C3312E" w14:paraId="3A242269" w14:textId="77777777" w:rsidTr="00A66217">
        <w:tc>
          <w:tcPr>
            <w:tcW w:w="2322" w:type="dxa"/>
            <w:tcBorders>
              <w:top w:val="single" w:sz="4" w:space="0" w:color="auto"/>
              <w:left w:val="single" w:sz="4" w:space="0" w:color="auto"/>
              <w:bottom w:val="single" w:sz="4" w:space="0" w:color="auto"/>
            </w:tcBorders>
          </w:tcPr>
          <w:p w14:paraId="5C97B109" w14:textId="77777777" w:rsidR="00C3312E" w:rsidRPr="00C3312E" w:rsidRDefault="00C3312E" w:rsidP="00C3312E">
            <w:pPr>
              <w:spacing w:after="0" w:line="240" w:lineRule="auto"/>
              <w:rPr>
                <w:sz w:val="20"/>
                <w:szCs w:val="20"/>
              </w:rPr>
            </w:pPr>
            <w:r w:rsidRPr="00C3312E">
              <w:rPr>
                <w:sz w:val="20"/>
                <w:szCs w:val="20"/>
              </w:rPr>
              <w:t>Asian</w:t>
            </w:r>
          </w:p>
        </w:tc>
        <w:tc>
          <w:tcPr>
            <w:tcW w:w="661" w:type="dxa"/>
          </w:tcPr>
          <w:p w14:paraId="426F8F9E" w14:textId="77777777" w:rsidR="00C3312E" w:rsidRPr="00C3312E" w:rsidRDefault="00C3312E" w:rsidP="00C3312E">
            <w:pPr>
              <w:spacing w:after="0" w:line="240" w:lineRule="auto"/>
              <w:jc w:val="center"/>
              <w:rPr>
                <w:sz w:val="20"/>
                <w:szCs w:val="20"/>
              </w:rPr>
            </w:pPr>
            <w:r w:rsidRPr="00C3312E">
              <w:rPr>
                <w:sz w:val="20"/>
                <w:szCs w:val="20"/>
              </w:rPr>
              <w:t>97%</w:t>
            </w:r>
          </w:p>
        </w:tc>
        <w:tc>
          <w:tcPr>
            <w:tcW w:w="662" w:type="dxa"/>
          </w:tcPr>
          <w:p w14:paraId="4CE58913" w14:textId="77777777" w:rsidR="00C3312E" w:rsidRPr="00C3312E" w:rsidRDefault="00C3312E" w:rsidP="00C3312E">
            <w:pPr>
              <w:spacing w:after="0" w:line="240" w:lineRule="auto"/>
              <w:jc w:val="center"/>
              <w:rPr>
                <w:sz w:val="20"/>
                <w:szCs w:val="20"/>
              </w:rPr>
            </w:pPr>
            <w:r w:rsidRPr="00C3312E">
              <w:rPr>
                <w:sz w:val="20"/>
                <w:szCs w:val="20"/>
              </w:rPr>
              <w:t>97%</w:t>
            </w:r>
          </w:p>
        </w:tc>
        <w:tc>
          <w:tcPr>
            <w:tcW w:w="661" w:type="dxa"/>
          </w:tcPr>
          <w:p w14:paraId="1CC86E3A" w14:textId="77777777" w:rsidR="00C3312E" w:rsidRPr="00C3312E" w:rsidRDefault="00C3312E" w:rsidP="00C3312E">
            <w:pPr>
              <w:spacing w:after="0" w:line="240" w:lineRule="auto"/>
              <w:jc w:val="center"/>
              <w:rPr>
                <w:sz w:val="20"/>
                <w:szCs w:val="20"/>
              </w:rPr>
            </w:pPr>
            <w:r w:rsidRPr="00C3312E">
              <w:rPr>
                <w:sz w:val="20"/>
                <w:szCs w:val="20"/>
              </w:rPr>
              <w:t>97%</w:t>
            </w:r>
          </w:p>
        </w:tc>
        <w:tc>
          <w:tcPr>
            <w:tcW w:w="662" w:type="dxa"/>
          </w:tcPr>
          <w:p w14:paraId="5039761E" w14:textId="77777777" w:rsidR="00C3312E" w:rsidRPr="00C3312E" w:rsidRDefault="00C3312E" w:rsidP="00C3312E">
            <w:pPr>
              <w:spacing w:after="0" w:line="240" w:lineRule="auto"/>
              <w:jc w:val="center"/>
              <w:rPr>
                <w:sz w:val="18"/>
                <w:szCs w:val="18"/>
              </w:rPr>
            </w:pPr>
            <w:r w:rsidRPr="00C3312E">
              <w:rPr>
                <w:sz w:val="18"/>
                <w:szCs w:val="18"/>
              </w:rPr>
              <w:t>100%</w:t>
            </w:r>
          </w:p>
        </w:tc>
        <w:tc>
          <w:tcPr>
            <w:tcW w:w="900" w:type="dxa"/>
            <w:tcBorders>
              <w:right w:val="single" w:sz="18" w:space="0" w:color="auto"/>
            </w:tcBorders>
          </w:tcPr>
          <w:p w14:paraId="47754EF0" w14:textId="77777777" w:rsidR="00C3312E" w:rsidRPr="00C3312E" w:rsidRDefault="00C3312E" w:rsidP="00C3312E">
            <w:pPr>
              <w:spacing w:after="0" w:line="240" w:lineRule="auto"/>
              <w:jc w:val="center"/>
              <w:rPr>
                <w:sz w:val="20"/>
                <w:szCs w:val="20"/>
              </w:rPr>
            </w:pPr>
            <w:r w:rsidRPr="00C3312E">
              <w:rPr>
                <w:sz w:val="20"/>
                <w:szCs w:val="20"/>
              </w:rPr>
              <w:t>3%</w:t>
            </w:r>
          </w:p>
        </w:tc>
        <w:tc>
          <w:tcPr>
            <w:tcW w:w="697" w:type="dxa"/>
            <w:tcBorders>
              <w:top w:val="single" w:sz="4" w:space="0" w:color="auto"/>
              <w:left w:val="single" w:sz="18" w:space="0" w:color="auto"/>
              <w:bottom w:val="single" w:sz="4" w:space="0" w:color="auto"/>
            </w:tcBorders>
          </w:tcPr>
          <w:p w14:paraId="7A62388E" w14:textId="77777777" w:rsidR="00C3312E" w:rsidRPr="00C3312E" w:rsidRDefault="00C3312E" w:rsidP="00C3312E">
            <w:pPr>
              <w:spacing w:after="0" w:line="240" w:lineRule="auto"/>
              <w:jc w:val="center"/>
              <w:rPr>
                <w:sz w:val="20"/>
                <w:szCs w:val="20"/>
              </w:rPr>
            </w:pPr>
            <w:r w:rsidRPr="00C3312E">
              <w:rPr>
                <w:sz w:val="20"/>
                <w:szCs w:val="20"/>
              </w:rPr>
              <w:t>94%</w:t>
            </w:r>
          </w:p>
        </w:tc>
        <w:tc>
          <w:tcPr>
            <w:tcW w:w="698" w:type="dxa"/>
          </w:tcPr>
          <w:p w14:paraId="2520AAF4" w14:textId="77777777" w:rsidR="00C3312E" w:rsidRPr="00C3312E" w:rsidRDefault="00C3312E" w:rsidP="00C3312E">
            <w:pPr>
              <w:spacing w:after="0" w:line="240" w:lineRule="auto"/>
              <w:jc w:val="center"/>
              <w:rPr>
                <w:sz w:val="20"/>
                <w:szCs w:val="20"/>
              </w:rPr>
            </w:pPr>
            <w:r w:rsidRPr="00C3312E">
              <w:rPr>
                <w:sz w:val="20"/>
                <w:szCs w:val="20"/>
              </w:rPr>
              <w:t>97%</w:t>
            </w:r>
          </w:p>
        </w:tc>
        <w:tc>
          <w:tcPr>
            <w:tcW w:w="697" w:type="dxa"/>
          </w:tcPr>
          <w:p w14:paraId="714B26C8" w14:textId="77777777" w:rsidR="00C3312E" w:rsidRPr="00C3312E" w:rsidRDefault="00C3312E" w:rsidP="00C3312E">
            <w:pPr>
              <w:spacing w:after="0" w:line="240" w:lineRule="auto"/>
              <w:jc w:val="center"/>
              <w:rPr>
                <w:sz w:val="20"/>
                <w:szCs w:val="20"/>
              </w:rPr>
            </w:pPr>
            <w:r w:rsidRPr="00C3312E">
              <w:rPr>
                <w:sz w:val="20"/>
                <w:szCs w:val="20"/>
              </w:rPr>
              <w:t>94%</w:t>
            </w:r>
          </w:p>
        </w:tc>
        <w:tc>
          <w:tcPr>
            <w:tcW w:w="698" w:type="dxa"/>
          </w:tcPr>
          <w:p w14:paraId="6B1BC62F" w14:textId="77777777" w:rsidR="00C3312E" w:rsidRPr="00C3312E" w:rsidRDefault="00C3312E" w:rsidP="00C3312E">
            <w:pPr>
              <w:spacing w:after="0" w:line="240" w:lineRule="auto"/>
              <w:jc w:val="center"/>
              <w:rPr>
                <w:sz w:val="20"/>
                <w:szCs w:val="20"/>
              </w:rPr>
            </w:pPr>
            <w:r w:rsidRPr="00C3312E">
              <w:rPr>
                <w:sz w:val="20"/>
                <w:szCs w:val="20"/>
              </w:rPr>
              <w:t>88%</w:t>
            </w:r>
          </w:p>
        </w:tc>
        <w:tc>
          <w:tcPr>
            <w:tcW w:w="900" w:type="dxa"/>
            <w:tcBorders>
              <w:top w:val="single" w:sz="4" w:space="0" w:color="auto"/>
              <w:bottom w:val="single" w:sz="4" w:space="0" w:color="auto"/>
              <w:right w:val="single" w:sz="4" w:space="0" w:color="auto"/>
            </w:tcBorders>
          </w:tcPr>
          <w:p w14:paraId="238ED8E9" w14:textId="77777777" w:rsidR="00C3312E" w:rsidRPr="00C3312E" w:rsidRDefault="00C3312E" w:rsidP="00C3312E">
            <w:pPr>
              <w:spacing w:after="0" w:line="240" w:lineRule="auto"/>
              <w:jc w:val="center"/>
              <w:rPr>
                <w:sz w:val="20"/>
                <w:szCs w:val="20"/>
              </w:rPr>
            </w:pPr>
            <w:r w:rsidRPr="00C3312E">
              <w:rPr>
                <w:sz w:val="20"/>
                <w:szCs w:val="20"/>
              </w:rPr>
              <w:t>-6%</w:t>
            </w:r>
          </w:p>
        </w:tc>
      </w:tr>
      <w:tr w:rsidR="00C3312E" w:rsidRPr="00C3312E" w14:paraId="248BF3F6" w14:textId="77777777" w:rsidTr="00A66217">
        <w:tc>
          <w:tcPr>
            <w:tcW w:w="2322" w:type="dxa"/>
            <w:tcBorders>
              <w:top w:val="single" w:sz="4" w:space="0" w:color="auto"/>
              <w:left w:val="single" w:sz="4" w:space="0" w:color="auto"/>
              <w:bottom w:val="single" w:sz="4" w:space="0" w:color="auto"/>
            </w:tcBorders>
          </w:tcPr>
          <w:p w14:paraId="1748DFBA" w14:textId="77777777" w:rsidR="00C3312E" w:rsidRPr="00C3312E" w:rsidRDefault="00C3312E" w:rsidP="00C3312E">
            <w:pPr>
              <w:spacing w:after="0" w:line="240" w:lineRule="auto"/>
              <w:rPr>
                <w:sz w:val="20"/>
                <w:szCs w:val="20"/>
              </w:rPr>
            </w:pPr>
            <w:r w:rsidRPr="00C3312E">
              <w:rPr>
                <w:sz w:val="20"/>
                <w:szCs w:val="20"/>
              </w:rPr>
              <w:t>Hispanic</w:t>
            </w:r>
          </w:p>
        </w:tc>
        <w:tc>
          <w:tcPr>
            <w:tcW w:w="661" w:type="dxa"/>
          </w:tcPr>
          <w:p w14:paraId="61BBA448" w14:textId="77777777" w:rsidR="00C3312E" w:rsidRPr="00C3312E" w:rsidRDefault="00C3312E" w:rsidP="00C3312E">
            <w:pPr>
              <w:spacing w:after="0" w:line="240" w:lineRule="auto"/>
              <w:jc w:val="center"/>
              <w:rPr>
                <w:sz w:val="20"/>
                <w:szCs w:val="20"/>
              </w:rPr>
            </w:pPr>
            <w:r w:rsidRPr="00C3312E">
              <w:rPr>
                <w:sz w:val="20"/>
                <w:szCs w:val="20"/>
              </w:rPr>
              <w:t>92%</w:t>
            </w:r>
          </w:p>
        </w:tc>
        <w:tc>
          <w:tcPr>
            <w:tcW w:w="662" w:type="dxa"/>
          </w:tcPr>
          <w:p w14:paraId="769A4375" w14:textId="77777777" w:rsidR="00C3312E" w:rsidRPr="00C3312E" w:rsidRDefault="00C3312E" w:rsidP="00C3312E">
            <w:pPr>
              <w:spacing w:after="0" w:line="240" w:lineRule="auto"/>
              <w:jc w:val="center"/>
              <w:rPr>
                <w:sz w:val="20"/>
                <w:szCs w:val="20"/>
              </w:rPr>
            </w:pPr>
            <w:r w:rsidRPr="00C3312E">
              <w:rPr>
                <w:sz w:val="20"/>
                <w:szCs w:val="20"/>
              </w:rPr>
              <w:t>78%</w:t>
            </w:r>
          </w:p>
        </w:tc>
        <w:tc>
          <w:tcPr>
            <w:tcW w:w="661" w:type="dxa"/>
          </w:tcPr>
          <w:p w14:paraId="171ACF86" w14:textId="77777777" w:rsidR="00C3312E" w:rsidRPr="00C3312E" w:rsidRDefault="00C3312E" w:rsidP="00C3312E">
            <w:pPr>
              <w:spacing w:after="0" w:line="240" w:lineRule="auto"/>
              <w:jc w:val="center"/>
              <w:rPr>
                <w:sz w:val="20"/>
                <w:szCs w:val="20"/>
              </w:rPr>
            </w:pPr>
            <w:r w:rsidRPr="00C3312E">
              <w:rPr>
                <w:sz w:val="20"/>
                <w:szCs w:val="20"/>
              </w:rPr>
              <w:t>78%</w:t>
            </w:r>
          </w:p>
        </w:tc>
        <w:tc>
          <w:tcPr>
            <w:tcW w:w="662" w:type="dxa"/>
          </w:tcPr>
          <w:p w14:paraId="7A98106F" w14:textId="77777777" w:rsidR="00C3312E" w:rsidRPr="00C3312E" w:rsidRDefault="00C3312E" w:rsidP="00C3312E">
            <w:pPr>
              <w:spacing w:after="0" w:line="240" w:lineRule="auto"/>
              <w:jc w:val="center"/>
              <w:rPr>
                <w:sz w:val="20"/>
                <w:szCs w:val="20"/>
              </w:rPr>
            </w:pPr>
            <w:r w:rsidRPr="00C3312E">
              <w:rPr>
                <w:sz w:val="20"/>
                <w:szCs w:val="20"/>
              </w:rPr>
              <w:t>77%</w:t>
            </w:r>
          </w:p>
        </w:tc>
        <w:tc>
          <w:tcPr>
            <w:tcW w:w="900" w:type="dxa"/>
            <w:tcBorders>
              <w:right w:val="single" w:sz="18" w:space="0" w:color="auto"/>
            </w:tcBorders>
          </w:tcPr>
          <w:p w14:paraId="36BB5A7A" w14:textId="77777777" w:rsidR="00C3312E" w:rsidRPr="00C3312E" w:rsidRDefault="00C3312E" w:rsidP="00C3312E">
            <w:pPr>
              <w:spacing w:after="0" w:line="240" w:lineRule="auto"/>
              <w:jc w:val="center"/>
              <w:rPr>
                <w:sz w:val="20"/>
                <w:szCs w:val="20"/>
              </w:rPr>
            </w:pPr>
            <w:r w:rsidRPr="00C3312E">
              <w:rPr>
                <w:sz w:val="20"/>
                <w:szCs w:val="20"/>
              </w:rPr>
              <w:t>-15%</w:t>
            </w:r>
          </w:p>
        </w:tc>
        <w:tc>
          <w:tcPr>
            <w:tcW w:w="697" w:type="dxa"/>
            <w:tcBorders>
              <w:top w:val="single" w:sz="4" w:space="0" w:color="auto"/>
              <w:left w:val="single" w:sz="18" w:space="0" w:color="auto"/>
              <w:bottom w:val="single" w:sz="4" w:space="0" w:color="auto"/>
            </w:tcBorders>
          </w:tcPr>
          <w:p w14:paraId="4C8AC061" w14:textId="77777777" w:rsidR="00C3312E" w:rsidRPr="00C3312E" w:rsidRDefault="00C3312E" w:rsidP="00C3312E">
            <w:pPr>
              <w:spacing w:after="0" w:line="240" w:lineRule="auto"/>
              <w:jc w:val="center"/>
              <w:rPr>
                <w:sz w:val="20"/>
                <w:szCs w:val="20"/>
              </w:rPr>
            </w:pPr>
            <w:r w:rsidRPr="00C3312E">
              <w:rPr>
                <w:sz w:val="20"/>
                <w:szCs w:val="20"/>
              </w:rPr>
              <w:t>64%</w:t>
            </w:r>
          </w:p>
        </w:tc>
        <w:tc>
          <w:tcPr>
            <w:tcW w:w="698" w:type="dxa"/>
          </w:tcPr>
          <w:p w14:paraId="02031CB6" w14:textId="77777777" w:rsidR="00C3312E" w:rsidRPr="00C3312E" w:rsidRDefault="00C3312E" w:rsidP="00C3312E">
            <w:pPr>
              <w:spacing w:after="0" w:line="240" w:lineRule="auto"/>
              <w:jc w:val="center"/>
              <w:rPr>
                <w:sz w:val="20"/>
                <w:szCs w:val="20"/>
              </w:rPr>
            </w:pPr>
            <w:r w:rsidRPr="00C3312E">
              <w:rPr>
                <w:sz w:val="20"/>
                <w:szCs w:val="20"/>
              </w:rPr>
              <w:t>61%</w:t>
            </w:r>
          </w:p>
        </w:tc>
        <w:tc>
          <w:tcPr>
            <w:tcW w:w="697" w:type="dxa"/>
          </w:tcPr>
          <w:p w14:paraId="4C7132EE" w14:textId="77777777" w:rsidR="00C3312E" w:rsidRPr="00C3312E" w:rsidRDefault="00C3312E" w:rsidP="00C3312E">
            <w:pPr>
              <w:spacing w:after="0" w:line="240" w:lineRule="auto"/>
              <w:jc w:val="center"/>
              <w:rPr>
                <w:sz w:val="20"/>
                <w:szCs w:val="20"/>
              </w:rPr>
            </w:pPr>
            <w:r w:rsidRPr="00C3312E">
              <w:rPr>
                <w:sz w:val="20"/>
                <w:szCs w:val="20"/>
              </w:rPr>
              <w:t>66%</w:t>
            </w:r>
          </w:p>
        </w:tc>
        <w:tc>
          <w:tcPr>
            <w:tcW w:w="698" w:type="dxa"/>
          </w:tcPr>
          <w:p w14:paraId="2DBBB2E0" w14:textId="77777777" w:rsidR="00C3312E" w:rsidRPr="00C3312E" w:rsidRDefault="00C3312E" w:rsidP="00C3312E">
            <w:pPr>
              <w:spacing w:after="0" w:line="240" w:lineRule="auto"/>
              <w:jc w:val="center"/>
              <w:rPr>
                <w:sz w:val="20"/>
                <w:szCs w:val="20"/>
              </w:rPr>
            </w:pPr>
            <w:r w:rsidRPr="00C3312E">
              <w:rPr>
                <w:sz w:val="20"/>
                <w:szCs w:val="20"/>
              </w:rPr>
              <w:t>59%</w:t>
            </w:r>
          </w:p>
        </w:tc>
        <w:tc>
          <w:tcPr>
            <w:tcW w:w="900" w:type="dxa"/>
            <w:tcBorders>
              <w:top w:val="single" w:sz="4" w:space="0" w:color="auto"/>
              <w:bottom w:val="single" w:sz="4" w:space="0" w:color="auto"/>
              <w:right w:val="single" w:sz="4" w:space="0" w:color="auto"/>
            </w:tcBorders>
          </w:tcPr>
          <w:p w14:paraId="14CA00C3" w14:textId="77777777" w:rsidR="00C3312E" w:rsidRPr="00C3312E" w:rsidRDefault="00C3312E" w:rsidP="00C3312E">
            <w:pPr>
              <w:spacing w:after="0" w:line="240" w:lineRule="auto"/>
              <w:jc w:val="center"/>
              <w:rPr>
                <w:sz w:val="20"/>
                <w:szCs w:val="20"/>
              </w:rPr>
            </w:pPr>
            <w:r w:rsidRPr="00C3312E">
              <w:rPr>
                <w:sz w:val="20"/>
                <w:szCs w:val="20"/>
              </w:rPr>
              <w:t>-5%</w:t>
            </w:r>
          </w:p>
        </w:tc>
      </w:tr>
      <w:tr w:rsidR="00C3312E" w:rsidRPr="00C3312E" w14:paraId="6FD2348E" w14:textId="77777777" w:rsidTr="00A66217">
        <w:tc>
          <w:tcPr>
            <w:tcW w:w="2322" w:type="dxa"/>
            <w:tcBorders>
              <w:top w:val="single" w:sz="4" w:space="0" w:color="auto"/>
              <w:left w:val="single" w:sz="4" w:space="0" w:color="auto"/>
              <w:bottom w:val="single" w:sz="4" w:space="0" w:color="auto"/>
            </w:tcBorders>
          </w:tcPr>
          <w:p w14:paraId="281AE3E8" w14:textId="77777777" w:rsidR="00C3312E" w:rsidRPr="00C3312E" w:rsidRDefault="00C3312E" w:rsidP="00C3312E">
            <w:pPr>
              <w:spacing w:after="0" w:line="240" w:lineRule="auto"/>
              <w:rPr>
                <w:sz w:val="20"/>
                <w:szCs w:val="20"/>
              </w:rPr>
            </w:pPr>
            <w:r w:rsidRPr="00C3312E">
              <w:rPr>
                <w:sz w:val="20"/>
                <w:szCs w:val="20"/>
              </w:rPr>
              <w:t>Multi-race</w:t>
            </w:r>
          </w:p>
        </w:tc>
        <w:tc>
          <w:tcPr>
            <w:tcW w:w="661" w:type="dxa"/>
          </w:tcPr>
          <w:p w14:paraId="2AA61652" w14:textId="77777777" w:rsidR="00C3312E" w:rsidRPr="00C3312E" w:rsidRDefault="00C3312E" w:rsidP="00C3312E">
            <w:pPr>
              <w:spacing w:after="0" w:line="240" w:lineRule="auto"/>
              <w:jc w:val="center"/>
              <w:rPr>
                <w:sz w:val="20"/>
                <w:szCs w:val="20"/>
              </w:rPr>
            </w:pPr>
            <w:r w:rsidRPr="00C3312E">
              <w:rPr>
                <w:sz w:val="20"/>
                <w:szCs w:val="20"/>
              </w:rPr>
              <w:t>--</w:t>
            </w:r>
          </w:p>
        </w:tc>
        <w:tc>
          <w:tcPr>
            <w:tcW w:w="662" w:type="dxa"/>
          </w:tcPr>
          <w:p w14:paraId="40B315DD" w14:textId="77777777" w:rsidR="00C3312E" w:rsidRPr="00C3312E" w:rsidRDefault="00C3312E" w:rsidP="00C3312E">
            <w:pPr>
              <w:spacing w:after="0" w:line="240" w:lineRule="auto"/>
              <w:jc w:val="center"/>
              <w:rPr>
                <w:sz w:val="20"/>
                <w:szCs w:val="20"/>
              </w:rPr>
            </w:pPr>
            <w:r w:rsidRPr="00C3312E">
              <w:rPr>
                <w:sz w:val="20"/>
                <w:szCs w:val="20"/>
              </w:rPr>
              <w:t>--</w:t>
            </w:r>
          </w:p>
        </w:tc>
        <w:tc>
          <w:tcPr>
            <w:tcW w:w="661" w:type="dxa"/>
          </w:tcPr>
          <w:p w14:paraId="315AA377" w14:textId="77777777" w:rsidR="00C3312E" w:rsidRPr="00C3312E" w:rsidRDefault="00C3312E" w:rsidP="00C3312E">
            <w:pPr>
              <w:spacing w:after="0" w:line="240" w:lineRule="auto"/>
              <w:jc w:val="center"/>
              <w:rPr>
                <w:sz w:val="18"/>
                <w:szCs w:val="18"/>
              </w:rPr>
            </w:pPr>
            <w:r w:rsidRPr="00C3312E">
              <w:rPr>
                <w:sz w:val="18"/>
                <w:szCs w:val="18"/>
              </w:rPr>
              <w:t>100%</w:t>
            </w:r>
          </w:p>
        </w:tc>
        <w:tc>
          <w:tcPr>
            <w:tcW w:w="662" w:type="dxa"/>
          </w:tcPr>
          <w:p w14:paraId="7D3DE072" w14:textId="77777777" w:rsidR="00C3312E" w:rsidRPr="00C3312E" w:rsidRDefault="00C3312E" w:rsidP="00C3312E">
            <w:pPr>
              <w:spacing w:after="0" w:line="240" w:lineRule="auto"/>
              <w:jc w:val="center"/>
              <w:rPr>
                <w:sz w:val="20"/>
                <w:szCs w:val="20"/>
              </w:rPr>
            </w:pPr>
            <w:r w:rsidRPr="00C3312E">
              <w:rPr>
                <w:sz w:val="20"/>
                <w:szCs w:val="20"/>
              </w:rPr>
              <w:t>87%</w:t>
            </w:r>
          </w:p>
        </w:tc>
        <w:tc>
          <w:tcPr>
            <w:tcW w:w="900" w:type="dxa"/>
            <w:tcBorders>
              <w:right w:val="single" w:sz="18" w:space="0" w:color="auto"/>
            </w:tcBorders>
          </w:tcPr>
          <w:p w14:paraId="49D87BE9" w14:textId="77777777" w:rsidR="00C3312E" w:rsidRPr="00C3312E" w:rsidRDefault="00C3312E" w:rsidP="00C3312E">
            <w:pPr>
              <w:spacing w:after="0" w:line="240" w:lineRule="auto"/>
              <w:jc w:val="center"/>
              <w:rPr>
                <w:sz w:val="20"/>
                <w:szCs w:val="20"/>
              </w:rPr>
            </w:pPr>
            <w:r w:rsidRPr="00C3312E">
              <w:rPr>
                <w:sz w:val="20"/>
                <w:szCs w:val="20"/>
              </w:rPr>
              <w:t>--</w:t>
            </w:r>
          </w:p>
        </w:tc>
        <w:tc>
          <w:tcPr>
            <w:tcW w:w="697" w:type="dxa"/>
            <w:tcBorders>
              <w:top w:val="single" w:sz="4" w:space="0" w:color="auto"/>
              <w:left w:val="single" w:sz="18" w:space="0" w:color="auto"/>
              <w:bottom w:val="single" w:sz="4" w:space="0" w:color="auto"/>
            </w:tcBorders>
          </w:tcPr>
          <w:p w14:paraId="11167549" w14:textId="77777777" w:rsidR="00C3312E" w:rsidRPr="00C3312E" w:rsidRDefault="00C3312E" w:rsidP="00C3312E">
            <w:pPr>
              <w:spacing w:after="0" w:line="240" w:lineRule="auto"/>
              <w:jc w:val="center"/>
              <w:rPr>
                <w:sz w:val="20"/>
                <w:szCs w:val="20"/>
              </w:rPr>
            </w:pPr>
            <w:r w:rsidRPr="00C3312E">
              <w:rPr>
                <w:sz w:val="20"/>
                <w:szCs w:val="20"/>
              </w:rPr>
              <w:t>--</w:t>
            </w:r>
          </w:p>
        </w:tc>
        <w:tc>
          <w:tcPr>
            <w:tcW w:w="698" w:type="dxa"/>
          </w:tcPr>
          <w:p w14:paraId="259E2A9E" w14:textId="77777777" w:rsidR="00C3312E" w:rsidRPr="00C3312E" w:rsidRDefault="00C3312E" w:rsidP="00C3312E">
            <w:pPr>
              <w:spacing w:after="0" w:line="240" w:lineRule="auto"/>
              <w:jc w:val="center"/>
              <w:rPr>
                <w:sz w:val="20"/>
                <w:szCs w:val="20"/>
              </w:rPr>
            </w:pPr>
            <w:r w:rsidRPr="00C3312E">
              <w:rPr>
                <w:sz w:val="20"/>
                <w:szCs w:val="20"/>
              </w:rPr>
              <w:t>--</w:t>
            </w:r>
          </w:p>
        </w:tc>
        <w:tc>
          <w:tcPr>
            <w:tcW w:w="697" w:type="dxa"/>
          </w:tcPr>
          <w:p w14:paraId="3FD5B29C" w14:textId="77777777" w:rsidR="00C3312E" w:rsidRPr="00C3312E" w:rsidRDefault="00C3312E" w:rsidP="00C3312E">
            <w:pPr>
              <w:spacing w:after="0" w:line="240" w:lineRule="auto"/>
              <w:jc w:val="center"/>
              <w:rPr>
                <w:sz w:val="20"/>
                <w:szCs w:val="20"/>
              </w:rPr>
            </w:pPr>
            <w:r w:rsidRPr="00C3312E">
              <w:rPr>
                <w:sz w:val="20"/>
                <w:szCs w:val="20"/>
              </w:rPr>
              <w:t>95%</w:t>
            </w:r>
          </w:p>
        </w:tc>
        <w:tc>
          <w:tcPr>
            <w:tcW w:w="698" w:type="dxa"/>
          </w:tcPr>
          <w:p w14:paraId="0431E1E4" w14:textId="77777777" w:rsidR="00C3312E" w:rsidRPr="00C3312E" w:rsidRDefault="00C3312E" w:rsidP="00C3312E">
            <w:pPr>
              <w:spacing w:after="0" w:line="240" w:lineRule="auto"/>
              <w:jc w:val="center"/>
              <w:rPr>
                <w:sz w:val="20"/>
                <w:szCs w:val="20"/>
              </w:rPr>
            </w:pPr>
            <w:r w:rsidRPr="00C3312E">
              <w:rPr>
                <w:sz w:val="20"/>
                <w:szCs w:val="20"/>
              </w:rPr>
              <w:t>87%</w:t>
            </w:r>
          </w:p>
        </w:tc>
        <w:tc>
          <w:tcPr>
            <w:tcW w:w="900" w:type="dxa"/>
            <w:tcBorders>
              <w:top w:val="single" w:sz="4" w:space="0" w:color="auto"/>
              <w:bottom w:val="single" w:sz="4" w:space="0" w:color="auto"/>
              <w:right w:val="single" w:sz="4" w:space="0" w:color="auto"/>
            </w:tcBorders>
          </w:tcPr>
          <w:p w14:paraId="08B3ABCB" w14:textId="77777777" w:rsidR="00C3312E" w:rsidRPr="00C3312E" w:rsidRDefault="00C3312E" w:rsidP="00C3312E">
            <w:pPr>
              <w:spacing w:after="0" w:line="240" w:lineRule="auto"/>
              <w:jc w:val="center"/>
              <w:rPr>
                <w:sz w:val="20"/>
                <w:szCs w:val="20"/>
              </w:rPr>
            </w:pPr>
            <w:r w:rsidRPr="00C3312E">
              <w:rPr>
                <w:sz w:val="20"/>
                <w:szCs w:val="20"/>
              </w:rPr>
              <w:t>--</w:t>
            </w:r>
          </w:p>
        </w:tc>
      </w:tr>
      <w:tr w:rsidR="00C3312E" w:rsidRPr="00C3312E" w14:paraId="09BF9E9D" w14:textId="77777777" w:rsidTr="00A66217">
        <w:tc>
          <w:tcPr>
            <w:tcW w:w="2322" w:type="dxa"/>
            <w:tcBorders>
              <w:top w:val="single" w:sz="4" w:space="0" w:color="auto"/>
              <w:left w:val="single" w:sz="4" w:space="0" w:color="auto"/>
              <w:bottom w:val="single" w:sz="4" w:space="0" w:color="auto"/>
            </w:tcBorders>
          </w:tcPr>
          <w:p w14:paraId="6E37130F" w14:textId="77777777" w:rsidR="00C3312E" w:rsidRPr="00C3312E" w:rsidRDefault="00C3312E" w:rsidP="00C3312E">
            <w:pPr>
              <w:spacing w:after="0" w:line="240" w:lineRule="auto"/>
              <w:rPr>
                <w:sz w:val="20"/>
                <w:szCs w:val="20"/>
              </w:rPr>
            </w:pPr>
            <w:r w:rsidRPr="00C3312E">
              <w:rPr>
                <w:sz w:val="20"/>
                <w:szCs w:val="20"/>
              </w:rPr>
              <w:t>White</w:t>
            </w:r>
          </w:p>
        </w:tc>
        <w:tc>
          <w:tcPr>
            <w:tcW w:w="661" w:type="dxa"/>
          </w:tcPr>
          <w:p w14:paraId="51E320CE" w14:textId="77777777" w:rsidR="00C3312E" w:rsidRPr="00C3312E" w:rsidRDefault="00C3312E" w:rsidP="00C3312E">
            <w:pPr>
              <w:spacing w:after="0" w:line="240" w:lineRule="auto"/>
              <w:jc w:val="center"/>
              <w:rPr>
                <w:sz w:val="20"/>
                <w:szCs w:val="20"/>
              </w:rPr>
            </w:pPr>
            <w:r w:rsidRPr="00C3312E">
              <w:rPr>
                <w:sz w:val="20"/>
                <w:szCs w:val="20"/>
              </w:rPr>
              <w:t>97%</w:t>
            </w:r>
          </w:p>
        </w:tc>
        <w:tc>
          <w:tcPr>
            <w:tcW w:w="662" w:type="dxa"/>
          </w:tcPr>
          <w:p w14:paraId="116E7081" w14:textId="77777777" w:rsidR="00C3312E" w:rsidRPr="00C3312E" w:rsidRDefault="00C3312E" w:rsidP="00C3312E">
            <w:pPr>
              <w:spacing w:after="0" w:line="240" w:lineRule="auto"/>
              <w:jc w:val="center"/>
              <w:rPr>
                <w:sz w:val="20"/>
                <w:szCs w:val="20"/>
              </w:rPr>
            </w:pPr>
            <w:r w:rsidRPr="00C3312E">
              <w:rPr>
                <w:sz w:val="20"/>
                <w:szCs w:val="20"/>
              </w:rPr>
              <w:t>97%</w:t>
            </w:r>
          </w:p>
        </w:tc>
        <w:tc>
          <w:tcPr>
            <w:tcW w:w="661" w:type="dxa"/>
          </w:tcPr>
          <w:p w14:paraId="54DECD65" w14:textId="77777777" w:rsidR="00C3312E" w:rsidRPr="00C3312E" w:rsidRDefault="00C3312E" w:rsidP="00C3312E">
            <w:pPr>
              <w:spacing w:after="0" w:line="240" w:lineRule="auto"/>
              <w:jc w:val="center"/>
              <w:rPr>
                <w:sz w:val="20"/>
                <w:szCs w:val="20"/>
              </w:rPr>
            </w:pPr>
            <w:r w:rsidRPr="00C3312E">
              <w:rPr>
                <w:sz w:val="20"/>
                <w:szCs w:val="20"/>
              </w:rPr>
              <w:t>94%</w:t>
            </w:r>
          </w:p>
        </w:tc>
        <w:tc>
          <w:tcPr>
            <w:tcW w:w="662" w:type="dxa"/>
          </w:tcPr>
          <w:p w14:paraId="027A6EF1" w14:textId="77777777" w:rsidR="00C3312E" w:rsidRPr="00C3312E" w:rsidRDefault="00C3312E" w:rsidP="00C3312E">
            <w:pPr>
              <w:spacing w:after="0" w:line="240" w:lineRule="auto"/>
              <w:jc w:val="center"/>
              <w:rPr>
                <w:sz w:val="20"/>
                <w:szCs w:val="20"/>
              </w:rPr>
            </w:pPr>
            <w:r w:rsidRPr="00C3312E">
              <w:rPr>
                <w:sz w:val="20"/>
                <w:szCs w:val="20"/>
              </w:rPr>
              <w:t>93%</w:t>
            </w:r>
          </w:p>
        </w:tc>
        <w:tc>
          <w:tcPr>
            <w:tcW w:w="900" w:type="dxa"/>
            <w:tcBorders>
              <w:right w:val="single" w:sz="18" w:space="0" w:color="auto"/>
            </w:tcBorders>
          </w:tcPr>
          <w:p w14:paraId="2DFEBF76" w14:textId="77777777" w:rsidR="00C3312E" w:rsidRPr="00C3312E" w:rsidRDefault="00C3312E" w:rsidP="00C3312E">
            <w:pPr>
              <w:spacing w:after="0" w:line="240" w:lineRule="auto"/>
              <w:jc w:val="center"/>
              <w:rPr>
                <w:sz w:val="20"/>
                <w:szCs w:val="20"/>
              </w:rPr>
            </w:pPr>
            <w:r w:rsidRPr="00C3312E">
              <w:rPr>
                <w:sz w:val="20"/>
                <w:szCs w:val="20"/>
              </w:rPr>
              <w:t>-4%</w:t>
            </w:r>
          </w:p>
        </w:tc>
        <w:tc>
          <w:tcPr>
            <w:tcW w:w="697" w:type="dxa"/>
            <w:tcBorders>
              <w:top w:val="single" w:sz="4" w:space="0" w:color="auto"/>
              <w:left w:val="single" w:sz="18" w:space="0" w:color="auto"/>
              <w:bottom w:val="single" w:sz="4" w:space="0" w:color="auto"/>
            </w:tcBorders>
          </w:tcPr>
          <w:p w14:paraId="2103D648" w14:textId="77777777" w:rsidR="00C3312E" w:rsidRPr="00C3312E" w:rsidRDefault="00C3312E" w:rsidP="00C3312E">
            <w:pPr>
              <w:spacing w:after="0" w:line="240" w:lineRule="auto"/>
              <w:jc w:val="center"/>
              <w:rPr>
                <w:sz w:val="20"/>
                <w:szCs w:val="20"/>
              </w:rPr>
            </w:pPr>
            <w:r w:rsidRPr="00C3312E">
              <w:rPr>
                <w:sz w:val="20"/>
                <w:szCs w:val="20"/>
              </w:rPr>
              <w:t>94%</w:t>
            </w:r>
          </w:p>
        </w:tc>
        <w:tc>
          <w:tcPr>
            <w:tcW w:w="698" w:type="dxa"/>
          </w:tcPr>
          <w:p w14:paraId="2B404C6B" w14:textId="77777777" w:rsidR="00C3312E" w:rsidRPr="00C3312E" w:rsidRDefault="00C3312E" w:rsidP="00C3312E">
            <w:pPr>
              <w:spacing w:after="0" w:line="240" w:lineRule="auto"/>
              <w:jc w:val="center"/>
              <w:rPr>
                <w:sz w:val="20"/>
                <w:szCs w:val="20"/>
              </w:rPr>
            </w:pPr>
            <w:r w:rsidRPr="00C3312E">
              <w:rPr>
                <w:sz w:val="20"/>
                <w:szCs w:val="20"/>
              </w:rPr>
              <w:t>90%</w:t>
            </w:r>
          </w:p>
        </w:tc>
        <w:tc>
          <w:tcPr>
            <w:tcW w:w="697" w:type="dxa"/>
          </w:tcPr>
          <w:p w14:paraId="5CC06A8E" w14:textId="77777777" w:rsidR="00C3312E" w:rsidRPr="00C3312E" w:rsidRDefault="00C3312E" w:rsidP="00C3312E">
            <w:pPr>
              <w:spacing w:after="0" w:line="240" w:lineRule="auto"/>
              <w:jc w:val="center"/>
              <w:rPr>
                <w:sz w:val="20"/>
                <w:szCs w:val="20"/>
              </w:rPr>
            </w:pPr>
            <w:r w:rsidRPr="00C3312E">
              <w:rPr>
                <w:sz w:val="20"/>
                <w:szCs w:val="20"/>
              </w:rPr>
              <w:t>90%</w:t>
            </w:r>
          </w:p>
        </w:tc>
        <w:tc>
          <w:tcPr>
            <w:tcW w:w="698" w:type="dxa"/>
          </w:tcPr>
          <w:p w14:paraId="5CC4A094" w14:textId="77777777" w:rsidR="00C3312E" w:rsidRPr="00C3312E" w:rsidRDefault="00C3312E" w:rsidP="00C3312E">
            <w:pPr>
              <w:spacing w:after="0" w:line="240" w:lineRule="auto"/>
              <w:jc w:val="center"/>
              <w:rPr>
                <w:sz w:val="20"/>
                <w:szCs w:val="20"/>
              </w:rPr>
            </w:pPr>
            <w:r w:rsidRPr="00C3312E">
              <w:rPr>
                <w:sz w:val="20"/>
                <w:szCs w:val="20"/>
              </w:rPr>
              <w:t>89%</w:t>
            </w:r>
          </w:p>
        </w:tc>
        <w:tc>
          <w:tcPr>
            <w:tcW w:w="900" w:type="dxa"/>
            <w:tcBorders>
              <w:top w:val="single" w:sz="4" w:space="0" w:color="auto"/>
              <w:bottom w:val="single" w:sz="4" w:space="0" w:color="auto"/>
              <w:right w:val="single" w:sz="4" w:space="0" w:color="auto"/>
            </w:tcBorders>
          </w:tcPr>
          <w:p w14:paraId="7E51232E" w14:textId="77777777" w:rsidR="00C3312E" w:rsidRPr="00C3312E" w:rsidRDefault="00C3312E" w:rsidP="00C3312E">
            <w:pPr>
              <w:spacing w:after="0" w:line="240" w:lineRule="auto"/>
              <w:jc w:val="center"/>
              <w:rPr>
                <w:sz w:val="20"/>
                <w:szCs w:val="20"/>
              </w:rPr>
            </w:pPr>
            <w:r w:rsidRPr="00C3312E">
              <w:rPr>
                <w:sz w:val="20"/>
                <w:szCs w:val="20"/>
              </w:rPr>
              <w:t>-5%</w:t>
            </w:r>
          </w:p>
        </w:tc>
      </w:tr>
      <w:tr w:rsidR="0001674A" w:rsidRPr="00C3312E" w14:paraId="5ADA87AD" w14:textId="77777777" w:rsidTr="00A66217">
        <w:tc>
          <w:tcPr>
            <w:tcW w:w="2322" w:type="dxa"/>
            <w:tcBorders>
              <w:top w:val="single" w:sz="4" w:space="0" w:color="auto"/>
              <w:left w:val="single" w:sz="4" w:space="0" w:color="auto"/>
              <w:bottom w:val="single" w:sz="4" w:space="0" w:color="auto"/>
            </w:tcBorders>
          </w:tcPr>
          <w:p w14:paraId="38843CD6" w14:textId="218F872B" w:rsidR="0001674A" w:rsidRPr="00C3312E" w:rsidRDefault="0001674A" w:rsidP="0001674A">
            <w:pPr>
              <w:spacing w:after="0" w:line="240" w:lineRule="auto"/>
              <w:rPr>
                <w:sz w:val="20"/>
                <w:szCs w:val="20"/>
              </w:rPr>
            </w:pPr>
            <w:r w:rsidRPr="00C3312E">
              <w:rPr>
                <w:sz w:val="20"/>
                <w:szCs w:val="20"/>
              </w:rPr>
              <w:t>High Needs</w:t>
            </w:r>
          </w:p>
        </w:tc>
        <w:tc>
          <w:tcPr>
            <w:tcW w:w="661" w:type="dxa"/>
          </w:tcPr>
          <w:p w14:paraId="441EA932" w14:textId="1A414873" w:rsidR="0001674A" w:rsidRPr="00C3312E" w:rsidRDefault="0001674A" w:rsidP="0001674A">
            <w:pPr>
              <w:spacing w:after="0" w:line="240" w:lineRule="auto"/>
              <w:jc w:val="center"/>
              <w:rPr>
                <w:sz w:val="20"/>
                <w:szCs w:val="20"/>
              </w:rPr>
            </w:pPr>
            <w:r w:rsidRPr="00C3312E">
              <w:rPr>
                <w:sz w:val="20"/>
                <w:szCs w:val="20"/>
              </w:rPr>
              <w:t>89%</w:t>
            </w:r>
          </w:p>
        </w:tc>
        <w:tc>
          <w:tcPr>
            <w:tcW w:w="662" w:type="dxa"/>
          </w:tcPr>
          <w:p w14:paraId="674DB9A1" w14:textId="558536B9" w:rsidR="0001674A" w:rsidRPr="00C3312E" w:rsidRDefault="0001674A" w:rsidP="0001674A">
            <w:pPr>
              <w:spacing w:after="0" w:line="240" w:lineRule="auto"/>
              <w:jc w:val="center"/>
              <w:rPr>
                <w:sz w:val="20"/>
                <w:szCs w:val="20"/>
              </w:rPr>
            </w:pPr>
            <w:r w:rsidRPr="00C3312E">
              <w:rPr>
                <w:sz w:val="20"/>
                <w:szCs w:val="20"/>
              </w:rPr>
              <w:t>81%</w:t>
            </w:r>
          </w:p>
        </w:tc>
        <w:tc>
          <w:tcPr>
            <w:tcW w:w="661" w:type="dxa"/>
          </w:tcPr>
          <w:p w14:paraId="2BD746DB" w14:textId="729133F7" w:rsidR="0001674A" w:rsidRPr="00C3312E" w:rsidRDefault="0001674A" w:rsidP="0001674A">
            <w:pPr>
              <w:spacing w:after="0" w:line="240" w:lineRule="auto"/>
              <w:jc w:val="center"/>
              <w:rPr>
                <w:sz w:val="20"/>
                <w:szCs w:val="20"/>
              </w:rPr>
            </w:pPr>
            <w:r w:rsidRPr="00C3312E">
              <w:rPr>
                <w:sz w:val="20"/>
                <w:szCs w:val="20"/>
              </w:rPr>
              <w:t>79%</w:t>
            </w:r>
          </w:p>
        </w:tc>
        <w:tc>
          <w:tcPr>
            <w:tcW w:w="662" w:type="dxa"/>
          </w:tcPr>
          <w:p w14:paraId="7CC61293" w14:textId="478385FD" w:rsidR="0001674A" w:rsidRPr="00C3312E" w:rsidRDefault="0001674A" w:rsidP="0001674A">
            <w:pPr>
              <w:spacing w:after="0" w:line="240" w:lineRule="auto"/>
              <w:jc w:val="center"/>
              <w:rPr>
                <w:sz w:val="20"/>
                <w:szCs w:val="20"/>
              </w:rPr>
            </w:pPr>
            <w:r w:rsidRPr="00C3312E">
              <w:rPr>
                <w:sz w:val="20"/>
                <w:szCs w:val="20"/>
              </w:rPr>
              <w:t>76%</w:t>
            </w:r>
          </w:p>
        </w:tc>
        <w:tc>
          <w:tcPr>
            <w:tcW w:w="900" w:type="dxa"/>
            <w:tcBorders>
              <w:right w:val="single" w:sz="18" w:space="0" w:color="auto"/>
            </w:tcBorders>
          </w:tcPr>
          <w:p w14:paraId="55C39B7F" w14:textId="1BB80D1C" w:rsidR="0001674A" w:rsidRPr="00C3312E" w:rsidRDefault="0001674A" w:rsidP="0001674A">
            <w:pPr>
              <w:spacing w:after="0" w:line="240" w:lineRule="auto"/>
              <w:jc w:val="center"/>
              <w:rPr>
                <w:sz w:val="20"/>
                <w:szCs w:val="20"/>
              </w:rPr>
            </w:pPr>
            <w:r w:rsidRPr="00C3312E">
              <w:rPr>
                <w:sz w:val="20"/>
                <w:szCs w:val="20"/>
              </w:rPr>
              <w:t>-13%</w:t>
            </w:r>
          </w:p>
        </w:tc>
        <w:tc>
          <w:tcPr>
            <w:tcW w:w="697" w:type="dxa"/>
            <w:tcBorders>
              <w:top w:val="single" w:sz="4" w:space="0" w:color="auto"/>
              <w:left w:val="single" w:sz="18" w:space="0" w:color="auto"/>
              <w:bottom w:val="single" w:sz="4" w:space="0" w:color="auto"/>
            </w:tcBorders>
          </w:tcPr>
          <w:p w14:paraId="4C3127FC" w14:textId="7EDBA89C" w:rsidR="0001674A" w:rsidRPr="00C3312E" w:rsidRDefault="0001674A" w:rsidP="0001674A">
            <w:pPr>
              <w:spacing w:after="0" w:line="240" w:lineRule="auto"/>
              <w:jc w:val="center"/>
              <w:rPr>
                <w:sz w:val="20"/>
                <w:szCs w:val="20"/>
              </w:rPr>
            </w:pPr>
            <w:r w:rsidRPr="00C3312E">
              <w:rPr>
                <w:sz w:val="20"/>
                <w:szCs w:val="20"/>
              </w:rPr>
              <w:t>68%</w:t>
            </w:r>
          </w:p>
        </w:tc>
        <w:tc>
          <w:tcPr>
            <w:tcW w:w="698" w:type="dxa"/>
          </w:tcPr>
          <w:p w14:paraId="14D7C804" w14:textId="4BE066C7" w:rsidR="0001674A" w:rsidRPr="00C3312E" w:rsidRDefault="0001674A" w:rsidP="0001674A">
            <w:pPr>
              <w:spacing w:after="0" w:line="240" w:lineRule="auto"/>
              <w:jc w:val="center"/>
              <w:rPr>
                <w:sz w:val="20"/>
                <w:szCs w:val="20"/>
              </w:rPr>
            </w:pPr>
            <w:r w:rsidRPr="00C3312E">
              <w:rPr>
                <w:sz w:val="20"/>
                <w:szCs w:val="20"/>
              </w:rPr>
              <w:t>62%</w:t>
            </w:r>
          </w:p>
        </w:tc>
        <w:tc>
          <w:tcPr>
            <w:tcW w:w="697" w:type="dxa"/>
          </w:tcPr>
          <w:p w14:paraId="3520F049" w14:textId="7AD3AEBD" w:rsidR="0001674A" w:rsidRPr="00C3312E" w:rsidRDefault="0001674A" w:rsidP="0001674A">
            <w:pPr>
              <w:spacing w:after="0" w:line="240" w:lineRule="auto"/>
              <w:jc w:val="center"/>
              <w:rPr>
                <w:sz w:val="20"/>
                <w:szCs w:val="20"/>
              </w:rPr>
            </w:pPr>
            <w:r w:rsidRPr="00C3312E">
              <w:rPr>
                <w:sz w:val="20"/>
                <w:szCs w:val="20"/>
              </w:rPr>
              <w:t>66%</w:t>
            </w:r>
          </w:p>
        </w:tc>
        <w:tc>
          <w:tcPr>
            <w:tcW w:w="698" w:type="dxa"/>
          </w:tcPr>
          <w:p w14:paraId="4BAEE827" w14:textId="25E38FAF" w:rsidR="0001674A" w:rsidRPr="00C3312E" w:rsidRDefault="0001674A" w:rsidP="0001674A">
            <w:pPr>
              <w:spacing w:after="0" w:line="240" w:lineRule="auto"/>
              <w:jc w:val="center"/>
              <w:rPr>
                <w:sz w:val="20"/>
                <w:szCs w:val="20"/>
              </w:rPr>
            </w:pPr>
            <w:r w:rsidRPr="00C3312E">
              <w:rPr>
                <w:sz w:val="20"/>
                <w:szCs w:val="20"/>
              </w:rPr>
              <w:t>60%</w:t>
            </w:r>
          </w:p>
        </w:tc>
        <w:tc>
          <w:tcPr>
            <w:tcW w:w="900" w:type="dxa"/>
            <w:tcBorders>
              <w:top w:val="single" w:sz="4" w:space="0" w:color="auto"/>
              <w:bottom w:val="single" w:sz="4" w:space="0" w:color="auto"/>
              <w:right w:val="single" w:sz="4" w:space="0" w:color="auto"/>
            </w:tcBorders>
          </w:tcPr>
          <w:p w14:paraId="100CEC86" w14:textId="260BEC57" w:rsidR="0001674A" w:rsidRPr="00C3312E" w:rsidRDefault="0001674A" w:rsidP="0001674A">
            <w:pPr>
              <w:spacing w:after="0" w:line="240" w:lineRule="auto"/>
              <w:jc w:val="center"/>
              <w:rPr>
                <w:sz w:val="20"/>
                <w:szCs w:val="20"/>
              </w:rPr>
            </w:pPr>
            <w:r w:rsidRPr="00C3312E">
              <w:rPr>
                <w:sz w:val="20"/>
                <w:szCs w:val="20"/>
              </w:rPr>
              <w:t>-8%</w:t>
            </w:r>
          </w:p>
        </w:tc>
      </w:tr>
      <w:tr w:rsidR="0001674A" w:rsidRPr="00C3312E" w14:paraId="3B4234FA" w14:textId="77777777" w:rsidTr="00A66217">
        <w:tc>
          <w:tcPr>
            <w:tcW w:w="2322" w:type="dxa"/>
            <w:tcBorders>
              <w:top w:val="single" w:sz="4" w:space="0" w:color="auto"/>
              <w:left w:val="single" w:sz="4" w:space="0" w:color="auto"/>
              <w:bottom w:val="single" w:sz="4" w:space="0" w:color="auto"/>
            </w:tcBorders>
          </w:tcPr>
          <w:p w14:paraId="0E1554D2" w14:textId="32768F30" w:rsidR="0001674A" w:rsidRPr="00C3312E" w:rsidRDefault="0001674A" w:rsidP="0001674A">
            <w:pPr>
              <w:spacing w:after="0" w:line="240" w:lineRule="auto"/>
              <w:rPr>
                <w:sz w:val="20"/>
                <w:szCs w:val="20"/>
              </w:rPr>
            </w:pPr>
            <w:r w:rsidRPr="00C3312E">
              <w:rPr>
                <w:sz w:val="20"/>
                <w:szCs w:val="20"/>
              </w:rPr>
              <w:t>Econ. Dis.</w:t>
            </w:r>
          </w:p>
        </w:tc>
        <w:tc>
          <w:tcPr>
            <w:tcW w:w="661" w:type="dxa"/>
          </w:tcPr>
          <w:p w14:paraId="6363A4F9" w14:textId="095FE627" w:rsidR="0001674A" w:rsidRPr="00C3312E" w:rsidRDefault="0001674A" w:rsidP="0001674A">
            <w:pPr>
              <w:spacing w:after="0" w:line="240" w:lineRule="auto"/>
              <w:jc w:val="center"/>
              <w:rPr>
                <w:sz w:val="20"/>
                <w:szCs w:val="20"/>
              </w:rPr>
            </w:pPr>
            <w:r w:rsidRPr="00C3312E">
              <w:rPr>
                <w:sz w:val="20"/>
                <w:szCs w:val="20"/>
              </w:rPr>
              <w:t>93%</w:t>
            </w:r>
          </w:p>
        </w:tc>
        <w:tc>
          <w:tcPr>
            <w:tcW w:w="662" w:type="dxa"/>
          </w:tcPr>
          <w:p w14:paraId="00BCD681" w14:textId="3F0D251C" w:rsidR="0001674A" w:rsidRPr="00C3312E" w:rsidRDefault="0001674A" w:rsidP="0001674A">
            <w:pPr>
              <w:spacing w:after="0" w:line="240" w:lineRule="auto"/>
              <w:jc w:val="center"/>
              <w:rPr>
                <w:sz w:val="20"/>
                <w:szCs w:val="20"/>
              </w:rPr>
            </w:pPr>
            <w:r w:rsidRPr="00C3312E">
              <w:rPr>
                <w:sz w:val="20"/>
                <w:szCs w:val="20"/>
              </w:rPr>
              <w:t>81%</w:t>
            </w:r>
          </w:p>
        </w:tc>
        <w:tc>
          <w:tcPr>
            <w:tcW w:w="661" w:type="dxa"/>
          </w:tcPr>
          <w:p w14:paraId="677DB182" w14:textId="76556CD3" w:rsidR="0001674A" w:rsidRPr="00C3312E" w:rsidRDefault="0001674A" w:rsidP="0001674A">
            <w:pPr>
              <w:spacing w:after="0" w:line="240" w:lineRule="auto"/>
              <w:jc w:val="center"/>
              <w:rPr>
                <w:sz w:val="20"/>
                <w:szCs w:val="20"/>
              </w:rPr>
            </w:pPr>
            <w:r w:rsidRPr="00C3312E">
              <w:rPr>
                <w:sz w:val="20"/>
                <w:szCs w:val="20"/>
              </w:rPr>
              <w:t>81%</w:t>
            </w:r>
          </w:p>
        </w:tc>
        <w:tc>
          <w:tcPr>
            <w:tcW w:w="662" w:type="dxa"/>
          </w:tcPr>
          <w:p w14:paraId="5C0FAD3B" w14:textId="463CC9B2" w:rsidR="0001674A" w:rsidRPr="00C3312E" w:rsidRDefault="0001674A" w:rsidP="0001674A">
            <w:pPr>
              <w:spacing w:after="0" w:line="240" w:lineRule="auto"/>
              <w:jc w:val="center"/>
              <w:rPr>
                <w:sz w:val="20"/>
                <w:szCs w:val="20"/>
              </w:rPr>
            </w:pPr>
            <w:r w:rsidRPr="00C3312E">
              <w:rPr>
                <w:sz w:val="20"/>
                <w:szCs w:val="20"/>
              </w:rPr>
              <w:t>74%</w:t>
            </w:r>
          </w:p>
        </w:tc>
        <w:tc>
          <w:tcPr>
            <w:tcW w:w="900" w:type="dxa"/>
            <w:tcBorders>
              <w:right w:val="single" w:sz="18" w:space="0" w:color="auto"/>
            </w:tcBorders>
          </w:tcPr>
          <w:p w14:paraId="6075900A" w14:textId="251292FF" w:rsidR="0001674A" w:rsidRPr="00C3312E" w:rsidRDefault="0001674A" w:rsidP="0001674A">
            <w:pPr>
              <w:spacing w:after="0" w:line="240" w:lineRule="auto"/>
              <w:jc w:val="center"/>
              <w:rPr>
                <w:sz w:val="20"/>
                <w:szCs w:val="20"/>
              </w:rPr>
            </w:pPr>
            <w:r w:rsidRPr="00C3312E">
              <w:rPr>
                <w:sz w:val="20"/>
                <w:szCs w:val="20"/>
              </w:rPr>
              <w:t>-19%</w:t>
            </w:r>
          </w:p>
        </w:tc>
        <w:tc>
          <w:tcPr>
            <w:tcW w:w="697" w:type="dxa"/>
            <w:tcBorders>
              <w:top w:val="single" w:sz="4" w:space="0" w:color="auto"/>
              <w:left w:val="single" w:sz="18" w:space="0" w:color="auto"/>
              <w:bottom w:val="single" w:sz="4" w:space="0" w:color="auto"/>
            </w:tcBorders>
          </w:tcPr>
          <w:p w14:paraId="1923C725" w14:textId="549E189A" w:rsidR="0001674A" w:rsidRPr="00C3312E" w:rsidRDefault="0001674A" w:rsidP="0001674A">
            <w:pPr>
              <w:spacing w:after="0" w:line="240" w:lineRule="auto"/>
              <w:jc w:val="center"/>
              <w:rPr>
                <w:sz w:val="20"/>
                <w:szCs w:val="20"/>
              </w:rPr>
            </w:pPr>
            <w:r w:rsidRPr="00C3312E">
              <w:rPr>
                <w:sz w:val="20"/>
                <w:szCs w:val="20"/>
              </w:rPr>
              <w:t>75%</w:t>
            </w:r>
          </w:p>
        </w:tc>
        <w:tc>
          <w:tcPr>
            <w:tcW w:w="698" w:type="dxa"/>
          </w:tcPr>
          <w:p w14:paraId="0C9BA56B" w14:textId="5022AF3A" w:rsidR="0001674A" w:rsidRPr="00C3312E" w:rsidRDefault="0001674A" w:rsidP="0001674A">
            <w:pPr>
              <w:spacing w:after="0" w:line="240" w:lineRule="auto"/>
              <w:jc w:val="center"/>
              <w:rPr>
                <w:sz w:val="20"/>
                <w:szCs w:val="20"/>
              </w:rPr>
            </w:pPr>
            <w:r w:rsidRPr="00C3312E">
              <w:rPr>
                <w:sz w:val="20"/>
                <w:szCs w:val="20"/>
              </w:rPr>
              <w:t>63%</w:t>
            </w:r>
          </w:p>
        </w:tc>
        <w:tc>
          <w:tcPr>
            <w:tcW w:w="697" w:type="dxa"/>
          </w:tcPr>
          <w:p w14:paraId="4A25BE94" w14:textId="5DA91165" w:rsidR="0001674A" w:rsidRPr="00C3312E" w:rsidRDefault="0001674A" w:rsidP="0001674A">
            <w:pPr>
              <w:spacing w:after="0" w:line="240" w:lineRule="auto"/>
              <w:jc w:val="center"/>
              <w:rPr>
                <w:sz w:val="20"/>
                <w:szCs w:val="20"/>
              </w:rPr>
            </w:pPr>
            <w:r w:rsidRPr="00C3312E">
              <w:rPr>
                <w:sz w:val="20"/>
                <w:szCs w:val="20"/>
              </w:rPr>
              <w:t>70%</w:t>
            </w:r>
          </w:p>
        </w:tc>
        <w:tc>
          <w:tcPr>
            <w:tcW w:w="698" w:type="dxa"/>
          </w:tcPr>
          <w:p w14:paraId="250D2343" w14:textId="3A0D3AEA" w:rsidR="0001674A" w:rsidRPr="00C3312E" w:rsidRDefault="0001674A" w:rsidP="0001674A">
            <w:pPr>
              <w:spacing w:after="0" w:line="240" w:lineRule="auto"/>
              <w:jc w:val="center"/>
              <w:rPr>
                <w:sz w:val="20"/>
                <w:szCs w:val="20"/>
              </w:rPr>
            </w:pPr>
            <w:r w:rsidRPr="00C3312E">
              <w:rPr>
                <w:sz w:val="20"/>
                <w:szCs w:val="20"/>
              </w:rPr>
              <w:t>59%</w:t>
            </w:r>
          </w:p>
        </w:tc>
        <w:tc>
          <w:tcPr>
            <w:tcW w:w="900" w:type="dxa"/>
            <w:tcBorders>
              <w:top w:val="single" w:sz="4" w:space="0" w:color="auto"/>
              <w:bottom w:val="single" w:sz="4" w:space="0" w:color="auto"/>
              <w:right w:val="single" w:sz="4" w:space="0" w:color="auto"/>
            </w:tcBorders>
          </w:tcPr>
          <w:p w14:paraId="040E7F9C" w14:textId="2899FA14" w:rsidR="0001674A" w:rsidRPr="00C3312E" w:rsidRDefault="0001674A" w:rsidP="0001674A">
            <w:pPr>
              <w:spacing w:after="0" w:line="240" w:lineRule="auto"/>
              <w:jc w:val="center"/>
              <w:rPr>
                <w:sz w:val="20"/>
                <w:szCs w:val="20"/>
              </w:rPr>
            </w:pPr>
            <w:r w:rsidRPr="00C3312E">
              <w:rPr>
                <w:sz w:val="20"/>
                <w:szCs w:val="20"/>
              </w:rPr>
              <w:t>-16%</w:t>
            </w:r>
          </w:p>
        </w:tc>
      </w:tr>
      <w:tr w:rsidR="0001674A" w:rsidRPr="00C3312E" w14:paraId="6C69137A" w14:textId="77777777" w:rsidTr="00A66217">
        <w:tc>
          <w:tcPr>
            <w:tcW w:w="2322" w:type="dxa"/>
            <w:tcBorders>
              <w:top w:val="single" w:sz="4" w:space="0" w:color="auto"/>
              <w:left w:val="single" w:sz="4" w:space="0" w:color="auto"/>
              <w:bottom w:val="single" w:sz="4" w:space="0" w:color="auto"/>
            </w:tcBorders>
          </w:tcPr>
          <w:p w14:paraId="43C042F8" w14:textId="04D2B832" w:rsidR="0001674A" w:rsidRPr="00C3312E" w:rsidRDefault="0001674A" w:rsidP="0001674A">
            <w:pPr>
              <w:spacing w:after="0" w:line="240" w:lineRule="auto"/>
              <w:rPr>
                <w:sz w:val="20"/>
                <w:szCs w:val="20"/>
              </w:rPr>
            </w:pPr>
            <w:r w:rsidRPr="00C3312E">
              <w:rPr>
                <w:sz w:val="20"/>
                <w:szCs w:val="20"/>
              </w:rPr>
              <w:t>SWD</w:t>
            </w:r>
          </w:p>
        </w:tc>
        <w:tc>
          <w:tcPr>
            <w:tcW w:w="661" w:type="dxa"/>
          </w:tcPr>
          <w:p w14:paraId="41D6056D" w14:textId="22F0FD95" w:rsidR="0001674A" w:rsidRPr="00C3312E" w:rsidRDefault="0001674A" w:rsidP="0001674A">
            <w:pPr>
              <w:spacing w:after="0" w:line="240" w:lineRule="auto"/>
              <w:jc w:val="center"/>
              <w:rPr>
                <w:sz w:val="20"/>
                <w:szCs w:val="20"/>
              </w:rPr>
            </w:pPr>
            <w:r w:rsidRPr="00C3312E">
              <w:rPr>
                <w:sz w:val="20"/>
                <w:szCs w:val="20"/>
              </w:rPr>
              <w:t>86%</w:t>
            </w:r>
          </w:p>
        </w:tc>
        <w:tc>
          <w:tcPr>
            <w:tcW w:w="662" w:type="dxa"/>
          </w:tcPr>
          <w:p w14:paraId="4A9AFE90" w14:textId="123CF611" w:rsidR="0001674A" w:rsidRPr="00C3312E" w:rsidRDefault="0001674A" w:rsidP="0001674A">
            <w:pPr>
              <w:spacing w:after="0" w:line="240" w:lineRule="auto"/>
              <w:jc w:val="center"/>
              <w:rPr>
                <w:sz w:val="20"/>
                <w:szCs w:val="20"/>
              </w:rPr>
            </w:pPr>
            <w:r w:rsidRPr="00C3312E">
              <w:rPr>
                <w:sz w:val="20"/>
                <w:szCs w:val="20"/>
              </w:rPr>
              <w:t>82%</w:t>
            </w:r>
          </w:p>
        </w:tc>
        <w:tc>
          <w:tcPr>
            <w:tcW w:w="661" w:type="dxa"/>
          </w:tcPr>
          <w:p w14:paraId="3724BD98" w14:textId="47B8B691" w:rsidR="0001674A" w:rsidRPr="00C3312E" w:rsidRDefault="0001674A" w:rsidP="0001674A">
            <w:pPr>
              <w:spacing w:after="0" w:line="240" w:lineRule="auto"/>
              <w:jc w:val="center"/>
              <w:rPr>
                <w:sz w:val="20"/>
                <w:szCs w:val="20"/>
              </w:rPr>
            </w:pPr>
            <w:r w:rsidRPr="00C3312E">
              <w:rPr>
                <w:sz w:val="20"/>
                <w:szCs w:val="20"/>
              </w:rPr>
              <w:t>76%</w:t>
            </w:r>
          </w:p>
        </w:tc>
        <w:tc>
          <w:tcPr>
            <w:tcW w:w="662" w:type="dxa"/>
          </w:tcPr>
          <w:p w14:paraId="178A3D8C" w14:textId="1440A658" w:rsidR="0001674A" w:rsidRPr="00C3312E" w:rsidRDefault="0001674A" w:rsidP="0001674A">
            <w:pPr>
              <w:spacing w:after="0" w:line="240" w:lineRule="auto"/>
              <w:jc w:val="center"/>
              <w:rPr>
                <w:sz w:val="20"/>
                <w:szCs w:val="20"/>
              </w:rPr>
            </w:pPr>
            <w:r w:rsidRPr="00C3312E">
              <w:rPr>
                <w:sz w:val="20"/>
                <w:szCs w:val="20"/>
              </w:rPr>
              <w:t>77%</w:t>
            </w:r>
          </w:p>
        </w:tc>
        <w:tc>
          <w:tcPr>
            <w:tcW w:w="900" w:type="dxa"/>
            <w:tcBorders>
              <w:right w:val="single" w:sz="18" w:space="0" w:color="auto"/>
            </w:tcBorders>
          </w:tcPr>
          <w:p w14:paraId="2D67E8B8" w14:textId="0F3A28AE" w:rsidR="0001674A" w:rsidRPr="00C3312E" w:rsidRDefault="0001674A" w:rsidP="0001674A">
            <w:pPr>
              <w:spacing w:after="0" w:line="240" w:lineRule="auto"/>
              <w:jc w:val="center"/>
              <w:rPr>
                <w:sz w:val="20"/>
                <w:szCs w:val="20"/>
              </w:rPr>
            </w:pPr>
            <w:r w:rsidRPr="00C3312E">
              <w:rPr>
                <w:sz w:val="20"/>
                <w:szCs w:val="20"/>
              </w:rPr>
              <w:t>-9%</w:t>
            </w:r>
          </w:p>
        </w:tc>
        <w:tc>
          <w:tcPr>
            <w:tcW w:w="697" w:type="dxa"/>
            <w:tcBorders>
              <w:top w:val="single" w:sz="4" w:space="0" w:color="auto"/>
              <w:left w:val="single" w:sz="18" w:space="0" w:color="auto"/>
              <w:bottom w:val="single" w:sz="4" w:space="0" w:color="auto"/>
            </w:tcBorders>
          </w:tcPr>
          <w:p w14:paraId="0657B1EA" w14:textId="45376338" w:rsidR="0001674A" w:rsidRPr="00C3312E" w:rsidRDefault="0001674A" w:rsidP="0001674A">
            <w:pPr>
              <w:spacing w:after="0" w:line="240" w:lineRule="auto"/>
              <w:jc w:val="center"/>
              <w:rPr>
                <w:sz w:val="20"/>
                <w:szCs w:val="20"/>
              </w:rPr>
            </w:pPr>
            <w:r w:rsidRPr="00C3312E">
              <w:rPr>
                <w:sz w:val="20"/>
                <w:szCs w:val="20"/>
              </w:rPr>
              <w:t>57%</w:t>
            </w:r>
          </w:p>
        </w:tc>
        <w:tc>
          <w:tcPr>
            <w:tcW w:w="698" w:type="dxa"/>
          </w:tcPr>
          <w:p w14:paraId="6D511407" w14:textId="78E6242C" w:rsidR="0001674A" w:rsidRPr="00C3312E" w:rsidRDefault="0001674A" w:rsidP="0001674A">
            <w:pPr>
              <w:spacing w:after="0" w:line="240" w:lineRule="auto"/>
              <w:jc w:val="center"/>
              <w:rPr>
                <w:sz w:val="20"/>
                <w:szCs w:val="20"/>
              </w:rPr>
            </w:pPr>
            <w:r w:rsidRPr="00C3312E">
              <w:rPr>
                <w:sz w:val="20"/>
                <w:szCs w:val="20"/>
              </w:rPr>
              <w:t>54%</w:t>
            </w:r>
          </w:p>
        </w:tc>
        <w:tc>
          <w:tcPr>
            <w:tcW w:w="697" w:type="dxa"/>
          </w:tcPr>
          <w:p w14:paraId="5A7A4F52" w14:textId="30069B1B" w:rsidR="0001674A" w:rsidRPr="00C3312E" w:rsidRDefault="0001674A" w:rsidP="0001674A">
            <w:pPr>
              <w:spacing w:after="0" w:line="240" w:lineRule="auto"/>
              <w:jc w:val="center"/>
              <w:rPr>
                <w:sz w:val="20"/>
                <w:szCs w:val="20"/>
              </w:rPr>
            </w:pPr>
            <w:r w:rsidRPr="00C3312E">
              <w:rPr>
                <w:sz w:val="20"/>
                <w:szCs w:val="20"/>
              </w:rPr>
              <w:t>60%</w:t>
            </w:r>
          </w:p>
        </w:tc>
        <w:tc>
          <w:tcPr>
            <w:tcW w:w="698" w:type="dxa"/>
          </w:tcPr>
          <w:p w14:paraId="2141E385" w14:textId="08791CAD" w:rsidR="0001674A" w:rsidRPr="00C3312E" w:rsidRDefault="0001674A" w:rsidP="0001674A">
            <w:pPr>
              <w:spacing w:after="0" w:line="240" w:lineRule="auto"/>
              <w:jc w:val="center"/>
              <w:rPr>
                <w:sz w:val="20"/>
                <w:szCs w:val="20"/>
              </w:rPr>
            </w:pPr>
            <w:r w:rsidRPr="00C3312E">
              <w:rPr>
                <w:sz w:val="20"/>
                <w:szCs w:val="20"/>
              </w:rPr>
              <w:t>53%</w:t>
            </w:r>
          </w:p>
        </w:tc>
        <w:tc>
          <w:tcPr>
            <w:tcW w:w="900" w:type="dxa"/>
            <w:tcBorders>
              <w:top w:val="single" w:sz="4" w:space="0" w:color="auto"/>
              <w:bottom w:val="single" w:sz="4" w:space="0" w:color="auto"/>
              <w:right w:val="single" w:sz="4" w:space="0" w:color="auto"/>
            </w:tcBorders>
          </w:tcPr>
          <w:p w14:paraId="77C219EA" w14:textId="294DBF5D" w:rsidR="0001674A" w:rsidRPr="00C3312E" w:rsidRDefault="0001674A" w:rsidP="0001674A">
            <w:pPr>
              <w:spacing w:after="0" w:line="240" w:lineRule="auto"/>
              <w:jc w:val="center"/>
              <w:rPr>
                <w:sz w:val="20"/>
                <w:szCs w:val="20"/>
              </w:rPr>
            </w:pPr>
            <w:r w:rsidRPr="00C3312E">
              <w:rPr>
                <w:sz w:val="20"/>
                <w:szCs w:val="20"/>
              </w:rPr>
              <w:t>-4%</w:t>
            </w:r>
          </w:p>
        </w:tc>
      </w:tr>
      <w:tr w:rsidR="0001674A" w:rsidRPr="00C3312E" w14:paraId="7892D053" w14:textId="77777777" w:rsidTr="00A66217">
        <w:tc>
          <w:tcPr>
            <w:tcW w:w="2322" w:type="dxa"/>
            <w:tcBorders>
              <w:top w:val="single" w:sz="4" w:space="0" w:color="auto"/>
              <w:left w:val="single" w:sz="4" w:space="0" w:color="auto"/>
              <w:bottom w:val="single" w:sz="4" w:space="0" w:color="auto"/>
            </w:tcBorders>
          </w:tcPr>
          <w:p w14:paraId="787CC7D1" w14:textId="78AADC9D" w:rsidR="0001674A" w:rsidRPr="00C3312E" w:rsidRDefault="0001674A" w:rsidP="0001674A">
            <w:pPr>
              <w:spacing w:after="0" w:line="240" w:lineRule="auto"/>
              <w:rPr>
                <w:sz w:val="20"/>
                <w:szCs w:val="20"/>
              </w:rPr>
            </w:pPr>
            <w:r w:rsidRPr="00C3312E">
              <w:rPr>
                <w:sz w:val="20"/>
                <w:szCs w:val="20"/>
              </w:rPr>
              <w:t>EL</w:t>
            </w:r>
          </w:p>
        </w:tc>
        <w:tc>
          <w:tcPr>
            <w:tcW w:w="661" w:type="dxa"/>
          </w:tcPr>
          <w:p w14:paraId="660A9C27" w14:textId="14AA7A24" w:rsidR="0001674A" w:rsidRPr="00C3312E" w:rsidRDefault="0001674A" w:rsidP="0001674A">
            <w:pPr>
              <w:spacing w:after="0" w:line="240" w:lineRule="auto"/>
              <w:jc w:val="center"/>
              <w:rPr>
                <w:sz w:val="20"/>
                <w:szCs w:val="20"/>
              </w:rPr>
            </w:pPr>
            <w:r w:rsidRPr="00C3312E">
              <w:rPr>
                <w:sz w:val="20"/>
                <w:szCs w:val="20"/>
              </w:rPr>
              <w:t>71%</w:t>
            </w:r>
          </w:p>
        </w:tc>
        <w:tc>
          <w:tcPr>
            <w:tcW w:w="662" w:type="dxa"/>
          </w:tcPr>
          <w:p w14:paraId="40156E7E" w14:textId="6B1C6F0C" w:rsidR="0001674A" w:rsidRPr="00C3312E" w:rsidRDefault="0001674A" w:rsidP="0001674A">
            <w:pPr>
              <w:spacing w:after="0" w:line="240" w:lineRule="auto"/>
              <w:jc w:val="center"/>
              <w:rPr>
                <w:sz w:val="20"/>
                <w:szCs w:val="20"/>
              </w:rPr>
            </w:pPr>
            <w:r w:rsidRPr="00C3312E">
              <w:rPr>
                <w:sz w:val="20"/>
                <w:szCs w:val="20"/>
              </w:rPr>
              <w:t>50%</w:t>
            </w:r>
          </w:p>
        </w:tc>
        <w:tc>
          <w:tcPr>
            <w:tcW w:w="661" w:type="dxa"/>
          </w:tcPr>
          <w:p w14:paraId="113CA7F3" w14:textId="3CDD1380" w:rsidR="0001674A" w:rsidRPr="00C3312E" w:rsidRDefault="0001674A" w:rsidP="0001674A">
            <w:pPr>
              <w:spacing w:after="0" w:line="240" w:lineRule="auto"/>
              <w:jc w:val="center"/>
              <w:rPr>
                <w:sz w:val="20"/>
                <w:szCs w:val="20"/>
              </w:rPr>
            </w:pPr>
            <w:r w:rsidRPr="00C3312E">
              <w:rPr>
                <w:sz w:val="20"/>
                <w:szCs w:val="20"/>
              </w:rPr>
              <w:t>49%</w:t>
            </w:r>
          </w:p>
        </w:tc>
        <w:tc>
          <w:tcPr>
            <w:tcW w:w="662" w:type="dxa"/>
          </w:tcPr>
          <w:p w14:paraId="5F03D663" w14:textId="0841DDF6" w:rsidR="0001674A" w:rsidRPr="00C3312E" w:rsidRDefault="0001674A" w:rsidP="0001674A">
            <w:pPr>
              <w:spacing w:after="0" w:line="240" w:lineRule="auto"/>
              <w:jc w:val="center"/>
              <w:rPr>
                <w:sz w:val="20"/>
                <w:szCs w:val="20"/>
              </w:rPr>
            </w:pPr>
            <w:r w:rsidRPr="00C3312E">
              <w:rPr>
                <w:sz w:val="20"/>
                <w:szCs w:val="20"/>
              </w:rPr>
              <w:t>49%</w:t>
            </w:r>
          </w:p>
        </w:tc>
        <w:tc>
          <w:tcPr>
            <w:tcW w:w="900" w:type="dxa"/>
            <w:tcBorders>
              <w:right w:val="single" w:sz="18" w:space="0" w:color="auto"/>
            </w:tcBorders>
          </w:tcPr>
          <w:p w14:paraId="31448E40" w14:textId="61ECCC47" w:rsidR="0001674A" w:rsidRPr="00C3312E" w:rsidRDefault="0001674A" w:rsidP="0001674A">
            <w:pPr>
              <w:spacing w:after="0" w:line="240" w:lineRule="auto"/>
              <w:jc w:val="center"/>
              <w:rPr>
                <w:sz w:val="20"/>
                <w:szCs w:val="20"/>
              </w:rPr>
            </w:pPr>
            <w:r w:rsidRPr="00C3312E">
              <w:rPr>
                <w:sz w:val="20"/>
                <w:szCs w:val="20"/>
              </w:rPr>
              <w:t>-22%</w:t>
            </w:r>
          </w:p>
        </w:tc>
        <w:tc>
          <w:tcPr>
            <w:tcW w:w="697" w:type="dxa"/>
            <w:tcBorders>
              <w:top w:val="single" w:sz="4" w:space="0" w:color="auto"/>
              <w:left w:val="single" w:sz="18" w:space="0" w:color="auto"/>
              <w:bottom w:val="single" w:sz="4" w:space="0" w:color="auto"/>
            </w:tcBorders>
          </w:tcPr>
          <w:p w14:paraId="2E11F183" w14:textId="5465BC8C" w:rsidR="0001674A" w:rsidRPr="00C3312E" w:rsidRDefault="0001674A" w:rsidP="0001674A">
            <w:pPr>
              <w:spacing w:after="0" w:line="240" w:lineRule="auto"/>
              <w:jc w:val="center"/>
              <w:rPr>
                <w:sz w:val="20"/>
                <w:szCs w:val="20"/>
              </w:rPr>
            </w:pPr>
            <w:r w:rsidRPr="00C3312E">
              <w:rPr>
                <w:sz w:val="20"/>
                <w:szCs w:val="20"/>
              </w:rPr>
              <w:t>40%</w:t>
            </w:r>
          </w:p>
        </w:tc>
        <w:tc>
          <w:tcPr>
            <w:tcW w:w="698" w:type="dxa"/>
          </w:tcPr>
          <w:p w14:paraId="016AF447" w14:textId="5DFF3142" w:rsidR="0001674A" w:rsidRPr="00C3312E" w:rsidRDefault="0001674A" w:rsidP="0001674A">
            <w:pPr>
              <w:spacing w:after="0" w:line="240" w:lineRule="auto"/>
              <w:jc w:val="center"/>
              <w:rPr>
                <w:sz w:val="20"/>
                <w:szCs w:val="20"/>
              </w:rPr>
            </w:pPr>
            <w:r w:rsidRPr="00C3312E">
              <w:rPr>
                <w:sz w:val="20"/>
                <w:szCs w:val="20"/>
              </w:rPr>
              <w:t>25%</w:t>
            </w:r>
          </w:p>
        </w:tc>
        <w:tc>
          <w:tcPr>
            <w:tcW w:w="697" w:type="dxa"/>
          </w:tcPr>
          <w:p w14:paraId="7F29F86B" w14:textId="2211881F" w:rsidR="0001674A" w:rsidRPr="00C3312E" w:rsidRDefault="0001674A" w:rsidP="0001674A">
            <w:pPr>
              <w:spacing w:after="0" w:line="240" w:lineRule="auto"/>
              <w:jc w:val="center"/>
              <w:rPr>
                <w:sz w:val="20"/>
                <w:szCs w:val="20"/>
              </w:rPr>
            </w:pPr>
            <w:r w:rsidRPr="00C3312E">
              <w:rPr>
                <w:sz w:val="20"/>
                <w:szCs w:val="20"/>
              </w:rPr>
              <w:t>36%</w:t>
            </w:r>
          </w:p>
        </w:tc>
        <w:tc>
          <w:tcPr>
            <w:tcW w:w="698" w:type="dxa"/>
          </w:tcPr>
          <w:p w14:paraId="082C1CA8" w14:textId="159FCA42" w:rsidR="0001674A" w:rsidRPr="00C3312E" w:rsidRDefault="0001674A" w:rsidP="0001674A">
            <w:pPr>
              <w:spacing w:after="0" w:line="240" w:lineRule="auto"/>
              <w:jc w:val="center"/>
              <w:rPr>
                <w:sz w:val="20"/>
                <w:szCs w:val="20"/>
              </w:rPr>
            </w:pPr>
            <w:r w:rsidRPr="00C3312E">
              <w:rPr>
                <w:sz w:val="20"/>
                <w:szCs w:val="20"/>
              </w:rPr>
              <w:t>39%</w:t>
            </w:r>
          </w:p>
        </w:tc>
        <w:tc>
          <w:tcPr>
            <w:tcW w:w="900" w:type="dxa"/>
            <w:tcBorders>
              <w:top w:val="single" w:sz="4" w:space="0" w:color="auto"/>
              <w:bottom w:val="single" w:sz="4" w:space="0" w:color="auto"/>
              <w:right w:val="single" w:sz="4" w:space="0" w:color="auto"/>
            </w:tcBorders>
          </w:tcPr>
          <w:p w14:paraId="1F541ABF" w14:textId="2E1EF3E9" w:rsidR="0001674A" w:rsidRPr="00C3312E" w:rsidRDefault="0001674A" w:rsidP="0001674A">
            <w:pPr>
              <w:spacing w:after="0" w:line="240" w:lineRule="auto"/>
              <w:jc w:val="center"/>
              <w:rPr>
                <w:sz w:val="20"/>
                <w:szCs w:val="20"/>
              </w:rPr>
            </w:pPr>
            <w:r w:rsidRPr="00C3312E">
              <w:rPr>
                <w:sz w:val="20"/>
                <w:szCs w:val="20"/>
              </w:rPr>
              <w:t>-1%</w:t>
            </w:r>
          </w:p>
        </w:tc>
      </w:tr>
    </w:tbl>
    <w:p w14:paraId="1734AD1A" w14:textId="77777777" w:rsidR="00C3312E" w:rsidRPr="00C3312E" w:rsidRDefault="00C3312E" w:rsidP="00C3312E">
      <w:pPr>
        <w:spacing w:after="0" w:line="240" w:lineRule="auto"/>
      </w:pPr>
    </w:p>
    <w:p w14:paraId="5AE17D89" w14:textId="77777777" w:rsidR="00C3312E" w:rsidRPr="00C3312E" w:rsidRDefault="00C3312E" w:rsidP="00C3312E">
      <w:pPr>
        <w:spacing w:after="0" w:line="240" w:lineRule="auto"/>
      </w:pPr>
    </w:p>
    <w:p w14:paraId="1799C85D" w14:textId="77777777" w:rsidR="00C3312E" w:rsidRPr="00C3312E" w:rsidRDefault="00C3312E" w:rsidP="00C3312E">
      <w:pPr>
        <w:spacing w:after="0" w:line="240" w:lineRule="auto"/>
      </w:pPr>
    </w:p>
    <w:p w14:paraId="01A8583A" w14:textId="77777777" w:rsidR="00C3312E" w:rsidRPr="00C3312E" w:rsidRDefault="00C3312E" w:rsidP="00C3312E">
      <w:pPr>
        <w:spacing w:after="0" w:line="240" w:lineRule="auto"/>
      </w:pPr>
    </w:p>
    <w:p w14:paraId="324D64A4" w14:textId="77777777" w:rsidR="00C3312E" w:rsidRPr="00C3312E" w:rsidRDefault="00C3312E" w:rsidP="00C3312E">
      <w:pPr>
        <w:spacing w:after="0" w:line="240" w:lineRule="auto"/>
      </w:pPr>
    </w:p>
    <w:p w14:paraId="5E1AAA90" w14:textId="77777777" w:rsidR="00C3312E" w:rsidRPr="00C3312E" w:rsidRDefault="00C3312E" w:rsidP="00C3312E">
      <w:pPr>
        <w:spacing w:after="0" w:line="240" w:lineRule="auto"/>
      </w:pPr>
    </w:p>
    <w:p w14:paraId="400E4A7D" w14:textId="10725D50" w:rsidR="00C3312E" w:rsidRDefault="00C3312E" w:rsidP="00C3312E">
      <w:pPr>
        <w:spacing w:after="0" w:line="240" w:lineRule="auto"/>
      </w:pPr>
    </w:p>
    <w:p w14:paraId="0E7277B5" w14:textId="586707F9" w:rsidR="0089512A" w:rsidRDefault="0089512A" w:rsidP="00C3312E">
      <w:pPr>
        <w:spacing w:after="0" w:line="240" w:lineRule="auto"/>
      </w:pPr>
    </w:p>
    <w:p w14:paraId="03A9B9E8" w14:textId="214DBE5E" w:rsidR="0089512A" w:rsidRDefault="0089512A" w:rsidP="00C3312E">
      <w:pPr>
        <w:spacing w:after="0" w:line="240" w:lineRule="auto"/>
      </w:pPr>
    </w:p>
    <w:p w14:paraId="3E8CE1C2" w14:textId="3DBD9F80" w:rsidR="0089512A" w:rsidRDefault="0089512A" w:rsidP="00C3312E">
      <w:pPr>
        <w:spacing w:after="0" w:line="240" w:lineRule="auto"/>
      </w:pPr>
    </w:p>
    <w:p w14:paraId="2E9CCB0A" w14:textId="50261ACB" w:rsidR="0089512A" w:rsidRDefault="0089512A" w:rsidP="00C3312E">
      <w:pPr>
        <w:spacing w:after="0" w:line="240" w:lineRule="auto"/>
      </w:pPr>
    </w:p>
    <w:p w14:paraId="60DEC79E" w14:textId="77777777" w:rsidR="0089512A" w:rsidRPr="00C3312E" w:rsidRDefault="0089512A" w:rsidP="00C3312E">
      <w:pPr>
        <w:spacing w:after="0" w:line="240" w:lineRule="auto"/>
      </w:pPr>
    </w:p>
    <w:tbl>
      <w:tblPr>
        <w:tblStyle w:val="TableGrid5"/>
        <w:tblW w:w="9576" w:type="dxa"/>
        <w:jc w:val="center"/>
        <w:tblLayout w:type="fixed"/>
        <w:tblLook w:val="00A0" w:firstRow="1" w:lastRow="0" w:firstColumn="1" w:lastColumn="0" w:noHBand="0" w:noVBand="0"/>
        <w:tblCaption w:val="Table 21: Framingham Public Schools"/>
        <w:tblDescription w:val="MCAS Science Percent Scoring Proficient or Advanced in Science by School and Student Group, 2015–2018&#10;"/>
      </w:tblPr>
      <w:tblGrid>
        <w:gridCol w:w="4248"/>
        <w:gridCol w:w="900"/>
        <w:gridCol w:w="885"/>
        <w:gridCol w:w="1005"/>
        <w:gridCol w:w="810"/>
        <w:gridCol w:w="810"/>
        <w:gridCol w:w="918"/>
      </w:tblGrid>
      <w:tr w:rsidR="00C3312E" w:rsidRPr="00C3312E" w14:paraId="431E73E1" w14:textId="77777777" w:rsidTr="00697F37">
        <w:trPr>
          <w:trHeight w:val="288"/>
          <w:jc w:val="center"/>
        </w:trPr>
        <w:tc>
          <w:tcPr>
            <w:tcW w:w="9576" w:type="dxa"/>
            <w:gridSpan w:val="7"/>
            <w:tcBorders>
              <w:top w:val="nil"/>
              <w:left w:val="nil"/>
              <w:right w:val="nil"/>
            </w:tcBorders>
            <w:shd w:val="clear" w:color="auto" w:fill="auto"/>
          </w:tcPr>
          <w:p w14:paraId="62A74F85" w14:textId="77777777" w:rsidR="00C3312E" w:rsidRPr="00C3312E" w:rsidRDefault="00C3312E" w:rsidP="00C3312E">
            <w:pPr>
              <w:spacing w:after="0" w:line="240" w:lineRule="auto"/>
              <w:jc w:val="center"/>
              <w:rPr>
                <w:b/>
                <w:sz w:val="20"/>
                <w:szCs w:val="20"/>
              </w:rPr>
            </w:pPr>
            <w:r w:rsidRPr="00C3312E">
              <w:rPr>
                <w:b/>
                <w:sz w:val="20"/>
                <w:szCs w:val="20"/>
              </w:rPr>
              <w:t xml:space="preserve">Table 21: </w:t>
            </w:r>
            <w:r w:rsidRPr="00C3312E">
              <w:rPr>
                <w:rFonts w:cs="Times New Roman"/>
                <w:b/>
                <w:sz w:val="20"/>
                <w:szCs w:val="20"/>
              </w:rPr>
              <w:t>Framingham Public Schools</w:t>
            </w:r>
          </w:p>
          <w:p w14:paraId="47A29442" w14:textId="64589608" w:rsidR="00C3312E" w:rsidRPr="00C3312E" w:rsidRDefault="00C3312E">
            <w:pPr>
              <w:spacing w:after="0" w:line="240" w:lineRule="auto"/>
              <w:jc w:val="center"/>
              <w:rPr>
                <w:sz w:val="20"/>
                <w:szCs w:val="20"/>
              </w:rPr>
            </w:pPr>
            <w:r w:rsidRPr="00C3312E">
              <w:rPr>
                <w:b/>
                <w:sz w:val="20"/>
                <w:szCs w:val="20"/>
              </w:rPr>
              <w:t xml:space="preserve">MCAS Science Percent Scoring Proficient or Advanced in Science by School and </w:t>
            </w:r>
            <w:r w:rsidR="002A3659" w:rsidRPr="00C3312E">
              <w:rPr>
                <w:b/>
                <w:sz w:val="20"/>
                <w:szCs w:val="20"/>
              </w:rPr>
              <w:t>S</w:t>
            </w:r>
            <w:r w:rsidR="002A3659">
              <w:rPr>
                <w:b/>
                <w:sz w:val="20"/>
                <w:szCs w:val="20"/>
              </w:rPr>
              <w:t>tudent G</w:t>
            </w:r>
            <w:r w:rsidR="002A3659" w:rsidRPr="00C3312E">
              <w:rPr>
                <w:b/>
                <w:sz w:val="20"/>
                <w:szCs w:val="20"/>
              </w:rPr>
              <w:t>roup</w:t>
            </w:r>
            <w:r w:rsidRPr="00C3312E">
              <w:rPr>
                <w:b/>
                <w:sz w:val="20"/>
                <w:szCs w:val="20"/>
              </w:rPr>
              <w:t>, 2015</w:t>
            </w:r>
            <w:r w:rsidR="000319DC">
              <w:rPr>
                <w:b/>
                <w:sz w:val="20"/>
                <w:szCs w:val="20"/>
              </w:rPr>
              <w:t>–</w:t>
            </w:r>
            <w:r w:rsidRPr="00C3312E">
              <w:rPr>
                <w:b/>
                <w:sz w:val="20"/>
                <w:szCs w:val="20"/>
              </w:rPr>
              <w:t>2018</w:t>
            </w:r>
          </w:p>
        </w:tc>
      </w:tr>
      <w:tr w:rsidR="00C3312E" w:rsidRPr="00C3312E" w14:paraId="11CF10C1" w14:textId="77777777" w:rsidTr="00A66217">
        <w:trPr>
          <w:trHeight w:val="288"/>
          <w:jc w:val="center"/>
        </w:trPr>
        <w:tc>
          <w:tcPr>
            <w:tcW w:w="4248" w:type="dxa"/>
            <w:tcBorders>
              <w:bottom w:val="single" w:sz="4" w:space="0" w:color="auto"/>
            </w:tcBorders>
            <w:shd w:val="clear" w:color="auto" w:fill="BFBFBF" w:themeFill="background1" w:themeFillShade="BF"/>
            <w:vAlign w:val="center"/>
          </w:tcPr>
          <w:p w14:paraId="025058A8" w14:textId="77777777" w:rsidR="00C3312E" w:rsidRPr="00C3312E" w:rsidRDefault="00C3312E" w:rsidP="00A66217">
            <w:pPr>
              <w:spacing w:after="0" w:line="240" w:lineRule="auto"/>
              <w:rPr>
                <w:b/>
                <w:sz w:val="20"/>
                <w:szCs w:val="20"/>
              </w:rPr>
            </w:pPr>
            <w:r w:rsidRPr="00C3312E">
              <w:rPr>
                <w:b/>
                <w:sz w:val="20"/>
                <w:szCs w:val="20"/>
              </w:rPr>
              <w:t>School</w:t>
            </w:r>
          </w:p>
        </w:tc>
        <w:tc>
          <w:tcPr>
            <w:tcW w:w="900" w:type="dxa"/>
            <w:tcBorders>
              <w:bottom w:val="single" w:sz="4" w:space="0" w:color="auto"/>
            </w:tcBorders>
            <w:shd w:val="clear" w:color="auto" w:fill="BFBFBF" w:themeFill="background1" w:themeFillShade="BF"/>
            <w:vAlign w:val="center"/>
          </w:tcPr>
          <w:p w14:paraId="5F65D74E" w14:textId="77777777" w:rsidR="00C3312E" w:rsidRPr="00C3312E" w:rsidRDefault="00C3312E" w:rsidP="00A66217">
            <w:pPr>
              <w:spacing w:after="0" w:line="240" w:lineRule="auto"/>
              <w:jc w:val="center"/>
              <w:rPr>
                <w:b/>
                <w:sz w:val="20"/>
                <w:szCs w:val="20"/>
              </w:rPr>
            </w:pPr>
            <w:r w:rsidRPr="00C3312E">
              <w:rPr>
                <w:b/>
                <w:sz w:val="20"/>
                <w:szCs w:val="20"/>
              </w:rPr>
              <w:t>N (2018)</w:t>
            </w:r>
          </w:p>
        </w:tc>
        <w:tc>
          <w:tcPr>
            <w:tcW w:w="885" w:type="dxa"/>
            <w:tcBorders>
              <w:bottom w:val="single" w:sz="4" w:space="0" w:color="auto"/>
            </w:tcBorders>
            <w:shd w:val="clear" w:color="auto" w:fill="BFBFBF" w:themeFill="background1" w:themeFillShade="BF"/>
            <w:vAlign w:val="center"/>
          </w:tcPr>
          <w:p w14:paraId="6101C6F8" w14:textId="77777777" w:rsidR="00C3312E" w:rsidRPr="00C3312E" w:rsidRDefault="00C3312E" w:rsidP="00A66217">
            <w:pPr>
              <w:spacing w:after="0" w:line="240" w:lineRule="auto"/>
              <w:jc w:val="center"/>
              <w:rPr>
                <w:b/>
                <w:sz w:val="20"/>
                <w:szCs w:val="20"/>
              </w:rPr>
            </w:pPr>
            <w:r w:rsidRPr="00C3312E">
              <w:rPr>
                <w:b/>
                <w:sz w:val="20"/>
                <w:szCs w:val="20"/>
              </w:rPr>
              <w:t>2015</w:t>
            </w:r>
          </w:p>
        </w:tc>
        <w:tc>
          <w:tcPr>
            <w:tcW w:w="1005" w:type="dxa"/>
            <w:tcBorders>
              <w:bottom w:val="single" w:sz="4" w:space="0" w:color="auto"/>
            </w:tcBorders>
            <w:shd w:val="clear" w:color="auto" w:fill="BFBFBF" w:themeFill="background1" w:themeFillShade="BF"/>
            <w:vAlign w:val="center"/>
          </w:tcPr>
          <w:p w14:paraId="1C3AFDB3" w14:textId="77777777" w:rsidR="00C3312E" w:rsidRPr="00C3312E" w:rsidRDefault="00C3312E" w:rsidP="00A66217">
            <w:pPr>
              <w:spacing w:after="0" w:line="240" w:lineRule="auto"/>
              <w:jc w:val="center"/>
              <w:rPr>
                <w:b/>
                <w:sz w:val="20"/>
                <w:szCs w:val="20"/>
              </w:rPr>
            </w:pPr>
            <w:r w:rsidRPr="00C3312E">
              <w:rPr>
                <w:b/>
                <w:sz w:val="20"/>
                <w:szCs w:val="20"/>
              </w:rPr>
              <w:t>2016</w:t>
            </w:r>
          </w:p>
        </w:tc>
        <w:tc>
          <w:tcPr>
            <w:tcW w:w="810" w:type="dxa"/>
            <w:tcBorders>
              <w:bottom w:val="single" w:sz="4" w:space="0" w:color="auto"/>
            </w:tcBorders>
            <w:shd w:val="clear" w:color="auto" w:fill="BFBFBF" w:themeFill="background1" w:themeFillShade="BF"/>
            <w:vAlign w:val="center"/>
          </w:tcPr>
          <w:p w14:paraId="1E237B32" w14:textId="77777777" w:rsidR="00C3312E" w:rsidRPr="00C3312E" w:rsidRDefault="00C3312E" w:rsidP="00A66217">
            <w:pPr>
              <w:spacing w:after="0" w:line="240" w:lineRule="auto"/>
              <w:jc w:val="center"/>
              <w:rPr>
                <w:b/>
                <w:sz w:val="20"/>
                <w:szCs w:val="20"/>
              </w:rPr>
            </w:pPr>
            <w:r w:rsidRPr="00C3312E">
              <w:rPr>
                <w:b/>
                <w:sz w:val="20"/>
                <w:szCs w:val="20"/>
              </w:rPr>
              <w:t>2017</w:t>
            </w:r>
          </w:p>
        </w:tc>
        <w:tc>
          <w:tcPr>
            <w:tcW w:w="810" w:type="dxa"/>
            <w:tcBorders>
              <w:bottom w:val="single" w:sz="4" w:space="0" w:color="auto"/>
            </w:tcBorders>
            <w:shd w:val="clear" w:color="auto" w:fill="BFBFBF" w:themeFill="background1" w:themeFillShade="BF"/>
            <w:vAlign w:val="center"/>
          </w:tcPr>
          <w:p w14:paraId="5239E55C" w14:textId="77777777" w:rsidR="00C3312E" w:rsidRPr="00C3312E" w:rsidRDefault="00C3312E" w:rsidP="00A66217">
            <w:pPr>
              <w:spacing w:after="0" w:line="240" w:lineRule="auto"/>
              <w:jc w:val="center"/>
              <w:rPr>
                <w:b/>
                <w:sz w:val="20"/>
                <w:szCs w:val="20"/>
              </w:rPr>
            </w:pPr>
            <w:r w:rsidRPr="00C3312E">
              <w:rPr>
                <w:b/>
                <w:sz w:val="20"/>
                <w:szCs w:val="20"/>
              </w:rPr>
              <w:t>2018</w:t>
            </w:r>
          </w:p>
        </w:tc>
        <w:tc>
          <w:tcPr>
            <w:tcW w:w="918" w:type="dxa"/>
            <w:tcBorders>
              <w:bottom w:val="single" w:sz="4" w:space="0" w:color="auto"/>
            </w:tcBorders>
            <w:shd w:val="clear" w:color="auto" w:fill="BFBFBF" w:themeFill="background1" w:themeFillShade="BF"/>
            <w:vAlign w:val="center"/>
          </w:tcPr>
          <w:p w14:paraId="1220DD1B" w14:textId="77777777" w:rsidR="00C3312E" w:rsidRPr="00C3312E" w:rsidRDefault="00C3312E" w:rsidP="00A66217">
            <w:pPr>
              <w:spacing w:after="0" w:line="240" w:lineRule="auto"/>
              <w:jc w:val="center"/>
              <w:rPr>
                <w:b/>
                <w:sz w:val="20"/>
                <w:szCs w:val="20"/>
              </w:rPr>
            </w:pPr>
            <w:r w:rsidRPr="00C3312E">
              <w:rPr>
                <w:b/>
                <w:sz w:val="20"/>
                <w:szCs w:val="20"/>
              </w:rPr>
              <w:t>4-yr Change</w:t>
            </w:r>
          </w:p>
        </w:tc>
      </w:tr>
      <w:tr w:rsidR="00C3312E" w:rsidRPr="00C3312E" w14:paraId="503FD8DB" w14:textId="77777777" w:rsidTr="00A6621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27B9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Juniper Hill</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730BB0D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28BD3F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694E821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03E0A4E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C2262B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2E3206E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1FDBE58E" w14:textId="77777777" w:rsidTr="00A6621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6F3CF3" w14:textId="3580A5A5" w:rsidR="00C3312E" w:rsidRPr="00C3312E" w:rsidRDefault="00C3312E" w:rsidP="0001674A">
            <w:pPr>
              <w:spacing w:after="0" w:line="240" w:lineRule="auto"/>
              <w:jc w:val="center"/>
              <w:rPr>
                <w:rFonts w:cstheme="minorHAnsi"/>
                <w:sz w:val="20"/>
                <w:szCs w:val="20"/>
              </w:rPr>
            </w:pPr>
            <w:r w:rsidRPr="00C3312E">
              <w:rPr>
                <w:rFonts w:cstheme="minorHAnsi"/>
                <w:sz w:val="20"/>
                <w:szCs w:val="20"/>
              </w:rPr>
              <w:t xml:space="preserve">King </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128205A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211EB2A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31B971B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324D1F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53C9C1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7E1251D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07A9CB2D" w14:textId="77777777" w:rsidTr="00A6621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230B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Brophy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Pr>
          <w:p w14:paraId="39136B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83</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tcPr>
          <w:p w14:paraId="390E9AA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35%</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tcPr>
          <w:p w14:paraId="0050047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18C8E0A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32%</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tcPr>
          <w:p w14:paraId="6D5EB40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tcPr>
          <w:p w14:paraId="652CED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r>
      <w:tr w:rsidR="00C3312E" w:rsidRPr="00C3312E" w14:paraId="294AD1C4" w14:textId="77777777" w:rsidTr="00A6621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DD463B1"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18015AA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tcPr>
          <w:p w14:paraId="06FFEB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300FD0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7F6C8D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183796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BD65A1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317EE3FB" w14:textId="77777777" w:rsidTr="00A6621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65E0287"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4F93C2F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tcPr>
          <w:p w14:paraId="72AB7A5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78111B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D9105E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F9D1F4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79C5BA0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012E627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BFCDFA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5F1C46A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885" w:type="dxa"/>
            <w:tcBorders>
              <w:top w:val="single" w:sz="4" w:space="0" w:color="auto"/>
              <w:left w:val="nil"/>
              <w:bottom w:val="single" w:sz="4" w:space="0" w:color="auto"/>
              <w:right w:val="single" w:sz="4" w:space="0" w:color="auto"/>
            </w:tcBorders>
            <w:shd w:val="clear" w:color="auto" w:fill="auto"/>
            <w:vAlign w:val="center"/>
          </w:tcPr>
          <w:p w14:paraId="5AD072B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vAlign w:val="center"/>
          </w:tcPr>
          <w:p w14:paraId="09CE2A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vAlign w:val="center"/>
          </w:tcPr>
          <w:p w14:paraId="454258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1D4B2A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67BAB7E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w:t>
            </w:r>
          </w:p>
        </w:tc>
      </w:tr>
      <w:tr w:rsidR="00C3312E" w:rsidRPr="00C3312E" w14:paraId="46CE845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B84AD5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5BFA1C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w:t>
            </w:r>
          </w:p>
        </w:tc>
        <w:tc>
          <w:tcPr>
            <w:tcW w:w="885" w:type="dxa"/>
            <w:tcBorders>
              <w:top w:val="single" w:sz="4" w:space="0" w:color="auto"/>
              <w:left w:val="nil"/>
              <w:bottom w:val="single" w:sz="4" w:space="0" w:color="auto"/>
              <w:right w:val="single" w:sz="4" w:space="0" w:color="auto"/>
            </w:tcBorders>
            <w:shd w:val="clear" w:color="auto" w:fill="auto"/>
            <w:vAlign w:val="center"/>
          </w:tcPr>
          <w:p w14:paraId="2517B34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944945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6FB8B4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B1AC2B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3CACA8A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605E867C"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BB761CE"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45300D2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34</w:t>
            </w:r>
          </w:p>
        </w:tc>
        <w:tc>
          <w:tcPr>
            <w:tcW w:w="885" w:type="dxa"/>
            <w:tcBorders>
              <w:top w:val="single" w:sz="4" w:space="0" w:color="auto"/>
              <w:left w:val="nil"/>
              <w:bottom w:val="single" w:sz="4" w:space="0" w:color="auto"/>
              <w:right w:val="single" w:sz="4" w:space="0" w:color="auto"/>
            </w:tcBorders>
            <w:shd w:val="clear" w:color="auto" w:fill="auto"/>
            <w:vAlign w:val="center"/>
          </w:tcPr>
          <w:p w14:paraId="5F74770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71%</w:t>
            </w:r>
          </w:p>
        </w:tc>
        <w:tc>
          <w:tcPr>
            <w:tcW w:w="1005" w:type="dxa"/>
            <w:tcBorders>
              <w:top w:val="single" w:sz="4" w:space="0" w:color="auto"/>
              <w:left w:val="nil"/>
              <w:bottom w:val="single" w:sz="4" w:space="0" w:color="auto"/>
              <w:right w:val="single" w:sz="4" w:space="0" w:color="auto"/>
            </w:tcBorders>
            <w:shd w:val="clear" w:color="auto" w:fill="auto"/>
            <w:vAlign w:val="center"/>
          </w:tcPr>
          <w:p w14:paraId="1207A27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86%</w:t>
            </w:r>
          </w:p>
        </w:tc>
        <w:tc>
          <w:tcPr>
            <w:tcW w:w="810" w:type="dxa"/>
            <w:tcBorders>
              <w:top w:val="single" w:sz="4" w:space="0" w:color="auto"/>
              <w:left w:val="nil"/>
              <w:bottom w:val="single" w:sz="4" w:space="0" w:color="auto"/>
              <w:right w:val="single" w:sz="4" w:space="0" w:color="auto"/>
            </w:tcBorders>
            <w:shd w:val="clear" w:color="auto" w:fill="auto"/>
            <w:vAlign w:val="center"/>
          </w:tcPr>
          <w:p w14:paraId="49F13F7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64%</w:t>
            </w:r>
          </w:p>
        </w:tc>
        <w:tc>
          <w:tcPr>
            <w:tcW w:w="810" w:type="dxa"/>
            <w:tcBorders>
              <w:top w:val="single" w:sz="4" w:space="0" w:color="auto"/>
              <w:left w:val="nil"/>
              <w:bottom w:val="single" w:sz="4" w:space="0" w:color="auto"/>
              <w:right w:val="single" w:sz="4" w:space="0" w:color="auto"/>
            </w:tcBorders>
            <w:shd w:val="clear" w:color="auto" w:fill="auto"/>
            <w:vAlign w:val="center"/>
          </w:tcPr>
          <w:p w14:paraId="471BCE6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53%</w:t>
            </w:r>
          </w:p>
        </w:tc>
        <w:tc>
          <w:tcPr>
            <w:tcW w:w="918" w:type="dxa"/>
            <w:tcBorders>
              <w:top w:val="single" w:sz="4" w:space="0" w:color="auto"/>
              <w:left w:val="nil"/>
              <w:bottom w:val="single" w:sz="4" w:space="0" w:color="auto"/>
              <w:right w:val="single" w:sz="4" w:space="0" w:color="auto"/>
            </w:tcBorders>
            <w:shd w:val="clear" w:color="auto" w:fill="auto"/>
            <w:vAlign w:val="bottom"/>
          </w:tcPr>
          <w:p w14:paraId="10CB3FE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r>
      <w:tr w:rsidR="0001674A" w:rsidRPr="00C3312E" w14:paraId="228B286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74F652C" w14:textId="22F08958" w:rsidR="0001674A" w:rsidRPr="00C3312E" w:rsidRDefault="0001674A" w:rsidP="0001674A">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7BE90AD8" w14:textId="00D1BDA7" w:rsidR="0001674A" w:rsidRPr="00C3312E" w:rsidRDefault="0001674A" w:rsidP="0001674A">
            <w:pPr>
              <w:spacing w:after="0" w:line="240" w:lineRule="auto"/>
              <w:jc w:val="center"/>
              <w:rPr>
                <w:rFonts w:cstheme="minorHAnsi"/>
                <w:sz w:val="20"/>
                <w:szCs w:val="20"/>
              </w:rPr>
            </w:pPr>
            <w:r w:rsidRPr="00C3312E">
              <w:rPr>
                <w:rFonts w:cstheme="minorHAnsi"/>
                <w:sz w:val="20"/>
                <w:szCs w:val="20"/>
              </w:rPr>
              <w:t>56</w:t>
            </w:r>
          </w:p>
        </w:tc>
        <w:tc>
          <w:tcPr>
            <w:tcW w:w="885" w:type="dxa"/>
            <w:tcBorders>
              <w:top w:val="single" w:sz="4" w:space="0" w:color="auto"/>
              <w:left w:val="nil"/>
              <w:bottom w:val="single" w:sz="4" w:space="0" w:color="auto"/>
              <w:right w:val="single" w:sz="4" w:space="0" w:color="auto"/>
            </w:tcBorders>
            <w:shd w:val="clear" w:color="auto" w:fill="auto"/>
            <w:vAlign w:val="center"/>
          </w:tcPr>
          <w:p w14:paraId="3651F3B6" w14:textId="09656A7E" w:rsidR="0001674A" w:rsidRPr="00C3312E" w:rsidRDefault="0001674A" w:rsidP="0001674A">
            <w:pPr>
              <w:spacing w:after="0" w:line="240" w:lineRule="auto"/>
              <w:jc w:val="center"/>
              <w:rPr>
                <w:rFonts w:cstheme="minorHAnsi"/>
                <w:sz w:val="20"/>
                <w:szCs w:val="20"/>
              </w:rPr>
            </w:pPr>
            <w:r w:rsidRPr="00C3312E">
              <w:rPr>
                <w:rFonts w:cstheme="minorHAnsi"/>
                <w:sz w:val="20"/>
                <w:szCs w:val="20"/>
              </w:rPr>
              <w:t>31%</w:t>
            </w:r>
          </w:p>
        </w:tc>
        <w:tc>
          <w:tcPr>
            <w:tcW w:w="1005" w:type="dxa"/>
            <w:tcBorders>
              <w:top w:val="single" w:sz="4" w:space="0" w:color="auto"/>
              <w:left w:val="nil"/>
              <w:bottom w:val="single" w:sz="4" w:space="0" w:color="auto"/>
              <w:right w:val="single" w:sz="4" w:space="0" w:color="auto"/>
            </w:tcBorders>
            <w:shd w:val="clear" w:color="auto" w:fill="auto"/>
            <w:vAlign w:val="center"/>
          </w:tcPr>
          <w:p w14:paraId="00FF4EAF" w14:textId="12B30772" w:rsidR="0001674A" w:rsidRPr="00C3312E" w:rsidRDefault="0001674A" w:rsidP="0001674A">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auto"/>
            <w:vAlign w:val="center"/>
          </w:tcPr>
          <w:p w14:paraId="5D7A4093" w14:textId="79314AB5" w:rsidR="0001674A" w:rsidRPr="00C3312E" w:rsidRDefault="0001674A" w:rsidP="0001674A">
            <w:pPr>
              <w:spacing w:after="0" w:line="240" w:lineRule="auto"/>
              <w:jc w:val="center"/>
              <w:rPr>
                <w:rFonts w:cstheme="minorHAnsi"/>
                <w:sz w:val="20"/>
                <w:szCs w:val="20"/>
              </w:rPr>
            </w:pPr>
            <w:r w:rsidRPr="00C3312E">
              <w:rPr>
                <w:rFonts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vAlign w:val="center"/>
          </w:tcPr>
          <w:p w14:paraId="360C3FAA" w14:textId="730C0357"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auto"/>
            <w:vAlign w:val="bottom"/>
          </w:tcPr>
          <w:p w14:paraId="0EF33028" w14:textId="2EE91352"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-13%</w:t>
            </w:r>
          </w:p>
        </w:tc>
      </w:tr>
      <w:tr w:rsidR="0001674A" w:rsidRPr="00C3312E" w14:paraId="19E5DAF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066F51E" w14:textId="3E970E3A" w:rsidR="0001674A" w:rsidRPr="00C3312E" w:rsidRDefault="0001674A" w:rsidP="0001674A">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28D63A58" w14:textId="44098DF4" w:rsidR="0001674A" w:rsidRPr="00C3312E" w:rsidRDefault="0001674A" w:rsidP="0001674A">
            <w:pPr>
              <w:spacing w:after="0" w:line="240" w:lineRule="auto"/>
              <w:jc w:val="center"/>
              <w:rPr>
                <w:rFonts w:cstheme="minorHAnsi"/>
                <w:sz w:val="20"/>
                <w:szCs w:val="20"/>
              </w:rPr>
            </w:pPr>
            <w:r w:rsidRPr="00C3312E">
              <w:rPr>
                <w:rFonts w:cstheme="minorHAnsi"/>
                <w:sz w:val="20"/>
                <w:szCs w:val="20"/>
              </w:rPr>
              <w:t>39</w:t>
            </w:r>
          </w:p>
        </w:tc>
        <w:tc>
          <w:tcPr>
            <w:tcW w:w="885" w:type="dxa"/>
            <w:tcBorders>
              <w:top w:val="single" w:sz="4" w:space="0" w:color="auto"/>
              <w:left w:val="nil"/>
              <w:bottom w:val="single" w:sz="4" w:space="0" w:color="auto"/>
              <w:right w:val="single" w:sz="4" w:space="0" w:color="auto"/>
            </w:tcBorders>
            <w:shd w:val="clear" w:color="auto" w:fill="auto"/>
            <w:vAlign w:val="center"/>
          </w:tcPr>
          <w:p w14:paraId="3D890F85" w14:textId="3D979D09" w:rsidR="0001674A" w:rsidRPr="00C3312E" w:rsidRDefault="0001674A" w:rsidP="0001674A">
            <w:pPr>
              <w:spacing w:after="0" w:line="240" w:lineRule="auto"/>
              <w:jc w:val="center"/>
              <w:rPr>
                <w:rFonts w:cstheme="minorHAnsi"/>
                <w:sz w:val="20"/>
                <w:szCs w:val="20"/>
              </w:rPr>
            </w:pPr>
            <w:r w:rsidRPr="00C3312E">
              <w:rPr>
                <w:rFonts w:cstheme="minorHAnsi"/>
                <w:sz w:val="20"/>
                <w:szCs w:val="20"/>
              </w:rPr>
              <w:t>28%</w:t>
            </w:r>
          </w:p>
        </w:tc>
        <w:tc>
          <w:tcPr>
            <w:tcW w:w="1005" w:type="dxa"/>
            <w:tcBorders>
              <w:top w:val="single" w:sz="4" w:space="0" w:color="auto"/>
              <w:left w:val="nil"/>
              <w:bottom w:val="single" w:sz="4" w:space="0" w:color="auto"/>
              <w:right w:val="single" w:sz="4" w:space="0" w:color="auto"/>
            </w:tcBorders>
            <w:shd w:val="clear" w:color="auto" w:fill="auto"/>
            <w:vAlign w:val="center"/>
          </w:tcPr>
          <w:p w14:paraId="4E253B14" w14:textId="7C704279"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vAlign w:val="center"/>
          </w:tcPr>
          <w:p w14:paraId="05585F56" w14:textId="79B324D9"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auto"/>
            <w:vAlign w:val="center"/>
          </w:tcPr>
          <w:p w14:paraId="2A4E1D64" w14:textId="689993A3"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11CA532F" w14:textId="66C1C953"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-15%</w:t>
            </w:r>
          </w:p>
        </w:tc>
      </w:tr>
      <w:tr w:rsidR="0001674A" w:rsidRPr="00C3312E" w14:paraId="3180FEB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2FADA2C" w14:textId="335571AF" w:rsidR="0001674A" w:rsidRPr="00C3312E" w:rsidRDefault="0001674A" w:rsidP="0001674A">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7C90AB63" w14:textId="6FF71C11"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17</w:t>
            </w:r>
          </w:p>
        </w:tc>
        <w:tc>
          <w:tcPr>
            <w:tcW w:w="885" w:type="dxa"/>
            <w:tcBorders>
              <w:top w:val="single" w:sz="4" w:space="0" w:color="auto"/>
              <w:left w:val="nil"/>
              <w:bottom w:val="single" w:sz="4" w:space="0" w:color="auto"/>
              <w:right w:val="single" w:sz="4" w:space="0" w:color="auto"/>
            </w:tcBorders>
            <w:shd w:val="clear" w:color="auto" w:fill="auto"/>
            <w:vAlign w:val="center"/>
          </w:tcPr>
          <w:p w14:paraId="550BFA43" w14:textId="75FC9BAD" w:rsidR="0001674A" w:rsidRPr="00C3312E" w:rsidRDefault="0001674A" w:rsidP="0001674A">
            <w:pPr>
              <w:spacing w:after="0" w:line="240" w:lineRule="auto"/>
              <w:jc w:val="center"/>
              <w:rPr>
                <w:rFonts w:cstheme="minorHAnsi"/>
                <w:sz w:val="20"/>
                <w:szCs w:val="20"/>
              </w:rPr>
            </w:pPr>
            <w:r w:rsidRPr="00C3312E">
              <w:rPr>
                <w:rFonts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vAlign w:val="center"/>
          </w:tcPr>
          <w:p w14:paraId="478CBB93" w14:textId="76ED4470"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vAlign w:val="center"/>
          </w:tcPr>
          <w:p w14:paraId="7D04CB11" w14:textId="076781FD"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3BEF551F" w14:textId="28F27FC8"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auto"/>
            <w:vAlign w:val="bottom"/>
          </w:tcPr>
          <w:p w14:paraId="67A1492C" w14:textId="7A1CF052" w:rsidR="0001674A" w:rsidRPr="00C3312E" w:rsidRDefault="0001674A" w:rsidP="0001674A">
            <w:pPr>
              <w:spacing w:after="0" w:line="240" w:lineRule="auto"/>
              <w:jc w:val="center"/>
              <w:rPr>
                <w:rFonts w:cstheme="minorHAnsi"/>
                <w:sz w:val="20"/>
                <w:szCs w:val="20"/>
              </w:rPr>
            </w:pPr>
            <w:r w:rsidRPr="00C3312E">
              <w:rPr>
                <w:rFonts w:cstheme="minorHAnsi"/>
                <w:sz w:val="20"/>
                <w:szCs w:val="20"/>
              </w:rPr>
              <w:t>-9%</w:t>
            </w:r>
          </w:p>
        </w:tc>
      </w:tr>
      <w:tr w:rsidR="0001674A" w:rsidRPr="00C3312E" w14:paraId="6CA072A8"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82513B2" w14:textId="26D91115" w:rsidR="0001674A" w:rsidRPr="00C3312E" w:rsidRDefault="0001674A" w:rsidP="0001674A">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717189AC" w14:textId="03968636" w:rsidR="0001674A" w:rsidRPr="00C3312E" w:rsidRDefault="0001674A" w:rsidP="0001674A">
            <w:pPr>
              <w:spacing w:after="0" w:line="240" w:lineRule="auto"/>
              <w:jc w:val="center"/>
              <w:rPr>
                <w:rFonts w:cstheme="minorHAnsi"/>
                <w:sz w:val="20"/>
                <w:szCs w:val="20"/>
              </w:rPr>
            </w:pPr>
            <w:r w:rsidRPr="00C3312E">
              <w:rPr>
                <w:rFonts w:cstheme="minorHAnsi"/>
                <w:sz w:val="20"/>
                <w:szCs w:val="20"/>
              </w:rPr>
              <w:t>37</w:t>
            </w:r>
          </w:p>
        </w:tc>
        <w:tc>
          <w:tcPr>
            <w:tcW w:w="885" w:type="dxa"/>
            <w:tcBorders>
              <w:top w:val="single" w:sz="4" w:space="0" w:color="auto"/>
              <w:left w:val="nil"/>
              <w:bottom w:val="single" w:sz="4" w:space="0" w:color="auto"/>
              <w:right w:val="single" w:sz="4" w:space="0" w:color="auto"/>
            </w:tcBorders>
            <w:shd w:val="clear" w:color="auto" w:fill="auto"/>
            <w:vAlign w:val="center"/>
          </w:tcPr>
          <w:p w14:paraId="2BBB8EE9" w14:textId="40A780F6"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19%</w:t>
            </w:r>
          </w:p>
        </w:tc>
        <w:tc>
          <w:tcPr>
            <w:tcW w:w="1005" w:type="dxa"/>
            <w:tcBorders>
              <w:top w:val="single" w:sz="4" w:space="0" w:color="auto"/>
              <w:left w:val="nil"/>
              <w:bottom w:val="single" w:sz="4" w:space="0" w:color="auto"/>
              <w:right w:val="single" w:sz="4" w:space="0" w:color="auto"/>
            </w:tcBorders>
            <w:shd w:val="clear" w:color="auto" w:fill="auto"/>
            <w:vAlign w:val="center"/>
          </w:tcPr>
          <w:p w14:paraId="55664B32" w14:textId="750B31CF"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vAlign w:val="center"/>
          </w:tcPr>
          <w:p w14:paraId="505FB31A" w14:textId="4982C73D" w:rsidR="0001674A" w:rsidRPr="00C3312E" w:rsidRDefault="0001674A" w:rsidP="0001674A">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0266C28B" w14:textId="39223E83" w:rsidR="0001674A" w:rsidRPr="00C3312E" w:rsidRDefault="0001674A" w:rsidP="0001674A">
            <w:pPr>
              <w:spacing w:after="0" w:line="240" w:lineRule="auto"/>
              <w:jc w:val="center"/>
              <w:rPr>
                <w:rFonts w:cstheme="minorHAnsi"/>
                <w:sz w:val="20"/>
                <w:szCs w:val="20"/>
              </w:rPr>
            </w:pPr>
            <w:r w:rsidRPr="00C3312E">
              <w:rPr>
                <w:rFonts w:cstheme="minorHAnsi"/>
                <w:sz w:val="20"/>
                <w:szCs w:val="20"/>
              </w:rPr>
              <w:t>16%</w:t>
            </w:r>
          </w:p>
        </w:tc>
        <w:tc>
          <w:tcPr>
            <w:tcW w:w="918" w:type="dxa"/>
            <w:tcBorders>
              <w:top w:val="single" w:sz="4" w:space="0" w:color="auto"/>
              <w:left w:val="nil"/>
              <w:bottom w:val="single" w:sz="4" w:space="0" w:color="auto"/>
              <w:right w:val="single" w:sz="4" w:space="0" w:color="auto"/>
            </w:tcBorders>
            <w:shd w:val="clear" w:color="auto" w:fill="auto"/>
            <w:vAlign w:val="bottom"/>
          </w:tcPr>
          <w:p w14:paraId="3B41F6A9" w14:textId="71C4E8C6" w:rsidR="0001674A" w:rsidRPr="00C3312E" w:rsidRDefault="0001674A" w:rsidP="0001674A">
            <w:pPr>
              <w:spacing w:after="0" w:line="240" w:lineRule="auto"/>
              <w:jc w:val="center"/>
              <w:rPr>
                <w:rFonts w:cstheme="minorHAnsi"/>
                <w:sz w:val="20"/>
                <w:szCs w:val="20"/>
              </w:rPr>
            </w:pPr>
            <w:r w:rsidRPr="00C3312E">
              <w:rPr>
                <w:rFonts w:cstheme="minorHAnsi"/>
                <w:sz w:val="20"/>
                <w:szCs w:val="20"/>
              </w:rPr>
              <w:t>-3%</w:t>
            </w:r>
          </w:p>
        </w:tc>
      </w:tr>
      <w:tr w:rsidR="00C3312E" w:rsidRPr="00C3312E" w14:paraId="6DFD7F2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5A24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Dunning</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E3834F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84</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D5402F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53%</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B0218B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7B08A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55%</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D080F9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94BDA2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r>
      <w:tr w:rsidR="00C3312E" w:rsidRPr="00C3312E" w14:paraId="6ECCE7F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89629C8"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53CD9AA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11B2A69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0DAE22B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C756B0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F97515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1B177A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16FBB69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5ED1015"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328EC59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c>
          <w:tcPr>
            <w:tcW w:w="885" w:type="dxa"/>
            <w:tcBorders>
              <w:top w:val="single" w:sz="4" w:space="0" w:color="auto"/>
              <w:left w:val="nil"/>
              <w:bottom w:val="single" w:sz="4" w:space="0" w:color="auto"/>
              <w:right w:val="single" w:sz="4" w:space="0" w:color="auto"/>
            </w:tcBorders>
            <w:shd w:val="clear" w:color="auto" w:fill="auto"/>
            <w:vAlign w:val="center"/>
          </w:tcPr>
          <w:p w14:paraId="2A3E915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1005" w:type="dxa"/>
            <w:tcBorders>
              <w:top w:val="single" w:sz="4" w:space="0" w:color="auto"/>
              <w:left w:val="nil"/>
              <w:bottom w:val="single" w:sz="4" w:space="0" w:color="auto"/>
              <w:right w:val="single" w:sz="4" w:space="0" w:color="auto"/>
            </w:tcBorders>
            <w:shd w:val="clear" w:color="auto" w:fill="auto"/>
            <w:vAlign w:val="center"/>
          </w:tcPr>
          <w:p w14:paraId="3D5A70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810" w:type="dxa"/>
            <w:tcBorders>
              <w:top w:val="single" w:sz="4" w:space="0" w:color="auto"/>
              <w:left w:val="nil"/>
              <w:bottom w:val="single" w:sz="4" w:space="0" w:color="auto"/>
              <w:right w:val="single" w:sz="4" w:space="0" w:color="auto"/>
            </w:tcBorders>
            <w:shd w:val="clear" w:color="auto" w:fill="auto"/>
            <w:vAlign w:val="center"/>
          </w:tcPr>
          <w:p w14:paraId="519BAE2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C75EAF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w:t>
            </w:r>
          </w:p>
        </w:tc>
        <w:tc>
          <w:tcPr>
            <w:tcW w:w="918" w:type="dxa"/>
            <w:tcBorders>
              <w:top w:val="single" w:sz="4" w:space="0" w:color="auto"/>
              <w:left w:val="nil"/>
              <w:bottom w:val="single" w:sz="4" w:space="0" w:color="auto"/>
              <w:right w:val="single" w:sz="4" w:space="0" w:color="auto"/>
            </w:tcBorders>
            <w:shd w:val="clear" w:color="auto" w:fill="auto"/>
            <w:vAlign w:val="bottom"/>
          </w:tcPr>
          <w:p w14:paraId="32C3A77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-21%</w:t>
            </w:r>
          </w:p>
        </w:tc>
      </w:tr>
      <w:tr w:rsidR="00C3312E" w:rsidRPr="00C3312E" w14:paraId="2531EEE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1981066"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51BA019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85" w:type="dxa"/>
            <w:tcBorders>
              <w:top w:val="single" w:sz="4" w:space="0" w:color="auto"/>
              <w:left w:val="nil"/>
              <w:bottom w:val="single" w:sz="4" w:space="0" w:color="auto"/>
              <w:right w:val="single" w:sz="4" w:space="0" w:color="auto"/>
            </w:tcBorders>
            <w:shd w:val="clear" w:color="auto" w:fill="auto"/>
            <w:vAlign w:val="center"/>
          </w:tcPr>
          <w:p w14:paraId="67DB738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vAlign w:val="center"/>
          </w:tcPr>
          <w:p w14:paraId="68EB663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9BE49D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422A2F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vAlign w:val="bottom"/>
          </w:tcPr>
          <w:p w14:paraId="3FD338A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r>
      <w:tr w:rsidR="00C3312E" w:rsidRPr="00C3312E" w14:paraId="601FDE3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7A62A1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0CAAAED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vAlign w:val="center"/>
          </w:tcPr>
          <w:p w14:paraId="0B0173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51BF6EF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810DFA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A6024E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5740CE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6A6B609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19DF90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6467F2E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885" w:type="dxa"/>
            <w:tcBorders>
              <w:top w:val="single" w:sz="4" w:space="0" w:color="auto"/>
              <w:left w:val="nil"/>
              <w:bottom w:val="single" w:sz="4" w:space="0" w:color="auto"/>
              <w:right w:val="single" w:sz="4" w:space="0" w:color="auto"/>
            </w:tcBorders>
            <w:shd w:val="clear" w:color="auto" w:fill="auto"/>
            <w:vAlign w:val="center"/>
          </w:tcPr>
          <w:p w14:paraId="02DDCAC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69%</w:t>
            </w:r>
          </w:p>
        </w:tc>
        <w:tc>
          <w:tcPr>
            <w:tcW w:w="1005" w:type="dxa"/>
            <w:tcBorders>
              <w:top w:val="single" w:sz="4" w:space="0" w:color="auto"/>
              <w:left w:val="nil"/>
              <w:bottom w:val="single" w:sz="4" w:space="0" w:color="auto"/>
              <w:right w:val="single" w:sz="4" w:space="0" w:color="auto"/>
            </w:tcBorders>
            <w:shd w:val="clear" w:color="auto" w:fill="auto"/>
            <w:vAlign w:val="center"/>
          </w:tcPr>
          <w:p w14:paraId="11B905B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51%</w:t>
            </w:r>
          </w:p>
        </w:tc>
        <w:tc>
          <w:tcPr>
            <w:tcW w:w="810" w:type="dxa"/>
            <w:tcBorders>
              <w:top w:val="single" w:sz="4" w:space="0" w:color="auto"/>
              <w:left w:val="nil"/>
              <w:bottom w:val="single" w:sz="4" w:space="0" w:color="auto"/>
              <w:right w:val="single" w:sz="4" w:space="0" w:color="auto"/>
            </w:tcBorders>
            <w:shd w:val="clear" w:color="auto" w:fill="auto"/>
            <w:vAlign w:val="center"/>
          </w:tcPr>
          <w:p w14:paraId="021E0E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60%</w:t>
            </w:r>
          </w:p>
        </w:tc>
        <w:tc>
          <w:tcPr>
            <w:tcW w:w="810" w:type="dxa"/>
            <w:tcBorders>
              <w:top w:val="single" w:sz="4" w:space="0" w:color="auto"/>
              <w:left w:val="nil"/>
              <w:bottom w:val="single" w:sz="4" w:space="0" w:color="auto"/>
              <w:right w:val="single" w:sz="4" w:space="0" w:color="auto"/>
            </w:tcBorders>
            <w:shd w:val="clear" w:color="auto" w:fill="auto"/>
            <w:vAlign w:val="center"/>
          </w:tcPr>
          <w:p w14:paraId="561F82D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44%</w:t>
            </w:r>
          </w:p>
        </w:tc>
        <w:tc>
          <w:tcPr>
            <w:tcW w:w="918" w:type="dxa"/>
            <w:tcBorders>
              <w:top w:val="single" w:sz="4" w:space="0" w:color="auto"/>
              <w:left w:val="nil"/>
              <w:bottom w:val="single" w:sz="4" w:space="0" w:color="auto"/>
              <w:right w:val="single" w:sz="4" w:space="0" w:color="auto"/>
            </w:tcBorders>
            <w:shd w:val="clear" w:color="auto" w:fill="auto"/>
            <w:vAlign w:val="bottom"/>
          </w:tcPr>
          <w:p w14:paraId="11EA73D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-25%</w:t>
            </w:r>
          </w:p>
        </w:tc>
      </w:tr>
      <w:tr w:rsidR="00881923" w:rsidRPr="00C3312E" w14:paraId="3D204467"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071B295" w14:textId="2E4C090F" w:rsidR="00881923" w:rsidRPr="00C3312E" w:rsidRDefault="00881923" w:rsidP="00881923">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54DCE89A" w14:textId="36045B24"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38</w:t>
            </w:r>
          </w:p>
        </w:tc>
        <w:tc>
          <w:tcPr>
            <w:tcW w:w="885" w:type="dxa"/>
            <w:tcBorders>
              <w:top w:val="single" w:sz="4" w:space="0" w:color="auto"/>
              <w:left w:val="nil"/>
              <w:bottom w:val="single" w:sz="4" w:space="0" w:color="auto"/>
              <w:right w:val="single" w:sz="4" w:space="0" w:color="auto"/>
            </w:tcBorders>
            <w:shd w:val="clear" w:color="auto" w:fill="auto"/>
            <w:vAlign w:val="center"/>
          </w:tcPr>
          <w:p w14:paraId="39D43A22" w14:textId="602953FC"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29%</w:t>
            </w:r>
          </w:p>
        </w:tc>
        <w:tc>
          <w:tcPr>
            <w:tcW w:w="1005" w:type="dxa"/>
            <w:tcBorders>
              <w:top w:val="single" w:sz="4" w:space="0" w:color="auto"/>
              <w:left w:val="nil"/>
              <w:bottom w:val="single" w:sz="4" w:space="0" w:color="auto"/>
              <w:right w:val="single" w:sz="4" w:space="0" w:color="auto"/>
            </w:tcBorders>
            <w:shd w:val="clear" w:color="auto" w:fill="auto"/>
            <w:vAlign w:val="center"/>
          </w:tcPr>
          <w:p w14:paraId="1DC6EA31" w14:textId="2C87D792"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73132A59" w14:textId="7265BA8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37%</w:t>
            </w:r>
          </w:p>
        </w:tc>
        <w:tc>
          <w:tcPr>
            <w:tcW w:w="810" w:type="dxa"/>
            <w:tcBorders>
              <w:top w:val="single" w:sz="4" w:space="0" w:color="auto"/>
              <w:left w:val="nil"/>
              <w:bottom w:val="single" w:sz="4" w:space="0" w:color="auto"/>
              <w:right w:val="single" w:sz="4" w:space="0" w:color="auto"/>
            </w:tcBorders>
            <w:shd w:val="clear" w:color="auto" w:fill="auto"/>
            <w:vAlign w:val="center"/>
          </w:tcPr>
          <w:p w14:paraId="414C7C49" w14:textId="43B1B99D"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2E48E259" w14:textId="142A9D85"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-16%</w:t>
            </w:r>
          </w:p>
        </w:tc>
      </w:tr>
      <w:tr w:rsidR="00881923" w:rsidRPr="00C3312E" w14:paraId="2CA6552C"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5E7EE1D" w14:textId="41E9B6DB" w:rsidR="00881923" w:rsidRPr="00C3312E" w:rsidRDefault="00881923" w:rsidP="00881923">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4DA696B1" w14:textId="3E18CA99"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20</w:t>
            </w:r>
          </w:p>
        </w:tc>
        <w:tc>
          <w:tcPr>
            <w:tcW w:w="885" w:type="dxa"/>
            <w:tcBorders>
              <w:top w:val="single" w:sz="4" w:space="0" w:color="auto"/>
              <w:left w:val="nil"/>
              <w:bottom w:val="single" w:sz="4" w:space="0" w:color="auto"/>
              <w:right w:val="single" w:sz="4" w:space="0" w:color="auto"/>
            </w:tcBorders>
            <w:shd w:val="clear" w:color="auto" w:fill="auto"/>
            <w:vAlign w:val="center"/>
          </w:tcPr>
          <w:p w14:paraId="0AEFDB12" w14:textId="58211DA8"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26%</w:t>
            </w:r>
          </w:p>
        </w:tc>
        <w:tc>
          <w:tcPr>
            <w:tcW w:w="1005" w:type="dxa"/>
            <w:tcBorders>
              <w:top w:val="single" w:sz="4" w:space="0" w:color="auto"/>
              <w:left w:val="nil"/>
              <w:bottom w:val="single" w:sz="4" w:space="0" w:color="auto"/>
              <w:right w:val="single" w:sz="4" w:space="0" w:color="auto"/>
            </w:tcBorders>
            <w:shd w:val="clear" w:color="auto" w:fill="auto"/>
            <w:vAlign w:val="center"/>
          </w:tcPr>
          <w:p w14:paraId="2EB4020E" w14:textId="097B9A3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vAlign w:val="center"/>
          </w:tcPr>
          <w:p w14:paraId="4ABF959F" w14:textId="65D7DDD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39%</w:t>
            </w:r>
          </w:p>
        </w:tc>
        <w:tc>
          <w:tcPr>
            <w:tcW w:w="810" w:type="dxa"/>
            <w:tcBorders>
              <w:top w:val="single" w:sz="4" w:space="0" w:color="auto"/>
              <w:left w:val="nil"/>
              <w:bottom w:val="single" w:sz="4" w:space="0" w:color="auto"/>
              <w:right w:val="single" w:sz="4" w:space="0" w:color="auto"/>
            </w:tcBorders>
            <w:shd w:val="clear" w:color="auto" w:fill="auto"/>
            <w:vAlign w:val="center"/>
          </w:tcPr>
          <w:p w14:paraId="32DBD9FE" w14:textId="25663AE1"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vAlign w:val="bottom"/>
          </w:tcPr>
          <w:p w14:paraId="3746A7F6" w14:textId="5DED7EF0"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-11%</w:t>
            </w:r>
          </w:p>
        </w:tc>
      </w:tr>
      <w:tr w:rsidR="00881923" w:rsidRPr="00C3312E" w14:paraId="3DA6092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36D3305" w14:textId="7B2B95AD" w:rsidR="00881923" w:rsidRPr="00C3312E" w:rsidRDefault="00881923" w:rsidP="00881923">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4F4B28AC" w14:textId="5219FB8B"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20</w:t>
            </w:r>
          </w:p>
        </w:tc>
        <w:tc>
          <w:tcPr>
            <w:tcW w:w="885" w:type="dxa"/>
            <w:tcBorders>
              <w:top w:val="single" w:sz="4" w:space="0" w:color="auto"/>
              <w:left w:val="nil"/>
              <w:bottom w:val="single" w:sz="4" w:space="0" w:color="auto"/>
              <w:right w:val="single" w:sz="4" w:space="0" w:color="auto"/>
            </w:tcBorders>
            <w:shd w:val="clear" w:color="auto" w:fill="auto"/>
            <w:vAlign w:val="center"/>
          </w:tcPr>
          <w:p w14:paraId="116430DE" w14:textId="49D3DA5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31%</w:t>
            </w:r>
          </w:p>
        </w:tc>
        <w:tc>
          <w:tcPr>
            <w:tcW w:w="1005" w:type="dxa"/>
            <w:tcBorders>
              <w:top w:val="single" w:sz="4" w:space="0" w:color="auto"/>
              <w:left w:val="nil"/>
              <w:bottom w:val="single" w:sz="4" w:space="0" w:color="auto"/>
              <w:right w:val="single" w:sz="4" w:space="0" w:color="auto"/>
            </w:tcBorders>
            <w:shd w:val="clear" w:color="auto" w:fill="auto"/>
            <w:vAlign w:val="center"/>
          </w:tcPr>
          <w:p w14:paraId="4BB37B15" w14:textId="5F6C031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3F85A494" w14:textId="4DBF47C5"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35%</w:t>
            </w:r>
          </w:p>
        </w:tc>
        <w:tc>
          <w:tcPr>
            <w:tcW w:w="810" w:type="dxa"/>
            <w:tcBorders>
              <w:top w:val="single" w:sz="4" w:space="0" w:color="auto"/>
              <w:left w:val="nil"/>
              <w:bottom w:val="single" w:sz="4" w:space="0" w:color="auto"/>
              <w:right w:val="single" w:sz="4" w:space="0" w:color="auto"/>
            </w:tcBorders>
            <w:shd w:val="clear" w:color="auto" w:fill="auto"/>
            <w:vAlign w:val="center"/>
          </w:tcPr>
          <w:p w14:paraId="05079457" w14:textId="3E31362B"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auto"/>
            <w:vAlign w:val="bottom"/>
          </w:tcPr>
          <w:p w14:paraId="0ED28787" w14:textId="00F7F52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-21%</w:t>
            </w:r>
          </w:p>
        </w:tc>
      </w:tr>
      <w:tr w:rsidR="00881923" w:rsidRPr="00C3312E" w14:paraId="2ACF43D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8945738" w14:textId="36395152" w:rsidR="00881923" w:rsidRPr="00C3312E" w:rsidRDefault="00881923" w:rsidP="00881923">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5DE2C4CD" w14:textId="4FC97F7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22</w:t>
            </w:r>
          </w:p>
        </w:tc>
        <w:tc>
          <w:tcPr>
            <w:tcW w:w="885" w:type="dxa"/>
            <w:tcBorders>
              <w:top w:val="single" w:sz="4" w:space="0" w:color="auto"/>
              <w:left w:val="nil"/>
              <w:bottom w:val="single" w:sz="4" w:space="0" w:color="auto"/>
              <w:right w:val="single" w:sz="4" w:space="0" w:color="auto"/>
            </w:tcBorders>
            <w:shd w:val="clear" w:color="auto" w:fill="auto"/>
            <w:vAlign w:val="center"/>
          </w:tcPr>
          <w:p w14:paraId="5FA4D4EC" w14:textId="002BE601" w:rsidR="00881923" w:rsidRPr="00C3312E" w:rsidRDefault="00881923" w:rsidP="00881923">
            <w:pPr>
              <w:spacing w:after="0" w:line="240" w:lineRule="auto"/>
              <w:jc w:val="center"/>
              <w:rPr>
                <w:rFonts w:cstheme="minorHAnsi"/>
                <w:sz w:val="20"/>
                <w:szCs w:val="20"/>
              </w:rPr>
            </w:pPr>
            <w:r w:rsidRPr="00C3312E">
              <w:rPr>
                <w:rFonts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vAlign w:val="center"/>
          </w:tcPr>
          <w:p w14:paraId="51894384" w14:textId="2F236BD0"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9EFFA5E" w14:textId="7CEBCDEC"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664B2B4" w14:textId="7D47CA45" w:rsidR="00881923" w:rsidRPr="00C3312E" w:rsidRDefault="00881923" w:rsidP="00881923">
            <w:pPr>
              <w:spacing w:after="0" w:line="240" w:lineRule="auto"/>
              <w:jc w:val="center"/>
              <w:rPr>
                <w:rFonts w:cstheme="minorHAnsi"/>
                <w:sz w:val="20"/>
                <w:szCs w:val="20"/>
              </w:rPr>
            </w:pPr>
            <w:r w:rsidRPr="00C3312E">
              <w:rPr>
                <w:rFonts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vAlign w:val="bottom"/>
          </w:tcPr>
          <w:p w14:paraId="002872F8" w14:textId="4627BCDD" w:rsidR="00881923" w:rsidRPr="00C3312E" w:rsidRDefault="00881923" w:rsidP="00881923">
            <w:pPr>
              <w:spacing w:after="0" w:line="240" w:lineRule="auto"/>
              <w:jc w:val="center"/>
              <w:rPr>
                <w:rFonts w:cstheme="minorHAnsi"/>
                <w:sz w:val="20"/>
                <w:szCs w:val="20"/>
              </w:rPr>
            </w:pPr>
            <w:r w:rsidRPr="00C3312E">
              <w:rPr>
                <w:rFonts w:cstheme="minorHAnsi"/>
                <w:sz w:val="20"/>
                <w:szCs w:val="20"/>
              </w:rPr>
              <w:t>9%</w:t>
            </w:r>
          </w:p>
        </w:tc>
      </w:tr>
      <w:tr w:rsidR="00C3312E" w:rsidRPr="00C3312E" w14:paraId="7D3C22B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64638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Hemenway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4A3AF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95</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C5975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79%</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4B842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78%</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1991B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6F76F7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63%</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D7B461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r>
      <w:tr w:rsidR="00C3312E" w:rsidRPr="00C3312E" w14:paraId="5D47C52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60A28B0"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1EC7B55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vAlign w:val="center"/>
          </w:tcPr>
          <w:p w14:paraId="6E84966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6F8BF34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7007AE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877CBD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46D465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5D18CD7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562821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4F24A26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4B7786F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90%</w:t>
            </w:r>
          </w:p>
        </w:tc>
        <w:tc>
          <w:tcPr>
            <w:tcW w:w="1005" w:type="dxa"/>
            <w:tcBorders>
              <w:top w:val="single" w:sz="4" w:space="0" w:color="auto"/>
              <w:left w:val="nil"/>
              <w:bottom w:val="single" w:sz="4" w:space="0" w:color="auto"/>
              <w:right w:val="single" w:sz="4" w:space="0" w:color="auto"/>
            </w:tcBorders>
            <w:shd w:val="clear" w:color="auto" w:fill="auto"/>
            <w:vAlign w:val="center"/>
          </w:tcPr>
          <w:p w14:paraId="438260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BBD822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03779C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B4765C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2FB999C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B8E912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4763D0A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5B493D3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23BE1B9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F34EA3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C0AE81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976DA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152A61E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E4C4AE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4FE2EFF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vAlign w:val="center"/>
          </w:tcPr>
          <w:p w14:paraId="501D95D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A0A96F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34EB2F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D336AE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899890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3D70F47"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5F9BF25"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2926B01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73</w:t>
            </w:r>
          </w:p>
        </w:tc>
        <w:tc>
          <w:tcPr>
            <w:tcW w:w="885" w:type="dxa"/>
            <w:tcBorders>
              <w:top w:val="single" w:sz="4" w:space="0" w:color="auto"/>
              <w:left w:val="nil"/>
              <w:bottom w:val="single" w:sz="4" w:space="0" w:color="auto"/>
              <w:right w:val="single" w:sz="4" w:space="0" w:color="auto"/>
            </w:tcBorders>
            <w:shd w:val="clear" w:color="auto" w:fill="auto"/>
            <w:vAlign w:val="center"/>
          </w:tcPr>
          <w:p w14:paraId="4C3DCD9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78%</w:t>
            </w:r>
          </w:p>
        </w:tc>
        <w:tc>
          <w:tcPr>
            <w:tcW w:w="1005" w:type="dxa"/>
            <w:tcBorders>
              <w:top w:val="single" w:sz="4" w:space="0" w:color="auto"/>
              <w:left w:val="nil"/>
              <w:bottom w:val="single" w:sz="4" w:space="0" w:color="auto"/>
              <w:right w:val="single" w:sz="4" w:space="0" w:color="auto"/>
            </w:tcBorders>
            <w:shd w:val="clear" w:color="auto" w:fill="auto"/>
            <w:vAlign w:val="center"/>
          </w:tcPr>
          <w:p w14:paraId="7A055AB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76%</w:t>
            </w:r>
          </w:p>
        </w:tc>
        <w:tc>
          <w:tcPr>
            <w:tcW w:w="810" w:type="dxa"/>
            <w:tcBorders>
              <w:top w:val="single" w:sz="4" w:space="0" w:color="auto"/>
              <w:left w:val="nil"/>
              <w:bottom w:val="single" w:sz="4" w:space="0" w:color="auto"/>
              <w:right w:val="single" w:sz="4" w:space="0" w:color="auto"/>
            </w:tcBorders>
            <w:shd w:val="clear" w:color="auto" w:fill="auto"/>
            <w:vAlign w:val="center"/>
          </w:tcPr>
          <w:p w14:paraId="3A76338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68%</w:t>
            </w:r>
          </w:p>
        </w:tc>
        <w:tc>
          <w:tcPr>
            <w:tcW w:w="810" w:type="dxa"/>
            <w:tcBorders>
              <w:top w:val="single" w:sz="4" w:space="0" w:color="auto"/>
              <w:left w:val="nil"/>
              <w:bottom w:val="single" w:sz="4" w:space="0" w:color="auto"/>
              <w:right w:val="single" w:sz="4" w:space="0" w:color="auto"/>
            </w:tcBorders>
            <w:shd w:val="clear" w:color="auto" w:fill="auto"/>
            <w:vAlign w:val="center"/>
          </w:tcPr>
          <w:p w14:paraId="63A30D5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66%</w:t>
            </w:r>
          </w:p>
        </w:tc>
        <w:tc>
          <w:tcPr>
            <w:tcW w:w="918" w:type="dxa"/>
            <w:tcBorders>
              <w:top w:val="single" w:sz="4" w:space="0" w:color="auto"/>
              <w:left w:val="nil"/>
              <w:bottom w:val="single" w:sz="4" w:space="0" w:color="auto"/>
              <w:right w:val="single" w:sz="4" w:space="0" w:color="auto"/>
            </w:tcBorders>
            <w:shd w:val="clear" w:color="auto" w:fill="auto"/>
            <w:vAlign w:val="bottom"/>
          </w:tcPr>
          <w:p w14:paraId="0144B4C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-12%</w:t>
            </w:r>
          </w:p>
        </w:tc>
      </w:tr>
      <w:tr w:rsidR="00881923" w:rsidRPr="00C3312E" w14:paraId="7B3DE80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6F82AFE" w14:textId="7C29B0BF" w:rsidR="00881923" w:rsidRPr="00C3312E" w:rsidRDefault="00881923" w:rsidP="00881923">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299648D0" w14:textId="666E7F6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37</w:t>
            </w:r>
          </w:p>
        </w:tc>
        <w:tc>
          <w:tcPr>
            <w:tcW w:w="885" w:type="dxa"/>
            <w:tcBorders>
              <w:top w:val="single" w:sz="4" w:space="0" w:color="auto"/>
              <w:left w:val="nil"/>
              <w:bottom w:val="single" w:sz="4" w:space="0" w:color="auto"/>
              <w:right w:val="single" w:sz="4" w:space="0" w:color="auto"/>
            </w:tcBorders>
            <w:shd w:val="clear" w:color="auto" w:fill="auto"/>
            <w:vAlign w:val="center"/>
          </w:tcPr>
          <w:p w14:paraId="057414D4" w14:textId="381A818A"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56%</w:t>
            </w:r>
          </w:p>
        </w:tc>
        <w:tc>
          <w:tcPr>
            <w:tcW w:w="1005" w:type="dxa"/>
            <w:tcBorders>
              <w:top w:val="single" w:sz="4" w:space="0" w:color="auto"/>
              <w:left w:val="nil"/>
              <w:bottom w:val="single" w:sz="4" w:space="0" w:color="auto"/>
              <w:right w:val="single" w:sz="4" w:space="0" w:color="auto"/>
            </w:tcBorders>
            <w:shd w:val="clear" w:color="auto" w:fill="auto"/>
            <w:vAlign w:val="center"/>
          </w:tcPr>
          <w:p w14:paraId="514FC482" w14:textId="6BE84CEB"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53%</w:t>
            </w:r>
          </w:p>
        </w:tc>
        <w:tc>
          <w:tcPr>
            <w:tcW w:w="810" w:type="dxa"/>
            <w:tcBorders>
              <w:top w:val="single" w:sz="4" w:space="0" w:color="auto"/>
              <w:left w:val="nil"/>
              <w:bottom w:val="single" w:sz="4" w:space="0" w:color="auto"/>
              <w:right w:val="single" w:sz="4" w:space="0" w:color="auto"/>
            </w:tcBorders>
            <w:shd w:val="clear" w:color="auto" w:fill="auto"/>
            <w:vAlign w:val="center"/>
          </w:tcPr>
          <w:p w14:paraId="7C32919B" w14:textId="49DBBFA4"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39%</w:t>
            </w:r>
          </w:p>
        </w:tc>
        <w:tc>
          <w:tcPr>
            <w:tcW w:w="810" w:type="dxa"/>
            <w:tcBorders>
              <w:top w:val="single" w:sz="4" w:space="0" w:color="auto"/>
              <w:left w:val="nil"/>
              <w:bottom w:val="single" w:sz="4" w:space="0" w:color="auto"/>
              <w:right w:val="single" w:sz="4" w:space="0" w:color="auto"/>
            </w:tcBorders>
            <w:shd w:val="clear" w:color="auto" w:fill="auto"/>
            <w:vAlign w:val="center"/>
          </w:tcPr>
          <w:p w14:paraId="3B08D41B" w14:textId="0E53E28E"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51%</w:t>
            </w:r>
          </w:p>
        </w:tc>
        <w:tc>
          <w:tcPr>
            <w:tcW w:w="918" w:type="dxa"/>
            <w:tcBorders>
              <w:top w:val="single" w:sz="4" w:space="0" w:color="auto"/>
              <w:left w:val="nil"/>
              <w:bottom w:val="single" w:sz="4" w:space="0" w:color="auto"/>
              <w:right w:val="single" w:sz="4" w:space="0" w:color="auto"/>
            </w:tcBorders>
            <w:shd w:val="clear" w:color="auto" w:fill="auto"/>
            <w:vAlign w:val="bottom"/>
          </w:tcPr>
          <w:p w14:paraId="5CBDDFC1" w14:textId="43270B3F"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w:t>
            </w:r>
          </w:p>
        </w:tc>
      </w:tr>
      <w:tr w:rsidR="00881923" w:rsidRPr="00C3312E" w14:paraId="4A17FA1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4E8DC82" w14:textId="4BE7496D" w:rsidR="00881923" w:rsidRPr="00C3312E" w:rsidRDefault="00881923" w:rsidP="00881923">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1460257F" w14:textId="02F8B6C3"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21</w:t>
            </w:r>
          </w:p>
        </w:tc>
        <w:tc>
          <w:tcPr>
            <w:tcW w:w="885" w:type="dxa"/>
            <w:tcBorders>
              <w:top w:val="single" w:sz="4" w:space="0" w:color="auto"/>
              <w:left w:val="nil"/>
              <w:bottom w:val="single" w:sz="4" w:space="0" w:color="auto"/>
              <w:right w:val="single" w:sz="4" w:space="0" w:color="auto"/>
            </w:tcBorders>
            <w:shd w:val="clear" w:color="auto" w:fill="auto"/>
            <w:vAlign w:val="center"/>
          </w:tcPr>
          <w:p w14:paraId="478B2A70" w14:textId="1A881A5A"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40E7F875" w14:textId="7267BB6C"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55%</w:t>
            </w:r>
          </w:p>
        </w:tc>
        <w:tc>
          <w:tcPr>
            <w:tcW w:w="810" w:type="dxa"/>
            <w:tcBorders>
              <w:top w:val="single" w:sz="4" w:space="0" w:color="auto"/>
              <w:left w:val="nil"/>
              <w:bottom w:val="single" w:sz="4" w:space="0" w:color="auto"/>
              <w:right w:val="single" w:sz="4" w:space="0" w:color="auto"/>
            </w:tcBorders>
            <w:shd w:val="clear" w:color="auto" w:fill="auto"/>
            <w:vAlign w:val="center"/>
          </w:tcPr>
          <w:p w14:paraId="1E337E51" w14:textId="108E0F14"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38%</w:t>
            </w:r>
          </w:p>
        </w:tc>
        <w:tc>
          <w:tcPr>
            <w:tcW w:w="810" w:type="dxa"/>
            <w:tcBorders>
              <w:top w:val="single" w:sz="4" w:space="0" w:color="auto"/>
              <w:left w:val="nil"/>
              <w:bottom w:val="single" w:sz="4" w:space="0" w:color="auto"/>
              <w:right w:val="single" w:sz="4" w:space="0" w:color="auto"/>
            </w:tcBorders>
            <w:shd w:val="clear" w:color="auto" w:fill="auto"/>
            <w:vAlign w:val="center"/>
          </w:tcPr>
          <w:p w14:paraId="3881ACC9" w14:textId="34E53B0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57%</w:t>
            </w:r>
          </w:p>
        </w:tc>
        <w:tc>
          <w:tcPr>
            <w:tcW w:w="918" w:type="dxa"/>
            <w:tcBorders>
              <w:top w:val="single" w:sz="4" w:space="0" w:color="auto"/>
              <w:left w:val="nil"/>
              <w:bottom w:val="single" w:sz="4" w:space="0" w:color="auto"/>
              <w:right w:val="single" w:sz="4" w:space="0" w:color="auto"/>
            </w:tcBorders>
            <w:shd w:val="clear" w:color="auto" w:fill="auto"/>
            <w:vAlign w:val="bottom"/>
          </w:tcPr>
          <w:p w14:paraId="61CE802C" w14:textId="591616F7"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r>
      <w:tr w:rsidR="00881923" w:rsidRPr="00C3312E" w14:paraId="6B23B60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6C838CC" w14:textId="3F7BEE01" w:rsidR="00881923" w:rsidRPr="00C3312E" w:rsidRDefault="00881923" w:rsidP="00881923">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6A37AA2C" w14:textId="106661E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20</w:t>
            </w:r>
          </w:p>
        </w:tc>
        <w:tc>
          <w:tcPr>
            <w:tcW w:w="885" w:type="dxa"/>
            <w:tcBorders>
              <w:top w:val="single" w:sz="4" w:space="0" w:color="auto"/>
              <w:left w:val="nil"/>
              <w:bottom w:val="single" w:sz="4" w:space="0" w:color="auto"/>
              <w:right w:val="single" w:sz="4" w:space="0" w:color="auto"/>
            </w:tcBorders>
            <w:shd w:val="clear" w:color="auto" w:fill="auto"/>
            <w:vAlign w:val="center"/>
          </w:tcPr>
          <w:p w14:paraId="74883F6F" w14:textId="42C67D9C" w:rsidR="00881923" w:rsidRPr="00C3312E" w:rsidRDefault="00881923" w:rsidP="00881923">
            <w:pPr>
              <w:spacing w:after="0" w:line="240" w:lineRule="auto"/>
              <w:jc w:val="center"/>
              <w:rPr>
                <w:rFonts w:cstheme="minorHAnsi"/>
                <w:sz w:val="20"/>
                <w:szCs w:val="20"/>
              </w:rPr>
            </w:pPr>
            <w:r w:rsidRPr="00C3312E">
              <w:rPr>
                <w:rFonts w:cstheme="minorHAnsi"/>
                <w:sz w:val="20"/>
                <w:szCs w:val="20"/>
              </w:rPr>
              <w:t>48%</w:t>
            </w:r>
          </w:p>
        </w:tc>
        <w:tc>
          <w:tcPr>
            <w:tcW w:w="1005" w:type="dxa"/>
            <w:tcBorders>
              <w:top w:val="single" w:sz="4" w:space="0" w:color="auto"/>
              <w:left w:val="nil"/>
              <w:bottom w:val="single" w:sz="4" w:space="0" w:color="auto"/>
              <w:right w:val="single" w:sz="4" w:space="0" w:color="auto"/>
            </w:tcBorders>
            <w:shd w:val="clear" w:color="auto" w:fill="auto"/>
            <w:vAlign w:val="center"/>
          </w:tcPr>
          <w:p w14:paraId="29F68348" w14:textId="53CDA755" w:rsidR="00881923" w:rsidRPr="00C3312E" w:rsidRDefault="00881923" w:rsidP="00881923">
            <w:pPr>
              <w:spacing w:after="0" w:line="240" w:lineRule="auto"/>
              <w:jc w:val="center"/>
              <w:rPr>
                <w:rFonts w:cstheme="minorHAnsi"/>
                <w:sz w:val="20"/>
                <w:szCs w:val="20"/>
              </w:rPr>
            </w:pPr>
            <w:r w:rsidRPr="00C3312E">
              <w:rPr>
                <w:rFonts w:cstheme="minorHAnsi"/>
                <w:sz w:val="20"/>
                <w:szCs w:val="20"/>
              </w:rPr>
              <w:t>45%</w:t>
            </w:r>
          </w:p>
        </w:tc>
        <w:tc>
          <w:tcPr>
            <w:tcW w:w="810" w:type="dxa"/>
            <w:tcBorders>
              <w:top w:val="single" w:sz="4" w:space="0" w:color="auto"/>
              <w:left w:val="nil"/>
              <w:bottom w:val="single" w:sz="4" w:space="0" w:color="auto"/>
              <w:right w:val="single" w:sz="4" w:space="0" w:color="auto"/>
            </w:tcBorders>
            <w:shd w:val="clear" w:color="auto" w:fill="auto"/>
            <w:vAlign w:val="center"/>
          </w:tcPr>
          <w:p w14:paraId="711721AB" w14:textId="139943AB"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36%</w:t>
            </w:r>
          </w:p>
        </w:tc>
        <w:tc>
          <w:tcPr>
            <w:tcW w:w="810" w:type="dxa"/>
            <w:tcBorders>
              <w:top w:val="single" w:sz="4" w:space="0" w:color="auto"/>
              <w:left w:val="nil"/>
              <w:bottom w:val="single" w:sz="4" w:space="0" w:color="auto"/>
              <w:right w:val="single" w:sz="4" w:space="0" w:color="auto"/>
            </w:tcBorders>
            <w:shd w:val="clear" w:color="auto" w:fill="auto"/>
            <w:vAlign w:val="center"/>
          </w:tcPr>
          <w:p w14:paraId="1F738606" w14:textId="79C5BE26" w:rsidR="00881923" w:rsidRPr="00C3312E" w:rsidRDefault="00881923" w:rsidP="00881923">
            <w:pPr>
              <w:spacing w:after="0" w:line="240" w:lineRule="auto"/>
              <w:jc w:val="center"/>
              <w:rPr>
                <w:rFonts w:cstheme="minorHAnsi"/>
                <w:sz w:val="20"/>
                <w:szCs w:val="20"/>
              </w:rPr>
            </w:pPr>
            <w:r w:rsidRPr="00C3312E">
              <w:rPr>
                <w:rFonts w:cstheme="minorHAnsi"/>
                <w:sz w:val="20"/>
                <w:szCs w:val="20"/>
              </w:rPr>
              <w:t>30%</w:t>
            </w:r>
          </w:p>
        </w:tc>
        <w:tc>
          <w:tcPr>
            <w:tcW w:w="918" w:type="dxa"/>
            <w:tcBorders>
              <w:top w:val="single" w:sz="4" w:space="0" w:color="auto"/>
              <w:left w:val="nil"/>
              <w:bottom w:val="single" w:sz="4" w:space="0" w:color="auto"/>
              <w:right w:val="single" w:sz="4" w:space="0" w:color="auto"/>
            </w:tcBorders>
            <w:shd w:val="clear" w:color="auto" w:fill="auto"/>
            <w:vAlign w:val="bottom"/>
          </w:tcPr>
          <w:p w14:paraId="2DE9530C" w14:textId="321CBF80" w:rsidR="00881923" w:rsidRPr="00C3312E" w:rsidRDefault="00881923" w:rsidP="00881923">
            <w:pPr>
              <w:spacing w:after="0" w:line="240" w:lineRule="auto"/>
              <w:jc w:val="center"/>
              <w:rPr>
                <w:rFonts w:cstheme="minorHAnsi"/>
                <w:sz w:val="20"/>
                <w:szCs w:val="20"/>
              </w:rPr>
            </w:pPr>
            <w:r w:rsidRPr="00C3312E">
              <w:rPr>
                <w:rFonts w:cstheme="minorHAnsi"/>
                <w:sz w:val="20"/>
                <w:szCs w:val="20"/>
              </w:rPr>
              <w:t>-18%</w:t>
            </w:r>
          </w:p>
        </w:tc>
      </w:tr>
      <w:tr w:rsidR="00881923" w:rsidRPr="00C3312E" w14:paraId="613EA7C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42B16A9" w14:textId="22513CC3" w:rsidR="00881923" w:rsidRPr="00C3312E" w:rsidRDefault="00881923" w:rsidP="00881923">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4411393F" w14:textId="493CBD62" w:rsidR="00881923" w:rsidRPr="00C3312E" w:rsidRDefault="00881923" w:rsidP="00881923">
            <w:pPr>
              <w:spacing w:after="0" w:line="240" w:lineRule="auto"/>
              <w:jc w:val="center"/>
              <w:rPr>
                <w:rFonts w:cstheme="minorHAnsi"/>
                <w:sz w:val="20"/>
                <w:szCs w:val="20"/>
              </w:rPr>
            </w:pPr>
            <w:r w:rsidRPr="00C3312E">
              <w:rPr>
                <w:rFonts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vAlign w:val="center"/>
          </w:tcPr>
          <w:p w14:paraId="63CDF648" w14:textId="3A3A21CF"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6F6E2489" w14:textId="632FC76E"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F7C89B0" w14:textId="3B02C0DF"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7BB10C3" w14:textId="73ADF2CA"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7E7ECAFF" w14:textId="73483008" w:rsidR="00881923" w:rsidRPr="00C3312E" w:rsidRDefault="00881923" w:rsidP="00881923">
            <w:pPr>
              <w:spacing w:after="0" w:line="240" w:lineRule="auto"/>
              <w:jc w:val="center"/>
              <w:rPr>
                <w:rFonts w:cstheme="minorHAnsi"/>
                <w:sz w:val="20"/>
                <w:szCs w:val="20"/>
              </w:rPr>
            </w:pPr>
            <w:r w:rsidRPr="00C3312E">
              <w:rPr>
                <w:rFonts w:cstheme="minorHAnsi"/>
                <w:sz w:val="20"/>
                <w:szCs w:val="20"/>
              </w:rPr>
              <w:t>--</w:t>
            </w:r>
          </w:p>
        </w:tc>
      </w:tr>
      <w:tr w:rsidR="00C3312E" w:rsidRPr="00C3312E" w14:paraId="73D30E3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71F55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Barbieri</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ADE6B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110</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1DBF16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27%</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C884C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9BE03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6F5E18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1DA6EA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w:t>
            </w:r>
          </w:p>
        </w:tc>
      </w:tr>
      <w:tr w:rsidR="00C3312E" w:rsidRPr="00C3312E" w14:paraId="758DDC2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5FF4383"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CCDE56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41E5D6E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2972A19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DAD8B0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5BC34D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044AC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58DAE60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E4327D8"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515C707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vAlign w:val="center"/>
          </w:tcPr>
          <w:p w14:paraId="6254889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6009A5A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D2507D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0AA3C2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DD1E8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FFDF8A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0B7003E"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67912DB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63</w:t>
            </w:r>
          </w:p>
        </w:tc>
        <w:tc>
          <w:tcPr>
            <w:tcW w:w="885" w:type="dxa"/>
            <w:tcBorders>
              <w:top w:val="single" w:sz="4" w:space="0" w:color="auto"/>
              <w:left w:val="nil"/>
              <w:bottom w:val="single" w:sz="4" w:space="0" w:color="auto"/>
              <w:right w:val="single" w:sz="4" w:space="0" w:color="auto"/>
            </w:tcBorders>
            <w:shd w:val="clear" w:color="auto" w:fill="auto"/>
            <w:vAlign w:val="center"/>
          </w:tcPr>
          <w:p w14:paraId="4794254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1967773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vAlign w:val="center"/>
          </w:tcPr>
          <w:p w14:paraId="3155C2C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vAlign w:val="center"/>
          </w:tcPr>
          <w:p w14:paraId="421D92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0393966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r>
      <w:tr w:rsidR="00C3312E" w:rsidRPr="00C3312E" w14:paraId="5E72F21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D384B6C"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53B24FA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7AA6258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52F9F1B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9BC209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13B833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325DB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2EFEE9B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ABEDBE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070866C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885" w:type="dxa"/>
            <w:tcBorders>
              <w:top w:val="single" w:sz="4" w:space="0" w:color="auto"/>
              <w:left w:val="nil"/>
              <w:bottom w:val="single" w:sz="4" w:space="0" w:color="auto"/>
              <w:right w:val="single" w:sz="4" w:space="0" w:color="auto"/>
            </w:tcBorders>
            <w:shd w:val="clear" w:color="auto" w:fill="auto"/>
            <w:vAlign w:val="center"/>
          </w:tcPr>
          <w:p w14:paraId="685B72A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41%</w:t>
            </w:r>
          </w:p>
        </w:tc>
        <w:tc>
          <w:tcPr>
            <w:tcW w:w="1005" w:type="dxa"/>
            <w:tcBorders>
              <w:top w:val="single" w:sz="4" w:space="0" w:color="auto"/>
              <w:left w:val="nil"/>
              <w:bottom w:val="single" w:sz="4" w:space="0" w:color="auto"/>
              <w:right w:val="single" w:sz="4" w:space="0" w:color="auto"/>
            </w:tcBorders>
            <w:shd w:val="clear" w:color="auto" w:fill="auto"/>
            <w:vAlign w:val="center"/>
          </w:tcPr>
          <w:p w14:paraId="174A376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45%</w:t>
            </w:r>
          </w:p>
        </w:tc>
        <w:tc>
          <w:tcPr>
            <w:tcW w:w="810" w:type="dxa"/>
            <w:tcBorders>
              <w:top w:val="single" w:sz="4" w:space="0" w:color="auto"/>
              <w:left w:val="nil"/>
              <w:bottom w:val="single" w:sz="4" w:space="0" w:color="auto"/>
              <w:right w:val="single" w:sz="4" w:space="0" w:color="auto"/>
            </w:tcBorders>
            <w:shd w:val="clear" w:color="auto" w:fill="auto"/>
            <w:vAlign w:val="center"/>
          </w:tcPr>
          <w:p w14:paraId="153C2FE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810" w:type="dxa"/>
            <w:tcBorders>
              <w:top w:val="single" w:sz="4" w:space="0" w:color="auto"/>
              <w:left w:val="nil"/>
              <w:bottom w:val="single" w:sz="4" w:space="0" w:color="auto"/>
              <w:right w:val="single" w:sz="4" w:space="0" w:color="auto"/>
            </w:tcBorders>
            <w:shd w:val="clear" w:color="auto" w:fill="auto"/>
            <w:vAlign w:val="center"/>
          </w:tcPr>
          <w:p w14:paraId="41058CD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918" w:type="dxa"/>
            <w:tcBorders>
              <w:top w:val="single" w:sz="4" w:space="0" w:color="auto"/>
              <w:left w:val="nil"/>
              <w:bottom w:val="single" w:sz="4" w:space="0" w:color="auto"/>
              <w:right w:val="single" w:sz="4" w:space="0" w:color="auto"/>
            </w:tcBorders>
            <w:shd w:val="clear" w:color="auto" w:fill="auto"/>
            <w:vAlign w:val="bottom"/>
          </w:tcPr>
          <w:p w14:paraId="0CF85C7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r>
      <w:tr w:rsidR="00D04F8D" w:rsidRPr="00C3312E" w14:paraId="3634A32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AD24B4D" w14:textId="4389CE6E" w:rsidR="00D04F8D" w:rsidRPr="00C3312E" w:rsidRDefault="00D04F8D" w:rsidP="00D04F8D">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109F7E40" w14:textId="18C11E3E" w:rsidR="00D04F8D" w:rsidRPr="00C3312E" w:rsidRDefault="00D04F8D" w:rsidP="00D04F8D">
            <w:pPr>
              <w:spacing w:after="0" w:line="240" w:lineRule="auto"/>
              <w:jc w:val="center"/>
              <w:rPr>
                <w:rFonts w:cstheme="minorHAnsi"/>
                <w:sz w:val="20"/>
                <w:szCs w:val="20"/>
              </w:rPr>
            </w:pPr>
            <w:r w:rsidRPr="00C3312E">
              <w:rPr>
                <w:rFonts w:cstheme="minorHAnsi"/>
                <w:sz w:val="20"/>
                <w:szCs w:val="20"/>
              </w:rPr>
              <w:t>68</w:t>
            </w:r>
          </w:p>
        </w:tc>
        <w:tc>
          <w:tcPr>
            <w:tcW w:w="885" w:type="dxa"/>
            <w:tcBorders>
              <w:top w:val="single" w:sz="4" w:space="0" w:color="auto"/>
              <w:left w:val="nil"/>
              <w:bottom w:val="single" w:sz="4" w:space="0" w:color="auto"/>
              <w:right w:val="single" w:sz="4" w:space="0" w:color="auto"/>
            </w:tcBorders>
            <w:shd w:val="clear" w:color="auto" w:fill="auto"/>
            <w:vAlign w:val="center"/>
          </w:tcPr>
          <w:p w14:paraId="51BB1658" w14:textId="43B1E08D" w:rsidR="00D04F8D" w:rsidRPr="00C3312E" w:rsidRDefault="00D04F8D" w:rsidP="00D04F8D">
            <w:pPr>
              <w:spacing w:after="0" w:line="240" w:lineRule="auto"/>
              <w:jc w:val="center"/>
              <w:rPr>
                <w:rFonts w:cstheme="minorHAnsi"/>
                <w:sz w:val="20"/>
                <w:szCs w:val="20"/>
              </w:rPr>
            </w:pPr>
            <w:r w:rsidRPr="00C3312E">
              <w:rPr>
                <w:rFonts w:cstheme="minorHAnsi"/>
                <w:sz w:val="20"/>
                <w:szCs w:val="20"/>
              </w:rPr>
              <w:t>8%</w:t>
            </w:r>
          </w:p>
        </w:tc>
        <w:tc>
          <w:tcPr>
            <w:tcW w:w="1005" w:type="dxa"/>
            <w:tcBorders>
              <w:top w:val="single" w:sz="4" w:space="0" w:color="auto"/>
              <w:left w:val="nil"/>
              <w:bottom w:val="single" w:sz="4" w:space="0" w:color="auto"/>
              <w:right w:val="single" w:sz="4" w:space="0" w:color="auto"/>
            </w:tcBorders>
            <w:shd w:val="clear" w:color="auto" w:fill="auto"/>
            <w:vAlign w:val="center"/>
          </w:tcPr>
          <w:p w14:paraId="1155178C" w14:textId="1A006BA0" w:rsidR="00D04F8D" w:rsidRPr="00C3312E" w:rsidRDefault="00D04F8D" w:rsidP="00D04F8D">
            <w:pPr>
              <w:spacing w:after="0" w:line="240" w:lineRule="auto"/>
              <w:jc w:val="center"/>
              <w:rPr>
                <w:rFonts w:cstheme="minorHAnsi"/>
                <w:sz w:val="20"/>
                <w:szCs w:val="20"/>
              </w:rPr>
            </w:pPr>
            <w:r w:rsidRPr="00C3312E">
              <w:rPr>
                <w:rFonts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087506B7" w14:textId="1D2D89E8"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0C8F5E72" w14:textId="77104645"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auto"/>
            <w:vAlign w:val="bottom"/>
          </w:tcPr>
          <w:p w14:paraId="7326E539" w14:textId="4664BFB9" w:rsidR="00D04F8D" w:rsidRPr="00C3312E" w:rsidRDefault="00D04F8D" w:rsidP="00D04F8D">
            <w:pPr>
              <w:spacing w:after="0" w:line="240" w:lineRule="auto"/>
              <w:jc w:val="center"/>
              <w:rPr>
                <w:rFonts w:cstheme="minorHAnsi"/>
                <w:sz w:val="20"/>
                <w:szCs w:val="20"/>
              </w:rPr>
            </w:pPr>
            <w:r w:rsidRPr="00C3312E">
              <w:rPr>
                <w:rFonts w:cstheme="minorHAnsi"/>
                <w:sz w:val="20"/>
                <w:szCs w:val="20"/>
              </w:rPr>
              <w:t>2%</w:t>
            </w:r>
          </w:p>
        </w:tc>
      </w:tr>
      <w:tr w:rsidR="00D04F8D" w:rsidRPr="00C3312E" w14:paraId="6246CFE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6498520" w14:textId="221C0363" w:rsidR="00D04F8D" w:rsidRPr="00C3312E" w:rsidRDefault="00D04F8D" w:rsidP="00D04F8D">
            <w:pPr>
              <w:spacing w:after="0" w:line="240" w:lineRule="auto"/>
              <w:rPr>
                <w:rFonts w:cstheme="minorHAnsi"/>
                <w:sz w:val="20"/>
                <w:szCs w:val="20"/>
              </w:rPr>
            </w:pPr>
            <w:r w:rsidRPr="00C3312E">
              <w:rPr>
                <w:rFonts w:cstheme="minorHAnsi"/>
                <w:sz w:val="20"/>
                <w:szCs w:val="20"/>
              </w:rPr>
              <w:lastRenderedPageBreak/>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4D84D27F" w14:textId="27BAA503" w:rsidR="00D04F8D" w:rsidRPr="00C3312E" w:rsidRDefault="00D04F8D" w:rsidP="00D04F8D">
            <w:pPr>
              <w:spacing w:after="0" w:line="240" w:lineRule="auto"/>
              <w:jc w:val="center"/>
              <w:rPr>
                <w:rFonts w:cstheme="minorHAnsi"/>
                <w:sz w:val="20"/>
                <w:szCs w:val="20"/>
              </w:rPr>
            </w:pPr>
            <w:r w:rsidRPr="00C3312E">
              <w:rPr>
                <w:rFonts w:cstheme="minorHAnsi"/>
                <w:sz w:val="20"/>
                <w:szCs w:val="20"/>
              </w:rPr>
              <w:t>50</w:t>
            </w:r>
          </w:p>
        </w:tc>
        <w:tc>
          <w:tcPr>
            <w:tcW w:w="885" w:type="dxa"/>
            <w:tcBorders>
              <w:top w:val="single" w:sz="4" w:space="0" w:color="auto"/>
              <w:left w:val="nil"/>
              <w:bottom w:val="single" w:sz="4" w:space="0" w:color="auto"/>
              <w:right w:val="single" w:sz="4" w:space="0" w:color="auto"/>
            </w:tcBorders>
            <w:shd w:val="clear" w:color="auto" w:fill="auto"/>
            <w:vAlign w:val="center"/>
          </w:tcPr>
          <w:p w14:paraId="7B8C42FA" w14:textId="3E5938D6" w:rsidR="00D04F8D" w:rsidRPr="00C3312E" w:rsidRDefault="00D04F8D" w:rsidP="00D04F8D">
            <w:pPr>
              <w:spacing w:after="0" w:line="240" w:lineRule="auto"/>
              <w:jc w:val="center"/>
              <w:rPr>
                <w:rFonts w:cstheme="minorHAnsi"/>
                <w:sz w:val="20"/>
                <w:szCs w:val="20"/>
              </w:rPr>
            </w:pPr>
            <w:r w:rsidRPr="00C3312E">
              <w:rPr>
                <w:rFonts w:cstheme="minorHAnsi"/>
                <w:sz w:val="20"/>
                <w:szCs w:val="20"/>
              </w:rPr>
              <w:t>6%</w:t>
            </w:r>
          </w:p>
        </w:tc>
        <w:tc>
          <w:tcPr>
            <w:tcW w:w="1005" w:type="dxa"/>
            <w:tcBorders>
              <w:top w:val="single" w:sz="4" w:space="0" w:color="auto"/>
              <w:left w:val="nil"/>
              <w:bottom w:val="single" w:sz="4" w:space="0" w:color="auto"/>
              <w:right w:val="single" w:sz="4" w:space="0" w:color="auto"/>
            </w:tcBorders>
            <w:shd w:val="clear" w:color="auto" w:fill="auto"/>
            <w:vAlign w:val="center"/>
          </w:tcPr>
          <w:p w14:paraId="4EF25FCA" w14:textId="7FE62DEC" w:rsidR="00D04F8D" w:rsidRPr="00C3312E" w:rsidRDefault="00D04F8D" w:rsidP="00D04F8D">
            <w:pPr>
              <w:spacing w:after="0" w:line="240" w:lineRule="auto"/>
              <w:jc w:val="center"/>
              <w:rPr>
                <w:rFonts w:cstheme="minorHAnsi"/>
                <w:sz w:val="20"/>
                <w:szCs w:val="20"/>
              </w:rPr>
            </w:pPr>
            <w:r w:rsidRPr="00C3312E">
              <w:rPr>
                <w:rFonts w:cstheme="minorHAnsi"/>
                <w:sz w:val="20"/>
                <w:szCs w:val="20"/>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4351A2AC" w14:textId="3C7CC22D"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2DDA759B" w14:textId="1932138A" w:rsidR="00D04F8D" w:rsidRPr="00C3312E" w:rsidRDefault="00D04F8D" w:rsidP="00D04F8D">
            <w:pPr>
              <w:spacing w:after="0" w:line="240" w:lineRule="auto"/>
              <w:jc w:val="center"/>
              <w:rPr>
                <w:rFonts w:cstheme="minorHAnsi"/>
                <w:sz w:val="20"/>
                <w:szCs w:val="20"/>
              </w:rPr>
            </w:pPr>
            <w:r w:rsidRPr="00C3312E">
              <w:rPr>
                <w:rFonts w:cstheme="minorHAnsi"/>
                <w:sz w:val="20"/>
                <w:szCs w:val="20"/>
              </w:rPr>
              <w:t>6%</w:t>
            </w:r>
          </w:p>
        </w:tc>
        <w:tc>
          <w:tcPr>
            <w:tcW w:w="918" w:type="dxa"/>
            <w:tcBorders>
              <w:top w:val="single" w:sz="4" w:space="0" w:color="auto"/>
              <w:left w:val="nil"/>
              <w:bottom w:val="single" w:sz="4" w:space="0" w:color="auto"/>
              <w:right w:val="single" w:sz="4" w:space="0" w:color="auto"/>
            </w:tcBorders>
            <w:shd w:val="clear" w:color="auto" w:fill="auto"/>
            <w:vAlign w:val="bottom"/>
          </w:tcPr>
          <w:p w14:paraId="30DE7BF9" w14:textId="31244AC8" w:rsidR="00D04F8D" w:rsidRPr="00C3312E" w:rsidRDefault="00D04F8D" w:rsidP="00D04F8D">
            <w:pPr>
              <w:spacing w:after="0" w:line="240" w:lineRule="auto"/>
              <w:jc w:val="center"/>
              <w:rPr>
                <w:rFonts w:cstheme="minorHAnsi"/>
                <w:sz w:val="20"/>
                <w:szCs w:val="20"/>
              </w:rPr>
            </w:pPr>
            <w:r w:rsidRPr="00C3312E">
              <w:rPr>
                <w:rFonts w:cstheme="minorHAnsi"/>
                <w:sz w:val="20"/>
                <w:szCs w:val="20"/>
              </w:rPr>
              <w:t>0%</w:t>
            </w:r>
          </w:p>
        </w:tc>
      </w:tr>
      <w:tr w:rsidR="00D04F8D" w:rsidRPr="00C3312E" w14:paraId="101A9A98"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406D3AF" w14:textId="5855B698" w:rsidR="00D04F8D" w:rsidRPr="00C3312E" w:rsidRDefault="00D04F8D" w:rsidP="00D04F8D">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54F3B970" w14:textId="6B4ABA2F" w:rsidR="00D04F8D" w:rsidRPr="00C3312E" w:rsidRDefault="00D04F8D" w:rsidP="00D04F8D">
            <w:pPr>
              <w:spacing w:after="0" w:line="240" w:lineRule="auto"/>
              <w:jc w:val="center"/>
              <w:rPr>
                <w:rFonts w:cstheme="minorHAnsi"/>
                <w:sz w:val="20"/>
                <w:szCs w:val="20"/>
              </w:rPr>
            </w:pPr>
            <w:r w:rsidRPr="00C3312E">
              <w:rPr>
                <w:rFonts w:cstheme="minorHAnsi"/>
                <w:sz w:val="20"/>
                <w:szCs w:val="20"/>
              </w:rPr>
              <w:t>40</w:t>
            </w:r>
          </w:p>
        </w:tc>
        <w:tc>
          <w:tcPr>
            <w:tcW w:w="885" w:type="dxa"/>
            <w:tcBorders>
              <w:top w:val="single" w:sz="4" w:space="0" w:color="auto"/>
              <w:left w:val="nil"/>
              <w:bottom w:val="single" w:sz="4" w:space="0" w:color="auto"/>
              <w:right w:val="single" w:sz="4" w:space="0" w:color="auto"/>
            </w:tcBorders>
            <w:shd w:val="clear" w:color="auto" w:fill="auto"/>
            <w:vAlign w:val="center"/>
          </w:tcPr>
          <w:p w14:paraId="251DE7DD" w14:textId="2CD59C87" w:rsidR="00D04F8D" w:rsidRPr="00C3312E" w:rsidRDefault="00D04F8D" w:rsidP="00D04F8D">
            <w:pPr>
              <w:spacing w:after="0" w:line="240" w:lineRule="auto"/>
              <w:jc w:val="center"/>
              <w:rPr>
                <w:rFonts w:cstheme="minorHAnsi"/>
                <w:sz w:val="20"/>
                <w:szCs w:val="20"/>
              </w:rPr>
            </w:pPr>
            <w:r w:rsidRPr="00C3312E">
              <w:rPr>
                <w:rFonts w:cstheme="minorHAnsi"/>
                <w:sz w:val="20"/>
                <w:szCs w:val="20"/>
              </w:rPr>
              <w:t>4%</w:t>
            </w:r>
          </w:p>
        </w:tc>
        <w:tc>
          <w:tcPr>
            <w:tcW w:w="1005" w:type="dxa"/>
            <w:tcBorders>
              <w:top w:val="single" w:sz="4" w:space="0" w:color="auto"/>
              <w:left w:val="nil"/>
              <w:bottom w:val="single" w:sz="4" w:space="0" w:color="auto"/>
              <w:right w:val="single" w:sz="4" w:space="0" w:color="auto"/>
            </w:tcBorders>
            <w:shd w:val="clear" w:color="auto" w:fill="auto"/>
            <w:vAlign w:val="center"/>
          </w:tcPr>
          <w:p w14:paraId="0754CB87" w14:textId="19E2BFD6" w:rsidR="00D04F8D" w:rsidRPr="00C3312E" w:rsidRDefault="00D04F8D" w:rsidP="00D04F8D">
            <w:pPr>
              <w:spacing w:after="0" w:line="240" w:lineRule="auto"/>
              <w:jc w:val="center"/>
              <w:rPr>
                <w:rFonts w:cstheme="minorHAnsi"/>
                <w:sz w:val="20"/>
                <w:szCs w:val="20"/>
              </w:rPr>
            </w:pPr>
            <w:r w:rsidRPr="00C3312E">
              <w:rPr>
                <w:rFonts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5B109D08" w14:textId="2AE63196" w:rsidR="00D04F8D" w:rsidRPr="00C3312E" w:rsidRDefault="00D04F8D" w:rsidP="00D04F8D">
            <w:pPr>
              <w:spacing w:after="0" w:line="240" w:lineRule="auto"/>
              <w:jc w:val="center"/>
              <w:rPr>
                <w:rFonts w:cstheme="minorHAnsi"/>
                <w:sz w:val="20"/>
                <w:szCs w:val="20"/>
              </w:rPr>
            </w:pPr>
            <w:r w:rsidRPr="00C3312E">
              <w:rPr>
                <w:rFonts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27653571" w14:textId="5C090DD9" w:rsidR="00D04F8D" w:rsidRPr="00C3312E" w:rsidRDefault="00D04F8D" w:rsidP="00D04F8D">
            <w:pPr>
              <w:spacing w:after="0" w:line="240" w:lineRule="auto"/>
              <w:jc w:val="center"/>
              <w:rPr>
                <w:rFonts w:cstheme="minorHAnsi"/>
                <w:sz w:val="20"/>
                <w:szCs w:val="20"/>
              </w:rPr>
            </w:pPr>
            <w:r w:rsidRPr="00C3312E">
              <w:rPr>
                <w:rFonts w:cstheme="minorHAnsi"/>
                <w:sz w:val="20"/>
                <w:szCs w:val="20"/>
              </w:rPr>
              <w:t>5%</w:t>
            </w:r>
          </w:p>
        </w:tc>
        <w:tc>
          <w:tcPr>
            <w:tcW w:w="918" w:type="dxa"/>
            <w:tcBorders>
              <w:top w:val="single" w:sz="4" w:space="0" w:color="auto"/>
              <w:left w:val="nil"/>
              <w:bottom w:val="single" w:sz="4" w:space="0" w:color="auto"/>
              <w:right w:val="single" w:sz="4" w:space="0" w:color="auto"/>
            </w:tcBorders>
            <w:shd w:val="clear" w:color="auto" w:fill="auto"/>
            <w:vAlign w:val="bottom"/>
          </w:tcPr>
          <w:p w14:paraId="70BFFB5A" w14:textId="62652D2C"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w:t>
            </w:r>
          </w:p>
        </w:tc>
      </w:tr>
      <w:tr w:rsidR="00D04F8D" w:rsidRPr="00C3312E" w14:paraId="5C14DD7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9CF77CD" w14:textId="4F178D1C" w:rsidR="00D04F8D" w:rsidRPr="00C3312E" w:rsidRDefault="00D04F8D" w:rsidP="00D04F8D">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1733B257" w14:textId="5FF2D58A" w:rsidR="00D04F8D" w:rsidRPr="00C3312E" w:rsidRDefault="00D04F8D" w:rsidP="00D04F8D">
            <w:pPr>
              <w:spacing w:after="0" w:line="240" w:lineRule="auto"/>
              <w:jc w:val="center"/>
              <w:rPr>
                <w:rFonts w:cstheme="minorHAnsi"/>
                <w:sz w:val="20"/>
                <w:szCs w:val="20"/>
              </w:rPr>
            </w:pPr>
            <w:r w:rsidRPr="00C3312E">
              <w:rPr>
                <w:rFonts w:cstheme="minorHAnsi"/>
                <w:sz w:val="20"/>
                <w:szCs w:val="20"/>
              </w:rPr>
              <w:t>41</w:t>
            </w:r>
          </w:p>
        </w:tc>
        <w:tc>
          <w:tcPr>
            <w:tcW w:w="885" w:type="dxa"/>
            <w:tcBorders>
              <w:top w:val="single" w:sz="4" w:space="0" w:color="auto"/>
              <w:left w:val="nil"/>
              <w:bottom w:val="single" w:sz="4" w:space="0" w:color="auto"/>
              <w:right w:val="single" w:sz="4" w:space="0" w:color="auto"/>
            </w:tcBorders>
            <w:shd w:val="clear" w:color="auto" w:fill="auto"/>
            <w:vAlign w:val="center"/>
          </w:tcPr>
          <w:p w14:paraId="354D764B" w14:textId="01F6FC28"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10%</w:t>
            </w:r>
          </w:p>
        </w:tc>
        <w:tc>
          <w:tcPr>
            <w:tcW w:w="1005" w:type="dxa"/>
            <w:tcBorders>
              <w:top w:val="single" w:sz="4" w:space="0" w:color="auto"/>
              <w:left w:val="nil"/>
              <w:bottom w:val="single" w:sz="4" w:space="0" w:color="auto"/>
              <w:right w:val="single" w:sz="4" w:space="0" w:color="auto"/>
            </w:tcBorders>
            <w:shd w:val="clear" w:color="auto" w:fill="auto"/>
            <w:vAlign w:val="center"/>
          </w:tcPr>
          <w:p w14:paraId="77BFE80B" w14:textId="7B344905" w:rsidR="00D04F8D" w:rsidRPr="00C3312E" w:rsidRDefault="00D04F8D" w:rsidP="00D04F8D">
            <w:pPr>
              <w:spacing w:after="0" w:line="240" w:lineRule="auto"/>
              <w:jc w:val="center"/>
              <w:rPr>
                <w:rFonts w:cstheme="minorHAnsi"/>
                <w:sz w:val="20"/>
                <w:szCs w:val="20"/>
              </w:rPr>
            </w:pPr>
            <w:r w:rsidRPr="00C3312E">
              <w:rPr>
                <w:rFonts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1835F52B" w14:textId="1FE23164" w:rsidR="00D04F8D" w:rsidRPr="00C3312E" w:rsidRDefault="00D04F8D" w:rsidP="00D04F8D">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690B402B" w14:textId="438D9B60" w:rsidR="00D04F8D" w:rsidRPr="00C3312E" w:rsidRDefault="00D04F8D" w:rsidP="00D04F8D">
            <w:pPr>
              <w:spacing w:after="0" w:line="240" w:lineRule="auto"/>
              <w:jc w:val="center"/>
              <w:rPr>
                <w:rFonts w:cstheme="minorHAnsi"/>
                <w:sz w:val="20"/>
                <w:szCs w:val="20"/>
              </w:rPr>
            </w:pPr>
            <w:r w:rsidRPr="00C3312E">
              <w:rPr>
                <w:rFonts w:cstheme="minorHAnsi"/>
                <w:sz w:val="20"/>
                <w:szCs w:val="20"/>
              </w:rPr>
              <w:t>7%</w:t>
            </w:r>
          </w:p>
        </w:tc>
        <w:tc>
          <w:tcPr>
            <w:tcW w:w="918" w:type="dxa"/>
            <w:tcBorders>
              <w:top w:val="single" w:sz="4" w:space="0" w:color="auto"/>
              <w:left w:val="nil"/>
              <w:bottom w:val="single" w:sz="4" w:space="0" w:color="auto"/>
              <w:right w:val="single" w:sz="4" w:space="0" w:color="auto"/>
            </w:tcBorders>
            <w:shd w:val="clear" w:color="auto" w:fill="auto"/>
            <w:vAlign w:val="bottom"/>
          </w:tcPr>
          <w:p w14:paraId="6FA9B1BF" w14:textId="2A8E87BF" w:rsidR="00D04F8D" w:rsidRPr="00C3312E" w:rsidRDefault="00D04F8D" w:rsidP="00D04F8D">
            <w:pPr>
              <w:spacing w:after="0" w:line="240" w:lineRule="auto"/>
              <w:jc w:val="center"/>
              <w:rPr>
                <w:rFonts w:cstheme="minorHAnsi"/>
                <w:sz w:val="20"/>
                <w:szCs w:val="20"/>
              </w:rPr>
            </w:pPr>
            <w:r w:rsidRPr="00C3312E">
              <w:rPr>
                <w:rFonts w:cstheme="minorHAnsi"/>
                <w:sz w:val="20"/>
                <w:szCs w:val="20"/>
              </w:rPr>
              <w:t>-3%</w:t>
            </w:r>
          </w:p>
        </w:tc>
      </w:tr>
      <w:tr w:rsidR="00C3312E" w:rsidRPr="00C3312E" w14:paraId="544D4EC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59C23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Potter Road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7C878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83</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E6928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48%</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4A69B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53%</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8C74FF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49%</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154EFC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51%</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27EC4B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w:t>
            </w:r>
          </w:p>
        </w:tc>
      </w:tr>
      <w:tr w:rsidR="00C3312E" w:rsidRPr="00C3312E" w14:paraId="7D67F3F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467A09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689AA8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5A601B2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3FE17F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5E9F0B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AC466B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BA6145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287F573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8087107"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16E4E8E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66C75A6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08E3162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AD4B02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C75A80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68BCA7D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0E60953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840D136"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29A6D95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vAlign w:val="center"/>
          </w:tcPr>
          <w:p w14:paraId="00ED88F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3AC77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A64AE1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377D5A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274B49F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3271EE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A484F3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3312F53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vAlign w:val="center"/>
          </w:tcPr>
          <w:p w14:paraId="79557CA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5F9C8F7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4390FC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C1EA0E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6E0EA6E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68981127"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ED8618C"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5E23207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63</w:t>
            </w:r>
          </w:p>
        </w:tc>
        <w:tc>
          <w:tcPr>
            <w:tcW w:w="885" w:type="dxa"/>
            <w:tcBorders>
              <w:top w:val="single" w:sz="4" w:space="0" w:color="auto"/>
              <w:left w:val="nil"/>
              <w:bottom w:val="single" w:sz="4" w:space="0" w:color="auto"/>
              <w:right w:val="single" w:sz="4" w:space="0" w:color="auto"/>
            </w:tcBorders>
            <w:shd w:val="clear" w:color="auto" w:fill="auto"/>
            <w:vAlign w:val="center"/>
          </w:tcPr>
          <w:p w14:paraId="04A1183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49%</w:t>
            </w:r>
          </w:p>
        </w:tc>
        <w:tc>
          <w:tcPr>
            <w:tcW w:w="1005" w:type="dxa"/>
            <w:tcBorders>
              <w:top w:val="single" w:sz="4" w:space="0" w:color="auto"/>
              <w:left w:val="nil"/>
              <w:bottom w:val="single" w:sz="4" w:space="0" w:color="auto"/>
              <w:right w:val="single" w:sz="4" w:space="0" w:color="auto"/>
            </w:tcBorders>
            <w:shd w:val="clear" w:color="auto" w:fill="auto"/>
            <w:vAlign w:val="center"/>
          </w:tcPr>
          <w:p w14:paraId="332B15E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55%</w:t>
            </w:r>
          </w:p>
        </w:tc>
        <w:tc>
          <w:tcPr>
            <w:tcW w:w="810" w:type="dxa"/>
            <w:tcBorders>
              <w:top w:val="single" w:sz="4" w:space="0" w:color="auto"/>
              <w:left w:val="nil"/>
              <w:bottom w:val="single" w:sz="4" w:space="0" w:color="auto"/>
              <w:right w:val="single" w:sz="4" w:space="0" w:color="auto"/>
            </w:tcBorders>
            <w:shd w:val="clear" w:color="auto" w:fill="auto"/>
            <w:vAlign w:val="center"/>
          </w:tcPr>
          <w:p w14:paraId="16F3240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47%</w:t>
            </w:r>
          </w:p>
        </w:tc>
        <w:tc>
          <w:tcPr>
            <w:tcW w:w="810" w:type="dxa"/>
            <w:tcBorders>
              <w:top w:val="single" w:sz="4" w:space="0" w:color="auto"/>
              <w:left w:val="nil"/>
              <w:bottom w:val="single" w:sz="4" w:space="0" w:color="auto"/>
              <w:right w:val="single" w:sz="4" w:space="0" w:color="auto"/>
            </w:tcBorders>
            <w:shd w:val="clear" w:color="auto" w:fill="auto"/>
            <w:vAlign w:val="center"/>
          </w:tcPr>
          <w:p w14:paraId="08BA82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c>
          <w:tcPr>
            <w:tcW w:w="918" w:type="dxa"/>
            <w:tcBorders>
              <w:top w:val="single" w:sz="4" w:space="0" w:color="auto"/>
              <w:left w:val="nil"/>
              <w:bottom w:val="single" w:sz="4" w:space="0" w:color="auto"/>
              <w:right w:val="single" w:sz="4" w:space="0" w:color="auto"/>
            </w:tcBorders>
            <w:shd w:val="clear" w:color="auto" w:fill="auto"/>
            <w:vAlign w:val="bottom"/>
          </w:tcPr>
          <w:p w14:paraId="762E484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w:t>
            </w:r>
          </w:p>
        </w:tc>
      </w:tr>
      <w:tr w:rsidR="000552F1" w:rsidRPr="00C3312E" w14:paraId="1F1FB05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E2B2C67" w14:textId="678E97A6" w:rsidR="000552F1" w:rsidRPr="00C3312E" w:rsidRDefault="000552F1" w:rsidP="000552F1">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19533DEB" w14:textId="645CB68F" w:rsidR="000552F1" w:rsidRPr="00C3312E" w:rsidRDefault="000552F1" w:rsidP="000552F1">
            <w:pPr>
              <w:spacing w:after="0" w:line="240" w:lineRule="auto"/>
              <w:jc w:val="center"/>
              <w:rPr>
                <w:rFonts w:cstheme="minorHAnsi"/>
                <w:sz w:val="20"/>
                <w:szCs w:val="20"/>
              </w:rPr>
            </w:pPr>
            <w:r w:rsidRPr="00C3312E">
              <w:rPr>
                <w:rFonts w:cstheme="minorHAnsi"/>
                <w:sz w:val="20"/>
                <w:szCs w:val="20"/>
              </w:rPr>
              <w:t>49</w:t>
            </w:r>
          </w:p>
        </w:tc>
        <w:tc>
          <w:tcPr>
            <w:tcW w:w="885" w:type="dxa"/>
            <w:tcBorders>
              <w:top w:val="single" w:sz="4" w:space="0" w:color="auto"/>
              <w:left w:val="nil"/>
              <w:bottom w:val="single" w:sz="4" w:space="0" w:color="auto"/>
              <w:right w:val="single" w:sz="4" w:space="0" w:color="auto"/>
            </w:tcBorders>
            <w:shd w:val="clear" w:color="auto" w:fill="auto"/>
            <w:vAlign w:val="center"/>
          </w:tcPr>
          <w:p w14:paraId="297B1353" w14:textId="53D4846F"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vAlign w:val="center"/>
          </w:tcPr>
          <w:p w14:paraId="71A11E68" w14:textId="1AE9732A"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vAlign w:val="center"/>
          </w:tcPr>
          <w:p w14:paraId="4D187205" w14:textId="08F3C7C3"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23%</w:t>
            </w:r>
          </w:p>
        </w:tc>
        <w:tc>
          <w:tcPr>
            <w:tcW w:w="810" w:type="dxa"/>
            <w:tcBorders>
              <w:top w:val="single" w:sz="4" w:space="0" w:color="auto"/>
              <w:left w:val="nil"/>
              <w:bottom w:val="single" w:sz="4" w:space="0" w:color="auto"/>
              <w:right w:val="single" w:sz="4" w:space="0" w:color="auto"/>
            </w:tcBorders>
            <w:shd w:val="clear" w:color="auto" w:fill="auto"/>
            <w:vAlign w:val="center"/>
          </w:tcPr>
          <w:p w14:paraId="3DDAF592" w14:textId="0B432B7B"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29%</w:t>
            </w:r>
          </w:p>
        </w:tc>
        <w:tc>
          <w:tcPr>
            <w:tcW w:w="918" w:type="dxa"/>
            <w:tcBorders>
              <w:top w:val="single" w:sz="4" w:space="0" w:color="auto"/>
              <w:left w:val="nil"/>
              <w:bottom w:val="single" w:sz="4" w:space="0" w:color="auto"/>
              <w:right w:val="single" w:sz="4" w:space="0" w:color="auto"/>
            </w:tcBorders>
            <w:shd w:val="clear" w:color="auto" w:fill="auto"/>
            <w:vAlign w:val="bottom"/>
          </w:tcPr>
          <w:p w14:paraId="140BAE05" w14:textId="2AE7C488" w:rsidR="000552F1" w:rsidRPr="00C3312E" w:rsidRDefault="000552F1" w:rsidP="000552F1">
            <w:pPr>
              <w:spacing w:after="0" w:line="240" w:lineRule="auto"/>
              <w:jc w:val="center"/>
              <w:rPr>
                <w:rFonts w:cstheme="minorHAnsi"/>
                <w:sz w:val="20"/>
                <w:szCs w:val="20"/>
              </w:rPr>
            </w:pPr>
            <w:r w:rsidRPr="00C3312E">
              <w:rPr>
                <w:rFonts w:cstheme="minorHAnsi"/>
                <w:sz w:val="20"/>
                <w:szCs w:val="20"/>
              </w:rPr>
              <w:t>8%</w:t>
            </w:r>
          </w:p>
        </w:tc>
      </w:tr>
      <w:tr w:rsidR="000552F1" w:rsidRPr="00C3312E" w14:paraId="424D0B8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0AEA84D" w14:textId="186B6DC0" w:rsidR="000552F1" w:rsidRPr="00C3312E" w:rsidRDefault="000552F1" w:rsidP="000552F1">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577B7973" w14:textId="6C5E1825"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28</w:t>
            </w:r>
          </w:p>
        </w:tc>
        <w:tc>
          <w:tcPr>
            <w:tcW w:w="885" w:type="dxa"/>
            <w:tcBorders>
              <w:top w:val="single" w:sz="4" w:space="0" w:color="auto"/>
              <w:left w:val="nil"/>
              <w:bottom w:val="single" w:sz="4" w:space="0" w:color="auto"/>
              <w:right w:val="single" w:sz="4" w:space="0" w:color="auto"/>
            </w:tcBorders>
            <w:shd w:val="clear" w:color="auto" w:fill="auto"/>
            <w:vAlign w:val="center"/>
          </w:tcPr>
          <w:p w14:paraId="36EF04B3" w14:textId="70D12286"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25%</w:t>
            </w:r>
          </w:p>
        </w:tc>
        <w:tc>
          <w:tcPr>
            <w:tcW w:w="1005" w:type="dxa"/>
            <w:tcBorders>
              <w:top w:val="single" w:sz="4" w:space="0" w:color="auto"/>
              <w:left w:val="nil"/>
              <w:bottom w:val="single" w:sz="4" w:space="0" w:color="auto"/>
              <w:right w:val="single" w:sz="4" w:space="0" w:color="auto"/>
            </w:tcBorders>
            <w:shd w:val="clear" w:color="auto" w:fill="auto"/>
            <w:vAlign w:val="center"/>
          </w:tcPr>
          <w:p w14:paraId="0A940B4A" w14:textId="22265BDA"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25%</w:t>
            </w:r>
          </w:p>
        </w:tc>
        <w:tc>
          <w:tcPr>
            <w:tcW w:w="810" w:type="dxa"/>
            <w:tcBorders>
              <w:top w:val="single" w:sz="4" w:space="0" w:color="auto"/>
              <w:left w:val="nil"/>
              <w:bottom w:val="single" w:sz="4" w:space="0" w:color="auto"/>
              <w:right w:val="single" w:sz="4" w:space="0" w:color="auto"/>
            </w:tcBorders>
            <w:shd w:val="clear" w:color="auto" w:fill="auto"/>
            <w:vAlign w:val="center"/>
          </w:tcPr>
          <w:p w14:paraId="6C81DB90" w14:textId="349E86B3" w:rsidR="000552F1" w:rsidRPr="00C3312E" w:rsidRDefault="000552F1" w:rsidP="000552F1">
            <w:pPr>
              <w:spacing w:after="0" w:line="240" w:lineRule="auto"/>
              <w:jc w:val="center"/>
              <w:rPr>
                <w:rFonts w:cstheme="minorHAnsi"/>
                <w:sz w:val="20"/>
                <w:szCs w:val="20"/>
              </w:rPr>
            </w:pPr>
            <w:r w:rsidRPr="00C3312E">
              <w:rPr>
                <w:rFonts w:cstheme="minorHAnsi"/>
                <w:sz w:val="20"/>
                <w:szCs w:val="20"/>
              </w:rPr>
              <w:t>32%</w:t>
            </w:r>
          </w:p>
        </w:tc>
        <w:tc>
          <w:tcPr>
            <w:tcW w:w="810" w:type="dxa"/>
            <w:tcBorders>
              <w:top w:val="single" w:sz="4" w:space="0" w:color="auto"/>
              <w:left w:val="nil"/>
              <w:bottom w:val="single" w:sz="4" w:space="0" w:color="auto"/>
              <w:right w:val="single" w:sz="4" w:space="0" w:color="auto"/>
            </w:tcBorders>
            <w:shd w:val="clear" w:color="auto" w:fill="auto"/>
            <w:vAlign w:val="center"/>
          </w:tcPr>
          <w:p w14:paraId="4CD120AB" w14:textId="40A245F6"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29%</w:t>
            </w:r>
          </w:p>
        </w:tc>
        <w:tc>
          <w:tcPr>
            <w:tcW w:w="918" w:type="dxa"/>
            <w:tcBorders>
              <w:top w:val="single" w:sz="4" w:space="0" w:color="auto"/>
              <w:left w:val="nil"/>
              <w:bottom w:val="single" w:sz="4" w:space="0" w:color="auto"/>
              <w:right w:val="single" w:sz="4" w:space="0" w:color="auto"/>
            </w:tcBorders>
            <w:shd w:val="clear" w:color="auto" w:fill="auto"/>
            <w:vAlign w:val="bottom"/>
          </w:tcPr>
          <w:p w14:paraId="0DDF159E" w14:textId="2C62CC67" w:rsidR="000552F1" w:rsidRPr="00C3312E" w:rsidRDefault="000552F1" w:rsidP="000552F1">
            <w:pPr>
              <w:spacing w:after="0" w:line="240" w:lineRule="auto"/>
              <w:jc w:val="center"/>
              <w:rPr>
                <w:rFonts w:cstheme="minorHAnsi"/>
                <w:sz w:val="20"/>
                <w:szCs w:val="20"/>
              </w:rPr>
            </w:pPr>
            <w:r w:rsidRPr="00C3312E">
              <w:rPr>
                <w:rFonts w:cstheme="minorHAnsi"/>
                <w:sz w:val="20"/>
                <w:szCs w:val="20"/>
              </w:rPr>
              <w:t>4%</w:t>
            </w:r>
          </w:p>
        </w:tc>
      </w:tr>
      <w:tr w:rsidR="000552F1" w:rsidRPr="00C3312E" w14:paraId="1A6B602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58BD2DB" w14:textId="654863AE" w:rsidR="000552F1" w:rsidRPr="00C3312E" w:rsidRDefault="000552F1" w:rsidP="000552F1">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7024FFF6" w14:textId="2525095E"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16</w:t>
            </w:r>
          </w:p>
        </w:tc>
        <w:tc>
          <w:tcPr>
            <w:tcW w:w="885" w:type="dxa"/>
            <w:tcBorders>
              <w:top w:val="single" w:sz="4" w:space="0" w:color="auto"/>
              <w:left w:val="nil"/>
              <w:bottom w:val="single" w:sz="4" w:space="0" w:color="auto"/>
              <w:right w:val="single" w:sz="4" w:space="0" w:color="auto"/>
            </w:tcBorders>
            <w:shd w:val="clear" w:color="auto" w:fill="auto"/>
            <w:vAlign w:val="center"/>
          </w:tcPr>
          <w:p w14:paraId="567C697E" w14:textId="18E517FE"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7DE7DA9D" w14:textId="27D631A2"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42BAC30E" w14:textId="5F3ADCD5"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vAlign w:val="center"/>
          </w:tcPr>
          <w:p w14:paraId="11D9BA0B" w14:textId="7036AE11"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19%</w:t>
            </w:r>
          </w:p>
        </w:tc>
        <w:tc>
          <w:tcPr>
            <w:tcW w:w="918" w:type="dxa"/>
            <w:tcBorders>
              <w:top w:val="single" w:sz="4" w:space="0" w:color="auto"/>
              <w:left w:val="nil"/>
              <w:bottom w:val="single" w:sz="4" w:space="0" w:color="auto"/>
              <w:right w:val="single" w:sz="4" w:space="0" w:color="auto"/>
            </w:tcBorders>
            <w:shd w:val="clear" w:color="auto" w:fill="auto"/>
            <w:vAlign w:val="bottom"/>
          </w:tcPr>
          <w:p w14:paraId="68C2F62F" w14:textId="7CC0C872"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w:t>
            </w:r>
          </w:p>
        </w:tc>
      </w:tr>
      <w:tr w:rsidR="000552F1" w:rsidRPr="00C3312E" w14:paraId="7AF9A14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EF21DDA" w14:textId="6F211A19" w:rsidR="000552F1" w:rsidRPr="00C3312E" w:rsidRDefault="000552F1" w:rsidP="000552F1">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2970227E" w14:textId="68554940" w:rsidR="000552F1" w:rsidRPr="00C3312E" w:rsidRDefault="000552F1" w:rsidP="000552F1">
            <w:pPr>
              <w:spacing w:after="0" w:line="240" w:lineRule="auto"/>
              <w:jc w:val="center"/>
              <w:rPr>
                <w:rFonts w:cstheme="minorHAnsi"/>
                <w:sz w:val="20"/>
                <w:szCs w:val="20"/>
              </w:rPr>
            </w:pPr>
            <w:r w:rsidRPr="00C3312E">
              <w:rPr>
                <w:rFonts w:cstheme="minorHAnsi"/>
                <w:sz w:val="20"/>
                <w:szCs w:val="20"/>
              </w:rPr>
              <w:t>33</w:t>
            </w:r>
          </w:p>
        </w:tc>
        <w:tc>
          <w:tcPr>
            <w:tcW w:w="885" w:type="dxa"/>
            <w:tcBorders>
              <w:top w:val="single" w:sz="4" w:space="0" w:color="auto"/>
              <w:left w:val="nil"/>
              <w:bottom w:val="single" w:sz="4" w:space="0" w:color="auto"/>
              <w:right w:val="single" w:sz="4" w:space="0" w:color="auto"/>
            </w:tcBorders>
            <w:shd w:val="clear" w:color="auto" w:fill="auto"/>
            <w:vAlign w:val="center"/>
          </w:tcPr>
          <w:p w14:paraId="4DE7FDA3" w14:textId="2AE80FCB" w:rsidR="000552F1" w:rsidRPr="00C3312E" w:rsidRDefault="000552F1" w:rsidP="000552F1">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57FA2317" w14:textId="23B295AC"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32211122" w14:textId="1524A06F" w:rsidR="000552F1" w:rsidRPr="00C3312E" w:rsidRDefault="000552F1" w:rsidP="000552F1">
            <w:pPr>
              <w:spacing w:after="0" w:line="240" w:lineRule="auto"/>
              <w:jc w:val="center"/>
              <w:rPr>
                <w:rFonts w:cstheme="minorHAnsi"/>
                <w:sz w:val="20"/>
                <w:szCs w:val="20"/>
              </w:rPr>
            </w:pPr>
            <w:r w:rsidRPr="00C3312E">
              <w:rPr>
                <w:rFonts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vAlign w:val="center"/>
          </w:tcPr>
          <w:p w14:paraId="399B0EC8" w14:textId="392B7799" w:rsidR="000552F1" w:rsidRPr="00C3312E" w:rsidRDefault="000552F1" w:rsidP="000552F1">
            <w:pPr>
              <w:spacing w:after="0" w:line="240" w:lineRule="auto"/>
              <w:jc w:val="center"/>
              <w:rPr>
                <w:rFonts w:cstheme="minorHAnsi"/>
                <w:sz w:val="20"/>
                <w:szCs w:val="20"/>
              </w:rPr>
            </w:pPr>
            <w:r w:rsidRPr="00C3312E">
              <w:rPr>
                <w:rFonts w:cstheme="minorHAnsi"/>
                <w:sz w:val="20"/>
                <w:szCs w:val="20"/>
              </w:rPr>
              <w:t>27%</w:t>
            </w:r>
          </w:p>
        </w:tc>
        <w:tc>
          <w:tcPr>
            <w:tcW w:w="918" w:type="dxa"/>
            <w:tcBorders>
              <w:top w:val="single" w:sz="4" w:space="0" w:color="auto"/>
              <w:left w:val="nil"/>
              <w:bottom w:val="single" w:sz="4" w:space="0" w:color="auto"/>
              <w:right w:val="single" w:sz="4" w:space="0" w:color="auto"/>
            </w:tcBorders>
            <w:shd w:val="clear" w:color="auto" w:fill="auto"/>
            <w:vAlign w:val="bottom"/>
          </w:tcPr>
          <w:p w14:paraId="0C92E8CC" w14:textId="5398080A" w:rsidR="000552F1" w:rsidRPr="00C3312E" w:rsidRDefault="000552F1" w:rsidP="000552F1">
            <w:pPr>
              <w:spacing w:after="0" w:line="240" w:lineRule="auto"/>
              <w:jc w:val="center"/>
              <w:rPr>
                <w:rFonts w:cstheme="minorHAnsi"/>
                <w:sz w:val="20"/>
                <w:szCs w:val="20"/>
              </w:rPr>
            </w:pPr>
            <w:r w:rsidRPr="00C3312E">
              <w:rPr>
                <w:rFonts w:cstheme="minorHAnsi"/>
                <w:sz w:val="20"/>
                <w:szCs w:val="20"/>
              </w:rPr>
              <w:t>--</w:t>
            </w:r>
          </w:p>
        </w:tc>
      </w:tr>
      <w:tr w:rsidR="00C3312E" w:rsidRPr="00C3312E" w14:paraId="719E82E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D6F01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Stapleton</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CC583E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77</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626E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3694D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45%</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F9FD7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38%</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C7D789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47%</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48872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25%</w:t>
            </w:r>
          </w:p>
        </w:tc>
      </w:tr>
      <w:tr w:rsidR="00C3312E" w:rsidRPr="00C3312E" w14:paraId="400BACC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81F67A4"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07D7BA4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c>
          <w:tcPr>
            <w:tcW w:w="885" w:type="dxa"/>
            <w:tcBorders>
              <w:top w:val="single" w:sz="4" w:space="0" w:color="auto"/>
              <w:left w:val="nil"/>
              <w:bottom w:val="single" w:sz="4" w:space="0" w:color="auto"/>
              <w:right w:val="single" w:sz="4" w:space="0" w:color="auto"/>
            </w:tcBorders>
            <w:shd w:val="clear" w:color="auto" w:fill="auto"/>
            <w:vAlign w:val="center"/>
          </w:tcPr>
          <w:p w14:paraId="7A12C6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D572F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4D31C4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1EFB89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24893D9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34C278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AF13F78"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341C8FE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46C931F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2F8E882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A0B101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57467B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3DBAD36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34E5681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B95201C"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02FDC99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85" w:type="dxa"/>
            <w:tcBorders>
              <w:top w:val="single" w:sz="4" w:space="0" w:color="auto"/>
              <w:left w:val="nil"/>
              <w:bottom w:val="single" w:sz="4" w:space="0" w:color="auto"/>
              <w:right w:val="single" w:sz="4" w:space="0" w:color="auto"/>
            </w:tcBorders>
            <w:shd w:val="clear" w:color="auto" w:fill="auto"/>
            <w:vAlign w:val="center"/>
          </w:tcPr>
          <w:p w14:paraId="5D2C2D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02E1350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4BCC6C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vAlign w:val="center"/>
          </w:tcPr>
          <w:p w14:paraId="2921B93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vAlign w:val="bottom"/>
          </w:tcPr>
          <w:p w14:paraId="0DCAB74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250DAC3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FD749FE"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613E76F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34674FA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7A66A22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E67F47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51A063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26C6FE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06319AC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8937AE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6CDF35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c>
          <w:tcPr>
            <w:tcW w:w="885" w:type="dxa"/>
            <w:tcBorders>
              <w:top w:val="single" w:sz="4" w:space="0" w:color="auto"/>
              <w:left w:val="nil"/>
              <w:bottom w:val="single" w:sz="4" w:space="0" w:color="auto"/>
              <w:right w:val="single" w:sz="4" w:space="0" w:color="auto"/>
            </w:tcBorders>
            <w:shd w:val="clear" w:color="auto" w:fill="auto"/>
            <w:vAlign w:val="center"/>
          </w:tcPr>
          <w:p w14:paraId="4A1FEEA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28%</w:t>
            </w:r>
          </w:p>
        </w:tc>
        <w:tc>
          <w:tcPr>
            <w:tcW w:w="1005" w:type="dxa"/>
            <w:tcBorders>
              <w:top w:val="single" w:sz="4" w:space="0" w:color="auto"/>
              <w:left w:val="nil"/>
              <w:bottom w:val="single" w:sz="4" w:space="0" w:color="auto"/>
              <w:right w:val="single" w:sz="4" w:space="0" w:color="auto"/>
            </w:tcBorders>
            <w:shd w:val="clear" w:color="auto" w:fill="auto"/>
            <w:vAlign w:val="center"/>
          </w:tcPr>
          <w:p w14:paraId="4613A68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51%</w:t>
            </w:r>
          </w:p>
        </w:tc>
        <w:tc>
          <w:tcPr>
            <w:tcW w:w="810" w:type="dxa"/>
            <w:tcBorders>
              <w:top w:val="single" w:sz="4" w:space="0" w:color="auto"/>
              <w:left w:val="nil"/>
              <w:bottom w:val="single" w:sz="4" w:space="0" w:color="auto"/>
              <w:right w:val="single" w:sz="4" w:space="0" w:color="auto"/>
            </w:tcBorders>
            <w:shd w:val="clear" w:color="auto" w:fill="auto"/>
            <w:vAlign w:val="center"/>
          </w:tcPr>
          <w:p w14:paraId="7AE880C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43%</w:t>
            </w:r>
          </w:p>
        </w:tc>
        <w:tc>
          <w:tcPr>
            <w:tcW w:w="810" w:type="dxa"/>
            <w:tcBorders>
              <w:top w:val="single" w:sz="4" w:space="0" w:color="auto"/>
              <w:left w:val="nil"/>
              <w:bottom w:val="single" w:sz="4" w:space="0" w:color="auto"/>
              <w:right w:val="single" w:sz="4" w:space="0" w:color="auto"/>
            </w:tcBorders>
            <w:shd w:val="clear" w:color="auto" w:fill="auto"/>
            <w:vAlign w:val="center"/>
          </w:tcPr>
          <w:p w14:paraId="44A136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54%</w:t>
            </w:r>
          </w:p>
        </w:tc>
        <w:tc>
          <w:tcPr>
            <w:tcW w:w="918" w:type="dxa"/>
            <w:tcBorders>
              <w:top w:val="single" w:sz="4" w:space="0" w:color="auto"/>
              <w:left w:val="nil"/>
              <w:bottom w:val="single" w:sz="4" w:space="0" w:color="auto"/>
              <w:right w:val="single" w:sz="4" w:space="0" w:color="auto"/>
            </w:tcBorders>
            <w:shd w:val="clear" w:color="auto" w:fill="auto"/>
            <w:vAlign w:val="bottom"/>
          </w:tcPr>
          <w:p w14:paraId="77A814C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r>
      <w:tr w:rsidR="00C37BB4" w:rsidRPr="00C3312E" w14:paraId="677DD487"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B32648A" w14:textId="6383FC19" w:rsidR="00C37BB4" w:rsidRPr="00C3312E" w:rsidRDefault="00C37BB4" w:rsidP="00C37BB4">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5747EA5B" w14:textId="596B2CF0" w:rsidR="00C37BB4" w:rsidRPr="00C3312E" w:rsidRDefault="00C37BB4" w:rsidP="00C37BB4">
            <w:pPr>
              <w:spacing w:after="0" w:line="240" w:lineRule="auto"/>
              <w:jc w:val="center"/>
              <w:rPr>
                <w:rFonts w:cstheme="minorHAnsi"/>
                <w:sz w:val="20"/>
                <w:szCs w:val="20"/>
              </w:rPr>
            </w:pPr>
            <w:r w:rsidRPr="00C3312E">
              <w:rPr>
                <w:rFonts w:cstheme="minorHAnsi"/>
                <w:sz w:val="20"/>
                <w:szCs w:val="20"/>
              </w:rPr>
              <w:t>43</w:t>
            </w:r>
          </w:p>
        </w:tc>
        <w:tc>
          <w:tcPr>
            <w:tcW w:w="885" w:type="dxa"/>
            <w:tcBorders>
              <w:top w:val="single" w:sz="4" w:space="0" w:color="auto"/>
              <w:left w:val="nil"/>
              <w:bottom w:val="single" w:sz="4" w:space="0" w:color="auto"/>
              <w:right w:val="single" w:sz="4" w:space="0" w:color="auto"/>
            </w:tcBorders>
            <w:shd w:val="clear" w:color="auto" w:fill="auto"/>
            <w:vAlign w:val="center"/>
          </w:tcPr>
          <w:p w14:paraId="7CF6985F" w14:textId="7FA7D591" w:rsidR="00C37BB4" w:rsidRPr="00C3312E" w:rsidRDefault="00C37BB4" w:rsidP="00C37BB4">
            <w:pPr>
              <w:spacing w:after="0" w:line="240" w:lineRule="auto"/>
              <w:jc w:val="center"/>
              <w:rPr>
                <w:rFonts w:cstheme="minorHAnsi"/>
                <w:sz w:val="20"/>
                <w:szCs w:val="20"/>
              </w:rPr>
            </w:pPr>
            <w:r w:rsidRPr="00C3312E">
              <w:rPr>
                <w:rFonts w:cstheme="minorHAnsi"/>
                <w:sz w:val="20"/>
                <w:szCs w:val="20"/>
              </w:rPr>
              <w:t>3%</w:t>
            </w:r>
          </w:p>
        </w:tc>
        <w:tc>
          <w:tcPr>
            <w:tcW w:w="1005" w:type="dxa"/>
            <w:tcBorders>
              <w:top w:val="single" w:sz="4" w:space="0" w:color="auto"/>
              <w:left w:val="nil"/>
              <w:bottom w:val="single" w:sz="4" w:space="0" w:color="auto"/>
              <w:right w:val="single" w:sz="4" w:space="0" w:color="auto"/>
            </w:tcBorders>
            <w:shd w:val="clear" w:color="auto" w:fill="auto"/>
            <w:vAlign w:val="center"/>
          </w:tcPr>
          <w:p w14:paraId="1B406342" w14:textId="64B90878" w:rsidR="00C37BB4" w:rsidRPr="00C3312E" w:rsidRDefault="00C37BB4" w:rsidP="00C37BB4">
            <w:pPr>
              <w:spacing w:after="0" w:line="240" w:lineRule="auto"/>
              <w:jc w:val="center"/>
              <w:rPr>
                <w:rFonts w:cstheme="minorHAnsi"/>
                <w:sz w:val="20"/>
                <w:szCs w:val="20"/>
              </w:rPr>
            </w:pPr>
            <w:r w:rsidRPr="00C3312E">
              <w:rPr>
                <w:rFonts w:cstheme="minorHAnsi"/>
                <w:sz w:val="20"/>
                <w:szCs w:val="20"/>
              </w:rPr>
              <w:t>31%</w:t>
            </w:r>
          </w:p>
        </w:tc>
        <w:tc>
          <w:tcPr>
            <w:tcW w:w="810" w:type="dxa"/>
            <w:tcBorders>
              <w:top w:val="single" w:sz="4" w:space="0" w:color="auto"/>
              <w:left w:val="nil"/>
              <w:bottom w:val="single" w:sz="4" w:space="0" w:color="auto"/>
              <w:right w:val="single" w:sz="4" w:space="0" w:color="auto"/>
            </w:tcBorders>
            <w:shd w:val="clear" w:color="auto" w:fill="auto"/>
            <w:vAlign w:val="center"/>
          </w:tcPr>
          <w:p w14:paraId="102CA070" w14:textId="2986D9E8" w:rsidR="00C37BB4" w:rsidRPr="00C3312E" w:rsidRDefault="00C37BB4" w:rsidP="00C37BB4">
            <w:pPr>
              <w:spacing w:after="0" w:line="240" w:lineRule="auto"/>
              <w:jc w:val="center"/>
              <w:rPr>
                <w:rFonts w:cstheme="minorHAnsi"/>
                <w:sz w:val="20"/>
                <w:szCs w:val="20"/>
              </w:rPr>
            </w:pPr>
            <w:r w:rsidRPr="00C3312E">
              <w:rPr>
                <w:rFonts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vAlign w:val="center"/>
          </w:tcPr>
          <w:p w14:paraId="1B13AAC7" w14:textId="35626BDA" w:rsidR="00C37BB4" w:rsidRPr="00C3312E" w:rsidRDefault="00C37BB4" w:rsidP="00C37BB4">
            <w:pPr>
              <w:spacing w:after="0" w:line="240" w:lineRule="auto"/>
              <w:jc w:val="center"/>
              <w:rPr>
                <w:rFonts w:cstheme="minorHAnsi"/>
                <w:sz w:val="20"/>
                <w:szCs w:val="20"/>
              </w:rPr>
            </w:pPr>
            <w:r w:rsidRPr="00C3312E">
              <w:rPr>
                <w:rFonts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vAlign w:val="bottom"/>
          </w:tcPr>
          <w:p w14:paraId="5C8B4FB6" w14:textId="1BD06A7B" w:rsidR="00C37BB4" w:rsidRPr="00C3312E" w:rsidRDefault="00C37BB4" w:rsidP="00C37BB4">
            <w:pPr>
              <w:spacing w:after="0" w:line="240" w:lineRule="auto"/>
              <w:jc w:val="center"/>
              <w:rPr>
                <w:rFonts w:cstheme="minorHAnsi"/>
                <w:sz w:val="20"/>
                <w:szCs w:val="20"/>
              </w:rPr>
            </w:pPr>
            <w:r w:rsidRPr="00C3312E">
              <w:rPr>
                <w:rFonts w:cstheme="minorHAnsi"/>
                <w:sz w:val="20"/>
                <w:szCs w:val="20"/>
              </w:rPr>
              <w:t>20%</w:t>
            </w:r>
          </w:p>
        </w:tc>
      </w:tr>
      <w:tr w:rsidR="00C37BB4" w:rsidRPr="00C3312E" w14:paraId="15DA27B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79204E3" w14:textId="2591B3D2" w:rsidR="00C37BB4" w:rsidRPr="00C3312E" w:rsidRDefault="00C37BB4" w:rsidP="00C37BB4">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27D22E57" w14:textId="61AC4F89" w:rsidR="00C37BB4" w:rsidRPr="00C3312E" w:rsidRDefault="00C37BB4" w:rsidP="00C37BB4">
            <w:pPr>
              <w:spacing w:after="0" w:line="240" w:lineRule="auto"/>
              <w:jc w:val="center"/>
              <w:rPr>
                <w:rFonts w:cstheme="minorHAnsi"/>
                <w:sz w:val="20"/>
                <w:szCs w:val="20"/>
              </w:rPr>
            </w:pPr>
            <w:r w:rsidRPr="00C3312E">
              <w:rPr>
                <w:rFonts w:cstheme="minorHAnsi"/>
                <w:sz w:val="20"/>
                <w:szCs w:val="20"/>
              </w:rPr>
              <w:t>27</w:t>
            </w:r>
          </w:p>
        </w:tc>
        <w:tc>
          <w:tcPr>
            <w:tcW w:w="885" w:type="dxa"/>
            <w:tcBorders>
              <w:top w:val="single" w:sz="4" w:space="0" w:color="auto"/>
              <w:left w:val="nil"/>
              <w:bottom w:val="single" w:sz="4" w:space="0" w:color="auto"/>
              <w:right w:val="single" w:sz="4" w:space="0" w:color="auto"/>
            </w:tcBorders>
            <w:shd w:val="clear" w:color="auto" w:fill="auto"/>
            <w:vAlign w:val="center"/>
          </w:tcPr>
          <w:p w14:paraId="45488A16" w14:textId="2A742937" w:rsidR="00C37BB4" w:rsidRPr="00C3312E" w:rsidRDefault="00C37BB4" w:rsidP="00C37BB4">
            <w:pPr>
              <w:spacing w:after="0" w:line="240" w:lineRule="auto"/>
              <w:jc w:val="center"/>
              <w:rPr>
                <w:rFonts w:cstheme="minorHAnsi"/>
                <w:sz w:val="20"/>
                <w:szCs w:val="20"/>
              </w:rPr>
            </w:pPr>
            <w:r w:rsidRPr="00C3312E">
              <w:rPr>
                <w:rFonts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vAlign w:val="center"/>
          </w:tcPr>
          <w:p w14:paraId="0AE6369A" w14:textId="455DF2C7" w:rsidR="00C37BB4" w:rsidRPr="00C3312E" w:rsidRDefault="00C37BB4" w:rsidP="00C37BB4">
            <w:pPr>
              <w:spacing w:after="0" w:line="240" w:lineRule="auto"/>
              <w:jc w:val="center"/>
              <w:rPr>
                <w:rFonts w:cstheme="minorHAnsi"/>
                <w:sz w:val="20"/>
                <w:szCs w:val="20"/>
              </w:rPr>
            </w:pPr>
            <w:r w:rsidRPr="00C3312E">
              <w:rPr>
                <w:rFonts w:cstheme="minorHAnsi"/>
                <w:sz w:val="20"/>
                <w:szCs w:val="20"/>
              </w:rPr>
              <w:t>32%</w:t>
            </w:r>
          </w:p>
        </w:tc>
        <w:tc>
          <w:tcPr>
            <w:tcW w:w="810" w:type="dxa"/>
            <w:tcBorders>
              <w:top w:val="single" w:sz="4" w:space="0" w:color="auto"/>
              <w:left w:val="nil"/>
              <w:bottom w:val="single" w:sz="4" w:space="0" w:color="auto"/>
              <w:right w:val="single" w:sz="4" w:space="0" w:color="auto"/>
            </w:tcBorders>
            <w:shd w:val="clear" w:color="auto" w:fill="auto"/>
            <w:vAlign w:val="center"/>
          </w:tcPr>
          <w:p w14:paraId="3CC965CC" w14:textId="4037A74A"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vAlign w:val="center"/>
          </w:tcPr>
          <w:p w14:paraId="15531143" w14:textId="3219AA69"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vAlign w:val="bottom"/>
          </w:tcPr>
          <w:p w14:paraId="2EC9FC20" w14:textId="1DAB4089"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15%</w:t>
            </w:r>
          </w:p>
        </w:tc>
      </w:tr>
      <w:tr w:rsidR="00C37BB4" w:rsidRPr="00C3312E" w14:paraId="7DFA841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1395695" w14:textId="4DD778B2" w:rsidR="00C37BB4" w:rsidRPr="00C3312E" w:rsidRDefault="00C37BB4" w:rsidP="00C37BB4">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7FBB5928" w14:textId="5E3E35F4" w:rsidR="00C37BB4" w:rsidRPr="00C3312E" w:rsidRDefault="00C37BB4" w:rsidP="00C37BB4">
            <w:pPr>
              <w:spacing w:after="0" w:line="240" w:lineRule="auto"/>
              <w:jc w:val="center"/>
              <w:rPr>
                <w:rFonts w:cstheme="minorHAnsi"/>
                <w:sz w:val="20"/>
                <w:szCs w:val="20"/>
              </w:rPr>
            </w:pPr>
            <w:r w:rsidRPr="00C3312E">
              <w:rPr>
                <w:rFonts w:cstheme="minorHAnsi"/>
                <w:sz w:val="20"/>
                <w:szCs w:val="20"/>
              </w:rPr>
              <w:t>27</w:t>
            </w:r>
          </w:p>
        </w:tc>
        <w:tc>
          <w:tcPr>
            <w:tcW w:w="885" w:type="dxa"/>
            <w:tcBorders>
              <w:top w:val="single" w:sz="4" w:space="0" w:color="auto"/>
              <w:left w:val="nil"/>
              <w:bottom w:val="single" w:sz="4" w:space="0" w:color="auto"/>
              <w:right w:val="single" w:sz="4" w:space="0" w:color="auto"/>
            </w:tcBorders>
            <w:shd w:val="clear" w:color="auto" w:fill="auto"/>
            <w:vAlign w:val="center"/>
          </w:tcPr>
          <w:p w14:paraId="51585B3A" w14:textId="13A8C40F" w:rsidR="00C37BB4" w:rsidRPr="00C3312E" w:rsidRDefault="00C37BB4" w:rsidP="00C37BB4">
            <w:pPr>
              <w:spacing w:after="0" w:line="240" w:lineRule="auto"/>
              <w:jc w:val="center"/>
              <w:rPr>
                <w:rFonts w:cstheme="minorHAnsi"/>
                <w:sz w:val="20"/>
                <w:szCs w:val="20"/>
              </w:rPr>
            </w:pPr>
            <w:r w:rsidRPr="00C3312E">
              <w:rPr>
                <w:rFonts w:cstheme="minorHAnsi"/>
                <w:sz w:val="20"/>
                <w:szCs w:val="20"/>
              </w:rPr>
              <w:t>5%</w:t>
            </w:r>
          </w:p>
        </w:tc>
        <w:tc>
          <w:tcPr>
            <w:tcW w:w="1005" w:type="dxa"/>
            <w:tcBorders>
              <w:top w:val="single" w:sz="4" w:space="0" w:color="auto"/>
              <w:left w:val="nil"/>
              <w:bottom w:val="single" w:sz="4" w:space="0" w:color="auto"/>
              <w:right w:val="single" w:sz="4" w:space="0" w:color="auto"/>
            </w:tcBorders>
            <w:shd w:val="clear" w:color="auto" w:fill="auto"/>
            <w:vAlign w:val="center"/>
          </w:tcPr>
          <w:p w14:paraId="45B0981C" w14:textId="4C7634F0"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vAlign w:val="center"/>
          </w:tcPr>
          <w:p w14:paraId="22C8546C" w14:textId="6DD9AB95" w:rsidR="00C37BB4" w:rsidRPr="00C3312E" w:rsidRDefault="00C37BB4" w:rsidP="00C37BB4">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7A5B7C70" w14:textId="52986F82"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19%</w:t>
            </w:r>
          </w:p>
        </w:tc>
        <w:tc>
          <w:tcPr>
            <w:tcW w:w="918" w:type="dxa"/>
            <w:tcBorders>
              <w:top w:val="single" w:sz="4" w:space="0" w:color="auto"/>
              <w:left w:val="nil"/>
              <w:bottom w:val="single" w:sz="4" w:space="0" w:color="auto"/>
              <w:right w:val="single" w:sz="4" w:space="0" w:color="auto"/>
            </w:tcBorders>
            <w:shd w:val="clear" w:color="auto" w:fill="auto"/>
            <w:vAlign w:val="bottom"/>
          </w:tcPr>
          <w:p w14:paraId="22C1C049" w14:textId="3CFABC26" w:rsidR="00C37BB4" w:rsidRPr="00C3312E" w:rsidRDefault="00C37BB4" w:rsidP="00C37BB4">
            <w:pPr>
              <w:spacing w:after="0" w:line="240" w:lineRule="auto"/>
              <w:jc w:val="center"/>
              <w:rPr>
                <w:rFonts w:cstheme="minorHAnsi"/>
                <w:sz w:val="20"/>
                <w:szCs w:val="20"/>
              </w:rPr>
            </w:pPr>
            <w:r w:rsidRPr="00C3312E">
              <w:rPr>
                <w:rFonts w:cstheme="minorHAnsi"/>
                <w:sz w:val="20"/>
                <w:szCs w:val="20"/>
              </w:rPr>
              <w:t>14%</w:t>
            </w:r>
          </w:p>
        </w:tc>
      </w:tr>
      <w:tr w:rsidR="00C37BB4" w:rsidRPr="00C3312E" w14:paraId="28912AA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3120F58" w14:textId="3ECECF32" w:rsidR="00C37BB4" w:rsidRPr="00C3312E" w:rsidRDefault="00C37BB4" w:rsidP="00C37BB4">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06E35ED7" w14:textId="701CE9EB" w:rsidR="00C37BB4" w:rsidRPr="00C3312E" w:rsidRDefault="00C37BB4" w:rsidP="00C37BB4">
            <w:pPr>
              <w:spacing w:after="0" w:line="240" w:lineRule="auto"/>
              <w:jc w:val="center"/>
              <w:rPr>
                <w:rFonts w:cstheme="minorHAnsi"/>
                <w:sz w:val="20"/>
                <w:szCs w:val="20"/>
              </w:rPr>
            </w:pPr>
            <w:r w:rsidRPr="00C3312E">
              <w:rPr>
                <w:rFonts w:cstheme="minorHAnsi"/>
                <w:sz w:val="20"/>
                <w:szCs w:val="20"/>
              </w:rPr>
              <w:t>7</w:t>
            </w:r>
          </w:p>
        </w:tc>
        <w:tc>
          <w:tcPr>
            <w:tcW w:w="885" w:type="dxa"/>
            <w:tcBorders>
              <w:top w:val="single" w:sz="4" w:space="0" w:color="auto"/>
              <w:left w:val="nil"/>
              <w:bottom w:val="single" w:sz="4" w:space="0" w:color="auto"/>
              <w:right w:val="single" w:sz="4" w:space="0" w:color="auto"/>
            </w:tcBorders>
            <w:shd w:val="clear" w:color="auto" w:fill="auto"/>
            <w:vAlign w:val="center"/>
          </w:tcPr>
          <w:p w14:paraId="5BBA169A" w14:textId="2046C25A" w:rsidR="00C37BB4" w:rsidRPr="00C3312E" w:rsidRDefault="00C37BB4" w:rsidP="00C37BB4">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0D01EA24" w14:textId="559AB26A" w:rsidR="00C37BB4" w:rsidRPr="00C3312E" w:rsidRDefault="00C37BB4" w:rsidP="00C37BB4">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D80128A" w14:textId="2ABB5D6F" w:rsidR="00C37BB4" w:rsidRPr="00C3312E" w:rsidRDefault="00C37BB4" w:rsidP="00C37BB4">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553F918" w14:textId="70FC2564" w:rsidR="00C37BB4" w:rsidRPr="00C3312E" w:rsidRDefault="00C37BB4" w:rsidP="00C37BB4">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1187FA11" w14:textId="143364C4" w:rsidR="00C37BB4" w:rsidRPr="00C3312E" w:rsidRDefault="00C37BB4" w:rsidP="00C37BB4">
            <w:pPr>
              <w:spacing w:after="0" w:line="240" w:lineRule="auto"/>
              <w:jc w:val="center"/>
              <w:rPr>
                <w:rFonts w:cstheme="minorHAnsi"/>
                <w:sz w:val="20"/>
                <w:szCs w:val="20"/>
              </w:rPr>
            </w:pPr>
            <w:r w:rsidRPr="00C3312E">
              <w:rPr>
                <w:rFonts w:cstheme="minorHAnsi"/>
                <w:sz w:val="20"/>
                <w:szCs w:val="20"/>
              </w:rPr>
              <w:t>--</w:t>
            </w:r>
          </w:p>
        </w:tc>
      </w:tr>
      <w:tr w:rsidR="00C3312E" w:rsidRPr="00C3312E" w14:paraId="2A8F1BB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80C0D5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McCarthy</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168101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93</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3EA55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30%</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E58CF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108E0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262BA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164FEC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r>
      <w:tr w:rsidR="00C3312E" w:rsidRPr="00C3312E" w14:paraId="573E382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5734774"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288D15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85" w:type="dxa"/>
            <w:tcBorders>
              <w:top w:val="single" w:sz="4" w:space="0" w:color="auto"/>
              <w:left w:val="nil"/>
              <w:bottom w:val="single" w:sz="4" w:space="0" w:color="auto"/>
              <w:right w:val="single" w:sz="4" w:space="0" w:color="auto"/>
            </w:tcBorders>
            <w:shd w:val="clear" w:color="auto" w:fill="auto"/>
            <w:vAlign w:val="center"/>
          </w:tcPr>
          <w:p w14:paraId="45D3797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5CE72D3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vAlign w:val="center"/>
          </w:tcPr>
          <w:p w14:paraId="2BBF255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5F07A26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23%</w:t>
            </w:r>
          </w:p>
        </w:tc>
        <w:tc>
          <w:tcPr>
            <w:tcW w:w="918" w:type="dxa"/>
            <w:tcBorders>
              <w:top w:val="single" w:sz="4" w:space="0" w:color="auto"/>
              <w:left w:val="nil"/>
              <w:bottom w:val="single" w:sz="4" w:space="0" w:color="auto"/>
              <w:right w:val="single" w:sz="4" w:space="0" w:color="auto"/>
            </w:tcBorders>
            <w:shd w:val="clear" w:color="auto" w:fill="auto"/>
            <w:vAlign w:val="bottom"/>
          </w:tcPr>
          <w:p w14:paraId="42EE9E5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r>
      <w:tr w:rsidR="00C3312E" w:rsidRPr="00C3312E" w14:paraId="00D83B4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8FD900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028C390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5874E0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6E2786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9316E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867B8C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4E28733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11266635"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265EA49"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1AD9927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26</w:t>
            </w:r>
          </w:p>
        </w:tc>
        <w:tc>
          <w:tcPr>
            <w:tcW w:w="885" w:type="dxa"/>
            <w:tcBorders>
              <w:top w:val="single" w:sz="4" w:space="0" w:color="auto"/>
              <w:left w:val="nil"/>
              <w:bottom w:val="single" w:sz="4" w:space="0" w:color="auto"/>
              <w:right w:val="single" w:sz="4" w:space="0" w:color="auto"/>
            </w:tcBorders>
            <w:shd w:val="clear" w:color="auto" w:fill="auto"/>
            <w:vAlign w:val="center"/>
          </w:tcPr>
          <w:p w14:paraId="27D3C69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c>
          <w:tcPr>
            <w:tcW w:w="1005" w:type="dxa"/>
            <w:tcBorders>
              <w:top w:val="single" w:sz="4" w:space="0" w:color="auto"/>
              <w:left w:val="nil"/>
              <w:bottom w:val="single" w:sz="4" w:space="0" w:color="auto"/>
              <w:right w:val="single" w:sz="4" w:space="0" w:color="auto"/>
            </w:tcBorders>
            <w:shd w:val="clear" w:color="auto" w:fill="auto"/>
            <w:vAlign w:val="center"/>
          </w:tcPr>
          <w:p w14:paraId="027554C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6A41F29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7F03F44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auto"/>
            <w:vAlign w:val="bottom"/>
          </w:tcPr>
          <w:p w14:paraId="55BEBB5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w:t>
            </w:r>
          </w:p>
        </w:tc>
      </w:tr>
      <w:tr w:rsidR="00C3312E" w:rsidRPr="00C3312E" w14:paraId="46ECC7A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92BB20F"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6C5AA2C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6C2337A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E1BFF6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322E41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C9645D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C02150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7FF5D9F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4B3B739"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7D88B49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885" w:type="dxa"/>
            <w:tcBorders>
              <w:top w:val="single" w:sz="4" w:space="0" w:color="auto"/>
              <w:left w:val="nil"/>
              <w:bottom w:val="single" w:sz="4" w:space="0" w:color="auto"/>
              <w:right w:val="single" w:sz="4" w:space="0" w:color="auto"/>
            </w:tcBorders>
            <w:shd w:val="clear" w:color="auto" w:fill="auto"/>
            <w:vAlign w:val="center"/>
          </w:tcPr>
          <w:p w14:paraId="0085B9A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1005" w:type="dxa"/>
            <w:tcBorders>
              <w:top w:val="single" w:sz="4" w:space="0" w:color="auto"/>
              <w:left w:val="nil"/>
              <w:bottom w:val="single" w:sz="4" w:space="0" w:color="auto"/>
              <w:right w:val="single" w:sz="4" w:space="0" w:color="auto"/>
            </w:tcBorders>
            <w:shd w:val="clear" w:color="auto" w:fill="auto"/>
            <w:vAlign w:val="center"/>
          </w:tcPr>
          <w:p w14:paraId="252F6A8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w:t>
            </w:r>
          </w:p>
        </w:tc>
        <w:tc>
          <w:tcPr>
            <w:tcW w:w="810" w:type="dxa"/>
            <w:tcBorders>
              <w:top w:val="single" w:sz="4" w:space="0" w:color="auto"/>
              <w:left w:val="nil"/>
              <w:bottom w:val="single" w:sz="4" w:space="0" w:color="auto"/>
              <w:right w:val="single" w:sz="4" w:space="0" w:color="auto"/>
            </w:tcBorders>
            <w:shd w:val="clear" w:color="auto" w:fill="auto"/>
            <w:vAlign w:val="center"/>
          </w:tcPr>
          <w:p w14:paraId="2716550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28%</w:t>
            </w:r>
          </w:p>
        </w:tc>
        <w:tc>
          <w:tcPr>
            <w:tcW w:w="810" w:type="dxa"/>
            <w:tcBorders>
              <w:top w:val="single" w:sz="4" w:space="0" w:color="auto"/>
              <w:left w:val="nil"/>
              <w:bottom w:val="single" w:sz="4" w:space="0" w:color="auto"/>
              <w:right w:val="single" w:sz="4" w:space="0" w:color="auto"/>
            </w:tcBorders>
            <w:shd w:val="clear" w:color="auto" w:fill="auto"/>
            <w:vAlign w:val="center"/>
          </w:tcPr>
          <w:p w14:paraId="1EC88AF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33%</w:t>
            </w:r>
          </w:p>
        </w:tc>
        <w:tc>
          <w:tcPr>
            <w:tcW w:w="918" w:type="dxa"/>
            <w:tcBorders>
              <w:top w:val="single" w:sz="4" w:space="0" w:color="auto"/>
              <w:left w:val="nil"/>
              <w:bottom w:val="single" w:sz="4" w:space="0" w:color="auto"/>
              <w:right w:val="single" w:sz="4" w:space="0" w:color="auto"/>
            </w:tcBorders>
            <w:shd w:val="clear" w:color="auto" w:fill="auto"/>
            <w:vAlign w:val="bottom"/>
          </w:tcPr>
          <w:p w14:paraId="0E87849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r>
      <w:tr w:rsidR="000C0F6B" w:rsidRPr="00C3312E" w14:paraId="318FE78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96A107A" w14:textId="626FF9E8" w:rsidR="000C0F6B" w:rsidRPr="00C3312E" w:rsidRDefault="000C0F6B" w:rsidP="000C0F6B">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1506E713" w14:textId="7CD3136B" w:rsidR="000C0F6B" w:rsidRPr="00C3312E" w:rsidRDefault="000C0F6B" w:rsidP="000C0F6B">
            <w:pPr>
              <w:spacing w:after="0" w:line="240" w:lineRule="auto"/>
              <w:jc w:val="center"/>
              <w:rPr>
                <w:rFonts w:cstheme="minorHAnsi"/>
                <w:sz w:val="20"/>
                <w:szCs w:val="20"/>
              </w:rPr>
            </w:pPr>
            <w:r w:rsidRPr="00C3312E">
              <w:rPr>
                <w:rFonts w:cstheme="minorHAnsi"/>
                <w:sz w:val="20"/>
                <w:szCs w:val="20"/>
              </w:rPr>
              <w:t>69</w:t>
            </w:r>
          </w:p>
        </w:tc>
        <w:tc>
          <w:tcPr>
            <w:tcW w:w="885" w:type="dxa"/>
            <w:tcBorders>
              <w:top w:val="single" w:sz="4" w:space="0" w:color="auto"/>
              <w:left w:val="nil"/>
              <w:bottom w:val="single" w:sz="4" w:space="0" w:color="auto"/>
              <w:right w:val="single" w:sz="4" w:space="0" w:color="auto"/>
            </w:tcBorders>
            <w:shd w:val="clear" w:color="auto" w:fill="auto"/>
            <w:vAlign w:val="center"/>
          </w:tcPr>
          <w:p w14:paraId="44DB73B5" w14:textId="489CDD6B"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31F2BC40" w14:textId="44E71AED"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15%</w:t>
            </w:r>
          </w:p>
        </w:tc>
        <w:tc>
          <w:tcPr>
            <w:tcW w:w="810" w:type="dxa"/>
            <w:tcBorders>
              <w:top w:val="single" w:sz="4" w:space="0" w:color="auto"/>
              <w:left w:val="nil"/>
              <w:bottom w:val="single" w:sz="4" w:space="0" w:color="auto"/>
              <w:right w:val="single" w:sz="4" w:space="0" w:color="auto"/>
            </w:tcBorders>
            <w:shd w:val="clear" w:color="auto" w:fill="auto"/>
            <w:vAlign w:val="center"/>
          </w:tcPr>
          <w:p w14:paraId="482CA064" w14:textId="7100D3C1" w:rsidR="000C0F6B" w:rsidRPr="00C3312E" w:rsidRDefault="000C0F6B" w:rsidP="000C0F6B">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7311FE8E" w14:textId="47C89543"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vAlign w:val="bottom"/>
          </w:tcPr>
          <w:p w14:paraId="145F92D0" w14:textId="751318CF" w:rsidR="000C0F6B" w:rsidRPr="00C3312E" w:rsidRDefault="000C0F6B" w:rsidP="000C0F6B">
            <w:pPr>
              <w:spacing w:after="0" w:line="240" w:lineRule="auto"/>
              <w:jc w:val="center"/>
              <w:rPr>
                <w:rFonts w:cstheme="minorHAnsi"/>
                <w:sz w:val="20"/>
                <w:szCs w:val="20"/>
              </w:rPr>
            </w:pPr>
            <w:r w:rsidRPr="00C3312E">
              <w:rPr>
                <w:rFonts w:cstheme="minorHAnsi"/>
                <w:sz w:val="20"/>
                <w:szCs w:val="20"/>
              </w:rPr>
              <w:t>0%</w:t>
            </w:r>
          </w:p>
        </w:tc>
      </w:tr>
      <w:tr w:rsidR="000C0F6B" w:rsidRPr="00C3312E" w14:paraId="3493D13C"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9297035" w14:textId="78ABA57F" w:rsidR="000C0F6B" w:rsidRPr="00C3312E" w:rsidRDefault="000C0F6B" w:rsidP="000C0F6B">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65C25614" w14:textId="6BF8F358" w:rsidR="000C0F6B" w:rsidRPr="00C3312E" w:rsidRDefault="000C0F6B" w:rsidP="000C0F6B">
            <w:pPr>
              <w:spacing w:after="0" w:line="240" w:lineRule="auto"/>
              <w:jc w:val="center"/>
              <w:rPr>
                <w:rFonts w:cstheme="minorHAnsi"/>
                <w:sz w:val="20"/>
                <w:szCs w:val="20"/>
              </w:rPr>
            </w:pPr>
            <w:r w:rsidRPr="00C3312E">
              <w:rPr>
                <w:rFonts w:cstheme="minorHAnsi"/>
                <w:sz w:val="20"/>
                <w:szCs w:val="20"/>
              </w:rPr>
              <w:t>53</w:t>
            </w:r>
          </w:p>
        </w:tc>
        <w:tc>
          <w:tcPr>
            <w:tcW w:w="885" w:type="dxa"/>
            <w:tcBorders>
              <w:top w:val="single" w:sz="4" w:space="0" w:color="auto"/>
              <w:left w:val="nil"/>
              <w:bottom w:val="single" w:sz="4" w:space="0" w:color="auto"/>
              <w:right w:val="single" w:sz="4" w:space="0" w:color="auto"/>
            </w:tcBorders>
            <w:shd w:val="clear" w:color="auto" w:fill="auto"/>
            <w:vAlign w:val="center"/>
          </w:tcPr>
          <w:p w14:paraId="6B6D1946" w14:textId="489C5AB3" w:rsidR="000C0F6B" w:rsidRPr="00C3312E" w:rsidRDefault="000C0F6B" w:rsidP="000C0F6B">
            <w:pPr>
              <w:spacing w:after="0" w:line="240" w:lineRule="auto"/>
              <w:jc w:val="center"/>
              <w:rPr>
                <w:rFonts w:cstheme="minorHAnsi"/>
                <w:sz w:val="20"/>
                <w:szCs w:val="20"/>
              </w:rPr>
            </w:pPr>
            <w:r w:rsidRPr="00C3312E">
              <w:rPr>
                <w:rFonts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vAlign w:val="center"/>
          </w:tcPr>
          <w:p w14:paraId="536F94BB" w14:textId="315055E0" w:rsidR="000C0F6B" w:rsidRPr="00C3312E" w:rsidRDefault="000C0F6B" w:rsidP="000C0F6B">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7AA99EF9" w14:textId="71FB4BD6" w:rsidR="000C0F6B" w:rsidRPr="00C3312E" w:rsidRDefault="000C0F6B" w:rsidP="000C0F6B">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5844BCE1" w14:textId="50994C4C"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vAlign w:val="bottom"/>
          </w:tcPr>
          <w:p w14:paraId="600ED87B" w14:textId="2410EDAE" w:rsidR="000C0F6B" w:rsidRPr="00C3312E" w:rsidRDefault="000C0F6B" w:rsidP="000C0F6B">
            <w:pPr>
              <w:spacing w:after="0" w:line="240" w:lineRule="auto"/>
              <w:jc w:val="center"/>
              <w:rPr>
                <w:rFonts w:cstheme="minorHAnsi"/>
                <w:sz w:val="20"/>
                <w:szCs w:val="20"/>
              </w:rPr>
            </w:pPr>
            <w:r w:rsidRPr="00C3312E">
              <w:rPr>
                <w:rFonts w:cstheme="minorHAnsi"/>
                <w:sz w:val="20"/>
                <w:szCs w:val="20"/>
              </w:rPr>
              <w:t>-4%</w:t>
            </w:r>
          </w:p>
        </w:tc>
      </w:tr>
      <w:tr w:rsidR="000C0F6B" w:rsidRPr="00C3312E" w14:paraId="6746484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8A7B0AB" w14:textId="387AFF88" w:rsidR="000C0F6B" w:rsidRPr="00C3312E" w:rsidRDefault="000C0F6B" w:rsidP="000C0F6B">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34318768" w14:textId="61A9DDA5" w:rsidR="000C0F6B" w:rsidRPr="00C3312E" w:rsidRDefault="000C0F6B" w:rsidP="000C0F6B">
            <w:pPr>
              <w:spacing w:after="0" w:line="240" w:lineRule="auto"/>
              <w:jc w:val="center"/>
              <w:rPr>
                <w:rFonts w:cstheme="minorHAnsi"/>
                <w:sz w:val="20"/>
                <w:szCs w:val="20"/>
              </w:rPr>
            </w:pPr>
            <w:r w:rsidRPr="00C3312E">
              <w:rPr>
                <w:rFonts w:cstheme="minorHAnsi"/>
                <w:sz w:val="20"/>
                <w:szCs w:val="20"/>
              </w:rPr>
              <w:t>47</w:t>
            </w:r>
          </w:p>
        </w:tc>
        <w:tc>
          <w:tcPr>
            <w:tcW w:w="885" w:type="dxa"/>
            <w:tcBorders>
              <w:top w:val="single" w:sz="4" w:space="0" w:color="auto"/>
              <w:left w:val="nil"/>
              <w:bottom w:val="single" w:sz="4" w:space="0" w:color="auto"/>
              <w:right w:val="single" w:sz="4" w:space="0" w:color="auto"/>
            </w:tcBorders>
            <w:shd w:val="clear" w:color="auto" w:fill="auto"/>
            <w:vAlign w:val="center"/>
          </w:tcPr>
          <w:p w14:paraId="6B248136" w14:textId="4CA8E998" w:rsidR="000C0F6B" w:rsidRPr="00C3312E" w:rsidRDefault="000C0F6B" w:rsidP="000C0F6B">
            <w:pPr>
              <w:spacing w:after="0" w:line="240" w:lineRule="auto"/>
              <w:jc w:val="center"/>
              <w:rPr>
                <w:rFonts w:cstheme="minorHAnsi"/>
                <w:sz w:val="20"/>
                <w:szCs w:val="20"/>
              </w:rPr>
            </w:pPr>
            <w:r w:rsidRPr="00C3312E">
              <w:rPr>
                <w:rFonts w:cstheme="minorHAnsi"/>
                <w:sz w:val="20"/>
                <w:szCs w:val="20"/>
              </w:rPr>
              <w:t>5%</w:t>
            </w:r>
          </w:p>
        </w:tc>
        <w:tc>
          <w:tcPr>
            <w:tcW w:w="1005" w:type="dxa"/>
            <w:tcBorders>
              <w:top w:val="single" w:sz="4" w:space="0" w:color="auto"/>
              <w:left w:val="nil"/>
              <w:bottom w:val="single" w:sz="4" w:space="0" w:color="auto"/>
              <w:right w:val="single" w:sz="4" w:space="0" w:color="auto"/>
            </w:tcBorders>
            <w:shd w:val="clear" w:color="auto" w:fill="auto"/>
            <w:vAlign w:val="center"/>
          </w:tcPr>
          <w:p w14:paraId="727DEC0D" w14:textId="07164038"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vAlign w:val="center"/>
          </w:tcPr>
          <w:p w14:paraId="63D59D3D" w14:textId="7BAA4935" w:rsidR="000C0F6B" w:rsidRPr="00C3312E" w:rsidRDefault="000C0F6B" w:rsidP="000C0F6B">
            <w:pPr>
              <w:spacing w:after="0" w:line="240" w:lineRule="auto"/>
              <w:jc w:val="center"/>
              <w:rPr>
                <w:rFonts w:cstheme="minorHAnsi"/>
                <w:sz w:val="20"/>
                <w:szCs w:val="20"/>
              </w:rPr>
            </w:pPr>
            <w:r w:rsidRPr="00C3312E">
              <w:rPr>
                <w:rFonts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vAlign w:val="center"/>
          </w:tcPr>
          <w:p w14:paraId="14FE2A5E" w14:textId="4EC75E2E"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15%</w:t>
            </w:r>
          </w:p>
        </w:tc>
        <w:tc>
          <w:tcPr>
            <w:tcW w:w="918" w:type="dxa"/>
            <w:tcBorders>
              <w:top w:val="single" w:sz="4" w:space="0" w:color="auto"/>
              <w:left w:val="nil"/>
              <w:bottom w:val="single" w:sz="4" w:space="0" w:color="auto"/>
              <w:right w:val="single" w:sz="4" w:space="0" w:color="auto"/>
            </w:tcBorders>
            <w:shd w:val="clear" w:color="auto" w:fill="auto"/>
            <w:vAlign w:val="bottom"/>
          </w:tcPr>
          <w:p w14:paraId="75AC1FA1" w14:textId="5174E227"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10%</w:t>
            </w:r>
          </w:p>
        </w:tc>
      </w:tr>
      <w:tr w:rsidR="000C0F6B" w:rsidRPr="00C3312E" w14:paraId="69134FB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6D77698" w14:textId="4A1C804B" w:rsidR="000C0F6B" w:rsidRPr="00C3312E" w:rsidRDefault="000C0F6B" w:rsidP="000C0F6B">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72ED8A85" w14:textId="14BDDC15" w:rsidR="000C0F6B" w:rsidRPr="00C3312E" w:rsidRDefault="000C0F6B" w:rsidP="000C0F6B">
            <w:pPr>
              <w:spacing w:after="0" w:line="240" w:lineRule="auto"/>
              <w:jc w:val="center"/>
              <w:rPr>
                <w:rFonts w:cstheme="minorHAnsi"/>
                <w:sz w:val="20"/>
                <w:szCs w:val="20"/>
              </w:rPr>
            </w:pPr>
            <w:r w:rsidRPr="00C3312E">
              <w:rPr>
                <w:rFonts w:cstheme="minorHAnsi"/>
                <w:sz w:val="20"/>
                <w:szCs w:val="20"/>
              </w:rPr>
              <w:t>14</w:t>
            </w:r>
          </w:p>
        </w:tc>
        <w:tc>
          <w:tcPr>
            <w:tcW w:w="885" w:type="dxa"/>
            <w:tcBorders>
              <w:top w:val="single" w:sz="4" w:space="0" w:color="auto"/>
              <w:left w:val="nil"/>
              <w:bottom w:val="single" w:sz="4" w:space="0" w:color="auto"/>
              <w:right w:val="single" w:sz="4" w:space="0" w:color="auto"/>
            </w:tcBorders>
            <w:shd w:val="clear" w:color="auto" w:fill="auto"/>
            <w:vAlign w:val="center"/>
          </w:tcPr>
          <w:p w14:paraId="1DE80056" w14:textId="52B0D3DD" w:rsidR="000C0F6B" w:rsidRPr="00C3312E" w:rsidRDefault="000C0F6B" w:rsidP="000C0F6B">
            <w:pPr>
              <w:spacing w:after="0" w:line="240" w:lineRule="auto"/>
              <w:jc w:val="center"/>
              <w:rPr>
                <w:rFonts w:cstheme="minorHAnsi"/>
                <w:sz w:val="20"/>
                <w:szCs w:val="20"/>
              </w:rPr>
            </w:pPr>
            <w:r w:rsidRPr="00C3312E">
              <w:rPr>
                <w:rFonts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vAlign w:val="center"/>
          </w:tcPr>
          <w:p w14:paraId="6861ABFF" w14:textId="64BCB500" w:rsidR="000C0F6B" w:rsidRPr="00C3312E" w:rsidRDefault="000C0F6B" w:rsidP="000C0F6B">
            <w:pPr>
              <w:spacing w:after="0" w:line="240" w:lineRule="auto"/>
              <w:jc w:val="center"/>
              <w:rPr>
                <w:rFonts w:cstheme="minorHAnsi"/>
                <w:sz w:val="20"/>
                <w:szCs w:val="20"/>
              </w:rPr>
            </w:pPr>
            <w:r w:rsidRPr="00C3312E">
              <w:rPr>
                <w:rFonts w:cstheme="minorHAnsi"/>
                <w:sz w:val="20"/>
                <w:szCs w:val="20"/>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06103DCA" w14:textId="3678BA89" w:rsidR="000C0F6B" w:rsidRPr="00C3312E" w:rsidRDefault="000C0F6B" w:rsidP="000C0F6B">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81F344B" w14:textId="5098E512" w:rsidR="000C0F6B" w:rsidRPr="00C3312E" w:rsidRDefault="000C0F6B" w:rsidP="000C0F6B">
            <w:pPr>
              <w:spacing w:after="0" w:line="240" w:lineRule="auto"/>
              <w:jc w:val="center"/>
              <w:rPr>
                <w:rFonts w:cstheme="minorHAnsi"/>
                <w:sz w:val="20"/>
                <w:szCs w:val="20"/>
              </w:rPr>
            </w:pPr>
            <w:r w:rsidRPr="00C3312E">
              <w:rPr>
                <w:rFonts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vAlign w:val="bottom"/>
          </w:tcPr>
          <w:p w14:paraId="2025E6C8" w14:textId="1498D270" w:rsidR="000C0F6B" w:rsidRPr="00C3312E" w:rsidRDefault="000C0F6B" w:rsidP="000C0F6B">
            <w:pPr>
              <w:spacing w:after="0" w:line="240" w:lineRule="auto"/>
              <w:jc w:val="center"/>
              <w:rPr>
                <w:rFonts w:cstheme="minorHAnsi"/>
                <w:sz w:val="20"/>
                <w:szCs w:val="20"/>
              </w:rPr>
            </w:pPr>
            <w:r w:rsidRPr="00C3312E">
              <w:rPr>
                <w:rFonts w:cstheme="minorHAnsi"/>
                <w:sz w:val="20"/>
                <w:szCs w:val="20"/>
              </w:rPr>
              <w:t>0%</w:t>
            </w:r>
          </w:p>
        </w:tc>
      </w:tr>
      <w:tr w:rsidR="00C3312E" w:rsidRPr="00C3312E" w14:paraId="1D42647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B904F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Wilson</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60104A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97</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1C2AA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39BF93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1B3A81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44350F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585134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r>
      <w:tr w:rsidR="00C3312E" w:rsidRPr="00C3312E" w14:paraId="46DA124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0518F1D"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63EC36A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c>
          <w:tcPr>
            <w:tcW w:w="885" w:type="dxa"/>
            <w:tcBorders>
              <w:top w:val="single" w:sz="4" w:space="0" w:color="auto"/>
              <w:left w:val="nil"/>
              <w:bottom w:val="single" w:sz="4" w:space="0" w:color="auto"/>
              <w:right w:val="single" w:sz="4" w:space="0" w:color="auto"/>
            </w:tcBorders>
            <w:shd w:val="clear" w:color="auto" w:fill="auto"/>
            <w:vAlign w:val="center"/>
          </w:tcPr>
          <w:p w14:paraId="77FAA7A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65FF51F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EF9555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E4AC85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vAlign w:val="bottom"/>
          </w:tcPr>
          <w:p w14:paraId="65F36E4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00EE21E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6FCE785"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1F4AA11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85" w:type="dxa"/>
            <w:tcBorders>
              <w:top w:val="single" w:sz="4" w:space="0" w:color="auto"/>
              <w:left w:val="nil"/>
              <w:bottom w:val="single" w:sz="4" w:space="0" w:color="auto"/>
              <w:right w:val="single" w:sz="4" w:space="0" w:color="auto"/>
            </w:tcBorders>
            <w:shd w:val="clear" w:color="auto" w:fill="auto"/>
            <w:vAlign w:val="center"/>
          </w:tcPr>
          <w:p w14:paraId="0D13166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04E0FA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DBA7A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5FAEA6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7600349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348E810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A986D38"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54A2DB4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885" w:type="dxa"/>
            <w:tcBorders>
              <w:top w:val="single" w:sz="4" w:space="0" w:color="auto"/>
              <w:left w:val="nil"/>
              <w:bottom w:val="single" w:sz="4" w:space="0" w:color="auto"/>
              <w:right w:val="single" w:sz="4" w:space="0" w:color="auto"/>
            </w:tcBorders>
            <w:shd w:val="clear" w:color="auto" w:fill="auto"/>
            <w:vAlign w:val="center"/>
          </w:tcPr>
          <w:p w14:paraId="06C41C1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vAlign w:val="center"/>
          </w:tcPr>
          <w:p w14:paraId="2C76BFF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62AFABF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vAlign w:val="center"/>
          </w:tcPr>
          <w:p w14:paraId="0864196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918" w:type="dxa"/>
            <w:tcBorders>
              <w:top w:val="single" w:sz="4" w:space="0" w:color="auto"/>
              <w:left w:val="nil"/>
              <w:bottom w:val="single" w:sz="4" w:space="0" w:color="auto"/>
              <w:right w:val="single" w:sz="4" w:space="0" w:color="auto"/>
            </w:tcBorders>
            <w:shd w:val="clear" w:color="auto" w:fill="auto"/>
            <w:vAlign w:val="bottom"/>
          </w:tcPr>
          <w:p w14:paraId="032EC6D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r>
      <w:tr w:rsidR="00C3312E" w:rsidRPr="00C3312E" w14:paraId="5039BD8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9F853A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26AE901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vAlign w:val="center"/>
          </w:tcPr>
          <w:p w14:paraId="11DB0C2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B6D7AA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20612C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E0B678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268ED2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65A09B1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2284FE3"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6F8D969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67</w:t>
            </w:r>
          </w:p>
        </w:tc>
        <w:tc>
          <w:tcPr>
            <w:tcW w:w="885" w:type="dxa"/>
            <w:tcBorders>
              <w:top w:val="single" w:sz="4" w:space="0" w:color="auto"/>
              <w:left w:val="nil"/>
              <w:bottom w:val="single" w:sz="4" w:space="0" w:color="auto"/>
              <w:right w:val="single" w:sz="4" w:space="0" w:color="auto"/>
            </w:tcBorders>
            <w:shd w:val="clear" w:color="auto" w:fill="auto"/>
            <w:vAlign w:val="center"/>
          </w:tcPr>
          <w:p w14:paraId="25D845D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24%</w:t>
            </w:r>
          </w:p>
        </w:tc>
        <w:tc>
          <w:tcPr>
            <w:tcW w:w="1005" w:type="dxa"/>
            <w:tcBorders>
              <w:top w:val="single" w:sz="4" w:space="0" w:color="auto"/>
              <w:left w:val="nil"/>
              <w:bottom w:val="single" w:sz="4" w:space="0" w:color="auto"/>
              <w:right w:val="single" w:sz="4" w:space="0" w:color="auto"/>
            </w:tcBorders>
            <w:shd w:val="clear" w:color="auto" w:fill="auto"/>
            <w:vAlign w:val="center"/>
          </w:tcPr>
          <w:p w14:paraId="74FB976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vAlign w:val="center"/>
          </w:tcPr>
          <w:p w14:paraId="72ED206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vAlign w:val="center"/>
          </w:tcPr>
          <w:p w14:paraId="0E0076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42CDA0D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r>
      <w:tr w:rsidR="00FD0C25" w:rsidRPr="00C3312E" w14:paraId="7677525E"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3B3FA8A" w14:textId="4C0FA9F4" w:rsidR="00FD0C25" w:rsidRPr="00C3312E" w:rsidRDefault="00FD0C25" w:rsidP="00FD0C25">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3A9F71A6" w14:textId="0FF7C511" w:rsidR="00FD0C25" w:rsidRPr="00C3312E" w:rsidRDefault="00FD0C25" w:rsidP="00FD0C25">
            <w:pPr>
              <w:spacing w:after="0" w:line="240" w:lineRule="auto"/>
              <w:jc w:val="center"/>
              <w:rPr>
                <w:rFonts w:cstheme="minorHAnsi"/>
                <w:sz w:val="20"/>
                <w:szCs w:val="20"/>
              </w:rPr>
            </w:pPr>
            <w:r w:rsidRPr="00C3312E">
              <w:rPr>
                <w:rFonts w:cstheme="minorHAnsi"/>
                <w:sz w:val="20"/>
                <w:szCs w:val="20"/>
              </w:rPr>
              <w:t>85</w:t>
            </w:r>
          </w:p>
        </w:tc>
        <w:tc>
          <w:tcPr>
            <w:tcW w:w="885" w:type="dxa"/>
            <w:tcBorders>
              <w:top w:val="single" w:sz="4" w:space="0" w:color="auto"/>
              <w:left w:val="nil"/>
              <w:bottom w:val="single" w:sz="4" w:space="0" w:color="auto"/>
              <w:right w:val="single" w:sz="4" w:space="0" w:color="auto"/>
            </w:tcBorders>
            <w:shd w:val="clear" w:color="auto" w:fill="auto"/>
            <w:vAlign w:val="center"/>
          </w:tcPr>
          <w:p w14:paraId="11D7CE44" w14:textId="2F4FE555"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vAlign w:val="center"/>
          </w:tcPr>
          <w:p w14:paraId="1F10BBD4" w14:textId="271DC4A6"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14%</w:t>
            </w:r>
          </w:p>
        </w:tc>
        <w:tc>
          <w:tcPr>
            <w:tcW w:w="810" w:type="dxa"/>
            <w:tcBorders>
              <w:top w:val="single" w:sz="4" w:space="0" w:color="auto"/>
              <w:left w:val="nil"/>
              <w:bottom w:val="single" w:sz="4" w:space="0" w:color="auto"/>
              <w:right w:val="single" w:sz="4" w:space="0" w:color="auto"/>
            </w:tcBorders>
            <w:shd w:val="clear" w:color="auto" w:fill="auto"/>
            <w:vAlign w:val="center"/>
          </w:tcPr>
          <w:p w14:paraId="60028589" w14:textId="3C0DD4D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vAlign w:val="center"/>
          </w:tcPr>
          <w:p w14:paraId="5BC9CA96" w14:textId="79AA3ED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13%</w:t>
            </w:r>
          </w:p>
        </w:tc>
        <w:tc>
          <w:tcPr>
            <w:tcW w:w="918" w:type="dxa"/>
            <w:tcBorders>
              <w:top w:val="single" w:sz="4" w:space="0" w:color="auto"/>
              <w:left w:val="nil"/>
              <w:bottom w:val="single" w:sz="4" w:space="0" w:color="auto"/>
              <w:right w:val="single" w:sz="4" w:space="0" w:color="auto"/>
            </w:tcBorders>
            <w:shd w:val="clear" w:color="auto" w:fill="auto"/>
            <w:vAlign w:val="bottom"/>
          </w:tcPr>
          <w:p w14:paraId="676DB2F5" w14:textId="133909E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0%</w:t>
            </w:r>
          </w:p>
        </w:tc>
      </w:tr>
      <w:tr w:rsidR="00FD0C25" w:rsidRPr="00C3312E" w14:paraId="04B2C92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50D2B57" w14:textId="0E3CE5DE" w:rsidR="00FD0C25" w:rsidRPr="00C3312E" w:rsidRDefault="00FD0C25" w:rsidP="00FD0C25">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15449421" w14:textId="514B230E" w:rsidR="00FD0C25" w:rsidRPr="00C3312E" w:rsidRDefault="00FD0C25" w:rsidP="00FD0C25">
            <w:pPr>
              <w:spacing w:after="0" w:line="240" w:lineRule="auto"/>
              <w:jc w:val="center"/>
              <w:rPr>
                <w:rFonts w:cstheme="minorHAnsi"/>
                <w:sz w:val="20"/>
                <w:szCs w:val="20"/>
              </w:rPr>
            </w:pPr>
            <w:r w:rsidRPr="00C3312E">
              <w:rPr>
                <w:rFonts w:cstheme="minorHAnsi"/>
                <w:sz w:val="20"/>
                <w:szCs w:val="20"/>
              </w:rPr>
              <w:t>57</w:t>
            </w:r>
          </w:p>
        </w:tc>
        <w:tc>
          <w:tcPr>
            <w:tcW w:w="885" w:type="dxa"/>
            <w:tcBorders>
              <w:top w:val="single" w:sz="4" w:space="0" w:color="auto"/>
              <w:left w:val="nil"/>
              <w:bottom w:val="single" w:sz="4" w:space="0" w:color="auto"/>
              <w:right w:val="single" w:sz="4" w:space="0" w:color="auto"/>
            </w:tcBorders>
            <w:shd w:val="clear" w:color="auto" w:fill="auto"/>
            <w:vAlign w:val="center"/>
          </w:tcPr>
          <w:p w14:paraId="02F382A5" w14:textId="4A8CACC6"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52E7A073" w14:textId="11CCF5DC"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vAlign w:val="center"/>
          </w:tcPr>
          <w:p w14:paraId="1B033193" w14:textId="7F00A8CC"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vAlign w:val="center"/>
          </w:tcPr>
          <w:p w14:paraId="64919E0E" w14:textId="57589CEF"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12%</w:t>
            </w:r>
          </w:p>
        </w:tc>
        <w:tc>
          <w:tcPr>
            <w:tcW w:w="918" w:type="dxa"/>
            <w:tcBorders>
              <w:top w:val="single" w:sz="4" w:space="0" w:color="auto"/>
              <w:left w:val="nil"/>
              <w:bottom w:val="single" w:sz="4" w:space="0" w:color="auto"/>
              <w:right w:val="single" w:sz="4" w:space="0" w:color="auto"/>
            </w:tcBorders>
            <w:shd w:val="clear" w:color="auto" w:fill="auto"/>
            <w:vAlign w:val="bottom"/>
          </w:tcPr>
          <w:p w14:paraId="41696E21" w14:textId="7D895C5B" w:rsidR="00FD0C25" w:rsidRPr="00C3312E" w:rsidRDefault="00FD0C25" w:rsidP="00FD0C25">
            <w:pPr>
              <w:spacing w:after="0" w:line="240" w:lineRule="auto"/>
              <w:jc w:val="center"/>
              <w:rPr>
                <w:rFonts w:cstheme="minorHAnsi"/>
                <w:sz w:val="20"/>
                <w:szCs w:val="20"/>
              </w:rPr>
            </w:pPr>
            <w:r w:rsidRPr="00C3312E">
              <w:rPr>
                <w:rFonts w:cstheme="minorHAnsi"/>
                <w:sz w:val="20"/>
                <w:szCs w:val="20"/>
              </w:rPr>
              <w:t>-5%</w:t>
            </w:r>
          </w:p>
        </w:tc>
      </w:tr>
      <w:tr w:rsidR="00FD0C25" w:rsidRPr="00C3312E" w14:paraId="228DFE6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ED71147" w14:textId="19A8FF9B" w:rsidR="00FD0C25" w:rsidRPr="00C3312E" w:rsidRDefault="00FD0C25" w:rsidP="00FD0C25">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1BBEBEDD" w14:textId="03628A3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16</w:t>
            </w:r>
          </w:p>
        </w:tc>
        <w:tc>
          <w:tcPr>
            <w:tcW w:w="885" w:type="dxa"/>
            <w:tcBorders>
              <w:top w:val="single" w:sz="4" w:space="0" w:color="auto"/>
              <w:left w:val="nil"/>
              <w:bottom w:val="single" w:sz="4" w:space="0" w:color="auto"/>
              <w:right w:val="single" w:sz="4" w:space="0" w:color="auto"/>
            </w:tcBorders>
            <w:shd w:val="clear" w:color="auto" w:fill="auto"/>
            <w:vAlign w:val="center"/>
          </w:tcPr>
          <w:p w14:paraId="7FACF7AD" w14:textId="765C4C1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4%</w:t>
            </w:r>
          </w:p>
        </w:tc>
        <w:tc>
          <w:tcPr>
            <w:tcW w:w="1005" w:type="dxa"/>
            <w:tcBorders>
              <w:top w:val="single" w:sz="4" w:space="0" w:color="auto"/>
              <w:left w:val="nil"/>
              <w:bottom w:val="single" w:sz="4" w:space="0" w:color="auto"/>
              <w:right w:val="single" w:sz="4" w:space="0" w:color="auto"/>
            </w:tcBorders>
            <w:shd w:val="clear" w:color="auto" w:fill="auto"/>
            <w:vAlign w:val="center"/>
          </w:tcPr>
          <w:p w14:paraId="29A6AE6C" w14:textId="4DDF3950" w:rsidR="00FD0C25" w:rsidRPr="00C3312E" w:rsidRDefault="00FD0C25" w:rsidP="00FD0C25">
            <w:pPr>
              <w:spacing w:after="0" w:line="240" w:lineRule="auto"/>
              <w:jc w:val="center"/>
              <w:rPr>
                <w:rFonts w:cstheme="minorHAnsi"/>
                <w:sz w:val="20"/>
                <w:szCs w:val="20"/>
              </w:rPr>
            </w:pPr>
            <w:r w:rsidRPr="00C3312E">
              <w:rPr>
                <w:rFonts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vAlign w:val="center"/>
          </w:tcPr>
          <w:p w14:paraId="7A7E2166" w14:textId="07A685C3" w:rsidR="00FD0C25" w:rsidRPr="00C3312E" w:rsidRDefault="00FD0C25" w:rsidP="00FD0C25">
            <w:pPr>
              <w:spacing w:after="0" w:line="240" w:lineRule="auto"/>
              <w:jc w:val="center"/>
              <w:rPr>
                <w:rFonts w:cstheme="minorHAnsi"/>
                <w:sz w:val="20"/>
                <w:szCs w:val="20"/>
              </w:rPr>
            </w:pPr>
            <w:r w:rsidRPr="00C3312E">
              <w:rPr>
                <w:rFonts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vAlign w:val="center"/>
          </w:tcPr>
          <w:p w14:paraId="53D440C9" w14:textId="1A663932" w:rsidR="00FD0C25" w:rsidRPr="00C3312E" w:rsidRDefault="00FD0C25" w:rsidP="00FD0C25">
            <w:pPr>
              <w:spacing w:after="0" w:line="240" w:lineRule="auto"/>
              <w:jc w:val="center"/>
              <w:rPr>
                <w:rFonts w:cstheme="minorHAnsi"/>
                <w:sz w:val="20"/>
                <w:szCs w:val="20"/>
              </w:rPr>
            </w:pPr>
            <w:r w:rsidRPr="00C3312E">
              <w:rPr>
                <w:rFonts w:cstheme="minorHAnsi"/>
                <w:sz w:val="20"/>
                <w:szCs w:val="20"/>
              </w:rPr>
              <w:t>6%</w:t>
            </w:r>
          </w:p>
        </w:tc>
        <w:tc>
          <w:tcPr>
            <w:tcW w:w="918" w:type="dxa"/>
            <w:tcBorders>
              <w:top w:val="single" w:sz="4" w:space="0" w:color="auto"/>
              <w:left w:val="nil"/>
              <w:bottom w:val="single" w:sz="4" w:space="0" w:color="auto"/>
              <w:right w:val="single" w:sz="4" w:space="0" w:color="auto"/>
            </w:tcBorders>
            <w:shd w:val="clear" w:color="auto" w:fill="auto"/>
            <w:vAlign w:val="bottom"/>
          </w:tcPr>
          <w:p w14:paraId="10C64D3E" w14:textId="5EAD0536" w:rsidR="00FD0C25" w:rsidRPr="00C3312E" w:rsidRDefault="00FD0C25" w:rsidP="00FD0C25">
            <w:pPr>
              <w:spacing w:after="0" w:line="240" w:lineRule="auto"/>
              <w:jc w:val="center"/>
              <w:rPr>
                <w:rFonts w:cstheme="minorHAnsi"/>
                <w:sz w:val="20"/>
                <w:szCs w:val="20"/>
              </w:rPr>
            </w:pPr>
            <w:r w:rsidRPr="00C3312E">
              <w:rPr>
                <w:rFonts w:cstheme="minorHAnsi"/>
                <w:sz w:val="20"/>
                <w:szCs w:val="20"/>
              </w:rPr>
              <w:t>2%</w:t>
            </w:r>
          </w:p>
        </w:tc>
      </w:tr>
      <w:tr w:rsidR="00FD0C25" w:rsidRPr="00C3312E" w14:paraId="180E295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98ADD35" w14:textId="2CD619C9" w:rsidR="00FD0C25" w:rsidRPr="00C3312E" w:rsidRDefault="00FD0C25" w:rsidP="00FD0C25">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2F54FA52" w14:textId="5A717B07" w:rsidR="00FD0C25" w:rsidRPr="00C3312E" w:rsidRDefault="00FD0C25" w:rsidP="00FD0C25">
            <w:pPr>
              <w:spacing w:after="0" w:line="240" w:lineRule="auto"/>
              <w:jc w:val="center"/>
              <w:rPr>
                <w:rFonts w:cstheme="minorHAnsi"/>
                <w:sz w:val="20"/>
                <w:szCs w:val="20"/>
              </w:rPr>
            </w:pPr>
            <w:r w:rsidRPr="00C3312E">
              <w:rPr>
                <w:rFonts w:cstheme="minorHAnsi"/>
                <w:sz w:val="20"/>
                <w:szCs w:val="20"/>
              </w:rPr>
              <w:t>63</w:t>
            </w:r>
          </w:p>
        </w:tc>
        <w:tc>
          <w:tcPr>
            <w:tcW w:w="885" w:type="dxa"/>
            <w:tcBorders>
              <w:top w:val="single" w:sz="4" w:space="0" w:color="auto"/>
              <w:left w:val="nil"/>
              <w:bottom w:val="single" w:sz="4" w:space="0" w:color="auto"/>
              <w:right w:val="single" w:sz="4" w:space="0" w:color="auto"/>
            </w:tcBorders>
            <w:shd w:val="clear" w:color="auto" w:fill="auto"/>
            <w:vAlign w:val="center"/>
          </w:tcPr>
          <w:p w14:paraId="6A13DAE0" w14:textId="4E89AF88" w:rsidR="00FD0C25" w:rsidRPr="00C3312E" w:rsidRDefault="00FD0C25" w:rsidP="00FD0C25">
            <w:pPr>
              <w:spacing w:after="0" w:line="240" w:lineRule="auto"/>
              <w:jc w:val="center"/>
              <w:rPr>
                <w:rFonts w:cstheme="minorHAnsi"/>
                <w:sz w:val="20"/>
                <w:szCs w:val="20"/>
              </w:rPr>
            </w:pPr>
            <w:r w:rsidRPr="00C3312E">
              <w:rPr>
                <w:rFonts w:cstheme="minorHAnsi"/>
                <w:sz w:val="20"/>
                <w:szCs w:val="20"/>
              </w:rPr>
              <w:t>5%</w:t>
            </w:r>
          </w:p>
        </w:tc>
        <w:tc>
          <w:tcPr>
            <w:tcW w:w="1005" w:type="dxa"/>
            <w:tcBorders>
              <w:top w:val="single" w:sz="4" w:space="0" w:color="auto"/>
              <w:left w:val="nil"/>
              <w:bottom w:val="single" w:sz="4" w:space="0" w:color="auto"/>
              <w:right w:val="single" w:sz="4" w:space="0" w:color="auto"/>
            </w:tcBorders>
            <w:shd w:val="clear" w:color="auto" w:fill="auto"/>
            <w:vAlign w:val="center"/>
          </w:tcPr>
          <w:p w14:paraId="16C0C155" w14:textId="131FD524"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7BC59A50" w14:textId="47408CA9" w:rsidR="00FD0C25" w:rsidRPr="00C3312E" w:rsidRDefault="00FD0C25" w:rsidP="00FD0C25">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66BDF75B" w14:textId="12610D48" w:rsidR="00FD0C25" w:rsidRPr="00C3312E" w:rsidRDefault="00FD0C25" w:rsidP="00FD0C25">
            <w:pPr>
              <w:spacing w:after="0" w:line="240" w:lineRule="auto"/>
              <w:jc w:val="center"/>
              <w:rPr>
                <w:rFonts w:cstheme="minorHAnsi"/>
                <w:sz w:val="20"/>
                <w:szCs w:val="20"/>
              </w:rPr>
            </w:pPr>
            <w:r w:rsidRPr="00C3312E">
              <w:rPr>
                <w:rFonts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vAlign w:val="bottom"/>
          </w:tcPr>
          <w:p w14:paraId="20C7477C" w14:textId="30474D7D" w:rsidR="00FD0C25" w:rsidRPr="00C3312E" w:rsidRDefault="00FD0C25" w:rsidP="00FD0C25">
            <w:pPr>
              <w:spacing w:after="0" w:line="240" w:lineRule="auto"/>
              <w:jc w:val="center"/>
              <w:rPr>
                <w:rFonts w:cstheme="minorHAnsi"/>
                <w:sz w:val="20"/>
                <w:szCs w:val="20"/>
              </w:rPr>
            </w:pPr>
            <w:r w:rsidRPr="00C3312E">
              <w:rPr>
                <w:rFonts w:cstheme="minorHAnsi"/>
                <w:sz w:val="20"/>
                <w:szCs w:val="20"/>
              </w:rPr>
              <w:t>6%</w:t>
            </w:r>
          </w:p>
        </w:tc>
      </w:tr>
      <w:tr w:rsidR="00C3312E" w:rsidRPr="00C3312E" w14:paraId="322FC3F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69CD2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lastRenderedPageBreak/>
              <w:t>Cameron Middle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FC27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179</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04D1D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6F1C5F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31%</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4497C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7FA19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966A75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r>
      <w:tr w:rsidR="00C3312E" w:rsidRPr="00C3312E" w14:paraId="791DA9D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E6DFE81"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6CC9677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16</w:t>
            </w:r>
          </w:p>
        </w:tc>
        <w:tc>
          <w:tcPr>
            <w:tcW w:w="885" w:type="dxa"/>
            <w:tcBorders>
              <w:top w:val="single" w:sz="4" w:space="0" w:color="auto"/>
              <w:left w:val="nil"/>
              <w:bottom w:val="single" w:sz="4" w:space="0" w:color="auto"/>
              <w:right w:val="single" w:sz="4" w:space="0" w:color="auto"/>
            </w:tcBorders>
            <w:shd w:val="clear" w:color="auto" w:fill="auto"/>
            <w:vAlign w:val="center"/>
          </w:tcPr>
          <w:p w14:paraId="059225F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c>
          <w:tcPr>
            <w:tcW w:w="1005" w:type="dxa"/>
            <w:tcBorders>
              <w:top w:val="single" w:sz="4" w:space="0" w:color="auto"/>
              <w:left w:val="nil"/>
              <w:bottom w:val="single" w:sz="4" w:space="0" w:color="auto"/>
              <w:right w:val="single" w:sz="4" w:space="0" w:color="auto"/>
            </w:tcBorders>
            <w:shd w:val="clear" w:color="auto" w:fill="auto"/>
            <w:vAlign w:val="center"/>
          </w:tcPr>
          <w:p w14:paraId="52C6DBA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1E48F1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vAlign w:val="center"/>
          </w:tcPr>
          <w:p w14:paraId="2852833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918" w:type="dxa"/>
            <w:tcBorders>
              <w:top w:val="single" w:sz="4" w:space="0" w:color="auto"/>
              <w:left w:val="nil"/>
              <w:bottom w:val="single" w:sz="4" w:space="0" w:color="auto"/>
              <w:right w:val="single" w:sz="4" w:space="0" w:color="auto"/>
            </w:tcBorders>
            <w:shd w:val="clear" w:color="auto" w:fill="auto"/>
            <w:vAlign w:val="bottom"/>
          </w:tcPr>
          <w:p w14:paraId="00813D6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r>
      <w:tr w:rsidR="00C3312E" w:rsidRPr="00C3312E" w14:paraId="45B1232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209FFB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54A2F31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0A55296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00232A8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023D83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5A2A4E8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24149BF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67224E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79EA51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5C309B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885" w:type="dxa"/>
            <w:tcBorders>
              <w:top w:val="single" w:sz="4" w:space="0" w:color="auto"/>
              <w:left w:val="nil"/>
              <w:bottom w:val="single" w:sz="4" w:space="0" w:color="auto"/>
              <w:right w:val="single" w:sz="4" w:space="0" w:color="auto"/>
            </w:tcBorders>
            <w:shd w:val="clear" w:color="auto" w:fill="auto"/>
            <w:vAlign w:val="center"/>
          </w:tcPr>
          <w:p w14:paraId="4FD135C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28081B4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vAlign w:val="center"/>
          </w:tcPr>
          <w:p w14:paraId="5A0A8D4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vAlign w:val="center"/>
          </w:tcPr>
          <w:p w14:paraId="61DA3ED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vAlign w:val="bottom"/>
          </w:tcPr>
          <w:p w14:paraId="0CA8E55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r>
      <w:tr w:rsidR="00C3312E" w:rsidRPr="00C3312E" w14:paraId="05CBDFD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3FE688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71FD5FE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2056199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222047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B56EE8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109637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4039D5C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7977293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956B75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0EC51B1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116</w:t>
            </w:r>
          </w:p>
        </w:tc>
        <w:tc>
          <w:tcPr>
            <w:tcW w:w="885" w:type="dxa"/>
            <w:tcBorders>
              <w:top w:val="single" w:sz="4" w:space="0" w:color="auto"/>
              <w:left w:val="nil"/>
              <w:bottom w:val="single" w:sz="4" w:space="0" w:color="auto"/>
              <w:right w:val="single" w:sz="4" w:space="0" w:color="auto"/>
            </w:tcBorders>
            <w:shd w:val="clear" w:color="auto" w:fill="auto"/>
            <w:vAlign w:val="center"/>
          </w:tcPr>
          <w:p w14:paraId="3AAE078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32%</w:t>
            </w:r>
          </w:p>
        </w:tc>
        <w:tc>
          <w:tcPr>
            <w:tcW w:w="1005" w:type="dxa"/>
            <w:tcBorders>
              <w:top w:val="single" w:sz="4" w:space="0" w:color="auto"/>
              <w:left w:val="nil"/>
              <w:bottom w:val="single" w:sz="4" w:space="0" w:color="auto"/>
              <w:right w:val="single" w:sz="4" w:space="0" w:color="auto"/>
            </w:tcBorders>
            <w:shd w:val="clear" w:color="auto" w:fill="auto"/>
            <w:vAlign w:val="center"/>
          </w:tcPr>
          <w:p w14:paraId="416346F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35%</w:t>
            </w:r>
          </w:p>
        </w:tc>
        <w:tc>
          <w:tcPr>
            <w:tcW w:w="810" w:type="dxa"/>
            <w:tcBorders>
              <w:top w:val="single" w:sz="4" w:space="0" w:color="auto"/>
              <w:left w:val="nil"/>
              <w:bottom w:val="single" w:sz="4" w:space="0" w:color="auto"/>
              <w:right w:val="single" w:sz="4" w:space="0" w:color="auto"/>
            </w:tcBorders>
            <w:shd w:val="clear" w:color="auto" w:fill="auto"/>
            <w:vAlign w:val="center"/>
          </w:tcPr>
          <w:p w14:paraId="18A56C4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810" w:type="dxa"/>
            <w:tcBorders>
              <w:top w:val="single" w:sz="4" w:space="0" w:color="auto"/>
              <w:left w:val="nil"/>
              <w:bottom w:val="single" w:sz="4" w:space="0" w:color="auto"/>
              <w:right w:val="single" w:sz="4" w:space="0" w:color="auto"/>
            </w:tcBorders>
            <w:shd w:val="clear" w:color="auto" w:fill="auto"/>
            <w:vAlign w:val="center"/>
          </w:tcPr>
          <w:p w14:paraId="1D37F31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21%</w:t>
            </w:r>
          </w:p>
        </w:tc>
        <w:tc>
          <w:tcPr>
            <w:tcW w:w="918" w:type="dxa"/>
            <w:tcBorders>
              <w:top w:val="single" w:sz="4" w:space="0" w:color="auto"/>
              <w:left w:val="nil"/>
              <w:bottom w:val="single" w:sz="4" w:space="0" w:color="auto"/>
              <w:right w:val="single" w:sz="4" w:space="0" w:color="auto"/>
            </w:tcBorders>
            <w:shd w:val="clear" w:color="auto" w:fill="auto"/>
            <w:vAlign w:val="bottom"/>
          </w:tcPr>
          <w:p w14:paraId="06760A5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-11%</w:t>
            </w:r>
          </w:p>
        </w:tc>
      </w:tr>
      <w:tr w:rsidR="00217E84" w:rsidRPr="00C3312E" w14:paraId="3651BB5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EB2731E" w14:textId="319904AF" w:rsidR="00217E84" w:rsidRPr="00C3312E" w:rsidRDefault="00217E84" w:rsidP="00217E84">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1EF740A2" w14:textId="56557E0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113</w:t>
            </w:r>
          </w:p>
        </w:tc>
        <w:tc>
          <w:tcPr>
            <w:tcW w:w="885" w:type="dxa"/>
            <w:tcBorders>
              <w:top w:val="single" w:sz="4" w:space="0" w:color="auto"/>
              <w:left w:val="nil"/>
              <w:bottom w:val="single" w:sz="4" w:space="0" w:color="auto"/>
              <w:right w:val="single" w:sz="4" w:space="0" w:color="auto"/>
            </w:tcBorders>
            <w:shd w:val="clear" w:color="auto" w:fill="auto"/>
            <w:vAlign w:val="center"/>
          </w:tcPr>
          <w:p w14:paraId="0E774EB6" w14:textId="28D16F5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11%</w:t>
            </w:r>
          </w:p>
        </w:tc>
        <w:tc>
          <w:tcPr>
            <w:tcW w:w="1005" w:type="dxa"/>
            <w:tcBorders>
              <w:top w:val="single" w:sz="4" w:space="0" w:color="auto"/>
              <w:left w:val="nil"/>
              <w:bottom w:val="single" w:sz="4" w:space="0" w:color="auto"/>
              <w:right w:val="single" w:sz="4" w:space="0" w:color="auto"/>
            </w:tcBorders>
            <w:shd w:val="clear" w:color="auto" w:fill="auto"/>
            <w:vAlign w:val="center"/>
          </w:tcPr>
          <w:p w14:paraId="12135704" w14:textId="05A96CC5"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auto"/>
            <w:vAlign w:val="center"/>
          </w:tcPr>
          <w:p w14:paraId="0AFDDF17" w14:textId="4FBE8753"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10%</w:t>
            </w:r>
          </w:p>
        </w:tc>
        <w:tc>
          <w:tcPr>
            <w:tcW w:w="810" w:type="dxa"/>
            <w:tcBorders>
              <w:top w:val="single" w:sz="4" w:space="0" w:color="auto"/>
              <w:left w:val="nil"/>
              <w:bottom w:val="single" w:sz="4" w:space="0" w:color="auto"/>
              <w:right w:val="single" w:sz="4" w:space="0" w:color="auto"/>
            </w:tcBorders>
            <w:shd w:val="clear" w:color="auto" w:fill="auto"/>
            <w:vAlign w:val="center"/>
          </w:tcPr>
          <w:p w14:paraId="48643665" w14:textId="5B5A591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8%</w:t>
            </w:r>
          </w:p>
        </w:tc>
        <w:tc>
          <w:tcPr>
            <w:tcW w:w="918" w:type="dxa"/>
            <w:tcBorders>
              <w:top w:val="single" w:sz="4" w:space="0" w:color="auto"/>
              <w:left w:val="nil"/>
              <w:bottom w:val="single" w:sz="4" w:space="0" w:color="auto"/>
              <w:right w:val="single" w:sz="4" w:space="0" w:color="auto"/>
            </w:tcBorders>
            <w:shd w:val="clear" w:color="auto" w:fill="auto"/>
            <w:vAlign w:val="bottom"/>
          </w:tcPr>
          <w:p w14:paraId="47878DA5" w14:textId="34197ED5" w:rsidR="00217E84" w:rsidRPr="00C3312E" w:rsidRDefault="00217E84" w:rsidP="00217E84">
            <w:pPr>
              <w:spacing w:after="0" w:line="240" w:lineRule="auto"/>
              <w:jc w:val="center"/>
              <w:rPr>
                <w:rFonts w:cstheme="minorHAnsi"/>
                <w:sz w:val="20"/>
                <w:szCs w:val="20"/>
              </w:rPr>
            </w:pPr>
            <w:r w:rsidRPr="00C3312E">
              <w:rPr>
                <w:rFonts w:cstheme="minorHAnsi"/>
                <w:sz w:val="20"/>
                <w:szCs w:val="20"/>
              </w:rPr>
              <w:t>-3%</w:t>
            </w:r>
          </w:p>
        </w:tc>
      </w:tr>
      <w:tr w:rsidR="00217E84" w:rsidRPr="00C3312E" w14:paraId="62F7638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4C59ED4" w14:textId="51238E4A" w:rsidR="00217E84" w:rsidRPr="00C3312E" w:rsidRDefault="00217E84" w:rsidP="00217E84">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3C6B1531" w14:textId="5C168FB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74</w:t>
            </w:r>
          </w:p>
        </w:tc>
        <w:tc>
          <w:tcPr>
            <w:tcW w:w="885" w:type="dxa"/>
            <w:tcBorders>
              <w:top w:val="single" w:sz="4" w:space="0" w:color="auto"/>
              <w:left w:val="nil"/>
              <w:bottom w:val="single" w:sz="4" w:space="0" w:color="auto"/>
              <w:right w:val="single" w:sz="4" w:space="0" w:color="auto"/>
            </w:tcBorders>
            <w:shd w:val="clear" w:color="auto" w:fill="auto"/>
            <w:vAlign w:val="center"/>
          </w:tcPr>
          <w:p w14:paraId="7318BB09" w14:textId="6894295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12%</w:t>
            </w:r>
          </w:p>
        </w:tc>
        <w:tc>
          <w:tcPr>
            <w:tcW w:w="1005" w:type="dxa"/>
            <w:tcBorders>
              <w:top w:val="single" w:sz="4" w:space="0" w:color="auto"/>
              <w:left w:val="nil"/>
              <w:bottom w:val="single" w:sz="4" w:space="0" w:color="auto"/>
              <w:right w:val="single" w:sz="4" w:space="0" w:color="auto"/>
            </w:tcBorders>
            <w:shd w:val="clear" w:color="auto" w:fill="auto"/>
            <w:vAlign w:val="center"/>
          </w:tcPr>
          <w:p w14:paraId="16CC37FE" w14:textId="17038C03"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16%</w:t>
            </w:r>
          </w:p>
        </w:tc>
        <w:tc>
          <w:tcPr>
            <w:tcW w:w="810" w:type="dxa"/>
            <w:tcBorders>
              <w:top w:val="single" w:sz="4" w:space="0" w:color="auto"/>
              <w:left w:val="nil"/>
              <w:bottom w:val="single" w:sz="4" w:space="0" w:color="auto"/>
              <w:right w:val="single" w:sz="4" w:space="0" w:color="auto"/>
            </w:tcBorders>
            <w:shd w:val="clear" w:color="auto" w:fill="auto"/>
            <w:vAlign w:val="center"/>
          </w:tcPr>
          <w:p w14:paraId="338CB828" w14:textId="7E1EFD8B"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vAlign w:val="center"/>
          </w:tcPr>
          <w:p w14:paraId="3881A8CE" w14:textId="05F1AF04"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11%</w:t>
            </w:r>
          </w:p>
        </w:tc>
        <w:tc>
          <w:tcPr>
            <w:tcW w:w="918" w:type="dxa"/>
            <w:tcBorders>
              <w:top w:val="single" w:sz="4" w:space="0" w:color="auto"/>
              <w:left w:val="nil"/>
              <w:bottom w:val="single" w:sz="4" w:space="0" w:color="auto"/>
              <w:right w:val="single" w:sz="4" w:space="0" w:color="auto"/>
            </w:tcBorders>
            <w:shd w:val="clear" w:color="auto" w:fill="auto"/>
            <w:vAlign w:val="bottom"/>
          </w:tcPr>
          <w:p w14:paraId="6135AB3E" w14:textId="23D3E720"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w:t>
            </w:r>
          </w:p>
        </w:tc>
      </w:tr>
      <w:tr w:rsidR="00217E84" w:rsidRPr="00C3312E" w14:paraId="4AB95505"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6A4A826" w14:textId="135672B8" w:rsidR="00217E84" w:rsidRPr="00C3312E" w:rsidRDefault="00217E84" w:rsidP="00217E84">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35D38CC0" w14:textId="767BCA3E" w:rsidR="00217E84" w:rsidRPr="00C3312E" w:rsidRDefault="00217E84" w:rsidP="00217E84">
            <w:pPr>
              <w:spacing w:after="0" w:line="240" w:lineRule="auto"/>
              <w:jc w:val="center"/>
              <w:rPr>
                <w:rFonts w:cstheme="minorHAnsi"/>
                <w:sz w:val="20"/>
                <w:szCs w:val="20"/>
              </w:rPr>
            </w:pPr>
            <w:r w:rsidRPr="00C3312E">
              <w:rPr>
                <w:rFonts w:cstheme="minorHAnsi"/>
                <w:sz w:val="20"/>
                <w:szCs w:val="20"/>
              </w:rPr>
              <w:t>52</w:t>
            </w:r>
          </w:p>
        </w:tc>
        <w:tc>
          <w:tcPr>
            <w:tcW w:w="885" w:type="dxa"/>
            <w:tcBorders>
              <w:top w:val="single" w:sz="4" w:space="0" w:color="auto"/>
              <w:left w:val="nil"/>
              <w:bottom w:val="single" w:sz="4" w:space="0" w:color="auto"/>
              <w:right w:val="single" w:sz="4" w:space="0" w:color="auto"/>
            </w:tcBorders>
            <w:shd w:val="clear" w:color="auto" w:fill="auto"/>
            <w:vAlign w:val="center"/>
          </w:tcPr>
          <w:p w14:paraId="0FCB7E84" w14:textId="060A9EB8" w:rsidR="00217E84" w:rsidRPr="00C3312E" w:rsidRDefault="00217E84" w:rsidP="00217E84">
            <w:pPr>
              <w:spacing w:after="0" w:line="240" w:lineRule="auto"/>
              <w:jc w:val="center"/>
              <w:rPr>
                <w:rFonts w:cstheme="minorHAnsi"/>
                <w:sz w:val="20"/>
                <w:szCs w:val="20"/>
              </w:rPr>
            </w:pPr>
            <w:r w:rsidRPr="00C3312E">
              <w:rPr>
                <w:rFonts w:cstheme="minorHAnsi"/>
                <w:sz w:val="20"/>
                <w:szCs w:val="20"/>
              </w:rPr>
              <w:t>4%</w:t>
            </w:r>
          </w:p>
        </w:tc>
        <w:tc>
          <w:tcPr>
            <w:tcW w:w="1005" w:type="dxa"/>
            <w:tcBorders>
              <w:top w:val="single" w:sz="4" w:space="0" w:color="auto"/>
              <w:left w:val="nil"/>
              <w:bottom w:val="single" w:sz="4" w:space="0" w:color="auto"/>
              <w:right w:val="single" w:sz="4" w:space="0" w:color="auto"/>
            </w:tcBorders>
            <w:shd w:val="clear" w:color="auto" w:fill="auto"/>
            <w:vAlign w:val="center"/>
          </w:tcPr>
          <w:p w14:paraId="0CC13C7D" w14:textId="6077A56D"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11%</w:t>
            </w:r>
          </w:p>
        </w:tc>
        <w:tc>
          <w:tcPr>
            <w:tcW w:w="810" w:type="dxa"/>
            <w:tcBorders>
              <w:top w:val="single" w:sz="4" w:space="0" w:color="auto"/>
              <w:left w:val="nil"/>
              <w:bottom w:val="single" w:sz="4" w:space="0" w:color="auto"/>
              <w:right w:val="single" w:sz="4" w:space="0" w:color="auto"/>
            </w:tcBorders>
            <w:shd w:val="clear" w:color="auto" w:fill="auto"/>
            <w:vAlign w:val="center"/>
          </w:tcPr>
          <w:p w14:paraId="6C3A332A" w14:textId="6912235B" w:rsidR="00217E84" w:rsidRPr="00C3312E" w:rsidRDefault="00217E84" w:rsidP="00217E84">
            <w:pPr>
              <w:spacing w:after="0" w:line="240" w:lineRule="auto"/>
              <w:jc w:val="center"/>
              <w:rPr>
                <w:rFonts w:cstheme="minorHAnsi"/>
                <w:sz w:val="20"/>
                <w:szCs w:val="20"/>
              </w:rPr>
            </w:pPr>
            <w:r w:rsidRPr="00C3312E">
              <w:rPr>
                <w:rFonts w:cstheme="minorHAnsi"/>
                <w:sz w:val="20"/>
                <w:szCs w:val="20"/>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0FC9D576" w14:textId="77E35550" w:rsidR="00217E84" w:rsidRPr="00C3312E" w:rsidRDefault="00217E84" w:rsidP="00217E84">
            <w:pPr>
              <w:spacing w:after="0" w:line="240" w:lineRule="auto"/>
              <w:jc w:val="center"/>
              <w:rPr>
                <w:rFonts w:cstheme="minorHAnsi"/>
                <w:sz w:val="20"/>
                <w:szCs w:val="20"/>
              </w:rPr>
            </w:pPr>
            <w:r w:rsidRPr="00C3312E">
              <w:rPr>
                <w:rFonts w:cstheme="minorHAnsi"/>
                <w:sz w:val="20"/>
                <w:szCs w:val="20"/>
              </w:rPr>
              <w:t>2%</w:t>
            </w:r>
          </w:p>
        </w:tc>
        <w:tc>
          <w:tcPr>
            <w:tcW w:w="918" w:type="dxa"/>
            <w:tcBorders>
              <w:top w:val="single" w:sz="4" w:space="0" w:color="auto"/>
              <w:left w:val="nil"/>
              <w:bottom w:val="single" w:sz="4" w:space="0" w:color="auto"/>
              <w:right w:val="single" w:sz="4" w:space="0" w:color="auto"/>
            </w:tcBorders>
            <w:shd w:val="clear" w:color="auto" w:fill="auto"/>
            <w:vAlign w:val="bottom"/>
          </w:tcPr>
          <w:p w14:paraId="4D0EC571" w14:textId="674CD68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-2%</w:t>
            </w:r>
          </w:p>
        </w:tc>
      </w:tr>
      <w:tr w:rsidR="00217E84" w:rsidRPr="00C3312E" w14:paraId="0AA57BE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1E37B55" w14:textId="79EBDFB1" w:rsidR="00217E84" w:rsidRPr="00C3312E" w:rsidRDefault="00217E84" w:rsidP="00217E84">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4EFF3874" w14:textId="7BAEA98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41</w:t>
            </w:r>
          </w:p>
        </w:tc>
        <w:tc>
          <w:tcPr>
            <w:tcW w:w="885" w:type="dxa"/>
            <w:tcBorders>
              <w:top w:val="single" w:sz="4" w:space="0" w:color="auto"/>
              <w:left w:val="nil"/>
              <w:bottom w:val="single" w:sz="4" w:space="0" w:color="auto"/>
              <w:right w:val="single" w:sz="4" w:space="0" w:color="auto"/>
            </w:tcBorders>
            <w:shd w:val="clear" w:color="auto" w:fill="auto"/>
            <w:vAlign w:val="center"/>
          </w:tcPr>
          <w:p w14:paraId="3025AC68" w14:textId="76AA6E0A" w:rsidR="00217E84" w:rsidRPr="00C3312E" w:rsidRDefault="00217E84" w:rsidP="00217E84">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053EBB2" w14:textId="034C794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E85E44E" w14:textId="27D59E8B" w:rsidR="00217E84" w:rsidRPr="00C3312E" w:rsidRDefault="00217E84" w:rsidP="00217E84">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194599C" w14:textId="492FF6BE" w:rsidR="00217E84" w:rsidRPr="00C3312E" w:rsidRDefault="00217E84" w:rsidP="00217E84">
            <w:pPr>
              <w:spacing w:after="0" w:line="240" w:lineRule="auto"/>
              <w:jc w:val="center"/>
              <w:rPr>
                <w:rFonts w:cstheme="minorHAnsi"/>
                <w:sz w:val="20"/>
                <w:szCs w:val="20"/>
              </w:rPr>
            </w:pPr>
            <w:r w:rsidRPr="00C3312E">
              <w:rPr>
                <w:rFonts w:cstheme="minorHAnsi"/>
                <w:sz w:val="20"/>
                <w:szCs w:val="20"/>
              </w:rPr>
              <w:t>5%</w:t>
            </w:r>
          </w:p>
        </w:tc>
        <w:tc>
          <w:tcPr>
            <w:tcW w:w="918" w:type="dxa"/>
            <w:tcBorders>
              <w:top w:val="single" w:sz="4" w:space="0" w:color="auto"/>
              <w:left w:val="nil"/>
              <w:bottom w:val="single" w:sz="4" w:space="0" w:color="auto"/>
              <w:right w:val="single" w:sz="4" w:space="0" w:color="auto"/>
            </w:tcBorders>
            <w:shd w:val="clear" w:color="auto" w:fill="auto"/>
            <w:vAlign w:val="bottom"/>
          </w:tcPr>
          <w:p w14:paraId="033E5DEA" w14:textId="5019A300" w:rsidR="00217E84" w:rsidRPr="00C3312E" w:rsidRDefault="00217E84" w:rsidP="00217E84">
            <w:pPr>
              <w:spacing w:after="0" w:line="240" w:lineRule="auto"/>
              <w:jc w:val="center"/>
              <w:rPr>
                <w:rFonts w:cstheme="minorHAnsi"/>
                <w:sz w:val="20"/>
                <w:szCs w:val="20"/>
              </w:rPr>
            </w:pPr>
            <w:r w:rsidRPr="00C3312E">
              <w:rPr>
                <w:rFonts w:cstheme="minorHAnsi"/>
                <w:sz w:val="20"/>
                <w:szCs w:val="20"/>
              </w:rPr>
              <w:t>--</w:t>
            </w:r>
          </w:p>
        </w:tc>
      </w:tr>
      <w:tr w:rsidR="00C3312E" w:rsidRPr="00C3312E" w14:paraId="00D6BA6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74B749" w14:textId="235F84A2" w:rsidR="00C3312E" w:rsidRPr="00C3312E" w:rsidRDefault="00C3312E" w:rsidP="00217E84">
            <w:pPr>
              <w:spacing w:after="0" w:line="240" w:lineRule="auto"/>
              <w:jc w:val="center"/>
              <w:rPr>
                <w:rFonts w:cstheme="minorHAnsi"/>
                <w:sz w:val="20"/>
                <w:szCs w:val="20"/>
              </w:rPr>
            </w:pPr>
            <w:r w:rsidRPr="00C3312E">
              <w:rPr>
                <w:rFonts w:cstheme="minorHAnsi"/>
                <w:sz w:val="20"/>
                <w:szCs w:val="20"/>
              </w:rPr>
              <w:t xml:space="preserve">Fuller </w:t>
            </w:r>
            <w:r w:rsidR="00217E84" w:rsidRPr="00C3312E">
              <w:rPr>
                <w:rFonts w:cstheme="minorHAnsi"/>
                <w:sz w:val="20"/>
                <w:szCs w:val="20"/>
              </w:rPr>
              <w:t>M</w:t>
            </w:r>
            <w:r w:rsidR="00217E84">
              <w:rPr>
                <w:rFonts w:cstheme="minorHAnsi"/>
                <w:sz w:val="20"/>
                <w:szCs w:val="20"/>
              </w:rPr>
              <w:t>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A84E0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150</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EC71D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24%</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B6C96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30%</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5817A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9143B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10%</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FDF33E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-14%</w:t>
            </w:r>
          </w:p>
        </w:tc>
      </w:tr>
      <w:tr w:rsidR="00C3312E" w:rsidRPr="00C3312E" w14:paraId="7EF6E165"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A415F91"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8FC28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auto"/>
            <w:vAlign w:val="center"/>
          </w:tcPr>
          <w:p w14:paraId="3CB1370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23%</w:t>
            </w:r>
          </w:p>
        </w:tc>
        <w:tc>
          <w:tcPr>
            <w:tcW w:w="1005" w:type="dxa"/>
            <w:tcBorders>
              <w:top w:val="single" w:sz="4" w:space="0" w:color="auto"/>
              <w:left w:val="nil"/>
              <w:bottom w:val="single" w:sz="4" w:space="0" w:color="auto"/>
              <w:right w:val="single" w:sz="4" w:space="0" w:color="auto"/>
            </w:tcBorders>
            <w:shd w:val="clear" w:color="auto" w:fill="auto"/>
            <w:vAlign w:val="center"/>
          </w:tcPr>
          <w:p w14:paraId="7598307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6A888F9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vAlign w:val="center"/>
          </w:tcPr>
          <w:p w14:paraId="13FA450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33763A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5C3089F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031D6D4"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730B6C9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1851B41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117600D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70BEE7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FC7E5F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2CEA22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64DA0C6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D28A41D"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2B2CC3E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59</w:t>
            </w:r>
          </w:p>
        </w:tc>
        <w:tc>
          <w:tcPr>
            <w:tcW w:w="885" w:type="dxa"/>
            <w:tcBorders>
              <w:top w:val="single" w:sz="4" w:space="0" w:color="auto"/>
              <w:left w:val="nil"/>
              <w:bottom w:val="single" w:sz="4" w:space="0" w:color="auto"/>
              <w:right w:val="single" w:sz="4" w:space="0" w:color="auto"/>
            </w:tcBorders>
            <w:shd w:val="clear" w:color="auto" w:fill="auto"/>
            <w:vAlign w:val="center"/>
          </w:tcPr>
          <w:p w14:paraId="6F6446D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w:t>
            </w:r>
          </w:p>
        </w:tc>
        <w:tc>
          <w:tcPr>
            <w:tcW w:w="1005" w:type="dxa"/>
            <w:tcBorders>
              <w:top w:val="single" w:sz="4" w:space="0" w:color="auto"/>
              <w:left w:val="nil"/>
              <w:bottom w:val="single" w:sz="4" w:space="0" w:color="auto"/>
              <w:right w:val="single" w:sz="4" w:space="0" w:color="auto"/>
            </w:tcBorders>
            <w:shd w:val="clear" w:color="auto" w:fill="auto"/>
            <w:vAlign w:val="center"/>
          </w:tcPr>
          <w:p w14:paraId="74FD87D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3D51C4C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04F71FF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w:t>
            </w:r>
          </w:p>
        </w:tc>
        <w:tc>
          <w:tcPr>
            <w:tcW w:w="918" w:type="dxa"/>
            <w:tcBorders>
              <w:top w:val="single" w:sz="4" w:space="0" w:color="auto"/>
              <w:left w:val="nil"/>
              <w:bottom w:val="single" w:sz="4" w:space="0" w:color="auto"/>
              <w:right w:val="single" w:sz="4" w:space="0" w:color="auto"/>
            </w:tcBorders>
            <w:shd w:val="clear" w:color="auto" w:fill="auto"/>
            <w:vAlign w:val="bottom"/>
          </w:tcPr>
          <w:p w14:paraId="17925B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w:t>
            </w:r>
          </w:p>
        </w:tc>
      </w:tr>
      <w:tr w:rsidR="00C3312E" w:rsidRPr="00C3312E" w14:paraId="15B9B82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C1B1906"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569BBE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w:t>
            </w:r>
          </w:p>
        </w:tc>
        <w:tc>
          <w:tcPr>
            <w:tcW w:w="885" w:type="dxa"/>
            <w:tcBorders>
              <w:top w:val="single" w:sz="4" w:space="0" w:color="auto"/>
              <w:left w:val="nil"/>
              <w:bottom w:val="single" w:sz="4" w:space="0" w:color="auto"/>
              <w:right w:val="single" w:sz="4" w:space="0" w:color="auto"/>
            </w:tcBorders>
            <w:shd w:val="clear" w:color="auto" w:fill="auto"/>
            <w:vAlign w:val="center"/>
          </w:tcPr>
          <w:p w14:paraId="2FF518C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68C40F2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30%</w:t>
            </w:r>
          </w:p>
        </w:tc>
        <w:tc>
          <w:tcPr>
            <w:tcW w:w="810" w:type="dxa"/>
            <w:tcBorders>
              <w:top w:val="single" w:sz="4" w:space="0" w:color="auto"/>
              <w:left w:val="nil"/>
              <w:bottom w:val="single" w:sz="4" w:space="0" w:color="auto"/>
              <w:right w:val="single" w:sz="4" w:space="0" w:color="auto"/>
            </w:tcBorders>
            <w:shd w:val="clear" w:color="auto" w:fill="auto"/>
            <w:vAlign w:val="center"/>
          </w:tcPr>
          <w:p w14:paraId="448690A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7969358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54387A5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7923B32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0DB005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3CA8143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75</w:t>
            </w:r>
          </w:p>
        </w:tc>
        <w:tc>
          <w:tcPr>
            <w:tcW w:w="885" w:type="dxa"/>
            <w:tcBorders>
              <w:top w:val="single" w:sz="4" w:space="0" w:color="auto"/>
              <w:left w:val="nil"/>
              <w:bottom w:val="single" w:sz="4" w:space="0" w:color="auto"/>
              <w:right w:val="single" w:sz="4" w:space="0" w:color="auto"/>
            </w:tcBorders>
            <w:shd w:val="clear" w:color="auto" w:fill="auto"/>
            <w:vAlign w:val="center"/>
          </w:tcPr>
          <w:p w14:paraId="171B83C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36%</w:t>
            </w:r>
          </w:p>
        </w:tc>
        <w:tc>
          <w:tcPr>
            <w:tcW w:w="1005" w:type="dxa"/>
            <w:tcBorders>
              <w:top w:val="single" w:sz="4" w:space="0" w:color="auto"/>
              <w:left w:val="nil"/>
              <w:bottom w:val="single" w:sz="4" w:space="0" w:color="auto"/>
              <w:right w:val="single" w:sz="4" w:space="0" w:color="auto"/>
            </w:tcBorders>
            <w:shd w:val="clear" w:color="auto" w:fill="auto"/>
            <w:vAlign w:val="center"/>
          </w:tcPr>
          <w:p w14:paraId="159C2DC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45%</w:t>
            </w:r>
          </w:p>
        </w:tc>
        <w:tc>
          <w:tcPr>
            <w:tcW w:w="810" w:type="dxa"/>
            <w:tcBorders>
              <w:top w:val="single" w:sz="4" w:space="0" w:color="auto"/>
              <w:left w:val="nil"/>
              <w:bottom w:val="single" w:sz="4" w:space="0" w:color="auto"/>
              <w:right w:val="single" w:sz="4" w:space="0" w:color="auto"/>
            </w:tcBorders>
            <w:shd w:val="clear" w:color="auto" w:fill="auto"/>
            <w:vAlign w:val="center"/>
          </w:tcPr>
          <w:p w14:paraId="23962BF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auto"/>
            <w:vAlign w:val="center"/>
          </w:tcPr>
          <w:p w14:paraId="5321DE2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17%</w:t>
            </w:r>
          </w:p>
        </w:tc>
        <w:tc>
          <w:tcPr>
            <w:tcW w:w="918" w:type="dxa"/>
            <w:tcBorders>
              <w:top w:val="single" w:sz="4" w:space="0" w:color="auto"/>
              <w:left w:val="nil"/>
              <w:bottom w:val="single" w:sz="4" w:space="0" w:color="auto"/>
              <w:right w:val="single" w:sz="4" w:space="0" w:color="auto"/>
            </w:tcBorders>
            <w:shd w:val="clear" w:color="auto" w:fill="auto"/>
            <w:vAlign w:val="bottom"/>
          </w:tcPr>
          <w:p w14:paraId="5553565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r>
      <w:tr w:rsidR="00217E84" w:rsidRPr="00C3312E" w14:paraId="1FDE7B8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5B8E355" w14:textId="6C61DBF5" w:rsidR="00217E84" w:rsidRPr="00C3312E" w:rsidRDefault="00217E84" w:rsidP="00217E84">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40F5FC69" w14:textId="01402B1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102</w:t>
            </w:r>
          </w:p>
        </w:tc>
        <w:tc>
          <w:tcPr>
            <w:tcW w:w="885" w:type="dxa"/>
            <w:tcBorders>
              <w:top w:val="single" w:sz="4" w:space="0" w:color="auto"/>
              <w:left w:val="nil"/>
              <w:bottom w:val="single" w:sz="4" w:space="0" w:color="auto"/>
              <w:right w:val="single" w:sz="4" w:space="0" w:color="auto"/>
            </w:tcBorders>
            <w:shd w:val="clear" w:color="auto" w:fill="auto"/>
            <w:vAlign w:val="center"/>
          </w:tcPr>
          <w:p w14:paraId="37E11B64" w14:textId="15C19FD2"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12%</w:t>
            </w:r>
          </w:p>
        </w:tc>
        <w:tc>
          <w:tcPr>
            <w:tcW w:w="1005" w:type="dxa"/>
            <w:tcBorders>
              <w:top w:val="single" w:sz="4" w:space="0" w:color="auto"/>
              <w:left w:val="nil"/>
              <w:bottom w:val="single" w:sz="4" w:space="0" w:color="auto"/>
              <w:right w:val="single" w:sz="4" w:space="0" w:color="auto"/>
            </w:tcBorders>
            <w:shd w:val="clear" w:color="auto" w:fill="auto"/>
            <w:vAlign w:val="center"/>
          </w:tcPr>
          <w:p w14:paraId="51E49D99" w14:textId="401CF0F0" w:rsidR="00217E84" w:rsidRPr="00C3312E" w:rsidRDefault="00217E84" w:rsidP="00217E84">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4A7EE15B" w14:textId="31540EA1" w:rsidR="00217E84" w:rsidRPr="00C3312E" w:rsidRDefault="00217E84" w:rsidP="00217E84">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009833AF" w14:textId="00C1F3C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6%</w:t>
            </w:r>
          </w:p>
        </w:tc>
        <w:tc>
          <w:tcPr>
            <w:tcW w:w="918" w:type="dxa"/>
            <w:tcBorders>
              <w:top w:val="single" w:sz="4" w:space="0" w:color="auto"/>
              <w:left w:val="nil"/>
              <w:bottom w:val="single" w:sz="4" w:space="0" w:color="auto"/>
              <w:right w:val="single" w:sz="4" w:space="0" w:color="auto"/>
            </w:tcBorders>
            <w:shd w:val="clear" w:color="auto" w:fill="auto"/>
            <w:vAlign w:val="bottom"/>
          </w:tcPr>
          <w:p w14:paraId="6A0368F5" w14:textId="2BB2097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-6%</w:t>
            </w:r>
          </w:p>
        </w:tc>
      </w:tr>
      <w:tr w:rsidR="00217E84" w:rsidRPr="00C3312E" w14:paraId="715A8C2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D5746CD" w14:textId="6821CA7C" w:rsidR="00217E84" w:rsidRPr="00C3312E" w:rsidRDefault="00217E84" w:rsidP="00217E84">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48440722" w14:textId="7361DB7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70</w:t>
            </w:r>
          </w:p>
        </w:tc>
        <w:tc>
          <w:tcPr>
            <w:tcW w:w="885" w:type="dxa"/>
            <w:tcBorders>
              <w:top w:val="single" w:sz="4" w:space="0" w:color="auto"/>
              <w:left w:val="nil"/>
              <w:bottom w:val="single" w:sz="4" w:space="0" w:color="auto"/>
              <w:right w:val="single" w:sz="4" w:space="0" w:color="auto"/>
            </w:tcBorders>
            <w:shd w:val="clear" w:color="auto" w:fill="auto"/>
            <w:vAlign w:val="center"/>
          </w:tcPr>
          <w:p w14:paraId="74D27159" w14:textId="0C2E23E1"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vAlign w:val="center"/>
          </w:tcPr>
          <w:p w14:paraId="485366E8" w14:textId="61231DB7" w:rsidR="00217E84" w:rsidRPr="00C3312E" w:rsidRDefault="00217E84" w:rsidP="00217E84">
            <w:pPr>
              <w:spacing w:after="0" w:line="240" w:lineRule="auto"/>
              <w:jc w:val="center"/>
              <w:rPr>
                <w:rFonts w:cstheme="minorHAnsi"/>
                <w:sz w:val="20"/>
                <w:szCs w:val="20"/>
              </w:rPr>
            </w:pPr>
            <w:r w:rsidRPr="00C3312E">
              <w:rPr>
                <w:rFonts w:cstheme="minorHAnsi"/>
                <w:sz w:val="20"/>
                <w:szCs w:val="20"/>
              </w:rPr>
              <w:t>8%</w:t>
            </w:r>
          </w:p>
        </w:tc>
        <w:tc>
          <w:tcPr>
            <w:tcW w:w="810" w:type="dxa"/>
            <w:tcBorders>
              <w:top w:val="single" w:sz="4" w:space="0" w:color="auto"/>
              <w:left w:val="nil"/>
              <w:bottom w:val="single" w:sz="4" w:space="0" w:color="auto"/>
              <w:right w:val="single" w:sz="4" w:space="0" w:color="auto"/>
            </w:tcBorders>
            <w:shd w:val="clear" w:color="auto" w:fill="auto"/>
            <w:vAlign w:val="center"/>
          </w:tcPr>
          <w:p w14:paraId="429FAA9F" w14:textId="1B37F16A" w:rsidR="00217E84" w:rsidRPr="00C3312E" w:rsidRDefault="00217E84" w:rsidP="00217E84">
            <w:pPr>
              <w:spacing w:after="0" w:line="240" w:lineRule="auto"/>
              <w:jc w:val="center"/>
              <w:rPr>
                <w:rFonts w:cstheme="minorHAnsi"/>
                <w:sz w:val="20"/>
                <w:szCs w:val="20"/>
              </w:rPr>
            </w:pPr>
            <w:r w:rsidRPr="00C3312E">
              <w:rPr>
                <w:rFonts w:cstheme="minorHAnsi"/>
                <w:sz w:val="20"/>
                <w:szCs w:val="20"/>
              </w:rPr>
              <w:t>12%</w:t>
            </w:r>
          </w:p>
        </w:tc>
        <w:tc>
          <w:tcPr>
            <w:tcW w:w="810" w:type="dxa"/>
            <w:tcBorders>
              <w:top w:val="single" w:sz="4" w:space="0" w:color="auto"/>
              <w:left w:val="nil"/>
              <w:bottom w:val="single" w:sz="4" w:space="0" w:color="auto"/>
              <w:right w:val="single" w:sz="4" w:space="0" w:color="auto"/>
            </w:tcBorders>
            <w:shd w:val="clear" w:color="auto" w:fill="auto"/>
            <w:vAlign w:val="center"/>
          </w:tcPr>
          <w:p w14:paraId="02617586" w14:textId="4C35339E" w:rsidR="00217E84" w:rsidRPr="00C3312E" w:rsidRDefault="00217E84" w:rsidP="00217E84">
            <w:pPr>
              <w:spacing w:after="0" w:line="240" w:lineRule="auto"/>
              <w:jc w:val="center"/>
              <w:rPr>
                <w:rFonts w:cstheme="minorHAnsi"/>
                <w:sz w:val="20"/>
                <w:szCs w:val="20"/>
              </w:rPr>
            </w:pPr>
            <w:r w:rsidRPr="00C3312E">
              <w:rPr>
                <w:rFonts w:cstheme="minorHAnsi"/>
                <w:sz w:val="20"/>
                <w:szCs w:val="20"/>
              </w:rPr>
              <w:t>4%</w:t>
            </w:r>
          </w:p>
        </w:tc>
        <w:tc>
          <w:tcPr>
            <w:tcW w:w="918" w:type="dxa"/>
            <w:tcBorders>
              <w:top w:val="single" w:sz="4" w:space="0" w:color="auto"/>
              <w:left w:val="nil"/>
              <w:bottom w:val="single" w:sz="4" w:space="0" w:color="auto"/>
              <w:right w:val="single" w:sz="4" w:space="0" w:color="auto"/>
            </w:tcBorders>
            <w:shd w:val="clear" w:color="auto" w:fill="auto"/>
            <w:vAlign w:val="bottom"/>
          </w:tcPr>
          <w:p w14:paraId="6FE64E66" w14:textId="300A1282" w:rsidR="00217E84" w:rsidRPr="00C3312E" w:rsidRDefault="00217E84" w:rsidP="00217E84">
            <w:pPr>
              <w:spacing w:after="0" w:line="240" w:lineRule="auto"/>
              <w:jc w:val="center"/>
              <w:rPr>
                <w:rFonts w:cstheme="minorHAnsi"/>
                <w:sz w:val="20"/>
                <w:szCs w:val="20"/>
              </w:rPr>
            </w:pPr>
            <w:r w:rsidRPr="00C3312E">
              <w:rPr>
                <w:rFonts w:cstheme="minorHAnsi"/>
                <w:sz w:val="20"/>
                <w:szCs w:val="20"/>
              </w:rPr>
              <w:t>-9%</w:t>
            </w:r>
          </w:p>
        </w:tc>
      </w:tr>
      <w:tr w:rsidR="00217E84" w:rsidRPr="00C3312E" w14:paraId="58EBB49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2FD4404" w14:textId="0D74E477" w:rsidR="00217E84" w:rsidRPr="00C3312E" w:rsidRDefault="00217E84" w:rsidP="00217E84">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19271AB5" w14:textId="586D578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35</w:t>
            </w:r>
          </w:p>
        </w:tc>
        <w:tc>
          <w:tcPr>
            <w:tcW w:w="885" w:type="dxa"/>
            <w:tcBorders>
              <w:top w:val="single" w:sz="4" w:space="0" w:color="auto"/>
              <w:left w:val="nil"/>
              <w:bottom w:val="single" w:sz="4" w:space="0" w:color="auto"/>
              <w:right w:val="single" w:sz="4" w:space="0" w:color="auto"/>
            </w:tcBorders>
            <w:shd w:val="clear" w:color="auto" w:fill="auto"/>
            <w:vAlign w:val="center"/>
          </w:tcPr>
          <w:p w14:paraId="0C384FA6" w14:textId="75C4065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9%</w:t>
            </w:r>
          </w:p>
        </w:tc>
        <w:tc>
          <w:tcPr>
            <w:tcW w:w="1005" w:type="dxa"/>
            <w:tcBorders>
              <w:top w:val="single" w:sz="4" w:space="0" w:color="auto"/>
              <w:left w:val="nil"/>
              <w:bottom w:val="single" w:sz="4" w:space="0" w:color="auto"/>
              <w:right w:val="single" w:sz="4" w:space="0" w:color="auto"/>
            </w:tcBorders>
            <w:shd w:val="clear" w:color="auto" w:fill="auto"/>
            <w:vAlign w:val="center"/>
          </w:tcPr>
          <w:p w14:paraId="67544821" w14:textId="7C346D87" w:rsidR="00217E84" w:rsidRPr="00C3312E" w:rsidRDefault="00217E84" w:rsidP="00217E84">
            <w:pPr>
              <w:spacing w:after="0" w:line="240" w:lineRule="auto"/>
              <w:jc w:val="center"/>
              <w:rPr>
                <w:rFonts w:cstheme="minorHAnsi"/>
                <w:sz w:val="20"/>
                <w:szCs w:val="20"/>
              </w:rPr>
            </w:pPr>
            <w:r w:rsidRPr="00C3312E">
              <w:rPr>
                <w:rFonts w:cstheme="minorHAnsi"/>
                <w:sz w:val="20"/>
                <w:szCs w:val="20"/>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275FF601" w14:textId="025AD52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76D39F0" w14:textId="71AFC514" w:rsidR="00217E84" w:rsidRPr="00C3312E" w:rsidRDefault="00217E84" w:rsidP="00217E84">
            <w:pPr>
              <w:spacing w:after="0" w:line="240" w:lineRule="auto"/>
              <w:jc w:val="center"/>
              <w:rPr>
                <w:rFonts w:cstheme="minorHAnsi"/>
                <w:sz w:val="20"/>
                <w:szCs w:val="20"/>
              </w:rPr>
            </w:pPr>
            <w:r w:rsidRPr="00C3312E">
              <w:rPr>
                <w:rFonts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vAlign w:val="bottom"/>
          </w:tcPr>
          <w:p w14:paraId="24548128" w14:textId="7F288BE5" w:rsidR="00217E84" w:rsidRPr="00C3312E" w:rsidRDefault="00217E84" w:rsidP="00217E84">
            <w:pPr>
              <w:spacing w:after="0" w:line="240" w:lineRule="auto"/>
              <w:jc w:val="center"/>
              <w:rPr>
                <w:rFonts w:cstheme="minorHAnsi"/>
                <w:sz w:val="20"/>
                <w:szCs w:val="20"/>
              </w:rPr>
            </w:pPr>
            <w:r w:rsidRPr="00C3312E">
              <w:rPr>
                <w:rFonts w:cstheme="minorHAnsi"/>
                <w:sz w:val="20"/>
                <w:szCs w:val="20"/>
              </w:rPr>
              <w:t>0%</w:t>
            </w:r>
          </w:p>
        </w:tc>
      </w:tr>
      <w:tr w:rsidR="00217E84" w:rsidRPr="00C3312E" w14:paraId="273A55D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DFE8398" w14:textId="363391AA" w:rsidR="00217E84" w:rsidRPr="00C3312E" w:rsidRDefault="00217E84" w:rsidP="00217E84">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080B4998" w14:textId="7D8CB000" w:rsidR="00217E84" w:rsidRPr="00C3312E" w:rsidRDefault="00217E84" w:rsidP="00217E84">
            <w:pPr>
              <w:spacing w:after="0" w:line="240" w:lineRule="auto"/>
              <w:jc w:val="center"/>
              <w:rPr>
                <w:rFonts w:cstheme="minorHAnsi"/>
                <w:sz w:val="20"/>
                <w:szCs w:val="20"/>
              </w:rPr>
            </w:pPr>
            <w:r w:rsidRPr="00C3312E">
              <w:rPr>
                <w:rFonts w:cstheme="minorHAnsi"/>
                <w:sz w:val="20"/>
                <w:szCs w:val="20"/>
              </w:rPr>
              <w:t>53</w:t>
            </w:r>
          </w:p>
        </w:tc>
        <w:tc>
          <w:tcPr>
            <w:tcW w:w="885" w:type="dxa"/>
            <w:tcBorders>
              <w:top w:val="single" w:sz="4" w:space="0" w:color="auto"/>
              <w:left w:val="nil"/>
              <w:bottom w:val="single" w:sz="4" w:space="0" w:color="auto"/>
              <w:right w:val="single" w:sz="4" w:space="0" w:color="auto"/>
            </w:tcBorders>
            <w:shd w:val="clear" w:color="auto" w:fill="auto"/>
            <w:vAlign w:val="center"/>
          </w:tcPr>
          <w:p w14:paraId="34130ADC" w14:textId="1948F7C6" w:rsidR="00217E84" w:rsidRPr="00C3312E" w:rsidRDefault="00217E84" w:rsidP="00217E84">
            <w:pPr>
              <w:spacing w:after="0" w:line="240" w:lineRule="auto"/>
              <w:jc w:val="center"/>
              <w:rPr>
                <w:rFonts w:cstheme="minorHAnsi"/>
                <w:sz w:val="20"/>
                <w:szCs w:val="20"/>
              </w:rPr>
            </w:pPr>
            <w:r w:rsidRPr="00C3312E">
              <w:rPr>
                <w:rFonts w:cstheme="minorHAnsi"/>
                <w:sz w:val="20"/>
                <w:szCs w:val="20"/>
              </w:rPr>
              <w:t>6%</w:t>
            </w:r>
          </w:p>
        </w:tc>
        <w:tc>
          <w:tcPr>
            <w:tcW w:w="1005" w:type="dxa"/>
            <w:tcBorders>
              <w:top w:val="single" w:sz="4" w:space="0" w:color="auto"/>
              <w:left w:val="nil"/>
              <w:bottom w:val="single" w:sz="4" w:space="0" w:color="auto"/>
              <w:right w:val="single" w:sz="4" w:space="0" w:color="auto"/>
            </w:tcBorders>
            <w:shd w:val="clear" w:color="auto" w:fill="auto"/>
            <w:vAlign w:val="center"/>
          </w:tcPr>
          <w:p w14:paraId="59946E11" w14:textId="1F561F81" w:rsidR="00217E84" w:rsidRPr="00C3312E" w:rsidRDefault="00217E84" w:rsidP="00217E84">
            <w:pPr>
              <w:spacing w:after="0" w:line="240" w:lineRule="auto"/>
              <w:jc w:val="center"/>
              <w:rPr>
                <w:rFonts w:cstheme="minorHAnsi"/>
                <w:sz w:val="20"/>
                <w:szCs w:val="20"/>
              </w:rPr>
            </w:pPr>
            <w:r w:rsidRPr="00C3312E">
              <w:rPr>
                <w:rFonts w:cstheme="minorHAnsi"/>
                <w:sz w:val="20"/>
                <w:szCs w:val="20"/>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E4F5B58" w14:textId="460350A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6%</w:t>
            </w:r>
          </w:p>
        </w:tc>
        <w:tc>
          <w:tcPr>
            <w:tcW w:w="810" w:type="dxa"/>
            <w:tcBorders>
              <w:top w:val="single" w:sz="4" w:space="0" w:color="auto"/>
              <w:left w:val="nil"/>
              <w:bottom w:val="single" w:sz="4" w:space="0" w:color="auto"/>
              <w:right w:val="single" w:sz="4" w:space="0" w:color="auto"/>
            </w:tcBorders>
            <w:shd w:val="clear" w:color="auto" w:fill="auto"/>
            <w:vAlign w:val="center"/>
          </w:tcPr>
          <w:p w14:paraId="356FF84A" w14:textId="083A3119" w:rsidR="00217E84" w:rsidRPr="00C3312E" w:rsidRDefault="00217E84" w:rsidP="00217E84">
            <w:pPr>
              <w:spacing w:after="0" w:line="240" w:lineRule="auto"/>
              <w:jc w:val="center"/>
              <w:rPr>
                <w:rFonts w:cstheme="minorHAnsi"/>
                <w:sz w:val="20"/>
                <w:szCs w:val="20"/>
              </w:rPr>
            </w:pPr>
            <w:r w:rsidRPr="00C3312E">
              <w:rPr>
                <w:rFonts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vAlign w:val="bottom"/>
          </w:tcPr>
          <w:p w14:paraId="23950700" w14:textId="3B7A4D6C" w:rsidR="00217E84" w:rsidRPr="00C3312E" w:rsidRDefault="00217E84" w:rsidP="00217E84">
            <w:pPr>
              <w:spacing w:after="0" w:line="240" w:lineRule="auto"/>
              <w:jc w:val="center"/>
              <w:rPr>
                <w:rFonts w:cstheme="minorHAnsi"/>
                <w:sz w:val="20"/>
                <w:szCs w:val="20"/>
              </w:rPr>
            </w:pPr>
            <w:r w:rsidRPr="00C3312E">
              <w:rPr>
                <w:rFonts w:cstheme="minorHAnsi"/>
                <w:sz w:val="20"/>
                <w:szCs w:val="20"/>
              </w:rPr>
              <w:t>-6%</w:t>
            </w:r>
          </w:p>
        </w:tc>
      </w:tr>
      <w:tr w:rsidR="00C3312E" w:rsidRPr="00C3312E" w14:paraId="68A106E5"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9CA274" w14:textId="226FFE97" w:rsidR="00C3312E" w:rsidRPr="00C3312E" w:rsidRDefault="00C3312E" w:rsidP="000348D7">
            <w:pPr>
              <w:spacing w:after="0" w:line="240" w:lineRule="auto"/>
              <w:jc w:val="center"/>
              <w:rPr>
                <w:rFonts w:cstheme="minorHAnsi"/>
                <w:sz w:val="20"/>
                <w:szCs w:val="20"/>
              </w:rPr>
            </w:pPr>
            <w:r w:rsidRPr="00C3312E">
              <w:rPr>
                <w:rFonts w:cstheme="minorHAnsi"/>
                <w:sz w:val="20"/>
                <w:szCs w:val="20"/>
              </w:rPr>
              <w:t xml:space="preserve">Walsh </w:t>
            </w:r>
            <w:r w:rsidR="000348D7" w:rsidRPr="00C3312E">
              <w:rPr>
                <w:rFonts w:cstheme="minorHAnsi"/>
                <w:sz w:val="20"/>
                <w:szCs w:val="20"/>
              </w:rPr>
              <w:t>M</w:t>
            </w:r>
            <w:r w:rsidR="000348D7">
              <w:rPr>
                <w:rFonts w:cstheme="minorHAnsi"/>
                <w:sz w:val="20"/>
                <w:szCs w:val="20"/>
              </w:rPr>
              <w:t>iddle</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9111A7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248</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031881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46%</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3EEF6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37%</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4728DA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44%</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9B1B7C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27%</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1E350D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r>
      <w:tr w:rsidR="00C3312E" w:rsidRPr="00C3312E" w14:paraId="4E8804C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7A39DB1"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7AE559E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12</w:t>
            </w:r>
          </w:p>
        </w:tc>
        <w:tc>
          <w:tcPr>
            <w:tcW w:w="885" w:type="dxa"/>
            <w:tcBorders>
              <w:top w:val="single" w:sz="4" w:space="0" w:color="auto"/>
              <w:left w:val="nil"/>
              <w:bottom w:val="single" w:sz="4" w:space="0" w:color="auto"/>
              <w:right w:val="single" w:sz="4" w:space="0" w:color="auto"/>
            </w:tcBorders>
            <w:shd w:val="clear" w:color="auto" w:fill="auto"/>
            <w:vAlign w:val="center"/>
          </w:tcPr>
          <w:p w14:paraId="4BB7D60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1005" w:type="dxa"/>
            <w:tcBorders>
              <w:top w:val="single" w:sz="4" w:space="0" w:color="auto"/>
              <w:left w:val="nil"/>
              <w:bottom w:val="single" w:sz="4" w:space="0" w:color="auto"/>
              <w:right w:val="single" w:sz="4" w:space="0" w:color="auto"/>
            </w:tcBorders>
            <w:shd w:val="clear" w:color="auto" w:fill="auto"/>
            <w:vAlign w:val="center"/>
          </w:tcPr>
          <w:p w14:paraId="6699B66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31F7B00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0628431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0%</w:t>
            </w:r>
          </w:p>
        </w:tc>
        <w:tc>
          <w:tcPr>
            <w:tcW w:w="918" w:type="dxa"/>
            <w:tcBorders>
              <w:top w:val="single" w:sz="4" w:space="0" w:color="auto"/>
              <w:left w:val="nil"/>
              <w:bottom w:val="single" w:sz="4" w:space="0" w:color="auto"/>
              <w:right w:val="single" w:sz="4" w:space="0" w:color="auto"/>
            </w:tcBorders>
            <w:shd w:val="clear" w:color="auto" w:fill="auto"/>
            <w:vAlign w:val="bottom"/>
          </w:tcPr>
          <w:p w14:paraId="51A1FD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r>
      <w:tr w:rsidR="00C3312E" w:rsidRPr="00C3312E" w14:paraId="72BCB4F4"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32C0CE0"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5BF6CB4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c>
          <w:tcPr>
            <w:tcW w:w="885" w:type="dxa"/>
            <w:tcBorders>
              <w:top w:val="single" w:sz="4" w:space="0" w:color="auto"/>
              <w:left w:val="nil"/>
              <w:bottom w:val="single" w:sz="4" w:space="0" w:color="auto"/>
              <w:right w:val="single" w:sz="4" w:space="0" w:color="auto"/>
            </w:tcBorders>
            <w:shd w:val="clear" w:color="auto" w:fill="auto"/>
            <w:vAlign w:val="center"/>
          </w:tcPr>
          <w:p w14:paraId="25E093A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74%</w:t>
            </w:r>
          </w:p>
        </w:tc>
        <w:tc>
          <w:tcPr>
            <w:tcW w:w="1005" w:type="dxa"/>
            <w:tcBorders>
              <w:top w:val="single" w:sz="4" w:space="0" w:color="auto"/>
              <w:left w:val="nil"/>
              <w:bottom w:val="single" w:sz="4" w:space="0" w:color="auto"/>
              <w:right w:val="single" w:sz="4" w:space="0" w:color="auto"/>
            </w:tcBorders>
            <w:shd w:val="clear" w:color="auto" w:fill="auto"/>
            <w:vAlign w:val="center"/>
          </w:tcPr>
          <w:p w14:paraId="338DE82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65%</w:t>
            </w:r>
          </w:p>
        </w:tc>
        <w:tc>
          <w:tcPr>
            <w:tcW w:w="810" w:type="dxa"/>
            <w:tcBorders>
              <w:top w:val="single" w:sz="4" w:space="0" w:color="auto"/>
              <w:left w:val="nil"/>
              <w:bottom w:val="single" w:sz="4" w:space="0" w:color="auto"/>
              <w:right w:val="single" w:sz="4" w:space="0" w:color="auto"/>
            </w:tcBorders>
            <w:shd w:val="clear" w:color="auto" w:fill="auto"/>
            <w:vAlign w:val="center"/>
          </w:tcPr>
          <w:p w14:paraId="6610029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810" w:type="dxa"/>
            <w:tcBorders>
              <w:top w:val="single" w:sz="4" w:space="0" w:color="auto"/>
              <w:left w:val="nil"/>
              <w:bottom w:val="single" w:sz="4" w:space="0" w:color="auto"/>
              <w:right w:val="single" w:sz="4" w:space="0" w:color="auto"/>
            </w:tcBorders>
            <w:shd w:val="clear" w:color="auto" w:fill="auto"/>
            <w:vAlign w:val="center"/>
          </w:tcPr>
          <w:p w14:paraId="0F41818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8" w:type="dxa"/>
            <w:tcBorders>
              <w:top w:val="single" w:sz="4" w:space="0" w:color="auto"/>
              <w:left w:val="nil"/>
              <w:bottom w:val="single" w:sz="4" w:space="0" w:color="auto"/>
              <w:right w:val="single" w:sz="4" w:space="0" w:color="auto"/>
            </w:tcBorders>
            <w:shd w:val="clear" w:color="auto" w:fill="auto"/>
            <w:vAlign w:val="bottom"/>
          </w:tcPr>
          <w:p w14:paraId="5F12E3D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-34%</w:t>
            </w:r>
          </w:p>
        </w:tc>
      </w:tr>
      <w:tr w:rsidR="00C3312E" w:rsidRPr="00C3312E" w14:paraId="3ECDC36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C76F7C4"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0B0BEF4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78</w:t>
            </w:r>
          </w:p>
        </w:tc>
        <w:tc>
          <w:tcPr>
            <w:tcW w:w="885" w:type="dxa"/>
            <w:tcBorders>
              <w:top w:val="single" w:sz="4" w:space="0" w:color="auto"/>
              <w:left w:val="nil"/>
              <w:bottom w:val="single" w:sz="4" w:space="0" w:color="auto"/>
              <w:right w:val="single" w:sz="4" w:space="0" w:color="auto"/>
            </w:tcBorders>
            <w:shd w:val="clear" w:color="auto" w:fill="auto"/>
            <w:vAlign w:val="center"/>
          </w:tcPr>
          <w:p w14:paraId="63E623F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18%</w:t>
            </w:r>
          </w:p>
        </w:tc>
        <w:tc>
          <w:tcPr>
            <w:tcW w:w="1005" w:type="dxa"/>
            <w:tcBorders>
              <w:top w:val="single" w:sz="4" w:space="0" w:color="auto"/>
              <w:left w:val="nil"/>
              <w:bottom w:val="single" w:sz="4" w:space="0" w:color="auto"/>
              <w:right w:val="single" w:sz="4" w:space="0" w:color="auto"/>
            </w:tcBorders>
            <w:shd w:val="clear" w:color="auto" w:fill="auto"/>
            <w:vAlign w:val="center"/>
          </w:tcPr>
          <w:p w14:paraId="0EFDCF8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c>
          <w:tcPr>
            <w:tcW w:w="810" w:type="dxa"/>
            <w:tcBorders>
              <w:top w:val="single" w:sz="4" w:space="0" w:color="auto"/>
              <w:left w:val="nil"/>
              <w:bottom w:val="single" w:sz="4" w:space="0" w:color="auto"/>
              <w:right w:val="single" w:sz="4" w:space="0" w:color="auto"/>
            </w:tcBorders>
            <w:shd w:val="clear" w:color="auto" w:fill="auto"/>
            <w:vAlign w:val="center"/>
          </w:tcPr>
          <w:p w14:paraId="3A0E8AD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25%</w:t>
            </w:r>
          </w:p>
        </w:tc>
        <w:tc>
          <w:tcPr>
            <w:tcW w:w="810" w:type="dxa"/>
            <w:tcBorders>
              <w:top w:val="single" w:sz="4" w:space="0" w:color="auto"/>
              <w:left w:val="nil"/>
              <w:bottom w:val="single" w:sz="4" w:space="0" w:color="auto"/>
              <w:right w:val="single" w:sz="4" w:space="0" w:color="auto"/>
            </w:tcBorders>
            <w:shd w:val="clear" w:color="auto" w:fill="auto"/>
            <w:vAlign w:val="center"/>
          </w:tcPr>
          <w:p w14:paraId="5AF1211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c>
          <w:tcPr>
            <w:tcW w:w="918" w:type="dxa"/>
            <w:tcBorders>
              <w:top w:val="single" w:sz="4" w:space="0" w:color="auto"/>
              <w:left w:val="nil"/>
              <w:bottom w:val="single" w:sz="4" w:space="0" w:color="auto"/>
              <w:right w:val="single" w:sz="4" w:space="0" w:color="auto"/>
            </w:tcBorders>
            <w:shd w:val="clear" w:color="auto" w:fill="auto"/>
            <w:vAlign w:val="bottom"/>
          </w:tcPr>
          <w:p w14:paraId="6F8E3D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-13%</w:t>
            </w:r>
          </w:p>
        </w:tc>
      </w:tr>
      <w:tr w:rsidR="00C3312E" w:rsidRPr="00C3312E" w14:paraId="28145E7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6CF5C4D"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0C14F42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w:t>
            </w:r>
          </w:p>
        </w:tc>
        <w:tc>
          <w:tcPr>
            <w:tcW w:w="885" w:type="dxa"/>
            <w:tcBorders>
              <w:top w:val="single" w:sz="4" w:space="0" w:color="auto"/>
              <w:left w:val="nil"/>
              <w:bottom w:val="single" w:sz="4" w:space="0" w:color="auto"/>
              <w:right w:val="single" w:sz="4" w:space="0" w:color="auto"/>
            </w:tcBorders>
            <w:shd w:val="clear" w:color="auto" w:fill="auto"/>
            <w:vAlign w:val="center"/>
          </w:tcPr>
          <w:p w14:paraId="1AE75184"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372EE42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1CF3BD0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4DA6AD7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918" w:type="dxa"/>
            <w:tcBorders>
              <w:top w:val="single" w:sz="4" w:space="0" w:color="auto"/>
              <w:left w:val="nil"/>
              <w:bottom w:val="single" w:sz="4" w:space="0" w:color="auto"/>
              <w:right w:val="single" w:sz="4" w:space="0" w:color="auto"/>
            </w:tcBorders>
            <w:shd w:val="clear" w:color="auto" w:fill="auto"/>
            <w:vAlign w:val="bottom"/>
          </w:tcPr>
          <w:p w14:paraId="0E59DA3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C827EFF"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3079052D"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2DC8522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129</w:t>
            </w:r>
          </w:p>
        </w:tc>
        <w:tc>
          <w:tcPr>
            <w:tcW w:w="885" w:type="dxa"/>
            <w:tcBorders>
              <w:top w:val="single" w:sz="4" w:space="0" w:color="auto"/>
              <w:left w:val="nil"/>
              <w:bottom w:val="single" w:sz="4" w:space="0" w:color="auto"/>
              <w:right w:val="single" w:sz="4" w:space="0" w:color="auto"/>
            </w:tcBorders>
            <w:shd w:val="clear" w:color="auto" w:fill="auto"/>
            <w:vAlign w:val="center"/>
          </w:tcPr>
          <w:p w14:paraId="7905AFC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60%</w:t>
            </w:r>
          </w:p>
        </w:tc>
        <w:tc>
          <w:tcPr>
            <w:tcW w:w="1005" w:type="dxa"/>
            <w:tcBorders>
              <w:top w:val="single" w:sz="4" w:space="0" w:color="auto"/>
              <w:left w:val="nil"/>
              <w:bottom w:val="single" w:sz="4" w:space="0" w:color="auto"/>
              <w:right w:val="single" w:sz="4" w:space="0" w:color="auto"/>
            </w:tcBorders>
            <w:shd w:val="clear" w:color="auto" w:fill="auto"/>
            <w:vAlign w:val="center"/>
          </w:tcPr>
          <w:p w14:paraId="6A36972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50%</w:t>
            </w:r>
          </w:p>
        </w:tc>
        <w:tc>
          <w:tcPr>
            <w:tcW w:w="810" w:type="dxa"/>
            <w:tcBorders>
              <w:top w:val="single" w:sz="4" w:space="0" w:color="auto"/>
              <w:left w:val="nil"/>
              <w:bottom w:val="single" w:sz="4" w:space="0" w:color="auto"/>
              <w:right w:val="single" w:sz="4" w:space="0" w:color="auto"/>
            </w:tcBorders>
            <w:shd w:val="clear" w:color="auto" w:fill="auto"/>
            <w:vAlign w:val="center"/>
          </w:tcPr>
          <w:p w14:paraId="4B509B7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52%</w:t>
            </w:r>
          </w:p>
        </w:tc>
        <w:tc>
          <w:tcPr>
            <w:tcW w:w="810" w:type="dxa"/>
            <w:tcBorders>
              <w:top w:val="single" w:sz="4" w:space="0" w:color="auto"/>
              <w:left w:val="nil"/>
              <w:bottom w:val="single" w:sz="4" w:space="0" w:color="auto"/>
              <w:right w:val="single" w:sz="4" w:space="0" w:color="auto"/>
            </w:tcBorders>
            <w:shd w:val="clear" w:color="auto" w:fill="auto"/>
            <w:vAlign w:val="center"/>
          </w:tcPr>
          <w:p w14:paraId="6E67F85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40%</w:t>
            </w:r>
          </w:p>
        </w:tc>
        <w:tc>
          <w:tcPr>
            <w:tcW w:w="918" w:type="dxa"/>
            <w:tcBorders>
              <w:top w:val="single" w:sz="4" w:space="0" w:color="auto"/>
              <w:left w:val="nil"/>
              <w:bottom w:val="single" w:sz="4" w:space="0" w:color="auto"/>
              <w:right w:val="single" w:sz="4" w:space="0" w:color="auto"/>
            </w:tcBorders>
            <w:shd w:val="clear" w:color="auto" w:fill="auto"/>
            <w:vAlign w:val="bottom"/>
          </w:tcPr>
          <w:p w14:paraId="25AF2DF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-20%</w:t>
            </w:r>
          </w:p>
        </w:tc>
      </w:tr>
      <w:tr w:rsidR="000348D7" w:rsidRPr="00C3312E" w14:paraId="642DAB5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D4956B0" w14:textId="4D3CA2AD" w:rsidR="000348D7" w:rsidRPr="00C3312E" w:rsidRDefault="000348D7" w:rsidP="000348D7">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518F68A4" w14:textId="2A39929A"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118</w:t>
            </w:r>
          </w:p>
        </w:tc>
        <w:tc>
          <w:tcPr>
            <w:tcW w:w="885" w:type="dxa"/>
            <w:tcBorders>
              <w:top w:val="single" w:sz="4" w:space="0" w:color="auto"/>
              <w:left w:val="nil"/>
              <w:bottom w:val="single" w:sz="4" w:space="0" w:color="auto"/>
              <w:right w:val="single" w:sz="4" w:space="0" w:color="auto"/>
            </w:tcBorders>
            <w:shd w:val="clear" w:color="auto" w:fill="auto"/>
            <w:vAlign w:val="center"/>
          </w:tcPr>
          <w:p w14:paraId="05AE3918" w14:textId="7DB9E9EB" w:rsidR="000348D7" w:rsidRPr="00C3312E" w:rsidRDefault="000348D7" w:rsidP="000348D7">
            <w:pPr>
              <w:spacing w:after="0" w:line="240" w:lineRule="auto"/>
              <w:jc w:val="center"/>
              <w:rPr>
                <w:rFonts w:cstheme="minorHAnsi"/>
                <w:sz w:val="20"/>
                <w:szCs w:val="20"/>
              </w:rPr>
            </w:pPr>
            <w:r w:rsidRPr="00C3312E">
              <w:rPr>
                <w:rFonts w:cstheme="minorHAnsi"/>
                <w:sz w:val="20"/>
                <w:szCs w:val="20"/>
              </w:rPr>
              <w:t>21%</w:t>
            </w:r>
          </w:p>
        </w:tc>
        <w:tc>
          <w:tcPr>
            <w:tcW w:w="1005" w:type="dxa"/>
            <w:tcBorders>
              <w:top w:val="single" w:sz="4" w:space="0" w:color="auto"/>
              <w:left w:val="nil"/>
              <w:bottom w:val="single" w:sz="4" w:space="0" w:color="auto"/>
              <w:right w:val="single" w:sz="4" w:space="0" w:color="auto"/>
            </w:tcBorders>
            <w:shd w:val="clear" w:color="auto" w:fill="auto"/>
            <w:vAlign w:val="center"/>
          </w:tcPr>
          <w:p w14:paraId="07D0F536" w14:textId="604FE39D"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17%</w:t>
            </w:r>
          </w:p>
        </w:tc>
        <w:tc>
          <w:tcPr>
            <w:tcW w:w="810" w:type="dxa"/>
            <w:tcBorders>
              <w:top w:val="single" w:sz="4" w:space="0" w:color="auto"/>
              <w:left w:val="nil"/>
              <w:bottom w:val="single" w:sz="4" w:space="0" w:color="auto"/>
              <w:right w:val="single" w:sz="4" w:space="0" w:color="auto"/>
            </w:tcBorders>
            <w:shd w:val="clear" w:color="auto" w:fill="auto"/>
            <w:vAlign w:val="center"/>
          </w:tcPr>
          <w:p w14:paraId="765BC186" w14:textId="73DBF8FD" w:rsidR="000348D7" w:rsidRPr="00C3312E" w:rsidRDefault="000348D7" w:rsidP="000348D7">
            <w:pPr>
              <w:spacing w:after="0" w:line="240" w:lineRule="auto"/>
              <w:jc w:val="center"/>
              <w:rPr>
                <w:rFonts w:cstheme="minorHAnsi"/>
                <w:sz w:val="20"/>
                <w:szCs w:val="20"/>
              </w:rPr>
            </w:pPr>
            <w:r w:rsidRPr="00C3312E">
              <w:rPr>
                <w:rFonts w:cstheme="minorHAnsi"/>
                <w:sz w:val="20"/>
                <w:szCs w:val="20"/>
              </w:rPr>
              <w:t>20%</w:t>
            </w:r>
          </w:p>
        </w:tc>
        <w:tc>
          <w:tcPr>
            <w:tcW w:w="810" w:type="dxa"/>
            <w:tcBorders>
              <w:top w:val="single" w:sz="4" w:space="0" w:color="auto"/>
              <w:left w:val="nil"/>
              <w:bottom w:val="single" w:sz="4" w:space="0" w:color="auto"/>
              <w:right w:val="single" w:sz="4" w:space="0" w:color="auto"/>
            </w:tcBorders>
            <w:shd w:val="clear" w:color="auto" w:fill="auto"/>
            <w:vAlign w:val="center"/>
          </w:tcPr>
          <w:p w14:paraId="391C38A0" w14:textId="58EC04E2" w:rsidR="000348D7" w:rsidRPr="00C3312E" w:rsidRDefault="000348D7" w:rsidP="000348D7">
            <w:pPr>
              <w:spacing w:after="0" w:line="240" w:lineRule="auto"/>
              <w:jc w:val="center"/>
              <w:rPr>
                <w:rFonts w:cstheme="minorHAnsi"/>
                <w:sz w:val="20"/>
                <w:szCs w:val="20"/>
              </w:rPr>
            </w:pPr>
            <w:r w:rsidRPr="00C3312E">
              <w:rPr>
                <w:rFonts w:cstheme="minorHAnsi"/>
                <w:sz w:val="20"/>
                <w:szCs w:val="20"/>
              </w:rPr>
              <w:t>9%</w:t>
            </w:r>
          </w:p>
        </w:tc>
        <w:tc>
          <w:tcPr>
            <w:tcW w:w="918" w:type="dxa"/>
            <w:tcBorders>
              <w:top w:val="single" w:sz="4" w:space="0" w:color="auto"/>
              <w:left w:val="nil"/>
              <w:bottom w:val="single" w:sz="4" w:space="0" w:color="auto"/>
              <w:right w:val="single" w:sz="4" w:space="0" w:color="auto"/>
            </w:tcBorders>
            <w:shd w:val="clear" w:color="auto" w:fill="auto"/>
            <w:vAlign w:val="bottom"/>
          </w:tcPr>
          <w:p w14:paraId="0AB53136" w14:textId="71843F6B"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-12%</w:t>
            </w:r>
          </w:p>
        </w:tc>
      </w:tr>
      <w:tr w:rsidR="000348D7" w:rsidRPr="00C3312E" w14:paraId="073C3933"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26C00F31" w14:textId="7981EC98" w:rsidR="000348D7" w:rsidRPr="00C3312E" w:rsidRDefault="000348D7" w:rsidP="000348D7">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3113938F" w14:textId="085E85D3" w:rsidR="000348D7" w:rsidRPr="00C3312E" w:rsidRDefault="000348D7" w:rsidP="000348D7">
            <w:pPr>
              <w:spacing w:after="0" w:line="240" w:lineRule="auto"/>
              <w:jc w:val="center"/>
              <w:rPr>
                <w:rFonts w:cstheme="minorHAnsi"/>
                <w:sz w:val="20"/>
                <w:szCs w:val="20"/>
              </w:rPr>
            </w:pPr>
            <w:r w:rsidRPr="00C3312E">
              <w:rPr>
                <w:rFonts w:cstheme="minorHAnsi"/>
                <w:sz w:val="20"/>
                <w:szCs w:val="20"/>
              </w:rPr>
              <w:t>78</w:t>
            </w:r>
          </w:p>
        </w:tc>
        <w:tc>
          <w:tcPr>
            <w:tcW w:w="885" w:type="dxa"/>
            <w:tcBorders>
              <w:top w:val="single" w:sz="4" w:space="0" w:color="auto"/>
              <w:left w:val="nil"/>
              <w:bottom w:val="single" w:sz="4" w:space="0" w:color="auto"/>
              <w:right w:val="single" w:sz="4" w:space="0" w:color="auto"/>
            </w:tcBorders>
            <w:shd w:val="clear" w:color="auto" w:fill="auto"/>
            <w:vAlign w:val="center"/>
          </w:tcPr>
          <w:p w14:paraId="571096BC" w14:textId="2D4093D8"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17%</w:t>
            </w:r>
          </w:p>
        </w:tc>
        <w:tc>
          <w:tcPr>
            <w:tcW w:w="1005" w:type="dxa"/>
            <w:tcBorders>
              <w:top w:val="single" w:sz="4" w:space="0" w:color="auto"/>
              <w:left w:val="nil"/>
              <w:bottom w:val="single" w:sz="4" w:space="0" w:color="auto"/>
              <w:right w:val="single" w:sz="4" w:space="0" w:color="auto"/>
            </w:tcBorders>
            <w:shd w:val="clear" w:color="auto" w:fill="auto"/>
            <w:vAlign w:val="center"/>
          </w:tcPr>
          <w:p w14:paraId="32739692" w14:textId="2174950B"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19%</w:t>
            </w:r>
          </w:p>
        </w:tc>
        <w:tc>
          <w:tcPr>
            <w:tcW w:w="810" w:type="dxa"/>
            <w:tcBorders>
              <w:top w:val="single" w:sz="4" w:space="0" w:color="auto"/>
              <w:left w:val="nil"/>
              <w:bottom w:val="single" w:sz="4" w:space="0" w:color="auto"/>
              <w:right w:val="single" w:sz="4" w:space="0" w:color="auto"/>
            </w:tcBorders>
            <w:shd w:val="clear" w:color="auto" w:fill="auto"/>
            <w:vAlign w:val="center"/>
          </w:tcPr>
          <w:p w14:paraId="17642493" w14:textId="10869D18" w:rsidR="000348D7" w:rsidRPr="00C3312E" w:rsidRDefault="000348D7" w:rsidP="000348D7">
            <w:pPr>
              <w:spacing w:after="0" w:line="240" w:lineRule="auto"/>
              <w:jc w:val="center"/>
              <w:rPr>
                <w:rFonts w:cstheme="minorHAnsi"/>
                <w:sz w:val="20"/>
                <w:szCs w:val="20"/>
              </w:rPr>
            </w:pPr>
            <w:r w:rsidRPr="00C3312E">
              <w:rPr>
                <w:rFonts w:cstheme="minorHAnsi"/>
                <w:sz w:val="20"/>
                <w:szCs w:val="20"/>
              </w:rPr>
              <w:t>22%</w:t>
            </w:r>
          </w:p>
        </w:tc>
        <w:tc>
          <w:tcPr>
            <w:tcW w:w="810" w:type="dxa"/>
            <w:tcBorders>
              <w:top w:val="single" w:sz="4" w:space="0" w:color="auto"/>
              <w:left w:val="nil"/>
              <w:bottom w:val="single" w:sz="4" w:space="0" w:color="auto"/>
              <w:right w:val="single" w:sz="4" w:space="0" w:color="auto"/>
            </w:tcBorders>
            <w:shd w:val="clear" w:color="auto" w:fill="auto"/>
            <w:vAlign w:val="center"/>
          </w:tcPr>
          <w:p w14:paraId="77DBE474" w14:textId="174549E2" w:rsidR="000348D7" w:rsidRPr="00C3312E" w:rsidRDefault="000348D7" w:rsidP="000348D7">
            <w:pPr>
              <w:spacing w:after="0" w:line="240" w:lineRule="auto"/>
              <w:jc w:val="center"/>
              <w:rPr>
                <w:rFonts w:cstheme="minorHAnsi"/>
                <w:sz w:val="20"/>
                <w:szCs w:val="20"/>
              </w:rPr>
            </w:pPr>
            <w:r w:rsidRPr="00C3312E">
              <w:rPr>
                <w:rFonts w:cstheme="minorHAnsi"/>
                <w:sz w:val="20"/>
                <w:szCs w:val="20"/>
              </w:rPr>
              <w:t>8%</w:t>
            </w:r>
          </w:p>
        </w:tc>
        <w:tc>
          <w:tcPr>
            <w:tcW w:w="918" w:type="dxa"/>
            <w:tcBorders>
              <w:top w:val="single" w:sz="4" w:space="0" w:color="auto"/>
              <w:left w:val="nil"/>
              <w:bottom w:val="single" w:sz="4" w:space="0" w:color="auto"/>
              <w:right w:val="single" w:sz="4" w:space="0" w:color="auto"/>
            </w:tcBorders>
            <w:shd w:val="clear" w:color="auto" w:fill="auto"/>
            <w:vAlign w:val="bottom"/>
          </w:tcPr>
          <w:p w14:paraId="49D83A2A" w14:textId="5830245D" w:rsidR="000348D7" w:rsidRPr="00C3312E" w:rsidRDefault="000348D7" w:rsidP="000348D7">
            <w:pPr>
              <w:spacing w:after="0" w:line="240" w:lineRule="auto"/>
              <w:jc w:val="center"/>
              <w:rPr>
                <w:rFonts w:cstheme="minorHAnsi"/>
                <w:sz w:val="20"/>
                <w:szCs w:val="20"/>
              </w:rPr>
            </w:pPr>
            <w:r w:rsidRPr="00C3312E">
              <w:rPr>
                <w:rFonts w:cstheme="minorHAnsi"/>
                <w:sz w:val="20"/>
                <w:szCs w:val="20"/>
              </w:rPr>
              <w:t>-9%</w:t>
            </w:r>
          </w:p>
        </w:tc>
      </w:tr>
      <w:tr w:rsidR="000348D7" w:rsidRPr="00C3312E" w14:paraId="176A41DB"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D12D3A8" w14:textId="49EFE5A4" w:rsidR="000348D7" w:rsidRPr="00C3312E" w:rsidRDefault="000348D7" w:rsidP="000348D7">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364EB510" w14:textId="1349A6F6" w:rsidR="000348D7" w:rsidRPr="00C3312E" w:rsidRDefault="000348D7" w:rsidP="000348D7">
            <w:pPr>
              <w:spacing w:after="0" w:line="240" w:lineRule="auto"/>
              <w:jc w:val="center"/>
              <w:rPr>
                <w:rFonts w:cstheme="minorHAnsi"/>
                <w:sz w:val="20"/>
                <w:szCs w:val="20"/>
              </w:rPr>
            </w:pPr>
            <w:r w:rsidRPr="00C3312E">
              <w:rPr>
                <w:rFonts w:cstheme="minorHAnsi"/>
                <w:sz w:val="20"/>
                <w:szCs w:val="20"/>
              </w:rPr>
              <w:t>58</w:t>
            </w:r>
          </w:p>
        </w:tc>
        <w:tc>
          <w:tcPr>
            <w:tcW w:w="885" w:type="dxa"/>
            <w:tcBorders>
              <w:top w:val="single" w:sz="4" w:space="0" w:color="auto"/>
              <w:left w:val="nil"/>
              <w:bottom w:val="single" w:sz="4" w:space="0" w:color="auto"/>
              <w:right w:val="single" w:sz="4" w:space="0" w:color="auto"/>
            </w:tcBorders>
            <w:shd w:val="clear" w:color="auto" w:fill="auto"/>
            <w:vAlign w:val="center"/>
          </w:tcPr>
          <w:p w14:paraId="04850946" w14:textId="0B96F1CE"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19%</w:t>
            </w:r>
          </w:p>
        </w:tc>
        <w:tc>
          <w:tcPr>
            <w:tcW w:w="1005" w:type="dxa"/>
            <w:tcBorders>
              <w:top w:val="single" w:sz="4" w:space="0" w:color="auto"/>
              <w:left w:val="nil"/>
              <w:bottom w:val="single" w:sz="4" w:space="0" w:color="auto"/>
              <w:right w:val="single" w:sz="4" w:space="0" w:color="auto"/>
            </w:tcBorders>
            <w:shd w:val="clear" w:color="auto" w:fill="auto"/>
            <w:vAlign w:val="center"/>
          </w:tcPr>
          <w:p w14:paraId="7EC16977" w14:textId="38C7156C" w:rsidR="000348D7" w:rsidRPr="00C3312E" w:rsidRDefault="000348D7" w:rsidP="000348D7">
            <w:pPr>
              <w:spacing w:after="0" w:line="240" w:lineRule="auto"/>
              <w:jc w:val="center"/>
              <w:rPr>
                <w:rFonts w:cstheme="minorHAnsi"/>
                <w:sz w:val="20"/>
                <w:szCs w:val="20"/>
              </w:rPr>
            </w:pPr>
            <w:r w:rsidRPr="00C3312E">
              <w:rPr>
                <w:rFonts w:cstheme="minorHAnsi"/>
                <w:sz w:val="20"/>
                <w:szCs w:val="20"/>
              </w:rPr>
              <w:t>7%</w:t>
            </w:r>
          </w:p>
        </w:tc>
        <w:tc>
          <w:tcPr>
            <w:tcW w:w="810" w:type="dxa"/>
            <w:tcBorders>
              <w:top w:val="single" w:sz="4" w:space="0" w:color="auto"/>
              <w:left w:val="nil"/>
              <w:bottom w:val="single" w:sz="4" w:space="0" w:color="auto"/>
              <w:right w:val="single" w:sz="4" w:space="0" w:color="auto"/>
            </w:tcBorders>
            <w:shd w:val="clear" w:color="auto" w:fill="auto"/>
            <w:vAlign w:val="center"/>
          </w:tcPr>
          <w:p w14:paraId="5CF7EC6B" w14:textId="488DA2CE" w:rsidR="000348D7" w:rsidRPr="00C3312E" w:rsidRDefault="000348D7" w:rsidP="000348D7">
            <w:pPr>
              <w:spacing w:after="0" w:line="240" w:lineRule="auto"/>
              <w:jc w:val="center"/>
              <w:rPr>
                <w:rFonts w:cstheme="minorHAnsi"/>
                <w:sz w:val="20"/>
                <w:szCs w:val="20"/>
              </w:rPr>
            </w:pPr>
            <w:r w:rsidRPr="00C3312E">
              <w:rPr>
                <w:rFonts w:cstheme="minorHAnsi"/>
                <w:sz w:val="20"/>
                <w:szCs w:val="20"/>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2E35BE2E" w14:textId="7CAB991E" w:rsidR="000348D7" w:rsidRPr="00C3312E" w:rsidRDefault="000348D7" w:rsidP="000348D7">
            <w:pPr>
              <w:spacing w:after="0" w:line="240" w:lineRule="auto"/>
              <w:jc w:val="center"/>
              <w:rPr>
                <w:rFonts w:cstheme="minorHAnsi"/>
                <w:sz w:val="20"/>
                <w:szCs w:val="20"/>
              </w:rPr>
            </w:pPr>
            <w:r w:rsidRPr="00C3312E">
              <w:rPr>
                <w:rFonts w:cstheme="minorHAnsi"/>
                <w:sz w:val="20"/>
                <w:szCs w:val="20"/>
              </w:rPr>
              <w:t>7%</w:t>
            </w:r>
          </w:p>
        </w:tc>
        <w:tc>
          <w:tcPr>
            <w:tcW w:w="918" w:type="dxa"/>
            <w:tcBorders>
              <w:top w:val="single" w:sz="4" w:space="0" w:color="auto"/>
              <w:left w:val="nil"/>
              <w:bottom w:val="single" w:sz="4" w:space="0" w:color="auto"/>
              <w:right w:val="single" w:sz="4" w:space="0" w:color="auto"/>
            </w:tcBorders>
            <w:shd w:val="clear" w:color="auto" w:fill="auto"/>
            <w:vAlign w:val="bottom"/>
          </w:tcPr>
          <w:p w14:paraId="5ECDC778" w14:textId="5E1DFD65" w:rsidR="000348D7" w:rsidRPr="00C3312E" w:rsidRDefault="000348D7" w:rsidP="000348D7">
            <w:pPr>
              <w:spacing w:after="0" w:line="240" w:lineRule="auto"/>
              <w:jc w:val="center"/>
              <w:rPr>
                <w:rFonts w:cstheme="minorHAnsi"/>
                <w:sz w:val="20"/>
                <w:szCs w:val="20"/>
              </w:rPr>
            </w:pPr>
            <w:r w:rsidRPr="00C3312E">
              <w:rPr>
                <w:rFonts w:cstheme="minorHAnsi"/>
                <w:sz w:val="20"/>
                <w:szCs w:val="20"/>
              </w:rPr>
              <w:t>-12%</w:t>
            </w:r>
          </w:p>
        </w:tc>
      </w:tr>
      <w:tr w:rsidR="000348D7" w:rsidRPr="00C3312E" w14:paraId="36BDEA86"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1B782419" w14:textId="173744FA" w:rsidR="000348D7" w:rsidRPr="00C3312E" w:rsidRDefault="000348D7" w:rsidP="000348D7">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6B0D941E" w14:textId="6C58326A" w:rsidR="000348D7" w:rsidRPr="00C3312E" w:rsidRDefault="000348D7" w:rsidP="000348D7">
            <w:pPr>
              <w:spacing w:after="0" w:line="240" w:lineRule="auto"/>
              <w:jc w:val="center"/>
              <w:rPr>
                <w:rFonts w:cstheme="minorHAnsi"/>
                <w:sz w:val="20"/>
                <w:szCs w:val="20"/>
              </w:rPr>
            </w:pPr>
            <w:r w:rsidRPr="00C3312E">
              <w:rPr>
                <w:rFonts w:cstheme="minorHAnsi"/>
                <w:sz w:val="20"/>
                <w:szCs w:val="20"/>
              </w:rPr>
              <w:t>53</w:t>
            </w:r>
          </w:p>
        </w:tc>
        <w:tc>
          <w:tcPr>
            <w:tcW w:w="885" w:type="dxa"/>
            <w:tcBorders>
              <w:top w:val="single" w:sz="4" w:space="0" w:color="auto"/>
              <w:left w:val="nil"/>
              <w:bottom w:val="single" w:sz="4" w:space="0" w:color="auto"/>
              <w:right w:val="single" w:sz="4" w:space="0" w:color="auto"/>
            </w:tcBorders>
            <w:shd w:val="clear" w:color="auto" w:fill="auto"/>
            <w:vAlign w:val="center"/>
          </w:tcPr>
          <w:p w14:paraId="02F83638" w14:textId="0E9302AC" w:rsidR="000348D7" w:rsidRPr="00C3312E" w:rsidRDefault="000348D7" w:rsidP="000348D7">
            <w:pPr>
              <w:spacing w:after="0" w:line="240" w:lineRule="auto"/>
              <w:jc w:val="center"/>
              <w:rPr>
                <w:rFonts w:cstheme="minorHAnsi"/>
                <w:sz w:val="20"/>
                <w:szCs w:val="20"/>
              </w:rPr>
            </w:pPr>
            <w:r w:rsidRPr="00C3312E">
              <w:rPr>
                <w:rFonts w:cstheme="minorHAnsi"/>
                <w:sz w:val="20"/>
                <w:szCs w:val="20"/>
              </w:rPr>
              <w:t>0%</w:t>
            </w:r>
          </w:p>
        </w:tc>
        <w:tc>
          <w:tcPr>
            <w:tcW w:w="1005" w:type="dxa"/>
            <w:tcBorders>
              <w:top w:val="single" w:sz="4" w:space="0" w:color="auto"/>
              <w:left w:val="nil"/>
              <w:bottom w:val="single" w:sz="4" w:space="0" w:color="auto"/>
              <w:right w:val="single" w:sz="4" w:space="0" w:color="auto"/>
            </w:tcBorders>
            <w:shd w:val="clear" w:color="auto" w:fill="auto"/>
            <w:vAlign w:val="center"/>
          </w:tcPr>
          <w:p w14:paraId="0744A471" w14:textId="38DA4532" w:rsidR="000348D7" w:rsidRPr="00C3312E" w:rsidRDefault="000348D7" w:rsidP="000348D7">
            <w:pPr>
              <w:spacing w:after="0" w:line="240" w:lineRule="auto"/>
              <w:jc w:val="center"/>
              <w:rPr>
                <w:rFonts w:cstheme="minorHAnsi"/>
                <w:sz w:val="20"/>
                <w:szCs w:val="20"/>
              </w:rPr>
            </w:pPr>
            <w:r w:rsidRPr="00C3312E">
              <w:rPr>
                <w:rFonts w:cstheme="minorHAnsi"/>
                <w:sz w:val="20"/>
                <w:szCs w:val="20"/>
              </w:rPr>
              <w:t>9%</w:t>
            </w:r>
          </w:p>
        </w:tc>
        <w:tc>
          <w:tcPr>
            <w:tcW w:w="810" w:type="dxa"/>
            <w:tcBorders>
              <w:top w:val="single" w:sz="4" w:space="0" w:color="auto"/>
              <w:left w:val="nil"/>
              <w:bottom w:val="single" w:sz="4" w:space="0" w:color="auto"/>
              <w:right w:val="single" w:sz="4" w:space="0" w:color="auto"/>
            </w:tcBorders>
            <w:shd w:val="clear" w:color="auto" w:fill="auto"/>
            <w:vAlign w:val="center"/>
          </w:tcPr>
          <w:p w14:paraId="6F6528F7" w14:textId="289D584C" w:rsidR="000348D7" w:rsidRPr="00C3312E" w:rsidRDefault="000348D7" w:rsidP="000348D7">
            <w:pPr>
              <w:spacing w:after="0" w:line="240" w:lineRule="auto"/>
              <w:jc w:val="center"/>
              <w:rPr>
                <w:rFonts w:cstheme="minorHAnsi"/>
                <w:sz w:val="20"/>
                <w:szCs w:val="20"/>
              </w:rPr>
            </w:pPr>
            <w:r w:rsidRPr="00C3312E">
              <w:rPr>
                <w:rFonts w:cstheme="minorHAnsi"/>
                <w:sz w:val="20"/>
                <w:szCs w:val="20"/>
              </w:rPr>
              <w:t>21%</w:t>
            </w:r>
          </w:p>
        </w:tc>
        <w:tc>
          <w:tcPr>
            <w:tcW w:w="810" w:type="dxa"/>
            <w:tcBorders>
              <w:top w:val="single" w:sz="4" w:space="0" w:color="auto"/>
              <w:left w:val="nil"/>
              <w:bottom w:val="single" w:sz="4" w:space="0" w:color="auto"/>
              <w:right w:val="single" w:sz="4" w:space="0" w:color="auto"/>
            </w:tcBorders>
            <w:shd w:val="clear" w:color="auto" w:fill="auto"/>
            <w:vAlign w:val="center"/>
          </w:tcPr>
          <w:p w14:paraId="16E1791F" w14:textId="375119E0" w:rsidR="000348D7" w:rsidRPr="00C3312E" w:rsidRDefault="000348D7" w:rsidP="000348D7">
            <w:pPr>
              <w:spacing w:after="0" w:line="240" w:lineRule="auto"/>
              <w:jc w:val="center"/>
              <w:rPr>
                <w:rFonts w:cstheme="minorHAnsi"/>
                <w:sz w:val="20"/>
                <w:szCs w:val="20"/>
              </w:rPr>
            </w:pPr>
            <w:r w:rsidRPr="00C3312E">
              <w:rPr>
                <w:rFonts w:cstheme="minorHAnsi"/>
                <w:sz w:val="20"/>
                <w:szCs w:val="20"/>
              </w:rPr>
              <w:t>6%</w:t>
            </w:r>
          </w:p>
        </w:tc>
        <w:tc>
          <w:tcPr>
            <w:tcW w:w="918" w:type="dxa"/>
            <w:tcBorders>
              <w:top w:val="single" w:sz="4" w:space="0" w:color="auto"/>
              <w:left w:val="nil"/>
              <w:bottom w:val="single" w:sz="4" w:space="0" w:color="auto"/>
              <w:right w:val="single" w:sz="4" w:space="0" w:color="auto"/>
            </w:tcBorders>
            <w:shd w:val="clear" w:color="auto" w:fill="auto"/>
            <w:vAlign w:val="bottom"/>
          </w:tcPr>
          <w:p w14:paraId="62F04618" w14:textId="3D5A7E0B" w:rsidR="000348D7" w:rsidRPr="00C3312E" w:rsidRDefault="000348D7" w:rsidP="000348D7">
            <w:pPr>
              <w:spacing w:after="0" w:line="240" w:lineRule="auto"/>
              <w:jc w:val="center"/>
              <w:rPr>
                <w:rFonts w:cstheme="minorHAnsi"/>
                <w:sz w:val="20"/>
                <w:szCs w:val="20"/>
              </w:rPr>
            </w:pPr>
            <w:r w:rsidRPr="00C3312E">
              <w:rPr>
                <w:rFonts w:cstheme="minorHAnsi"/>
                <w:sz w:val="20"/>
                <w:szCs w:val="20"/>
              </w:rPr>
              <w:t>6%</w:t>
            </w:r>
          </w:p>
        </w:tc>
      </w:tr>
      <w:tr w:rsidR="00C3312E" w:rsidRPr="00C3312E" w14:paraId="4D8FB84D"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54ECD8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Framingham High</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30C76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445</w:t>
            </w:r>
          </w:p>
        </w:tc>
        <w:tc>
          <w:tcPr>
            <w:tcW w:w="8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5DCBA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86%</w:t>
            </w:r>
          </w:p>
        </w:tc>
        <w:tc>
          <w:tcPr>
            <w:tcW w:w="10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5B740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87%</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7E212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83%</w:t>
            </w:r>
          </w:p>
        </w:tc>
        <w:tc>
          <w:tcPr>
            <w:tcW w:w="8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C9D5D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83%</w:t>
            </w:r>
          </w:p>
        </w:tc>
        <w:tc>
          <w:tcPr>
            <w:tcW w:w="9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41E682F"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-3%</w:t>
            </w:r>
          </w:p>
        </w:tc>
      </w:tr>
      <w:tr w:rsidR="00C3312E" w:rsidRPr="00C3312E" w14:paraId="6B34F01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4A0211A"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vAlign w:val="center"/>
          </w:tcPr>
          <w:p w14:paraId="4E22B6D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c>
          <w:tcPr>
            <w:tcW w:w="885" w:type="dxa"/>
            <w:tcBorders>
              <w:top w:val="single" w:sz="4" w:space="0" w:color="auto"/>
              <w:left w:val="nil"/>
              <w:bottom w:val="single" w:sz="4" w:space="0" w:color="auto"/>
              <w:right w:val="single" w:sz="4" w:space="0" w:color="auto"/>
            </w:tcBorders>
            <w:shd w:val="clear" w:color="auto" w:fill="auto"/>
            <w:vAlign w:val="center"/>
          </w:tcPr>
          <w:p w14:paraId="24CC37A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70%</w:t>
            </w:r>
          </w:p>
        </w:tc>
        <w:tc>
          <w:tcPr>
            <w:tcW w:w="1005" w:type="dxa"/>
            <w:tcBorders>
              <w:top w:val="single" w:sz="4" w:space="0" w:color="auto"/>
              <w:left w:val="nil"/>
              <w:bottom w:val="single" w:sz="4" w:space="0" w:color="auto"/>
              <w:right w:val="single" w:sz="4" w:space="0" w:color="auto"/>
            </w:tcBorders>
            <w:shd w:val="clear" w:color="auto" w:fill="auto"/>
            <w:vAlign w:val="center"/>
          </w:tcPr>
          <w:p w14:paraId="497F152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65%</w:t>
            </w:r>
          </w:p>
        </w:tc>
        <w:tc>
          <w:tcPr>
            <w:tcW w:w="810" w:type="dxa"/>
            <w:tcBorders>
              <w:top w:val="single" w:sz="4" w:space="0" w:color="auto"/>
              <w:left w:val="nil"/>
              <w:bottom w:val="single" w:sz="4" w:space="0" w:color="auto"/>
              <w:right w:val="single" w:sz="4" w:space="0" w:color="auto"/>
            </w:tcBorders>
            <w:shd w:val="clear" w:color="auto" w:fill="auto"/>
            <w:vAlign w:val="center"/>
          </w:tcPr>
          <w:p w14:paraId="2B5C123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86%</w:t>
            </w:r>
          </w:p>
        </w:tc>
        <w:tc>
          <w:tcPr>
            <w:tcW w:w="810" w:type="dxa"/>
            <w:tcBorders>
              <w:top w:val="single" w:sz="4" w:space="0" w:color="auto"/>
              <w:left w:val="nil"/>
              <w:bottom w:val="single" w:sz="4" w:space="0" w:color="auto"/>
              <w:right w:val="single" w:sz="4" w:space="0" w:color="auto"/>
            </w:tcBorders>
            <w:shd w:val="clear" w:color="auto" w:fill="auto"/>
            <w:vAlign w:val="center"/>
          </w:tcPr>
          <w:p w14:paraId="0633FB5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89%</w:t>
            </w:r>
          </w:p>
        </w:tc>
        <w:tc>
          <w:tcPr>
            <w:tcW w:w="918" w:type="dxa"/>
            <w:tcBorders>
              <w:top w:val="single" w:sz="4" w:space="0" w:color="auto"/>
              <w:left w:val="nil"/>
              <w:bottom w:val="single" w:sz="4" w:space="0" w:color="auto"/>
              <w:right w:val="single" w:sz="4" w:space="0" w:color="auto"/>
            </w:tcBorders>
            <w:shd w:val="clear" w:color="auto" w:fill="auto"/>
            <w:vAlign w:val="bottom"/>
          </w:tcPr>
          <w:p w14:paraId="133ECC6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19%</w:t>
            </w:r>
          </w:p>
        </w:tc>
      </w:tr>
      <w:tr w:rsidR="00C3312E" w:rsidRPr="00C3312E" w14:paraId="14E03A77"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8EBD701"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Asian</w:t>
            </w:r>
          </w:p>
        </w:tc>
        <w:tc>
          <w:tcPr>
            <w:tcW w:w="900" w:type="dxa"/>
            <w:tcBorders>
              <w:top w:val="single" w:sz="4" w:space="0" w:color="auto"/>
              <w:left w:val="nil"/>
              <w:bottom w:val="single" w:sz="4" w:space="0" w:color="auto"/>
              <w:right w:val="single" w:sz="4" w:space="0" w:color="auto"/>
            </w:tcBorders>
            <w:shd w:val="clear" w:color="auto" w:fill="auto"/>
            <w:vAlign w:val="center"/>
          </w:tcPr>
          <w:p w14:paraId="3AA43F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24</w:t>
            </w:r>
          </w:p>
        </w:tc>
        <w:tc>
          <w:tcPr>
            <w:tcW w:w="885" w:type="dxa"/>
            <w:tcBorders>
              <w:top w:val="single" w:sz="4" w:space="0" w:color="auto"/>
              <w:left w:val="nil"/>
              <w:bottom w:val="single" w:sz="4" w:space="0" w:color="auto"/>
              <w:right w:val="single" w:sz="4" w:space="0" w:color="auto"/>
            </w:tcBorders>
            <w:shd w:val="clear" w:color="auto" w:fill="auto"/>
            <w:vAlign w:val="center"/>
          </w:tcPr>
          <w:p w14:paraId="4A182D7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97%</w:t>
            </w:r>
          </w:p>
        </w:tc>
        <w:tc>
          <w:tcPr>
            <w:tcW w:w="1005" w:type="dxa"/>
            <w:tcBorders>
              <w:top w:val="single" w:sz="4" w:space="0" w:color="auto"/>
              <w:left w:val="nil"/>
              <w:bottom w:val="single" w:sz="4" w:space="0" w:color="auto"/>
              <w:right w:val="single" w:sz="4" w:space="0" w:color="auto"/>
            </w:tcBorders>
            <w:shd w:val="clear" w:color="auto" w:fill="auto"/>
            <w:vAlign w:val="center"/>
          </w:tcPr>
          <w:p w14:paraId="1C95D83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93%</w:t>
            </w:r>
          </w:p>
        </w:tc>
        <w:tc>
          <w:tcPr>
            <w:tcW w:w="810" w:type="dxa"/>
            <w:tcBorders>
              <w:top w:val="single" w:sz="4" w:space="0" w:color="auto"/>
              <w:left w:val="nil"/>
              <w:bottom w:val="single" w:sz="4" w:space="0" w:color="auto"/>
              <w:right w:val="single" w:sz="4" w:space="0" w:color="auto"/>
            </w:tcBorders>
            <w:shd w:val="clear" w:color="auto" w:fill="auto"/>
            <w:vAlign w:val="center"/>
          </w:tcPr>
          <w:p w14:paraId="3B94C4F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94%</w:t>
            </w:r>
          </w:p>
        </w:tc>
        <w:tc>
          <w:tcPr>
            <w:tcW w:w="810" w:type="dxa"/>
            <w:tcBorders>
              <w:top w:val="single" w:sz="4" w:space="0" w:color="auto"/>
              <w:left w:val="nil"/>
              <w:bottom w:val="single" w:sz="4" w:space="0" w:color="auto"/>
              <w:right w:val="single" w:sz="4" w:space="0" w:color="auto"/>
            </w:tcBorders>
            <w:shd w:val="clear" w:color="auto" w:fill="auto"/>
            <w:vAlign w:val="center"/>
          </w:tcPr>
          <w:p w14:paraId="55544145"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96%</w:t>
            </w:r>
          </w:p>
        </w:tc>
        <w:tc>
          <w:tcPr>
            <w:tcW w:w="918" w:type="dxa"/>
            <w:tcBorders>
              <w:top w:val="single" w:sz="4" w:space="0" w:color="auto"/>
              <w:left w:val="nil"/>
              <w:bottom w:val="single" w:sz="4" w:space="0" w:color="auto"/>
              <w:right w:val="single" w:sz="4" w:space="0" w:color="auto"/>
            </w:tcBorders>
            <w:shd w:val="clear" w:color="auto" w:fill="auto"/>
            <w:vAlign w:val="bottom"/>
          </w:tcPr>
          <w:p w14:paraId="1C58C73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w:t>
            </w:r>
          </w:p>
        </w:tc>
      </w:tr>
      <w:tr w:rsidR="00C3312E" w:rsidRPr="00C3312E" w14:paraId="032343DA"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92FAFC2"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Hispanic</w:t>
            </w:r>
          </w:p>
        </w:tc>
        <w:tc>
          <w:tcPr>
            <w:tcW w:w="900" w:type="dxa"/>
            <w:tcBorders>
              <w:top w:val="single" w:sz="4" w:space="0" w:color="auto"/>
              <w:left w:val="nil"/>
              <w:bottom w:val="single" w:sz="4" w:space="0" w:color="auto"/>
              <w:right w:val="single" w:sz="4" w:space="0" w:color="auto"/>
            </w:tcBorders>
            <w:shd w:val="clear" w:color="auto" w:fill="auto"/>
            <w:vAlign w:val="center"/>
          </w:tcPr>
          <w:p w14:paraId="35769F16"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93</w:t>
            </w:r>
          </w:p>
        </w:tc>
        <w:tc>
          <w:tcPr>
            <w:tcW w:w="885" w:type="dxa"/>
            <w:tcBorders>
              <w:top w:val="single" w:sz="4" w:space="0" w:color="auto"/>
              <w:left w:val="nil"/>
              <w:bottom w:val="single" w:sz="4" w:space="0" w:color="auto"/>
              <w:right w:val="single" w:sz="4" w:space="0" w:color="auto"/>
            </w:tcBorders>
            <w:shd w:val="clear" w:color="auto" w:fill="auto"/>
            <w:vAlign w:val="center"/>
          </w:tcPr>
          <w:p w14:paraId="22C1E157"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63%</w:t>
            </w:r>
          </w:p>
        </w:tc>
        <w:tc>
          <w:tcPr>
            <w:tcW w:w="1005" w:type="dxa"/>
            <w:tcBorders>
              <w:top w:val="single" w:sz="4" w:space="0" w:color="auto"/>
              <w:left w:val="nil"/>
              <w:bottom w:val="single" w:sz="4" w:space="0" w:color="auto"/>
              <w:right w:val="single" w:sz="4" w:space="0" w:color="auto"/>
            </w:tcBorders>
            <w:shd w:val="clear" w:color="auto" w:fill="auto"/>
            <w:vAlign w:val="center"/>
          </w:tcPr>
          <w:p w14:paraId="02EE91F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73%</w:t>
            </w:r>
          </w:p>
        </w:tc>
        <w:tc>
          <w:tcPr>
            <w:tcW w:w="810" w:type="dxa"/>
            <w:tcBorders>
              <w:top w:val="single" w:sz="4" w:space="0" w:color="auto"/>
              <w:left w:val="nil"/>
              <w:bottom w:val="single" w:sz="4" w:space="0" w:color="auto"/>
              <w:right w:val="single" w:sz="4" w:space="0" w:color="auto"/>
            </w:tcBorders>
            <w:shd w:val="clear" w:color="auto" w:fill="auto"/>
            <w:vAlign w:val="center"/>
          </w:tcPr>
          <w:p w14:paraId="1563400C"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67%</w:t>
            </w:r>
          </w:p>
        </w:tc>
        <w:tc>
          <w:tcPr>
            <w:tcW w:w="810" w:type="dxa"/>
            <w:tcBorders>
              <w:top w:val="single" w:sz="4" w:space="0" w:color="auto"/>
              <w:left w:val="nil"/>
              <w:bottom w:val="single" w:sz="4" w:space="0" w:color="auto"/>
              <w:right w:val="single" w:sz="4" w:space="0" w:color="auto"/>
            </w:tcBorders>
            <w:shd w:val="clear" w:color="auto" w:fill="auto"/>
            <w:vAlign w:val="center"/>
          </w:tcPr>
          <w:p w14:paraId="1B9CDB7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63%</w:t>
            </w:r>
          </w:p>
        </w:tc>
        <w:tc>
          <w:tcPr>
            <w:tcW w:w="918" w:type="dxa"/>
            <w:tcBorders>
              <w:top w:val="single" w:sz="4" w:space="0" w:color="auto"/>
              <w:left w:val="nil"/>
              <w:bottom w:val="single" w:sz="4" w:space="0" w:color="auto"/>
              <w:right w:val="single" w:sz="4" w:space="0" w:color="auto"/>
            </w:tcBorders>
            <w:shd w:val="clear" w:color="auto" w:fill="auto"/>
            <w:vAlign w:val="bottom"/>
          </w:tcPr>
          <w:p w14:paraId="6B9D0DB2"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0%</w:t>
            </w:r>
          </w:p>
        </w:tc>
      </w:tr>
      <w:tr w:rsidR="00C3312E" w:rsidRPr="00C3312E" w14:paraId="779733F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AEEC21B"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Multi-race</w:t>
            </w:r>
          </w:p>
        </w:tc>
        <w:tc>
          <w:tcPr>
            <w:tcW w:w="900" w:type="dxa"/>
            <w:tcBorders>
              <w:top w:val="single" w:sz="4" w:space="0" w:color="auto"/>
              <w:left w:val="nil"/>
              <w:bottom w:val="single" w:sz="4" w:space="0" w:color="auto"/>
              <w:right w:val="single" w:sz="4" w:space="0" w:color="auto"/>
            </w:tcBorders>
            <w:shd w:val="clear" w:color="auto" w:fill="auto"/>
            <w:vAlign w:val="center"/>
          </w:tcPr>
          <w:p w14:paraId="349983B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15</w:t>
            </w:r>
          </w:p>
        </w:tc>
        <w:tc>
          <w:tcPr>
            <w:tcW w:w="885" w:type="dxa"/>
            <w:tcBorders>
              <w:top w:val="single" w:sz="4" w:space="0" w:color="auto"/>
              <w:left w:val="nil"/>
              <w:bottom w:val="single" w:sz="4" w:space="0" w:color="auto"/>
              <w:right w:val="single" w:sz="4" w:space="0" w:color="auto"/>
            </w:tcBorders>
            <w:shd w:val="clear" w:color="auto" w:fill="auto"/>
            <w:vAlign w:val="center"/>
          </w:tcPr>
          <w:p w14:paraId="005DEDD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1005" w:type="dxa"/>
            <w:tcBorders>
              <w:top w:val="single" w:sz="4" w:space="0" w:color="auto"/>
              <w:left w:val="nil"/>
              <w:bottom w:val="single" w:sz="4" w:space="0" w:color="auto"/>
              <w:right w:val="single" w:sz="4" w:space="0" w:color="auto"/>
            </w:tcBorders>
            <w:shd w:val="clear" w:color="auto" w:fill="auto"/>
            <w:vAlign w:val="center"/>
          </w:tcPr>
          <w:p w14:paraId="2E7A81CA"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tcPr>
          <w:p w14:paraId="2CD1E1B3"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95%</w:t>
            </w:r>
          </w:p>
        </w:tc>
        <w:tc>
          <w:tcPr>
            <w:tcW w:w="810" w:type="dxa"/>
            <w:tcBorders>
              <w:top w:val="single" w:sz="4" w:space="0" w:color="auto"/>
              <w:left w:val="nil"/>
              <w:bottom w:val="single" w:sz="4" w:space="0" w:color="auto"/>
              <w:right w:val="single" w:sz="4" w:space="0" w:color="auto"/>
            </w:tcBorders>
            <w:shd w:val="clear" w:color="auto" w:fill="auto"/>
            <w:vAlign w:val="center"/>
          </w:tcPr>
          <w:p w14:paraId="0ACC648D"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87%</w:t>
            </w:r>
          </w:p>
        </w:tc>
        <w:tc>
          <w:tcPr>
            <w:tcW w:w="918" w:type="dxa"/>
            <w:tcBorders>
              <w:top w:val="single" w:sz="4" w:space="0" w:color="auto"/>
              <w:left w:val="nil"/>
              <w:bottom w:val="single" w:sz="4" w:space="0" w:color="auto"/>
              <w:right w:val="single" w:sz="4" w:space="0" w:color="auto"/>
            </w:tcBorders>
            <w:shd w:val="clear" w:color="auto" w:fill="auto"/>
            <w:vAlign w:val="bottom"/>
          </w:tcPr>
          <w:p w14:paraId="5E3A248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w:t>
            </w:r>
          </w:p>
        </w:tc>
      </w:tr>
      <w:tr w:rsidR="00C3312E" w:rsidRPr="00C3312E" w14:paraId="450B8442"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EB07E89" w14:textId="77777777" w:rsidR="00C3312E" w:rsidRPr="00C3312E" w:rsidRDefault="00C3312E" w:rsidP="00C3312E">
            <w:pPr>
              <w:spacing w:after="0" w:line="240" w:lineRule="auto"/>
              <w:rPr>
                <w:rFonts w:cstheme="minorHAnsi"/>
                <w:sz w:val="20"/>
                <w:szCs w:val="20"/>
              </w:rPr>
            </w:pPr>
            <w:r w:rsidRPr="00C3312E">
              <w:rPr>
                <w:rFonts w:cstheme="minorHAnsi"/>
                <w:sz w:val="20"/>
                <w:szCs w:val="20"/>
              </w:rPr>
              <w:t>White</w:t>
            </w:r>
          </w:p>
        </w:tc>
        <w:tc>
          <w:tcPr>
            <w:tcW w:w="900" w:type="dxa"/>
            <w:tcBorders>
              <w:top w:val="single" w:sz="4" w:space="0" w:color="auto"/>
              <w:left w:val="nil"/>
              <w:bottom w:val="single" w:sz="4" w:space="0" w:color="auto"/>
              <w:right w:val="single" w:sz="4" w:space="0" w:color="auto"/>
            </w:tcBorders>
            <w:shd w:val="clear" w:color="auto" w:fill="auto"/>
            <w:vAlign w:val="center"/>
          </w:tcPr>
          <w:p w14:paraId="53F353D1"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293</w:t>
            </w:r>
          </w:p>
        </w:tc>
        <w:tc>
          <w:tcPr>
            <w:tcW w:w="885" w:type="dxa"/>
            <w:tcBorders>
              <w:top w:val="single" w:sz="4" w:space="0" w:color="auto"/>
              <w:left w:val="nil"/>
              <w:bottom w:val="single" w:sz="4" w:space="0" w:color="auto"/>
              <w:right w:val="single" w:sz="4" w:space="0" w:color="auto"/>
            </w:tcBorders>
            <w:shd w:val="clear" w:color="auto" w:fill="auto"/>
            <w:vAlign w:val="center"/>
          </w:tcPr>
          <w:p w14:paraId="38E3511E"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93%</w:t>
            </w:r>
          </w:p>
        </w:tc>
        <w:tc>
          <w:tcPr>
            <w:tcW w:w="1005" w:type="dxa"/>
            <w:tcBorders>
              <w:top w:val="single" w:sz="4" w:space="0" w:color="auto"/>
              <w:left w:val="nil"/>
              <w:bottom w:val="single" w:sz="4" w:space="0" w:color="auto"/>
              <w:right w:val="single" w:sz="4" w:space="0" w:color="auto"/>
            </w:tcBorders>
            <w:shd w:val="clear" w:color="auto" w:fill="auto"/>
            <w:vAlign w:val="center"/>
          </w:tcPr>
          <w:p w14:paraId="03ABBDB9"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90%</w:t>
            </w:r>
          </w:p>
        </w:tc>
        <w:tc>
          <w:tcPr>
            <w:tcW w:w="810" w:type="dxa"/>
            <w:tcBorders>
              <w:top w:val="single" w:sz="4" w:space="0" w:color="auto"/>
              <w:left w:val="nil"/>
              <w:bottom w:val="single" w:sz="4" w:space="0" w:color="auto"/>
              <w:right w:val="single" w:sz="4" w:space="0" w:color="auto"/>
            </w:tcBorders>
            <w:shd w:val="clear" w:color="auto" w:fill="auto"/>
            <w:vAlign w:val="center"/>
          </w:tcPr>
          <w:p w14:paraId="6E9A232B"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87%</w:t>
            </w:r>
          </w:p>
        </w:tc>
        <w:tc>
          <w:tcPr>
            <w:tcW w:w="810" w:type="dxa"/>
            <w:tcBorders>
              <w:top w:val="single" w:sz="4" w:space="0" w:color="auto"/>
              <w:left w:val="nil"/>
              <w:bottom w:val="single" w:sz="4" w:space="0" w:color="auto"/>
              <w:right w:val="single" w:sz="4" w:space="0" w:color="auto"/>
            </w:tcBorders>
            <w:shd w:val="clear" w:color="auto" w:fill="auto"/>
            <w:vAlign w:val="center"/>
          </w:tcPr>
          <w:p w14:paraId="2A4414F8"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88%</w:t>
            </w:r>
          </w:p>
        </w:tc>
        <w:tc>
          <w:tcPr>
            <w:tcW w:w="918" w:type="dxa"/>
            <w:tcBorders>
              <w:top w:val="single" w:sz="4" w:space="0" w:color="auto"/>
              <w:left w:val="nil"/>
              <w:bottom w:val="single" w:sz="4" w:space="0" w:color="auto"/>
              <w:right w:val="single" w:sz="4" w:space="0" w:color="auto"/>
            </w:tcBorders>
            <w:shd w:val="clear" w:color="auto" w:fill="auto"/>
            <w:vAlign w:val="bottom"/>
          </w:tcPr>
          <w:p w14:paraId="10E53AC0" w14:textId="77777777" w:rsidR="00C3312E" w:rsidRPr="00C3312E" w:rsidRDefault="00C3312E" w:rsidP="00C3312E">
            <w:pPr>
              <w:spacing w:after="0" w:line="240" w:lineRule="auto"/>
              <w:jc w:val="center"/>
              <w:rPr>
                <w:rFonts w:cstheme="minorHAnsi"/>
                <w:sz w:val="20"/>
                <w:szCs w:val="20"/>
              </w:rPr>
            </w:pPr>
            <w:r w:rsidRPr="00C3312E">
              <w:rPr>
                <w:rFonts w:cstheme="minorHAnsi"/>
                <w:sz w:val="20"/>
                <w:szCs w:val="20"/>
              </w:rPr>
              <w:t>-5%</w:t>
            </w:r>
          </w:p>
        </w:tc>
      </w:tr>
      <w:tr w:rsidR="006F3AC4" w:rsidRPr="00C3312E" w14:paraId="49BE8D59"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7AB2C75F" w14:textId="56D496EE" w:rsidR="006F3AC4" w:rsidRPr="00C3312E" w:rsidRDefault="006F3AC4" w:rsidP="006F3AC4">
            <w:pPr>
              <w:spacing w:after="0" w:line="240" w:lineRule="auto"/>
              <w:rPr>
                <w:rFonts w:cstheme="minorHAnsi"/>
                <w:sz w:val="20"/>
                <w:szCs w:val="20"/>
              </w:rPr>
            </w:pPr>
            <w:r w:rsidRPr="00C3312E">
              <w:rPr>
                <w:rFonts w:cstheme="minorHAnsi"/>
                <w:sz w:val="20"/>
                <w:szCs w:val="20"/>
              </w:rPr>
              <w:t>High Needs</w:t>
            </w:r>
          </w:p>
        </w:tc>
        <w:tc>
          <w:tcPr>
            <w:tcW w:w="900" w:type="dxa"/>
            <w:tcBorders>
              <w:top w:val="single" w:sz="4" w:space="0" w:color="auto"/>
              <w:left w:val="nil"/>
              <w:bottom w:val="single" w:sz="4" w:space="0" w:color="auto"/>
              <w:right w:val="single" w:sz="4" w:space="0" w:color="auto"/>
            </w:tcBorders>
            <w:shd w:val="clear" w:color="auto" w:fill="auto"/>
            <w:vAlign w:val="center"/>
          </w:tcPr>
          <w:p w14:paraId="37976FAA" w14:textId="34AEFE8E" w:rsidR="006F3AC4" w:rsidRPr="00C3312E" w:rsidRDefault="006F3AC4" w:rsidP="006F3AC4">
            <w:pPr>
              <w:spacing w:after="0" w:line="240" w:lineRule="auto"/>
              <w:jc w:val="center"/>
              <w:rPr>
                <w:rFonts w:cstheme="minorHAnsi"/>
                <w:sz w:val="20"/>
                <w:szCs w:val="20"/>
              </w:rPr>
            </w:pPr>
            <w:r w:rsidRPr="00C3312E">
              <w:rPr>
                <w:rFonts w:cstheme="minorHAnsi"/>
                <w:sz w:val="20"/>
                <w:szCs w:val="20"/>
              </w:rPr>
              <w:t>176</w:t>
            </w:r>
          </w:p>
        </w:tc>
        <w:tc>
          <w:tcPr>
            <w:tcW w:w="885" w:type="dxa"/>
            <w:tcBorders>
              <w:top w:val="single" w:sz="4" w:space="0" w:color="auto"/>
              <w:left w:val="nil"/>
              <w:bottom w:val="single" w:sz="4" w:space="0" w:color="auto"/>
              <w:right w:val="single" w:sz="4" w:space="0" w:color="auto"/>
            </w:tcBorders>
            <w:shd w:val="clear" w:color="auto" w:fill="auto"/>
            <w:vAlign w:val="center"/>
          </w:tcPr>
          <w:p w14:paraId="47A392D1" w14:textId="38685C1D"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69%</w:t>
            </w:r>
          </w:p>
        </w:tc>
        <w:tc>
          <w:tcPr>
            <w:tcW w:w="1005" w:type="dxa"/>
            <w:tcBorders>
              <w:top w:val="single" w:sz="4" w:space="0" w:color="auto"/>
              <w:left w:val="nil"/>
              <w:bottom w:val="single" w:sz="4" w:space="0" w:color="auto"/>
              <w:right w:val="single" w:sz="4" w:space="0" w:color="auto"/>
            </w:tcBorders>
            <w:shd w:val="clear" w:color="auto" w:fill="auto"/>
            <w:vAlign w:val="center"/>
          </w:tcPr>
          <w:p w14:paraId="69442F65" w14:textId="16A285CD" w:rsidR="006F3AC4" w:rsidRPr="00C3312E" w:rsidRDefault="006F3AC4" w:rsidP="006F3AC4">
            <w:pPr>
              <w:spacing w:after="0" w:line="240" w:lineRule="auto"/>
              <w:jc w:val="center"/>
              <w:rPr>
                <w:rFonts w:cstheme="minorHAnsi"/>
                <w:sz w:val="20"/>
                <w:szCs w:val="20"/>
              </w:rPr>
            </w:pPr>
            <w:r w:rsidRPr="00C3312E">
              <w:rPr>
                <w:rFonts w:cstheme="minorHAnsi"/>
                <w:sz w:val="20"/>
                <w:szCs w:val="20"/>
              </w:rPr>
              <w:t>72%</w:t>
            </w:r>
          </w:p>
        </w:tc>
        <w:tc>
          <w:tcPr>
            <w:tcW w:w="810" w:type="dxa"/>
            <w:tcBorders>
              <w:top w:val="single" w:sz="4" w:space="0" w:color="auto"/>
              <w:left w:val="nil"/>
              <w:bottom w:val="single" w:sz="4" w:space="0" w:color="auto"/>
              <w:right w:val="single" w:sz="4" w:space="0" w:color="auto"/>
            </w:tcBorders>
            <w:shd w:val="clear" w:color="auto" w:fill="auto"/>
            <w:vAlign w:val="center"/>
          </w:tcPr>
          <w:p w14:paraId="77DB1CDD" w14:textId="73F3C4F6"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66%</w:t>
            </w:r>
          </w:p>
        </w:tc>
        <w:tc>
          <w:tcPr>
            <w:tcW w:w="810" w:type="dxa"/>
            <w:tcBorders>
              <w:top w:val="single" w:sz="4" w:space="0" w:color="auto"/>
              <w:left w:val="nil"/>
              <w:bottom w:val="single" w:sz="4" w:space="0" w:color="auto"/>
              <w:right w:val="single" w:sz="4" w:space="0" w:color="auto"/>
            </w:tcBorders>
            <w:shd w:val="clear" w:color="auto" w:fill="auto"/>
            <w:vAlign w:val="center"/>
          </w:tcPr>
          <w:p w14:paraId="2BEF4F0F" w14:textId="69D81A1C"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64%</w:t>
            </w:r>
          </w:p>
        </w:tc>
        <w:tc>
          <w:tcPr>
            <w:tcW w:w="918" w:type="dxa"/>
            <w:tcBorders>
              <w:top w:val="single" w:sz="4" w:space="0" w:color="auto"/>
              <w:left w:val="nil"/>
              <w:bottom w:val="single" w:sz="4" w:space="0" w:color="auto"/>
              <w:right w:val="single" w:sz="4" w:space="0" w:color="auto"/>
            </w:tcBorders>
            <w:shd w:val="clear" w:color="auto" w:fill="auto"/>
            <w:vAlign w:val="bottom"/>
          </w:tcPr>
          <w:p w14:paraId="16B8C732" w14:textId="226E910B"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w:t>
            </w:r>
          </w:p>
        </w:tc>
      </w:tr>
      <w:tr w:rsidR="006F3AC4" w:rsidRPr="00C3312E" w14:paraId="34B1A9AC"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40F2358D" w14:textId="06BF29EB" w:rsidR="006F3AC4" w:rsidRPr="00C3312E" w:rsidRDefault="006F3AC4" w:rsidP="006F3AC4">
            <w:pPr>
              <w:spacing w:after="0" w:line="240" w:lineRule="auto"/>
              <w:rPr>
                <w:rFonts w:cstheme="minorHAnsi"/>
                <w:sz w:val="20"/>
                <w:szCs w:val="20"/>
              </w:rPr>
            </w:pPr>
            <w:r w:rsidRPr="00C3312E">
              <w:rPr>
                <w:rFonts w:cstheme="minorHAnsi"/>
                <w:sz w:val="20"/>
                <w:szCs w:val="20"/>
              </w:rPr>
              <w:t>Econ. Dis.</w:t>
            </w:r>
          </w:p>
        </w:tc>
        <w:tc>
          <w:tcPr>
            <w:tcW w:w="900" w:type="dxa"/>
            <w:tcBorders>
              <w:top w:val="single" w:sz="4" w:space="0" w:color="auto"/>
              <w:left w:val="nil"/>
              <w:bottom w:val="single" w:sz="4" w:space="0" w:color="auto"/>
              <w:right w:val="single" w:sz="4" w:space="0" w:color="auto"/>
            </w:tcBorders>
            <w:shd w:val="clear" w:color="auto" w:fill="auto"/>
            <w:vAlign w:val="center"/>
          </w:tcPr>
          <w:p w14:paraId="26FD3DF0" w14:textId="6EB7C475" w:rsidR="006F3AC4" w:rsidRPr="00C3312E" w:rsidRDefault="006F3AC4" w:rsidP="006F3AC4">
            <w:pPr>
              <w:spacing w:after="0" w:line="240" w:lineRule="auto"/>
              <w:jc w:val="center"/>
              <w:rPr>
                <w:rFonts w:cstheme="minorHAnsi"/>
                <w:sz w:val="20"/>
                <w:szCs w:val="20"/>
              </w:rPr>
            </w:pPr>
            <w:r w:rsidRPr="00C3312E">
              <w:rPr>
                <w:rFonts w:cstheme="minorHAnsi"/>
                <w:sz w:val="20"/>
                <w:szCs w:val="20"/>
              </w:rPr>
              <w:t>110</w:t>
            </w:r>
          </w:p>
        </w:tc>
        <w:tc>
          <w:tcPr>
            <w:tcW w:w="885" w:type="dxa"/>
            <w:tcBorders>
              <w:top w:val="single" w:sz="4" w:space="0" w:color="auto"/>
              <w:left w:val="nil"/>
              <w:bottom w:val="single" w:sz="4" w:space="0" w:color="auto"/>
              <w:right w:val="single" w:sz="4" w:space="0" w:color="auto"/>
            </w:tcBorders>
            <w:shd w:val="clear" w:color="auto" w:fill="auto"/>
            <w:vAlign w:val="center"/>
          </w:tcPr>
          <w:p w14:paraId="5C3DE040" w14:textId="1AF89D2A" w:rsidR="006F3AC4" w:rsidRPr="00C3312E" w:rsidRDefault="006F3AC4" w:rsidP="006F3AC4">
            <w:pPr>
              <w:spacing w:after="0" w:line="240" w:lineRule="auto"/>
              <w:jc w:val="center"/>
              <w:rPr>
                <w:rFonts w:cstheme="minorHAnsi"/>
                <w:sz w:val="20"/>
                <w:szCs w:val="20"/>
              </w:rPr>
            </w:pPr>
            <w:r w:rsidRPr="00C3312E">
              <w:rPr>
                <w:rFonts w:cstheme="minorHAnsi"/>
                <w:sz w:val="20"/>
                <w:szCs w:val="20"/>
              </w:rPr>
              <w:t>72%</w:t>
            </w:r>
          </w:p>
        </w:tc>
        <w:tc>
          <w:tcPr>
            <w:tcW w:w="1005" w:type="dxa"/>
            <w:tcBorders>
              <w:top w:val="single" w:sz="4" w:space="0" w:color="auto"/>
              <w:left w:val="nil"/>
              <w:bottom w:val="single" w:sz="4" w:space="0" w:color="auto"/>
              <w:right w:val="single" w:sz="4" w:space="0" w:color="auto"/>
            </w:tcBorders>
            <w:shd w:val="clear" w:color="auto" w:fill="auto"/>
            <w:vAlign w:val="center"/>
          </w:tcPr>
          <w:p w14:paraId="4CD0DCB4" w14:textId="4EB21405" w:rsidR="006F3AC4" w:rsidRPr="00C3312E" w:rsidRDefault="006F3AC4" w:rsidP="006F3AC4">
            <w:pPr>
              <w:spacing w:after="0" w:line="240" w:lineRule="auto"/>
              <w:jc w:val="center"/>
              <w:rPr>
                <w:rFonts w:cstheme="minorHAnsi"/>
                <w:sz w:val="20"/>
                <w:szCs w:val="20"/>
              </w:rPr>
            </w:pPr>
            <w:r w:rsidRPr="00C3312E">
              <w:rPr>
                <w:rFonts w:cstheme="minorHAnsi"/>
                <w:sz w:val="20"/>
                <w:szCs w:val="20"/>
              </w:rPr>
              <w:t>76%</w:t>
            </w:r>
          </w:p>
        </w:tc>
        <w:tc>
          <w:tcPr>
            <w:tcW w:w="810" w:type="dxa"/>
            <w:tcBorders>
              <w:top w:val="single" w:sz="4" w:space="0" w:color="auto"/>
              <w:left w:val="nil"/>
              <w:bottom w:val="single" w:sz="4" w:space="0" w:color="auto"/>
              <w:right w:val="single" w:sz="4" w:space="0" w:color="auto"/>
            </w:tcBorders>
            <w:shd w:val="clear" w:color="auto" w:fill="auto"/>
            <w:vAlign w:val="center"/>
          </w:tcPr>
          <w:p w14:paraId="03AFBCFC" w14:textId="20B6F3C3"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69%</w:t>
            </w:r>
          </w:p>
        </w:tc>
        <w:tc>
          <w:tcPr>
            <w:tcW w:w="810" w:type="dxa"/>
            <w:tcBorders>
              <w:top w:val="single" w:sz="4" w:space="0" w:color="auto"/>
              <w:left w:val="nil"/>
              <w:bottom w:val="single" w:sz="4" w:space="0" w:color="auto"/>
              <w:right w:val="single" w:sz="4" w:space="0" w:color="auto"/>
            </w:tcBorders>
            <w:shd w:val="clear" w:color="auto" w:fill="auto"/>
            <w:vAlign w:val="center"/>
          </w:tcPr>
          <w:p w14:paraId="07F1CFFD" w14:textId="25B2418E"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64%</w:t>
            </w:r>
          </w:p>
        </w:tc>
        <w:tc>
          <w:tcPr>
            <w:tcW w:w="918" w:type="dxa"/>
            <w:tcBorders>
              <w:top w:val="single" w:sz="4" w:space="0" w:color="auto"/>
              <w:left w:val="nil"/>
              <w:bottom w:val="single" w:sz="4" w:space="0" w:color="auto"/>
              <w:right w:val="single" w:sz="4" w:space="0" w:color="auto"/>
            </w:tcBorders>
            <w:shd w:val="clear" w:color="auto" w:fill="auto"/>
            <w:vAlign w:val="bottom"/>
          </w:tcPr>
          <w:p w14:paraId="62C4D87A" w14:textId="4289A387" w:rsidR="006F3AC4" w:rsidRPr="00C3312E" w:rsidRDefault="006F3AC4" w:rsidP="006F3AC4">
            <w:pPr>
              <w:spacing w:after="0" w:line="240" w:lineRule="auto"/>
              <w:jc w:val="center"/>
              <w:rPr>
                <w:rFonts w:cstheme="minorHAnsi"/>
                <w:sz w:val="20"/>
                <w:szCs w:val="20"/>
              </w:rPr>
            </w:pPr>
            <w:r w:rsidRPr="00C3312E">
              <w:rPr>
                <w:rFonts w:cstheme="minorHAnsi"/>
                <w:sz w:val="20"/>
                <w:szCs w:val="20"/>
              </w:rPr>
              <w:t>-8%</w:t>
            </w:r>
          </w:p>
        </w:tc>
      </w:tr>
      <w:tr w:rsidR="006F3AC4" w:rsidRPr="00C3312E" w14:paraId="0E3A4E81"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0EF29BC9" w14:textId="35533BB3" w:rsidR="006F3AC4" w:rsidRPr="00C3312E" w:rsidRDefault="006F3AC4" w:rsidP="006F3AC4">
            <w:pPr>
              <w:spacing w:after="0" w:line="240" w:lineRule="auto"/>
              <w:rPr>
                <w:rFonts w:cstheme="minorHAnsi"/>
                <w:sz w:val="20"/>
                <w:szCs w:val="20"/>
              </w:rPr>
            </w:pPr>
            <w:r w:rsidRPr="00C3312E">
              <w:rPr>
                <w:rFonts w:cstheme="minorHAnsi"/>
                <w:sz w:val="20"/>
                <w:szCs w:val="20"/>
              </w:rPr>
              <w:t>SWD</w:t>
            </w:r>
          </w:p>
        </w:tc>
        <w:tc>
          <w:tcPr>
            <w:tcW w:w="900" w:type="dxa"/>
            <w:tcBorders>
              <w:top w:val="single" w:sz="4" w:space="0" w:color="auto"/>
              <w:left w:val="nil"/>
              <w:bottom w:val="single" w:sz="4" w:space="0" w:color="auto"/>
              <w:right w:val="single" w:sz="4" w:space="0" w:color="auto"/>
            </w:tcBorders>
            <w:shd w:val="clear" w:color="auto" w:fill="auto"/>
            <w:vAlign w:val="center"/>
          </w:tcPr>
          <w:p w14:paraId="0C4F210D" w14:textId="55260AB5" w:rsidR="006F3AC4" w:rsidRPr="00C3312E" w:rsidRDefault="006F3AC4" w:rsidP="006F3AC4">
            <w:pPr>
              <w:spacing w:after="0" w:line="240" w:lineRule="auto"/>
              <w:jc w:val="center"/>
              <w:rPr>
                <w:rFonts w:cstheme="minorHAnsi"/>
                <w:sz w:val="20"/>
                <w:szCs w:val="20"/>
              </w:rPr>
            </w:pPr>
            <w:r w:rsidRPr="00C3312E">
              <w:rPr>
                <w:rFonts w:cstheme="minorHAnsi"/>
                <w:sz w:val="20"/>
                <w:szCs w:val="20"/>
              </w:rPr>
              <w:t>74</w:t>
            </w:r>
          </w:p>
        </w:tc>
        <w:tc>
          <w:tcPr>
            <w:tcW w:w="885" w:type="dxa"/>
            <w:tcBorders>
              <w:top w:val="single" w:sz="4" w:space="0" w:color="auto"/>
              <w:left w:val="nil"/>
              <w:bottom w:val="single" w:sz="4" w:space="0" w:color="auto"/>
              <w:right w:val="single" w:sz="4" w:space="0" w:color="auto"/>
            </w:tcBorders>
            <w:shd w:val="clear" w:color="auto" w:fill="auto"/>
            <w:vAlign w:val="center"/>
          </w:tcPr>
          <w:p w14:paraId="52B3A316" w14:textId="2F75A2F0"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58%</w:t>
            </w:r>
          </w:p>
        </w:tc>
        <w:tc>
          <w:tcPr>
            <w:tcW w:w="1005" w:type="dxa"/>
            <w:tcBorders>
              <w:top w:val="single" w:sz="4" w:space="0" w:color="auto"/>
              <w:left w:val="nil"/>
              <w:bottom w:val="single" w:sz="4" w:space="0" w:color="auto"/>
              <w:right w:val="single" w:sz="4" w:space="0" w:color="auto"/>
            </w:tcBorders>
            <w:shd w:val="clear" w:color="auto" w:fill="auto"/>
            <w:vAlign w:val="center"/>
          </w:tcPr>
          <w:p w14:paraId="50845D64" w14:textId="4EF89B37"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57%</w:t>
            </w:r>
          </w:p>
        </w:tc>
        <w:tc>
          <w:tcPr>
            <w:tcW w:w="810" w:type="dxa"/>
            <w:tcBorders>
              <w:top w:val="single" w:sz="4" w:space="0" w:color="auto"/>
              <w:left w:val="nil"/>
              <w:bottom w:val="single" w:sz="4" w:space="0" w:color="auto"/>
              <w:right w:val="single" w:sz="4" w:space="0" w:color="auto"/>
            </w:tcBorders>
            <w:shd w:val="clear" w:color="auto" w:fill="auto"/>
            <w:vAlign w:val="center"/>
          </w:tcPr>
          <w:p w14:paraId="00FFB81F" w14:textId="32677881" w:rsidR="006F3AC4" w:rsidRPr="00C3312E" w:rsidRDefault="006F3AC4" w:rsidP="006F3AC4">
            <w:pPr>
              <w:spacing w:after="0" w:line="240" w:lineRule="auto"/>
              <w:jc w:val="center"/>
              <w:rPr>
                <w:rFonts w:cstheme="minorHAnsi"/>
                <w:sz w:val="20"/>
                <w:szCs w:val="20"/>
              </w:rPr>
            </w:pPr>
            <w:r w:rsidRPr="00C3312E">
              <w:rPr>
                <w:rFonts w:cstheme="minorHAnsi"/>
                <w:sz w:val="20"/>
                <w:szCs w:val="20"/>
              </w:rPr>
              <w:t>63%</w:t>
            </w:r>
          </w:p>
        </w:tc>
        <w:tc>
          <w:tcPr>
            <w:tcW w:w="810" w:type="dxa"/>
            <w:tcBorders>
              <w:top w:val="single" w:sz="4" w:space="0" w:color="auto"/>
              <w:left w:val="nil"/>
              <w:bottom w:val="single" w:sz="4" w:space="0" w:color="auto"/>
              <w:right w:val="single" w:sz="4" w:space="0" w:color="auto"/>
            </w:tcBorders>
            <w:shd w:val="clear" w:color="auto" w:fill="auto"/>
            <w:vAlign w:val="center"/>
          </w:tcPr>
          <w:p w14:paraId="6D473B3A" w14:textId="4686B971"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58%</w:t>
            </w:r>
          </w:p>
        </w:tc>
        <w:tc>
          <w:tcPr>
            <w:tcW w:w="918" w:type="dxa"/>
            <w:tcBorders>
              <w:top w:val="single" w:sz="4" w:space="0" w:color="auto"/>
              <w:left w:val="nil"/>
              <w:bottom w:val="single" w:sz="4" w:space="0" w:color="auto"/>
              <w:right w:val="single" w:sz="4" w:space="0" w:color="auto"/>
            </w:tcBorders>
            <w:shd w:val="clear" w:color="auto" w:fill="auto"/>
            <w:vAlign w:val="bottom"/>
          </w:tcPr>
          <w:p w14:paraId="60B8023A" w14:textId="3984EFF4" w:rsidR="006F3AC4" w:rsidRPr="00C3312E" w:rsidRDefault="006F3AC4" w:rsidP="006F3AC4">
            <w:pPr>
              <w:spacing w:after="0" w:line="240" w:lineRule="auto"/>
              <w:jc w:val="center"/>
              <w:rPr>
                <w:rFonts w:cstheme="minorHAnsi"/>
                <w:sz w:val="20"/>
                <w:szCs w:val="20"/>
              </w:rPr>
            </w:pPr>
            <w:r w:rsidRPr="00C3312E">
              <w:rPr>
                <w:rFonts w:cstheme="minorHAnsi"/>
                <w:sz w:val="20"/>
                <w:szCs w:val="20"/>
              </w:rPr>
              <w:t>0%</w:t>
            </w:r>
          </w:p>
        </w:tc>
      </w:tr>
      <w:tr w:rsidR="006F3AC4" w:rsidRPr="00C3312E" w14:paraId="668E86E0" w14:textId="77777777" w:rsidTr="00697F37">
        <w:trPr>
          <w:trHeight w:val="28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52B5D504" w14:textId="681144A8" w:rsidR="006F3AC4" w:rsidRPr="00C3312E" w:rsidRDefault="006F3AC4" w:rsidP="006F3AC4">
            <w:pPr>
              <w:spacing w:after="0" w:line="240" w:lineRule="auto"/>
              <w:rPr>
                <w:rFonts w:cstheme="minorHAnsi"/>
                <w:sz w:val="20"/>
                <w:szCs w:val="20"/>
              </w:rPr>
            </w:pPr>
            <w:r w:rsidRPr="00C3312E">
              <w:rPr>
                <w:rFonts w:cstheme="minorHAnsi"/>
                <w:sz w:val="20"/>
                <w:szCs w:val="20"/>
              </w:rPr>
              <w:t>EL</w:t>
            </w:r>
          </w:p>
        </w:tc>
        <w:tc>
          <w:tcPr>
            <w:tcW w:w="900" w:type="dxa"/>
            <w:tcBorders>
              <w:top w:val="single" w:sz="4" w:space="0" w:color="auto"/>
              <w:left w:val="nil"/>
              <w:bottom w:val="single" w:sz="4" w:space="0" w:color="auto"/>
              <w:right w:val="single" w:sz="4" w:space="0" w:color="auto"/>
            </w:tcBorders>
            <w:shd w:val="clear" w:color="auto" w:fill="auto"/>
            <w:vAlign w:val="center"/>
          </w:tcPr>
          <w:p w14:paraId="24B9DDA9" w14:textId="70A44939" w:rsidR="006F3AC4" w:rsidRPr="00C3312E" w:rsidRDefault="006F3AC4" w:rsidP="006F3AC4">
            <w:pPr>
              <w:spacing w:after="0" w:line="240" w:lineRule="auto"/>
              <w:jc w:val="center"/>
              <w:rPr>
                <w:rFonts w:cstheme="minorHAnsi"/>
                <w:sz w:val="20"/>
                <w:szCs w:val="20"/>
              </w:rPr>
            </w:pPr>
            <w:r w:rsidRPr="00C3312E">
              <w:rPr>
                <w:rFonts w:cstheme="minorHAnsi"/>
                <w:sz w:val="20"/>
                <w:szCs w:val="20"/>
              </w:rPr>
              <w:t>49</w:t>
            </w:r>
          </w:p>
        </w:tc>
        <w:tc>
          <w:tcPr>
            <w:tcW w:w="885" w:type="dxa"/>
            <w:tcBorders>
              <w:top w:val="single" w:sz="4" w:space="0" w:color="auto"/>
              <w:left w:val="nil"/>
              <w:bottom w:val="single" w:sz="4" w:space="0" w:color="auto"/>
              <w:right w:val="single" w:sz="4" w:space="0" w:color="auto"/>
            </w:tcBorders>
            <w:shd w:val="clear" w:color="auto" w:fill="auto"/>
            <w:vAlign w:val="center"/>
          </w:tcPr>
          <w:p w14:paraId="097962C1" w14:textId="699A0B56"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52%</w:t>
            </w:r>
          </w:p>
        </w:tc>
        <w:tc>
          <w:tcPr>
            <w:tcW w:w="1005" w:type="dxa"/>
            <w:tcBorders>
              <w:top w:val="single" w:sz="4" w:space="0" w:color="auto"/>
              <w:left w:val="nil"/>
              <w:bottom w:val="single" w:sz="4" w:space="0" w:color="auto"/>
              <w:right w:val="single" w:sz="4" w:space="0" w:color="auto"/>
            </w:tcBorders>
            <w:shd w:val="clear" w:color="auto" w:fill="auto"/>
            <w:vAlign w:val="center"/>
          </w:tcPr>
          <w:p w14:paraId="10CE4F19" w14:textId="55B1D75B" w:rsidR="006F3AC4" w:rsidRPr="00C3312E" w:rsidRDefault="006F3AC4" w:rsidP="006F3AC4">
            <w:pPr>
              <w:spacing w:after="0" w:line="240" w:lineRule="auto"/>
              <w:jc w:val="center"/>
              <w:rPr>
                <w:rFonts w:cstheme="minorHAnsi"/>
                <w:sz w:val="20"/>
                <w:szCs w:val="20"/>
              </w:rPr>
            </w:pPr>
            <w:r w:rsidRPr="00C3312E">
              <w:rPr>
                <w:rFonts w:cstheme="minorHAnsi"/>
                <w:sz w:val="20"/>
                <w:szCs w:val="20"/>
              </w:rPr>
              <w:t>59%</w:t>
            </w:r>
          </w:p>
        </w:tc>
        <w:tc>
          <w:tcPr>
            <w:tcW w:w="810" w:type="dxa"/>
            <w:tcBorders>
              <w:top w:val="single" w:sz="4" w:space="0" w:color="auto"/>
              <w:left w:val="nil"/>
              <w:bottom w:val="single" w:sz="4" w:space="0" w:color="auto"/>
              <w:right w:val="single" w:sz="4" w:space="0" w:color="auto"/>
            </w:tcBorders>
            <w:shd w:val="clear" w:color="auto" w:fill="auto"/>
            <w:vAlign w:val="center"/>
          </w:tcPr>
          <w:p w14:paraId="55BD2269" w14:textId="229F943A" w:rsidR="006F3AC4" w:rsidRPr="00C3312E" w:rsidRDefault="006F3AC4" w:rsidP="006F3AC4">
            <w:pPr>
              <w:spacing w:after="0" w:line="240" w:lineRule="auto"/>
              <w:jc w:val="center"/>
              <w:rPr>
                <w:rFonts w:cstheme="minorHAnsi"/>
                <w:sz w:val="20"/>
                <w:szCs w:val="20"/>
              </w:rPr>
            </w:pPr>
            <w:r w:rsidRPr="00C3312E">
              <w:rPr>
                <w:rFonts w:cstheme="minorHAnsi"/>
                <w:sz w:val="20"/>
                <w:szCs w:val="20"/>
              </w:rPr>
              <w:t>35%</w:t>
            </w:r>
          </w:p>
        </w:tc>
        <w:tc>
          <w:tcPr>
            <w:tcW w:w="810" w:type="dxa"/>
            <w:tcBorders>
              <w:top w:val="single" w:sz="4" w:space="0" w:color="auto"/>
              <w:left w:val="nil"/>
              <w:bottom w:val="single" w:sz="4" w:space="0" w:color="auto"/>
              <w:right w:val="single" w:sz="4" w:space="0" w:color="auto"/>
            </w:tcBorders>
            <w:shd w:val="clear" w:color="auto" w:fill="auto"/>
            <w:vAlign w:val="center"/>
          </w:tcPr>
          <w:p w14:paraId="53DDF60D" w14:textId="5F064A90" w:rsidR="006F3AC4" w:rsidRPr="00C3312E" w:rsidRDefault="006F3AC4" w:rsidP="006F3AC4">
            <w:pPr>
              <w:spacing w:after="0" w:line="240" w:lineRule="auto"/>
              <w:jc w:val="center"/>
              <w:rPr>
                <w:rFonts w:cstheme="minorHAnsi"/>
                <w:sz w:val="20"/>
                <w:szCs w:val="20"/>
              </w:rPr>
            </w:pPr>
            <w:r w:rsidRPr="00C3312E">
              <w:rPr>
                <w:rFonts w:cstheme="minorHAnsi"/>
                <w:sz w:val="20"/>
                <w:szCs w:val="20"/>
              </w:rPr>
              <w:t>49%</w:t>
            </w:r>
          </w:p>
        </w:tc>
        <w:tc>
          <w:tcPr>
            <w:tcW w:w="918" w:type="dxa"/>
            <w:tcBorders>
              <w:top w:val="single" w:sz="4" w:space="0" w:color="auto"/>
              <w:left w:val="nil"/>
              <w:bottom w:val="single" w:sz="4" w:space="0" w:color="auto"/>
              <w:right w:val="single" w:sz="4" w:space="0" w:color="auto"/>
            </w:tcBorders>
            <w:shd w:val="clear" w:color="auto" w:fill="auto"/>
            <w:vAlign w:val="bottom"/>
          </w:tcPr>
          <w:p w14:paraId="05353DBF" w14:textId="0F6759D2" w:rsidR="006F3AC4" w:rsidRPr="00C3312E" w:rsidRDefault="006F3AC4" w:rsidP="006F3AC4">
            <w:pPr>
              <w:spacing w:after="0" w:line="240" w:lineRule="auto"/>
              <w:jc w:val="center"/>
              <w:rPr>
                <w:rFonts w:cstheme="minorHAnsi"/>
                <w:sz w:val="20"/>
                <w:szCs w:val="20"/>
              </w:rPr>
            </w:pPr>
            <w:r w:rsidRPr="00C3312E">
              <w:rPr>
                <w:rFonts w:cstheme="minorHAnsi"/>
                <w:sz w:val="20"/>
                <w:szCs w:val="20"/>
              </w:rPr>
              <w:t>-3%</w:t>
            </w:r>
          </w:p>
        </w:tc>
      </w:tr>
    </w:tbl>
    <w:p w14:paraId="65DDADC4" w14:textId="77777777" w:rsidR="00C3312E" w:rsidRPr="00C3312E" w:rsidRDefault="00C3312E" w:rsidP="00C3312E">
      <w:pPr>
        <w:spacing w:after="0" w:line="240" w:lineRule="auto"/>
      </w:pPr>
    </w:p>
    <w:p w14:paraId="04603796" w14:textId="77777777" w:rsidR="00C3312E" w:rsidRPr="00C3312E" w:rsidRDefault="00C3312E" w:rsidP="00C3312E">
      <w:pPr>
        <w:spacing w:after="0" w:line="240" w:lineRule="auto"/>
      </w:pPr>
    </w:p>
    <w:p w14:paraId="7A4120DF" w14:textId="77777777" w:rsidR="00C3312E" w:rsidRPr="00C3312E" w:rsidRDefault="00C3312E" w:rsidP="00C3312E">
      <w:pPr>
        <w:spacing w:after="0" w:line="240" w:lineRule="auto"/>
      </w:pPr>
    </w:p>
    <w:p w14:paraId="2F9711BC" w14:textId="77777777" w:rsidR="00C3312E" w:rsidRPr="00C3312E" w:rsidRDefault="00C3312E" w:rsidP="00C3312E">
      <w:pPr>
        <w:spacing w:after="0" w:line="240" w:lineRule="auto"/>
      </w:pPr>
    </w:p>
    <w:tbl>
      <w:tblPr>
        <w:tblStyle w:val="TableGrid5"/>
        <w:tblW w:w="9558" w:type="dxa"/>
        <w:tblLayout w:type="fixed"/>
        <w:tblLook w:val="04A0" w:firstRow="1" w:lastRow="0" w:firstColumn="1" w:lastColumn="0" w:noHBand="0" w:noVBand="1"/>
        <w:tblCaption w:val="Table 22: Framingham Public Schools"/>
        <w:tblDescription w:val="Four-Year Cohort Graduation Rates by Student Group, 2015–2018&#10;"/>
      </w:tblPr>
      <w:tblGrid>
        <w:gridCol w:w="2718"/>
        <w:gridCol w:w="977"/>
        <w:gridCol w:w="977"/>
        <w:gridCol w:w="977"/>
        <w:gridCol w:w="977"/>
        <w:gridCol w:w="977"/>
        <w:gridCol w:w="977"/>
        <w:gridCol w:w="978"/>
      </w:tblGrid>
      <w:tr w:rsidR="00C3312E" w:rsidRPr="00C3312E" w14:paraId="12B48119" w14:textId="77777777" w:rsidTr="00A66217">
        <w:tc>
          <w:tcPr>
            <w:tcW w:w="9558" w:type="dxa"/>
            <w:gridSpan w:val="8"/>
            <w:tcBorders>
              <w:top w:val="nil"/>
              <w:left w:val="nil"/>
              <w:right w:val="nil"/>
            </w:tcBorders>
            <w:shd w:val="clear" w:color="auto" w:fill="auto"/>
          </w:tcPr>
          <w:p w14:paraId="5190238D" w14:textId="77777777" w:rsidR="00C3312E" w:rsidRPr="00C3312E" w:rsidRDefault="00C3312E" w:rsidP="00C3312E">
            <w:pPr>
              <w:spacing w:after="0" w:line="240" w:lineRule="auto"/>
              <w:jc w:val="center"/>
              <w:rPr>
                <w:b/>
                <w:sz w:val="20"/>
                <w:szCs w:val="20"/>
              </w:rPr>
            </w:pPr>
            <w:r w:rsidRPr="00C3312E">
              <w:rPr>
                <w:b/>
                <w:sz w:val="20"/>
                <w:szCs w:val="20"/>
              </w:rPr>
              <w:t xml:space="preserve">Table 22: </w:t>
            </w:r>
            <w:r w:rsidRPr="00C3312E">
              <w:rPr>
                <w:rFonts w:cs="Times New Roman"/>
                <w:b/>
                <w:sz w:val="20"/>
                <w:szCs w:val="20"/>
              </w:rPr>
              <w:t>Framingham Public Schools</w:t>
            </w:r>
          </w:p>
          <w:p w14:paraId="21B0B24A" w14:textId="3D86A220" w:rsidR="00C3312E" w:rsidRPr="00C3312E" w:rsidRDefault="00C3312E" w:rsidP="00013D3E">
            <w:pPr>
              <w:spacing w:after="0" w:line="240" w:lineRule="auto"/>
              <w:jc w:val="center"/>
              <w:rPr>
                <w:b/>
              </w:rPr>
            </w:pPr>
            <w:r w:rsidRPr="00C3312E">
              <w:rPr>
                <w:b/>
                <w:sz w:val="20"/>
                <w:szCs w:val="20"/>
              </w:rPr>
              <w:t>Four-Year Cohort Graduation Rates</w:t>
            </w:r>
            <w:r w:rsidR="00BF78C0">
              <w:rPr>
                <w:b/>
                <w:sz w:val="20"/>
                <w:szCs w:val="20"/>
              </w:rPr>
              <w:t xml:space="preserve"> by Student Group</w:t>
            </w:r>
            <w:r w:rsidRPr="00C3312E">
              <w:rPr>
                <w:b/>
                <w:sz w:val="20"/>
                <w:szCs w:val="20"/>
              </w:rPr>
              <w:t>, 2015</w:t>
            </w:r>
            <w:r w:rsidR="00013D3E">
              <w:rPr>
                <w:b/>
                <w:sz w:val="20"/>
                <w:szCs w:val="20"/>
              </w:rPr>
              <w:t>–</w:t>
            </w:r>
            <w:r w:rsidRPr="00C3312E">
              <w:rPr>
                <w:b/>
                <w:sz w:val="20"/>
                <w:szCs w:val="20"/>
              </w:rPr>
              <w:t>2018</w:t>
            </w:r>
          </w:p>
        </w:tc>
      </w:tr>
      <w:tr w:rsidR="00C3312E" w:rsidRPr="00C3312E" w14:paraId="35D3739E" w14:textId="77777777" w:rsidTr="00A66217">
        <w:tc>
          <w:tcPr>
            <w:tcW w:w="2718" w:type="dxa"/>
            <w:shd w:val="clear" w:color="auto" w:fill="BFBFBF" w:themeFill="background1" w:themeFillShade="BF"/>
            <w:vAlign w:val="center"/>
          </w:tcPr>
          <w:p w14:paraId="31C9691C" w14:textId="77777777" w:rsidR="00C3312E" w:rsidRPr="00C3312E" w:rsidRDefault="00C3312E" w:rsidP="00A66217">
            <w:pPr>
              <w:spacing w:after="0" w:line="240" w:lineRule="auto"/>
              <w:rPr>
                <w:b/>
                <w:sz w:val="20"/>
                <w:szCs w:val="20"/>
              </w:rPr>
            </w:pPr>
            <w:r w:rsidRPr="00C3312E">
              <w:rPr>
                <w:b/>
                <w:sz w:val="20"/>
                <w:szCs w:val="20"/>
              </w:rPr>
              <w:t>Group</w:t>
            </w:r>
          </w:p>
        </w:tc>
        <w:tc>
          <w:tcPr>
            <w:tcW w:w="977" w:type="dxa"/>
            <w:shd w:val="clear" w:color="auto" w:fill="BFBFBF" w:themeFill="background1" w:themeFillShade="BF"/>
            <w:vAlign w:val="center"/>
          </w:tcPr>
          <w:p w14:paraId="16D22686" w14:textId="77777777" w:rsidR="00C3312E" w:rsidRPr="00C3312E" w:rsidRDefault="00C3312E" w:rsidP="00A66217">
            <w:pPr>
              <w:spacing w:after="0" w:line="240" w:lineRule="auto"/>
              <w:jc w:val="center"/>
              <w:rPr>
                <w:b/>
                <w:sz w:val="20"/>
                <w:szCs w:val="20"/>
              </w:rPr>
            </w:pPr>
            <w:r w:rsidRPr="00C3312E">
              <w:rPr>
                <w:b/>
                <w:sz w:val="20"/>
                <w:szCs w:val="20"/>
              </w:rPr>
              <w:t>N</w:t>
            </w:r>
          </w:p>
          <w:p w14:paraId="171CA3DF" w14:textId="721C8E06" w:rsidR="00C3312E" w:rsidRPr="00C3312E" w:rsidRDefault="00C3312E" w:rsidP="00A66217">
            <w:pPr>
              <w:spacing w:after="0" w:line="240" w:lineRule="auto"/>
              <w:jc w:val="center"/>
              <w:rPr>
                <w:b/>
                <w:sz w:val="20"/>
                <w:szCs w:val="20"/>
              </w:rPr>
            </w:pPr>
            <w:r w:rsidRPr="00C3312E">
              <w:rPr>
                <w:b/>
                <w:sz w:val="20"/>
                <w:szCs w:val="20"/>
              </w:rPr>
              <w:t>(2018)</w:t>
            </w:r>
          </w:p>
        </w:tc>
        <w:tc>
          <w:tcPr>
            <w:tcW w:w="977" w:type="dxa"/>
            <w:shd w:val="clear" w:color="auto" w:fill="BFBFBF" w:themeFill="background1" w:themeFillShade="BF"/>
            <w:vAlign w:val="center"/>
          </w:tcPr>
          <w:p w14:paraId="40C75689" w14:textId="77777777" w:rsidR="00C3312E" w:rsidRPr="00C3312E" w:rsidRDefault="00C3312E" w:rsidP="00A66217">
            <w:pPr>
              <w:spacing w:after="0" w:line="240" w:lineRule="auto"/>
              <w:jc w:val="center"/>
              <w:rPr>
                <w:b/>
                <w:sz w:val="20"/>
                <w:szCs w:val="20"/>
              </w:rPr>
            </w:pPr>
            <w:r w:rsidRPr="00C3312E">
              <w:rPr>
                <w:b/>
                <w:sz w:val="20"/>
                <w:szCs w:val="20"/>
              </w:rPr>
              <w:t>2015</w:t>
            </w:r>
          </w:p>
        </w:tc>
        <w:tc>
          <w:tcPr>
            <w:tcW w:w="977" w:type="dxa"/>
            <w:shd w:val="clear" w:color="auto" w:fill="BFBFBF" w:themeFill="background1" w:themeFillShade="BF"/>
            <w:vAlign w:val="center"/>
          </w:tcPr>
          <w:p w14:paraId="3A4FAC46" w14:textId="77777777" w:rsidR="00C3312E" w:rsidRPr="00C3312E" w:rsidRDefault="00C3312E" w:rsidP="00A66217">
            <w:pPr>
              <w:spacing w:after="0" w:line="240" w:lineRule="auto"/>
              <w:jc w:val="center"/>
              <w:rPr>
                <w:b/>
                <w:sz w:val="20"/>
                <w:szCs w:val="20"/>
              </w:rPr>
            </w:pPr>
            <w:r w:rsidRPr="00C3312E">
              <w:rPr>
                <w:b/>
                <w:sz w:val="20"/>
                <w:szCs w:val="20"/>
              </w:rPr>
              <w:t>2016</w:t>
            </w:r>
          </w:p>
        </w:tc>
        <w:tc>
          <w:tcPr>
            <w:tcW w:w="977" w:type="dxa"/>
            <w:shd w:val="clear" w:color="auto" w:fill="BFBFBF" w:themeFill="background1" w:themeFillShade="BF"/>
            <w:vAlign w:val="center"/>
          </w:tcPr>
          <w:p w14:paraId="1D90BF7D" w14:textId="77777777" w:rsidR="00C3312E" w:rsidRPr="00C3312E" w:rsidRDefault="00C3312E" w:rsidP="00A66217">
            <w:pPr>
              <w:spacing w:after="0" w:line="240" w:lineRule="auto"/>
              <w:jc w:val="center"/>
              <w:rPr>
                <w:b/>
                <w:sz w:val="20"/>
                <w:szCs w:val="20"/>
              </w:rPr>
            </w:pPr>
            <w:r w:rsidRPr="00C3312E">
              <w:rPr>
                <w:b/>
                <w:sz w:val="20"/>
                <w:szCs w:val="20"/>
              </w:rPr>
              <w:t>2017</w:t>
            </w:r>
          </w:p>
        </w:tc>
        <w:tc>
          <w:tcPr>
            <w:tcW w:w="977" w:type="dxa"/>
            <w:shd w:val="clear" w:color="auto" w:fill="BFBFBF" w:themeFill="background1" w:themeFillShade="BF"/>
            <w:vAlign w:val="center"/>
          </w:tcPr>
          <w:p w14:paraId="550EF1E1" w14:textId="77777777" w:rsidR="00C3312E" w:rsidRPr="00C3312E" w:rsidRDefault="00C3312E" w:rsidP="00A66217">
            <w:pPr>
              <w:spacing w:after="0" w:line="240" w:lineRule="auto"/>
              <w:jc w:val="center"/>
              <w:rPr>
                <w:b/>
                <w:sz w:val="20"/>
                <w:szCs w:val="20"/>
              </w:rPr>
            </w:pPr>
            <w:r w:rsidRPr="00C3312E">
              <w:rPr>
                <w:b/>
                <w:sz w:val="20"/>
                <w:szCs w:val="20"/>
              </w:rPr>
              <w:t>2018</w:t>
            </w:r>
          </w:p>
        </w:tc>
        <w:tc>
          <w:tcPr>
            <w:tcW w:w="977" w:type="dxa"/>
            <w:shd w:val="clear" w:color="auto" w:fill="BFBFBF" w:themeFill="background1" w:themeFillShade="BF"/>
            <w:vAlign w:val="center"/>
          </w:tcPr>
          <w:p w14:paraId="39622BEA" w14:textId="77777777" w:rsidR="00C3312E" w:rsidRPr="00C3312E" w:rsidRDefault="00C3312E" w:rsidP="00A66217">
            <w:pPr>
              <w:spacing w:after="0" w:line="240" w:lineRule="auto"/>
              <w:jc w:val="center"/>
              <w:rPr>
                <w:b/>
                <w:sz w:val="20"/>
                <w:szCs w:val="20"/>
              </w:rPr>
            </w:pPr>
            <w:r w:rsidRPr="00C3312E">
              <w:rPr>
                <w:b/>
                <w:sz w:val="20"/>
                <w:szCs w:val="20"/>
              </w:rPr>
              <w:t>4-yr Change</w:t>
            </w:r>
          </w:p>
        </w:tc>
        <w:tc>
          <w:tcPr>
            <w:tcW w:w="978" w:type="dxa"/>
            <w:shd w:val="clear" w:color="auto" w:fill="BFBFBF" w:themeFill="background1" w:themeFillShade="BF"/>
            <w:vAlign w:val="center"/>
          </w:tcPr>
          <w:p w14:paraId="063B8E6C" w14:textId="77777777" w:rsidR="00C3312E" w:rsidRPr="00C3312E" w:rsidRDefault="00C3312E" w:rsidP="00A66217">
            <w:pPr>
              <w:spacing w:after="0" w:line="240" w:lineRule="auto"/>
              <w:jc w:val="center"/>
              <w:rPr>
                <w:b/>
                <w:sz w:val="20"/>
                <w:szCs w:val="20"/>
              </w:rPr>
            </w:pPr>
            <w:r w:rsidRPr="00C3312E">
              <w:rPr>
                <w:b/>
                <w:sz w:val="20"/>
                <w:szCs w:val="20"/>
              </w:rPr>
              <w:t>State (2018)</w:t>
            </w:r>
          </w:p>
        </w:tc>
      </w:tr>
      <w:tr w:rsidR="00C3312E" w:rsidRPr="00C3312E" w14:paraId="3DFC0537" w14:textId="77777777" w:rsidTr="00A66217">
        <w:tc>
          <w:tcPr>
            <w:tcW w:w="2718" w:type="dxa"/>
            <w:shd w:val="clear" w:color="auto" w:fill="auto"/>
          </w:tcPr>
          <w:p w14:paraId="0C073896"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977" w:type="dxa"/>
            <w:shd w:val="clear" w:color="auto" w:fill="auto"/>
          </w:tcPr>
          <w:p w14:paraId="0C129136" w14:textId="77777777" w:rsidR="00C3312E" w:rsidRPr="00C3312E" w:rsidRDefault="00C3312E" w:rsidP="00C3312E">
            <w:pPr>
              <w:spacing w:after="0" w:line="240" w:lineRule="auto"/>
              <w:jc w:val="center"/>
              <w:rPr>
                <w:sz w:val="20"/>
                <w:szCs w:val="20"/>
              </w:rPr>
            </w:pPr>
            <w:r w:rsidRPr="00C3312E">
              <w:rPr>
                <w:sz w:val="20"/>
                <w:szCs w:val="20"/>
              </w:rPr>
              <w:t>37</w:t>
            </w:r>
          </w:p>
        </w:tc>
        <w:tc>
          <w:tcPr>
            <w:tcW w:w="977" w:type="dxa"/>
            <w:shd w:val="clear" w:color="auto" w:fill="auto"/>
          </w:tcPr>
          <w:p w14:paraId="3F59795E" w14:textId="77777777" w:rsidR="00C3312E" w:rsidRPr="00C3312E" w:rsidRDefault="00C3312E" w:rsidP="00C3312E">
            <w:pPr>
              <w:spacing w:after="0" w:line="240" w:lineRule="auto"/>
              <w:jc w:val="center"/>
              <w:rPr>
                <w:sz w:val="20"/>
                <w:szCs w:val="20"/>
              </w:rPr>
            </w:pPr>
            <w:r w:rsidRPr="00C3312E">
              <w:rPr>
                <w:sz w:val="20"/>
                <w:szCs w:val="20"/>
              </w:rPr>
              <w:t>80.0</w:t>
            </w:r>
          </w:p>
        </w:tc>
        <w:tc>
          <w:tcPr>
            <w:tcW w:w="977" w:type="dxa"/>
            <w:shd w:val="clear" w:color="auto" w:fill="auto"/>
          </w:tcPr>
          <w:p w14:paraId="6691E031" w14:textId="77777777" w:rsidR="00C3312E" w:rsidRPr="00C3312E" w:rsidRDefault="00C3312E" w:rsidP="00C3312E">
            <w:pPr>
              <w:spacing w:after="0" w:line="240" w:lineRule="auto"/>
              <w:jc w:val="center"/>
              <w:rPr>
                <w:sz w:val="20"/>
                <w:szCs w:val="20"/>
              </w:rPr>
            </w:pPr>
            <w:r w:rsidRPr="00C3312E">
              <w:rPr>
                <w:sz w:val="20"/>
                <w:szCs w:val="20"/>
              </w:rPr>
              <w:t>67.4</w:t>
            </w:r>
          </w:p>
        </w:tc>
        <w:tc>
          <w:tcPr>
            <w:tcW w:w="977" w:type="dxa"/>
            <w:shd w:val="clear" w:color="auto" w:fill="auto"/>
          </w:tcPr>
          <w:p w14:paraId="055297DD" w14:textId="77777777" w:rsidR="00C3312E" w:rsidRPr="00C3312E" w:rsidRDefault="00C3312E" w:rsidP="00C3312E">
            <w:pPr>
              <w:spacing w:after="0" w:line="240" w:lineRule="auto"/>
              <w:jc w:val="center"/>
              <w:rPr>
                <w:sz w:val="20"/>
                <w:szCs w:val="20"/>
              </w:rPr>
            </w:pPr>
            <w:r w:rsidRPr="00C3312E">
              <w:rPr>
                <w:sz w:val="20"/>
                <w:szCs w:val="20"/>
              </w:rPr>
              <w:t>74.5</w:t>
            </w:r>
          </w:p>
        </w:tc>
        <w:tc>
          <w:tcPr>
            <w:tcW w:w="977" w:type="dxa"/>
            <w:shd w:val="clear" w:color="auto" w:fill="auto"/>
          </w:tcPr>
          <w:p w14:paraId="4C98A784" w14:textId="77777777" w:rsidR="00C3312E" w:rsidRPr="00C3312E" w:rsidRDefault="00C3312E" w:rsidP="00C3312E">
            <w:pPr>
              <w:spacing w:after="0" w:line="240" w:lineRule="auto"/>
              <w:jc w:val="center"/>
              <w:rPr>
                <w:sz w:val="20"/>
                <w:szCs w:val="20"/>
              </w:rPr>
            </w:pPr>
            <w:r w:rsidRPr="00C3312E">
              <w:rPr>
                <w:sz w:val="20"/>
                <w:szCs w:val="20"/>
              </w:rPr>
              <w:t>70.3</w:t>
            </w:r>
          </w:p>
        </w:tc>
        <w:tc>
          <w:tcPr>
            <w:tcW w:w="977" w:type="dxa"/>
            <w:shd w:val="clear" w:color="auto" w:fill="auto"/>
          </w:tcPr>
          <w:p w14:paraId="175F4F91" w14:textId="77777777" w:rsidR="00C3312E" w:rsidRPr="00C3312E" w:rsidRDefault="00C3312E" w:rsidP="00C3312E">
            <w:pPr>
              <w:spacing w:after="0" w:line="240" w:lineRule="auto"/>
              <w:jc w:val="center"/>
              <w:rPr>
                <w:sz w:val="20"/>
                <w:szCs w:val="20"/>
              </w:rPr>
            </w:pPr>
            <w:r w:rsidRPr="00C3312E">
              <w:rPr>
                <w:sz w:val="20"/>
                <w:szCs w:val="20"/>
              </w:rPr>
              <w:t>-9.7</w:t>
            </w:r>
          </w:p>
        </w:tc>
        <w:tc>
          <w:tcPr>
            <w:tcW w:w="978" w:type="dxa"/>
            <w:shd w:val="clear" w:color="auto" w:fill="auto"/>
          </w:tcPr>
          <w:p w14:paraId="3E7C34A2" w14:textId="77777777" w:rsidR="00C3312E" w:rsidRPr="00C3312E" w:rsidRDefault="00C3312E" w:rsidP="00C3312E">
            <w:pPr>
              <w:spacing w:after="0" w:line="240" w:lineRule="auto"/>
              <w:jc w:val="center"/>
              <w:rPr>
                <w:sz w:val="20"/>
                <w:szCs w:val="20"/>
              </w:rPr>
            </w:pPr>
            <w:r w:rsidRPr="00C3312E">
              <w:rPr>
                <w:sz w:val="20"/>
                <w:szCs w:val="20"/>
              </w:rPr>
              <w:t>80.1</w:t>
            </w:r>
          </w:p>
        </w:tc>
      </w:tr>
      <w:tr w:rsidR="00C3312E" w:rsidRPr="00C3312E" w14:paraId="31534E95" w14:textId="77777777" w:rsidTr="00A66217">
        <w:tc>
          <w:tcPr>
            <w:tcW w:w="2718" w:type="dxa"/>
            <w:shd w:val="clear" w:color="auto" w:fill="BFBFBF" w:themeFill="background1" w:themeFillShade="BF"/>
          </w:tcPr>
          <w:p w14:paraId="0860EB12"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977" w:type="dxa"/>
            <w:shd w:val="clear" w:color="auto" w:fill="BFBFBF" w:themeFill="background1" w:themeFillShade="BF"/>
          </w:tcPr>
          <w:p w14:paraId="0926CE16" w14:textId="77777777" w:rsidR="00C3312E" w:rsidRPr="00C3312E" w:rsidRDefault="00C3312E" w:rsidP="00C3312E">
            <w:pPr>
              <w:spacing w:after="0" w:line="240" w:lineRule="auto"/>
              <w:jc w:val="center"/>
              <w:rPr>
                <w:sz w:val="20"/>
                <w:szCs w:val="20"/>
              </w:rPr>
            </w:pPr>
            <w:r w:rsidRPr="00C3312E">
              <w:rPr>
                <w:sz w:val="20"/>
                <w:szCs w:val="20"/>
              </w:rPr>
              <w:t>34</w:t>
            </w:r>
          </w:p>
        </w:tc>
        <w:tc>
          <w:tcPr>
            <w:tcW w:w="977" w:type="dxa"/>
            <w:shd w:val="clear" w:color="auto" w:fill="BFBFBF" w:themeFill="background1" w:themeFillShade="BF"/>
          </w:tcPr>
          <w:p w14:paraId="30BCCC7A" w14:textId="77777777" w:rsidR="00C3312E" w:rsidRPr="00C3312E" w:rsidRDefault="00C3312E" w:rsidP="00C3312E">
            <w:pPr>
              <w:spacing w:after="0" w:line="240" w:lineRule="auto"/>
              <w:jc w:val="center"/>
              <w:rPr>
                <w:sz w:val="20"/>
                <w:szCs w:val="20"/>
              </w:rPr>
            </w:pPr>
            <w:r w:rsidRPr="00C3312E">
              <w:rPr>
                <w:sz w:val="20"/>
                <w:szCs w:val="20"/>
              </w:rPr>
              <w:t>94.7</w:t>
            </w:r>
          </w:p>
        </w:tc>
        <w:tc>
          <w:tcPr>
            <w:tcW w:w="977" w:type="dxa"/>
            <w:shd w:val="clear" w:color="auto" w:fill="BFBFBF" w:themeFill="background1" w:themeFillShade="BF"/>
          </w:tcPr>
          <w:p w14:paraId="55FD3DC9" w14:textId="77777777" w:rsidR="00C3312E" w:rsidRPr="00C3312E" w:rsidRDefault="00C3312E" w:rsidP="00C3312E">
            <w:pPr>
              <w:spacing w:after="0" w:line="240" w:lineRule="auto"/>
              <w:jc w:val="center"/>
              <w:rPr>
                <w:sz w:val="20"/>
                <w:szCs w:val="20"/>
              </w:rPr>
            </w:pPr>
            <w:r w:rsidRPr="00C3312E">
              <w:rPr>
                <w:sz w:val="20"/>
                <w:szCs w:val="20"/>
              </w:rPr>
              <w:t>86.8</w:t>
            </w:r>
          </w:p>
        </w:tc>
        <w:tc>
          <w:tcPr>
            <w:tcW w:w="977" w:type="dxa"/>
            <w:shd w:val="clear" w:color="auto" w:fill="BFBFBF" w:themeFill="background1" w:themeFillShade="BF"/>
          </w:tcPr>
          <w:p w14:paraId="6F381D36" w14:textId="77777777" w:rsidR="00C3312E" w:rsidRPr="00C3312E" w:rsidRDefault="00C3312E" w:rsidP="00C3312E">
            <w:pPr>
              <w:spacing w:after="0" w:line="240" w:lineRule="auto"/>
              <w:jc w:val="center"/>
              <w:rPr>
                <w:sz w:val="20"/>
                <w:szCs w:val="20"/>
              </w:rPr>
            </w:pPr>
            <w:r w:rsidRPr="00C3312E">
              <w:rPr>
                <w:sz w:val="20"/>
                <w:szCs w:val="20"/>
              </w:rPr>
              <w:t>89.5</w:t>
            </w:r>
          </w:p>
        </w:tc>
        <w:tc>
          <w:tcPr>
            <w:tcW w:w="977" w:type="dxa"/>
            <w:shd w:val="clear" w:color="auto" w:fill="BFBFBF" w:themeFill="background1" w:themeFillShade="BF"/>
          </w:tcPr>
          <w:p w14:paraId="56C58E9C" w14:textId="77777777" w:rsidR="00C3312E" w:rsidRPr="00C3312E" w:rsidRDefault="00C3312E" w:rsidP="00C3312E">
            <w:pPr>
              <w:spacing w:after="0" w:line="240" w:lineRule="auto"/>
              <w:jc w:val="center"/>
              <w:rPr>
                <w:sz w:val="20"/>
                <w:szCs w:val="20"/>
              </w:rPr>
            </w:pPr>
            <w:r w:rsidRPr="00C3312E">
              <w:rPr>
                <w:sz w:val="20"/>
                <w:szCs w:val="20"/>
              </w:rPr>
              <w:t>94.1</w:t>
            </w:r>
          </w:p>
        </w:tc>
        <w:tc>
          <w:tcPr>
            <w:tcW w:w="977" w:type="dxa"/>
            <w:shd w:val="clear" w:color="auto" w:fill="BFBFBF" w:themeFill="background1" w:themeFillShade="BF"/>
          </w:tcPr>
          <w:p w14:paraId="73FCE962" w14:textId="77777777" w:rsidR="00C3312E" w:rsidRPr="00C3312E" w:rsidRDefault="00C3312E" w:rsidP="00C3312E">
            <w:pPr>
              <w:spacing w:after="0" w:line="240" w:lineRule="auto"/>
              <w:jc w:val="center"/>
              <w:rPr>
                <w:sz w:val="20"/>
                <w:szCs w:val="20"/>
              </w:rPr>
            </w:pPr>
            <w:r w:rsidRPr="00C3312E">
              <w:rPr>
                <w:sz w:val="20"/>
                <w:szCs w:val="20"/>
              </w:rPr>
              <w:t>-0.6</w:t>
            </w:r>
          </w:p>
        </w:tc>
        <w:tc>
          <w:tcPr>
            <w:tcW w:w="978" w:type="dxa"/>
            <w:shd w:val="clear" w:color="auto" w:fill="BFBFBF" w:themeFill="background1" w:themeFillShade="BF"/>
          </w:tcPr>
          <w:p w14:paraId="48925853" w14:textId="77777777" w:rsidR="00C3312E" w:rsidRPr="00C3312E" w:rsidRDefault="00C3312E" w:rsidP="00C3312E">
            <w:pPr>
              <w:spacing w:after="0" w:line="240" w:lineRule="auto"/>
              <w:jc w:val="center"/>
              <w:rPr>
                <w:sz w:val="20"/>
                <w:szCs w:val="20"/>
              </w:rPr>
            </w:pPr>
            <w:r w:rsidRPr="00C3312E">
              <w:rPr>
                <w:sz w:val="20"/>
                <w:szCs w:val="20"/>
              </w:rPr>
              <w:t>94.3</w:t>
            </w:r>
          </w:p>
        </w:tc>
      </w:tr>
      <w:tr w:rsidR="00C3312E" w:rsidRPr="00C3312E" w14:paraId="1D9C8D92" w14:textId="77777777" w:rsidTr="00A66217">
        <w:tc>
          <w:tcPr>
            <w:tcW w:w="2718" w:type="dxa"/>
            <w:shd w:val="clear" w:color="auto" w:fill="auto"/>
          </w:tcPr>
          <w:p w14:paraId="63FA6937"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977" w:type="dxa"/>
            <w:shd w:val="clear" w:color="auto" w:fill="auto"/>
          </w:tcPr>
          <w:p w14:paraId="18A360F0" w14:textId="77777777" w:rsidR="00C3312E" w:rsidRPr="00C3312E" w:rsidRDefault="00C3312E" w:rsidP="00C3312E">
            <w:pPr>
              <w:spacing w:after="0" w:line="240" w:lineRule="auto"/>
              <w:jc w:val="center"/>
              <w:rPr>
                <w:sz w:val="20"/>
                <w:szCs w:val="20"/>
              </w:rPr>
            </w:pPr>
            <w:r w:rsidRPr="00C3312E">
              <w:rPr>
                <w:sz w:val="20"/>
                <w:szCs w:val="20"/>
              </w:rPr>
              <w:t>118</w:t>
            </w:r>
          </w:p>
        </w:tc>
        <w:tc>
          <w:tcPr>
            <w:tcW w:w="977" w:type="dxa"/>
            <w:shd w:val="clear" w:color="auto" w:fill="auto"/>
          </w:tcPr>
          <w:p w14:paraId="4ECA97A0" w14:textId="77777777" w:rsidR="00C3312E" w:rsidRPr="00C3312E" w:rsidRDefault="00C3312E" w:rsidP="00C3312E">
            <w:pPr>
              <w:spacing w:after="0" w:line="240" w:lineRule="auto"/>
              <w:jc w:val="center"/>
              <w:rPr>
                <w:sz w:val="20"/>
                <w:szCs w:val="20"/>
              </w:rPr>
            </w:pPr>
            <w:r w:rsidRPr="00C3312E">
              <w:rPr>
                <w:sz w:val="20"/>
                <w:szCs w:val="20"/>
              </w:rPr>
              <w:t>67.6</w:t>
            </w:r>
          </w:p>
        </w:tc>
        <w:tc>
          <w:tcPr>
            <w:tcW w:w="977" w:type="dxa"/>
            <w:shd w:val="clear" w:color="auto" w:fill="auto"/>
          </w:tcPr>
          <w:p w14:paraId="4D27B70E" w14:textId="77777777" w:rsidR="00C3312E" w:rsidRPr="00C3312E" w:rsidRDefault="00C3312E" w:rsidP="00C3312E">
            <w:pPr>
              <w:spacing w:after="0" w:line="240" w:lineRule="auto"/>
              <w:jc w:val="center"/>
              <w:rPr>
                <w:sz w:val="20"/>
                <w:szCs w:val="20"/>
              </w:rPr>
            </w:pPr>
            <w:r w:rsidRPr="00C3312E">
              <w:rPr>
                <w:sz w:val="20"/>
                <w:szCs w:val="20"/>
              </w:rPr>
              <w:t>66.7</w:t>
            </w:r>
          </w:p>
        </w:tc>
        <w:tc>
          <w:tcPr>
            <w:tcW w:w="977" w:type="dxa"/>
            <w:shd w:val="clear" w:color="auto" w:fill="auto"/>
          </w:tcPr>
          <w:p w14:paraId="07A67D70" w14:textId="77777777" w:rsidR="00C3312E" w:rsidRPr="00C3312E" w:rsidRDefault="00C3312E" w:rsidP="00C3312E">
            <w:pPr>
              <w:spacing w:after="0" w:line="240" w:lineRule="auto"/>
              <w:jc w:val="center"/>
              <w:rPr>
                <w:sz w:val="20"/>
                <w:szCs w:val="20"/>
              </w:rPr>
            </w:pPr>
            <w:r w:rsidRPr="00C3312E">
              <w:rPr>
                <w:sz w:val="20"/>
                <w:szCs w:val="20"/>
              </w:rPr>
              <w:t>68.0</w:t>
            </w:r>
          </w:p>
        </w:tc>
        <w:tc>
          <w:tcPr>
            <w:tcW w:w="977" w:type="dxa"/>
            <w:shd w:val="clear" w:color="auto" w:fill="auto"/>
          </w:tcPr>
          <w:p w14:paraId="1926F400" w14:textId="77777777" w:rsidR="00C3312E" w:rsidRPr="00C3312E" w:rsidRDefault="00C3312E" w:rsidP="00C3312E">
            <w:pPr>
              <w:spacing w:after="0" w:line="240" w:lineRule="auto"/>
              <w:jc w:val="center"/>
              <w:rPr>
                <w:sz w:val="20"/>
                <w:szCs w:val="20"/>
              </w:rPr>
            </w:pPr>
            <w:r w:rsidRPr="00C3312E">
              <w:rPr>
                <w:sz w:val="20"/>
                <w:szCs w:val="20"/>
              </w:rPr>
              <w:t>63.6</w:t>
            </w:r>
          </w:p>
        </w:tc>
        <w:tc>
          <w:tcPr>
            <w:tcW w:w="977" w:type="dxa"/>
            <w:shd w:val="clear" w:color="auto" w:fill="auto"/>
          </w:tcPr>
          <w:p w14:paraId="066B7454" w14:textId="77777777" w:rsidR="00C3312E" w:rsidRPr="00C3312E" w:rsidRDefault="00C3312E" w:rsidP="00C3312E">
            <w:pPr>
              <w:spacing w:after="0" w:line="240" w:lineRule="auto"/>
              <w:jc w:val="center"/>
              <w:rPr>
                <w:sz w:val="20"/>
                <w:szCs w:val="20"/>
              </w:rPr>
            </w:pPr>
            <w:r w:rsidRPr="00C3312E">
              <w:rPr>
                <w:sz w:val="20"/>
                <w:szCs w:val="20"/>
              </w:rPr>
              <w:t>-4.0</w:t>
            </w:r>
          </w:p>
        </w:tc>
        <w:tc>
          <w:tcPr>
            <w:tcW w:w="978" w:type="dxa"/>
            <w:shd w:val="clear" w:color="auto" w:fill="auto"/>
          </w:tcPr>
          <w:p w14:paraId="635A6333" w14:textId="77777777" w:rsidR="00C3312E" w:rsidRPr="00C3312E" w:rsidRDefault="00C3312E" w:rsidP="00C3312E">
            <w:pPr>
              <w:spacing w:after="0" w:line="240" w:lineRule="auto"/>
              <w:jc w:val="center"/>
              <w:rPr>
                <w:sz w:val="20"/>
                <w:szCs w:val="20"/>
              </w:rPr>
            </w:pPr>
            <w:r w:rsidRPr="00C3312E">
              <w:rPr>
                <w:sz w:val="20"/>
                <w:szCs w:val="20"/>
              </w:rPr>
              <w:t>73.8</w:t>
            </w:r>
          </w:p>
        </w:tc>
      </w:tr>
      <w:tr w:rsidR="00C3312E" w:rsidRPr="00C3312E" w14:paraId="54521FDE" w14:textId="77777777" w:rsidTr="00A66217">
        <w:tc>
          <w:tcPr>
            <w:tcW w:w="2718" w:type="dxa"/>
            <w:shd w:val="clear" w:color="auto" w:fill="BFBFBF" w:themeFill="background1" w:themeFillShade="BF"/>
          </w:tcPr>
          <w:p w14:paraId="19EFDF0D"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w:t>
            </w:r>
            <w:proofErr w:type="spellStart"/>
            <w:r w:rsidRPr="00C3312E">
              <w:rPr>
                <w:rFonts w:eastAsia="Times New Roman" w:cs="Times New Roman"/>
                <w:sz w:val="20"/>
                <w:szCs w:val="20"/>
              </w:rPr>
              <w:t>Hisp</w:t>
            </w:r>
            <w:proofErr w:type="spellEnd"/>
            <w:r w:rsidRPr="00C3312E">
              <w:rPr>
                <w:rFonts w:eastAsia="Times New Roman" w:cs="Times New Roman"/>
                <w:sz w:val="20"/>
                <w:szCs w:val="20"/>
              </w:rPr>
              <w:t>./Lat.</w:t>
            </w:r>
          </w:p>
        </w:tc>
        <w:tc>
          <w:tcPr>
            <w:tcW w:w="977" w:type="dxa"/>
            <w:shd w:val="clear" w:color="auto" w:fill="BFBFBF" w:themeFill="background1" w:themeFillShade="BF"/>
          </w:tcPr>
          <w:p w14:paraId="224CB45D" w14:textId="77777777" w:rsidR="00C3312E" w:rsidRPr="00C3312E" w:rsidRDefault="00C3312E" w:rsidP="00C3312E">
            <w:pPr>
              <w:spacing w:after="0" w:line="240" w:lineRule="auto"/>
              <w:jc w:val="center"/>
              <w:rPr>
                <w:sz w:val="20"/>
                <w:szCs w:val="20"/>
              </w:rPr>
            </w:pPr>
            <w:r w:rsidRPr="00C3312E">
              <w:rPr>
                <w:sz w:val="20"/>
                <w:szCs w:val="20"/>
              </w:rPr>
              <w:t>12</w:t>
            </w:r>
          </w:p>
        </w:tc>
        <w:tc>
          <w:tcPr>
            <w:tcW w:w="977" w:type="dxa"/>
            <w:shd w:val="clear" w:color="auto" w:fill="BFBFBF" w:themeFill="background1" w:themeFillShade="BF"/>
          </w:tcPr>
          <w:p w14:paraId="73B027ED" w14:textId="77777777" w:rsidR="00C3312E" w:rsidRPr="00C3312E" w:rsidRDefault="00C3312E" w:rsidP="00C3312E">
            <w:pPr>
              <w:spacing w:after="0" w:line="240" w:lineRule="auto"/>
              <w:jc w:val="center"/>
              <w:rPr>
                <w:sz w:val="20"/>
                <w:szCs w:val="20"/>
              </w:rPr>
            </w:pPr>
            <w:r w:rsidRPr="00C3312E">
              <w:rPr>
                <w:sz w:val="20"/>
                <w:szCs w:val="20"/>
              </w:rPr>
              <w:t>--</w:t>
            </w:r>
          </w:p>
        </w:tc>
        <w:tc>
          <w:tcPr>
            <w:tcW w:w="977" w:type="dxa"/>
            <w:shd w:val="clear" w:color="auto" w:fill="BFBFBF" w:themeFill="background1" w:themeFillShade="BF"/>
          </w:tcPr>
          <w:p w14:paraId="47F8AEA0" w14:textId="77777777" w:rsidR="00C3312E" w:rsidRPr="00C3312E" w:rsidRDefault="00C3312E" w:rsidP="00C3312E">
            <w:pPr>
              <w:spacing w:after="0" w:line="240" w:lineRule="auto"/>
              <w:jc w:val="center"/>
              <w:rPr>
                <w:sz w:val="20"/>
                <w:szCs w:val="20"/>
              </w:rPr>
            </w:pPr>
            <w:r w:rsidRPr="00C3312E">
              <w:rPr>
                <w:sz w:val="20"/>
                <w:szCs w:val="20"/>
              </w:rPr>
              <w:t>--</w:t>
            </w:r>
          </w:p>
        </w:tc>
        <w:tc>
          <w:tcPr>
            <w:tcW w:w="977" w:type="dxa"/>
            <w:shd w:val="clear" w:color="auto" w:fill="BFBFBF" w:themeFill="background1" w:themeFillShade="BF"/>
          </w:tcPr>
          <w:p w14:paraId="2A500FF6" w14:textId="77777777" w:rsidR="00C3312E" w:rsidRPr="00C3312E" w:rsidRDefault="00C3312E" w:rsidP="00C3312E">
            <w:pPr>
              <w:spacing w:after="0" w:line="240" w:lineRule="auto"/>
              <w:jc w:val="center"/>
              <w:rPr>
                <w:sz w:val="20"/>
                <w:szCs w:val="20"/>
              </w:rPr>
            </w:pPr>
            <w:r w:rsidRPr="00C3312E">
              <w:rPr>
                <w:sz w:val="20"/>
                <w:szCs w:val="20"/>
              </w:rPr>
              <w:t>50.0</w:t>
            </w:r>
          </w:p>
        </w:tc>
        <w:tc>
          <w:tcPr>
            <w:tcW w:w="977" w:type="dxa"/>
            <w:shd w:val="clear" w:color="auto" w:fill="BFBFBF" w:themeFill="background1" w:themeFillShade="BF"/>
          </w:tcPr>
          <w:p w14:paraId="5C81100E" w14:textId="77777777" w:rsidR="00C3312E" w:rsidRPr="00C3312E" w:rsidRDefault="00C3312E" w:rsidP="00C3312E">
            <w:pPr>
              <w:spacing w:after="0" w:line="240" w:lineRule="auto"/>
              <w:jc w:val="center"/>
              <w:rPr>
                <w:sz w:val="20"/>
                <w:szCs w:val="20"/>
              </w:rPr>
            </w:pPr>
            <w:r w:rsidRPr="00C3312E">
              <w:rPr>
                <w:sz w:val="20"/>
                <w:szCs w:val="20"/>
              </w:rPr>
              <w:t>66.7</w:t>
            </w:r>
          </w:p>
        </w:tc>
        <w:tc>
          <w:tcPr>
            <w:tcW w:w="977" w:type="dxa"/>
            <w:shd w:val="clear" w:color="auto" w:fill="BFBFBF" w:themeFill="background1" w:themeFillShade="BF"/>
          </w:tcPr>
          <w:p w14:paraId="5E51D20F" w14:textId="77777777" w:rsidR="00C3312E" w:rsidRPr="00C3312E" w:rsidRDefault="00C3312E" w:rsidP="00C3312E">
            <w:pPr>
              <w:spacing w:after="0" w:line="240" w:lineRule="auto"/>
              <w:jc w:val="center"/>
              <w:rPr>
                <w:sz w:val="20"/>
                <w:szCs w:val="20"/>
              </w:rPr>
            </w:pPr>
            <w:r w:rsidRPr="00C3312E">
              <w:rPr>
                <w:sz w:val="20"/>
                <w:szCs w:val="20"/>
              </w:rPr>
              <w:t>--</w:t>
            </w:r>
          </w:p>
        </w:tc>
        <w:tc>
          <w:tcPr>
            <w:tcW w:w="978" w:type="dxa"/>
            <w:shd w:val="clear" w:color="auto" w:fill="BFBFBF" w:themeFill="background1" w:themeFillShade="BF"/>
          </w:tcPr>
          <w:p w14:paraId="03F475A6" w14:textId="77777777" w:rsidR="00C3312E" w:rsidRPr="00C3312E" w:rsidRDefault="00C3312E" w:rsidP="00C3312E">
            <w:pPr>
              <w:spacing w:after="0" w:line="240" w:lineRule="auto"/>
              <w:jc w:val="center"/>
              <w:rPr>
                <w:sz w:val="20"/>
                <w:szCs w:val="20"/>
              </w:rPr>
            </w:pPr>
            <w:r w:rsidRPr="00C3312E">
              <w:rPr>
                <w:sz w:val="20"/>
                <w:szCs w:val="20"/>
              </w:rPr>
              <w:t>86.5</w:t>
            </w:r>
          </w:p>
        </w:tc>
      </w:tr>
      <w:tr w:rsidR="00C3312E" w:rsidRPr="00C3312E" w14:paraId="4F4B10CB" w14:textId="77777777" w:rsidTr="00A66217">
        <w:tc>
          <w:tcPr>
            <w:tcW w:w="2718" w:type="dxa"/>
            <w:shd w:val="clear" w:color="auto" w:fill="auto"/>
          </w:tcPr>
          <w:p w14:paraId="6D9D7B2F"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977" w:type="dxa"/>
            <w:shd w:val="clear" w:color="auto" w:fill="auto"/>
          </w:tcPr>
          <w:p w14:paraId="4D8BBDB9" w14:textId="77777777" w:rsidR="00C3312E" w:rsidRPr="00C3312E" w:rsidRDefault="00C3312E" w:rsidP="00C3312E">
            <w:pPr>
              <w:spacing w:after="0" w:line="240" w:lineRule="auto"/>
              <w:jc w:val="center"/>
              <w:rPr>
                <w:sz w:val="20"/>
                <w:szCs w:val="20"/>
              </w:rPr>
            </w:pPr>
            <w:r w:rsidRPr="00C3312E">
              <w:rPr>
                <w:sz w:val="20"/>
                <w:szCs w:val="20"/>
              </w:rPr>
              <w:t>361</w:t>
            </w:r>
          </w:p>
        </w:tc>
        <w:tc>
          <w:tcPr>
            <w:tcW w:w="977" w:type="dxa"/>
            <w:shd w:val="clear" w:color="auto" w:fill="auto"/>
          </w:tcPr>
          <w:p w14:paraId="04FA4198" w14:textId="77777777" w:rsidR="00C3312E" w:rsidRPr="00C3312E" w:rsidRDefault="00C3312E" w:rsidP="00C3312E">
            <w:pPr>
              <w:spacing w:after="0" w:line="240" w:lineRule="auto"/>
              <w:jc w:val="center"/>
              <w:rPr>
                <w:sz w:val="20"/>
                <w:szCs w:val="20"/>
              </w:rPr>
            </w:pPr>
            <w:r w:rsidRPr="00C3312E">
              <w:rPr>
                <w:sz w:val="20"/>
                <w:szCs w:val="20"/>
              </w:rPr>
              <w:t>88.5</w:t>
            </w:r>
          </w:p>
        </w:tc>
        <w:tc>
          <w:tcPr>
            <w:tcW w:w="977" w:type="dxa"/>
            <w:shd w:val="clear" w:color="auto" w:fill="auto"/>
          </w:tcPr>
          <w:p w14:paraId="0FB32077" w14:textId="77777777" w:rsidR="00C3312E" w:rsidRPr="00C3312E" w:rsidRDefault="00C3312E" w:rsidP="00C3312E">
            <w:pPr>
              <w:spacing w:after="0" w:line="240" w:lineRule="auto"/>
              <w:jc w:val="center"/>
              <w:rPr>
                <w:sz w:val="20"/>
                <w:szCs w:val="20"/>
              </w:rPr>
            </w:pPr>
            <w:r w:rsidRPr="00C3312E">
              <w:rPr>
                <w:sz w:val="20"/>
                <w:szCs w:val="20"/>
              </w:rPr>
              <w:t>90.9</w:t>
            </w:r>
          </w:p>
        </w:tc>
        <w:tc>
          <w:tcPr>
            <w:tcW w:w="977" w:type="dxa"/>
            <w:shd w:val="clear" w:color="auto" w:fill="auto"/>
          </w:tcPr>
          <w:p w14:paraId="65F12A34" w14:textId="77777777" w:rsidR="00C3312E" w:rsidRPr="00C3312E" w:rsidRDefault="00C3312E" w:rsidP="00C3312E">
            <w:pPr>
              <w:spacing w:after="0" w:line="240" w:lineRule="auto"/>
              <w:jc w:val="center"/>
              <w:rPr>
                <w:sz w:val="20"/>
                <w:szCs w:val="20"/>
              </w:rPr>
            </w:pPr>
            <w:r w:rsidRPr="00C3312E">
              <w:rPr>
                <w:sz w:val="20"/>
                <w:szCs w:val="20"/>
              </w:rPr>
              <w:t>88.7</w:t>
            </w:r>
          </w:p>
        </w:tc>
        <w:tc>
          <w:tcPr>
            <w:tcW w:w="977" w:type="dxa"/>
            <w:shd w:val="clear" w:color="auto" w:fill="auto"/>
          </w:tcPr>
          <w:p w14:paraId="6FECF6D6" w14:textId="77777777" w:rsidR="00C3312E" w:rsidRPr="00C3312E" w:rsidRDefault="00C3312E" w:rsidP="00C3312E">
            <w:pPr>
              <w:spacing w:after="0" w:line="240" w:lineRule="auto"/>
              <w:jc w:val="center"/>
              <w:rPr>
                <w:sz w:val="20"/>
                <w:szCs w:val="20"/>
              </w:rPr>
            </w:pPr>
            <w:r w:rsidRPr="00C3312E">
              <w:rPr>
                <w:sz w:val="20"/>
                <w:szCs w:val="20"/>
              </w:rPr>
              <w:t>88.4</w:t>
            </w:r>
          </w:p>
        </w:tc>
        <w:tc>
          <w:tcPr>
            <w:tcW w:w="977" w:type="dxa"/>
            <w:shd w:val="clear" w:color="auto" w:fill="auto"/>
          </w:tcPr>
          <w:p w14:paraId="70C669CC" w14:textId="77777777" w:rsidR="00C3312E" w:rsidRPr="00C3312E" w:rsidRDefault="00C3312E" w:rsidP="00C3312E">
            <w:pPr>
              <w:spacing w:after="0" w:line="240" w:lineRule="auto"/>
              <w:jc w:val="center"/>
              <w:rPr>
                <w:sz w:val="20"/>
                <w:szCs w:val="20"/>
              </w:rPr>
            </w:pPr>
            <w:r w:rsidRPr="00C3312E">
              <w:rPr>
                <w:sz w:val="20"/>
                <w:szCs w:val="20"/>
              </w:rPr>
              <w:t>-0.1</w:t>
            </w:r>
          </w:p>
        </w:tc>
        <w:tc>
          <w:tcPr>
            <w:tcW w:w="978" w:type="dxa"/>
            <w:shd w:val="clear" w:color="auto" w:fill="auto"/>
          </w:tcPr>
          <w:p w14:paraId="06D5B345" w14:textId="77777777" w:rsidR="00C3312E" w:rsidRPr="00C3312E" w:rsidRDefault="00C3312E" w:rsidP="00C3312E">
            <w:pPr>
              <w:spacing w:after="0" w:line="240" w:lineRule="auto"/>
              <w:jc w:val="center"/>
              <w:rPr>
                <w:sz w:val="20"/>
                <w:szCs w:val="20"/>
              </w:rPr>
            </w:pPr>
            <w:r w:rsidRPr="00C3312E">
              <w:rPr>
                <w:sz w:val="20"/>
                <w:szCs w:val="20"/>
              </w:rPr>
              <w:t>92.2</w:t>
            </w:r>
          </w:p>
        </w:tc>
      </w:tr>
      <w:tr w:rsidR="00C3312E" w:rsidRPr="00C3312E" w14:paraId="60B896F2" w14:textId="77777777" w:rsidTr="00A66217">
        <w:tc>
          <w:tcPr>
            <w:tcW w:w="2718" w:type="dxa"/>
            <w:shd w:val="clear" w:color="auto" w:fill="BFBFBF" w:themeFill="background1" w:themeFillShade="BF"/>
          </w:tcPr>
          <w:p w14:paraId="0DD01477" w14:textId="77777777" w:rsidR="00C3312E" w:rsidRPr="00C3312E" w:rsidRDefault="00C3312E" w:rsidP="00C3312E">
            <w:pPr>
              <w:spacing w:after="0" w:line="240" w:lineRule="auto"/>
              <w:rPr>
                <w:sz w:val="20"/>
                <w:szCs w:val="20"/>
              </w:rPr>
            </w:pPr>
            <w:r w:rsidRPr="00C3312E">
              <w:rPr>
                <w:sz w:val="20"/>
                <w:szCs w:val="20"/>
              </w:rPr>
              <w:t>High needs</w:t>
            </w:r>
          </w:p>
        </w:tc>
        <w:tc>
          <w:tcPr>
            <w:tcW w:w="977" w:type="dxa"/>
            <w:shd w:val="clear" w:color="auto" w:fill="BFBFBF" w:themeFill="background1" w:themeFillShade="BF"/>
          </w:tcPr>
          <w:p w14:paraId="02ADCF1C" w14:textId="77777777" w:rsidR="00C3312E" w:rsidRPr="00C3312E" w:rsidRDefault="00C3312E" w:rsidP="00C3312E">
            <w:pPr>
              <w:spacing w:after="0" w:line="240" w:lineRule="auto"/>
              <w:jc w:val="center"/>
              <w:rPr>
                <w:sz w:val="20"/>
                <w:szCs w:val="20"/>
              </w:rPr>
            </w:pPr>
            <w:r w:rsidRPr="00C3312E">
              <w:rPr>
                <w:sz w:val="20"/>
                <w:szCs w:val="20"/>
              </w:rPr>
              <w:t>297</w:t>
            </w:r>
          </w:p>
        </w:tc>
        <w:tc>
          <w:tcPr>
            <w:tcW w:w="977" w:type="dxa"/>
            <w:shd w:val="clear" w:color="auto" w:fill="BFBFBF" w:themeFill="background1" w:themeFillShade="BF"/>
          </w:tcPr>
          <w:p w14:paraId="60EF0949" w14:textId="77777777" w:rsidR="00C3312E" w:rsidRPr="00C3312E" w:rsidRDefault="00C3312E" w:rsidP="00C3312E">
            <w:pPr>
              <w:spacing w:after="0" w:line="240" w:lineRule="auto"/>
              <w:jc w:val="center"/>
              <w:rPr>
                <w:sz w:val="20"/>
                <w:szCs w:val="20"/>
              </w:rPr>
            </w:pPr>
            <w:r w:rsidRPr="00C3312E">
              <w:rPr>
                <w:sz w:val="20"/>
                <w:szCs w:val="20"/>
              </w:rPr>
              <w:t>73.6</w:t>
            </w:r>
          </w:p>
        </w:tc>
        <w:tc>
          <w:tcPr>
            <w:tcW w:w="977" w:type="dxa"/>
            <w:shd w:val="clear" w:color="auto" w:fill="BFBFBF" w:themeFill="background1" w:themeFillShade="BF"/>
          </w:tcPr>
          <w:p w14:paraId="4D44247D" w14:textId="77777777" w:rsidR="00C3312E" w:rsidRPr="00C3312E" w:rsidRDefault="00C3312E" w:rsidP="00C3312E">
            <w:pPr>
              <w:spacing w:after="0" w:line="240" w:lineRule="auto"/>
              <w:jc w:val="center"/>
              <w:rPr>
                <w:sz w:val="20"/>
                <w:szCs w:val="20"/>
              </w:rPr>
            </w:pPr>
            <w:r w:rsidRPr="00C3312E">
              <w:rPr>
                <w:sz w:val="20"/>
                <w:szCs w:val="20"/>
              </w:rPr>
              <w:t>74.6</w:t>
            </w:r>
          </w:p>
        </w:tc>
        <w:tc>
          <w:tcPr>
            <w:tcW w:w="977" w:type="dxa"/>
            <w:shd w:val="clear" w:color="auto" w:fill="BFBFBF" w:themeFill="background1" w:themeFillShade="BF"/>
          </w:tcPr>
          <w:p w14:paraId="4A38C0A0" w14:textId="77777777" w:rsidR="00C3312E" w:rsidRPr="00C3312E" w:rsidRDefault="00C3312E" w:rsidP="00C3312E">
            <w:pPr>
              <w:spacing w:after="0" w:line="240" w:lineRule="auto"/>
              <w:jc w:val="center"/>
              <w:rPr>
                <w:sz w:val="20"/>
                <w:szCs w:val="20"/>
              </w:rPr>
            </w:pPr>
            <w:r w:rsidRPr="00C3312E">
              <w:rPr>
                <w:sz w:val="20"/>
                <w:szCs w:val="20"/>
              </w:rPr>
              <w:t>73.4</w:t>
            </w:r>
          </w:p>
        </w:tc>
        <w:tc>
          <w:tcPr>
            <w:tcW w:w="977" w:type="dxa"/>
            <w:shd w:val="clear" w:color="auto" w:fill="BFBFBF" w:themeFill="background1" w:themeFillShade="BF"/>
          </w:tcPr>
          <w:p w14:paraId="7E42A592" w14:textId="77777777" w:rsidR="00C3312E" w:rsidRPr="00C3312E" w:rsidRDefault="00C3312E" w:rsidP="00C3312E">
            <w:pPr>
              <w:spacing w:after="0" w:line="240" w:lineRule="auto"/>
              <w:jc w:val="center"/>
              <w:rPr>
                <w:sz w:val="20"/>
                <w:szCs w:val="20"/>
              </w:rPr>
            </w:pPr>
            <w:r w:rsidRPr="00C3312E">
              <w:rPr>
                <w:sz w:val="20"/>
                <w:szCs w:val="20"/>
              </w:rPr>
              <w:t>71.0</w:t>
            </w:r>
          </w:p>
        </w:tc>
        <w:tc>
          <w:tcPr>
            <w:tcW w:w="977" w:type="dxa"/>
            <w:shd w:val="clear" w:color="auto" w:fill="BFBFBF" w:themeFill="background1" w:themeFillShade="BF"/>
          </w:tcPr>
          <w:p w14:paraId="5DD6BE02" w14:textId="77777777" w:rsidR="00C3312E" w:rsidRPr="00C3312E" w:rsidRDefault="00C3312E" w:rsidP="00C3312E">
            <w:pPr>
              <w:spacing w:after="0" w:line="240" w:lineRule="auto"/>
              <w:jc w:val="center"/>
              <w:rPr>
                <w:sz w:val="20"/>
                <w:szCs w:val="20"/>
              </w:rPr>
            </w:pPr>
            <w:r w:rsidRPr="00C3312E">
              <w:rPr>
                <w:sz w:val="20"/>
                <w:szCs w:val="20"/>
              </w:rPr>
              <w:t>-2.6</w:t>
            </w:r>
          </w:p>
        </w:tc>
        <w:tc>
          <w:tcPr>
            <w:tcW w:w="978" w:type="dxa"/>
            <w:shd w:val="clear" w:color="auto" w:fill="BFBFBF" w:themeFill="background1" w:themeFillShade="BF"/>
          </w:tcPr>
          <w:p w14:paraId="12444931" w14:textId="77777777" w:rsidR="00C3312E" w:rsidRPr="00C3312E" w:rsidRDefault="00C3312E" w:rsidP="00C3312E">
            <w:pPr>
              <w:spacing w:after="0" w:line="240" w:lineRule="auto"/>
              <w:jc w:val="center"/>
              <w:rPr>
                <w:sz w:val="20"/>
                <w:szCs w:val="20"/>
              </w:rPr>
            </w:pPr>
            <w:r w:rsidRPr="00C3312E">
              <w:rPr>
                <w:sz w:val="20"/>
                <w:szCs w:val="20"/>
              </w:rPr>
              <w:t>78.0</w:t>
            </w:r>
          </w:p>
        </w:tc>
      </w:tr>
      <w:tr w:rsidR="00C3312E" w:rsidRPr="00C3312E" w14:paraId="2FEA55DC" w14:textId="77777777" w:rsidTr="00A66217">
        <w:tc>
          <w:tcPr>
            <w:tcW w:w="2718" w:type="dxa"/>
            <w:shd w:val="clear" w:color="auto" w:fill="auto"/>
          </w:tcPr>
          <w:p w14:paraId="248399F5" w14:textId="77777777" w:rsidR="00C3312E" w:rsidRPr="00C3312E" w:rsidRDefault="00C3312E" w:rsidP="00C3312E">
            <w:pPr>
              <w:spacing w:after="0" w:line="240" w:lineRule="auto"/>
              <w:rPr>
                <w:sz w:val="20"/>
                <w:szCs w:val="20"/>
              </w:rPr>
            </w:pPr>
            <w:r w:rsidRPr="00C3312E">
              <w:rPr>
                <w:sz w:val="20"/>
                <w:szCs w:val="20"/>
              </w:rPr>
              <w:t>Economically Disadvantaged*</w:t>
            </w:r>
          </w:p>
        </w:tc>
        <w:tc>
          <w:tcPr>
            <w:tcW w:w="977" w:type="dxa"/>
            <w:shd w:val="clear" w:color="auto" w:fill="auto"/>
          </w:tcPr>
          <w:p w14:paraId="67B60FE3" w14:textId="77777777" w:rsidR="00C3312E" w:rsidRPr="00C3312E" w:rsidRDefault="00C3312E" w:rsidP="00C3312E">
            <w:pPr>
              <w:spacing w:after="0" w:line="240" w:lineRule="auto"/>
              <w:jc w:val="center"/>
              <w:rPr>
                <w:sz w:val="20"/>
                <w:szCs w:val="20"/>
              </w:rPr>
            </w:pPr>
            <w:r w:rsidRPr="00C3312E">
              <w:rPr>
                <w:sz w:val="20"/>
                <w:szCs w:val="20"/>
              </w:rPr>
              <w:t>211</w:t>
            </w:r>
          </w:p>
        </w:tc>
        <w:tc>
          <w:tcPr>
            <w:tcW w:w="977" w:type="dxa"/>
            <w:shd w:val="clear" w:color="auto" w:fill="auto"/>
          </w:tcPr>
          <w:p w14:paraId="4E8C6708" w14:textId="77777777" w:rsidR="00C3312E" w:rsidRPr="00C3312E" w:rsidRDefault="00C3312E" w:rsidP="00C3312E">
            <w:pPr>
              <w:spacing w:after="0" w:line="240" w:lineRule="auto"/>
              <w:jc w:val="center"/>
              <w:rPr>
                <w:sz w:val="20"/>
                <w:szCs w:val="20"/>
              </w:rPr>
            </w:pPr>
            <w:r w:rsidRPr="00C3312E">
              <w:rPr>
                <w:sz w:val="20"/>
                <w:szCs w:val="20"/>
              </w:rPr>
              <w:t>74.6</w:t>
            </w:r>
          </w:p>
        </w:tc>
        <w:tc>
          <w:tcPr>
            <w:tcW w:w="977" w:type="dxa"/>
            <w:shd w:val="clear" w:color="auto" w:fill="auto"/>
          </w:tcPr>
          <w:p w14:paraId="7B598980" w14:textId="77777777" w:rsidR="00C3312E" w:rsidRPr="00C3312E" w:rsidRDefault="00C3312E" w:rsidP="00C3312E">
            <w:pPr>
              <w:spacing w:after="0" w:line="240" w:lineRule="auto"/>
              <w:jc w:val="center"/>
              <w:rPr>
                <w:sz w:val="20"/>
                <w:szCs w:val="20"/>
              </w:rPr>
            </w:pPr>
            <w:r w:rsidRPr="00C3312E">
              <w:rPr>
                <w:sz w:val="20"/>
                <w:szCs w:val="20"/>
              </w:rPr>
              <w:t>74.0</w:t>
            </w:r>
          </w:p>
        </w:tc>
        <w:tc>
          <w:tcPr>
            <w:tcW w:w="977" w:type="dxa"/>
            <w:shd w:val="clear" w:color="auto" w:fill="auto"/>
          </w:tcPr>
          <w:p w14:paraId="34FCED69" w14:textId="77777777" w:rsidR="00C3312E" w:rsidRPr="00C3312E" w:rsidRDefault="00C3312E" w:rsidP="00C3312E">
            <w:pPr>
              <w:spacing w:after="0" w:line="240" w:lineRule="auto"/>
              <w:jc w:val="center"/>
              <w:rPr>
                <w:sz w:val="20"/>
                <w:szCs w:val="20"/>
              </w:rPr>
            </w:pPr>
            <w:r w:rsidRPr="00C3312E">
              <w:rPr>
                <w:sz w:val="20"/>
                <w:szCs w:val="20"/>
              </w:rPr>
              <w:t>75.1</w:t>
            </w:r>
          </w:p>
        </w:tc>
        <w:tc>
          <w:tcPr>
            <w:tcW w:w="977" w:type="dxa"/>
            <w:shd w:val="clear" w:color="auto" w:fill="auto"/>
          </w:tcPr>
          <w:p w14:paraId="662C9D00" w14:textId="77777777" w:rsidR="00C3312E" w:rsidRPr="00C3312E" w:rsidRDefault="00C3312E" w:rsidP="00C3312E">
            <w:pPr>
              <w:spacing w:after="0" w:line="240" w:lineRule="auto"/>
              <w:jc w:val="center"/>
              <w:rPr>
                <w:sz w:val="20"/>
                <w:szCs w:val="20"/>
              </w:rPr>
            </w:pPr>
            <w:r w:rsidRPr="00C3312E">
              <w:rPr>
                <w:sz w:val="20"/>
                <w:szCs w:val="20"/>
              </w:rPr>
              <w:t>73.0</w:t>
            </w:r>
          </w:p>
        </w:tc>
        <w:tc>
          <w:tcPr>
            <w:tcW w:w="977" w:type="dxa"/>
            <w:shd w:val="clear" w:color="auto" w:fill="auto"/>
          </w:tcPr>
          <w:p w14:paraId="588FEA41" w14:textId="77777777" w:rsidR="00C3312E" w:rsidRPr="00C3312E" w:rsidRDefault="00C3312E" w:rsidP="00C3312E">
            <w:pPr>
              <w:spacing w:after="0" w:line="240" w:lineRule="auto"/>
              <w:jc w:val="center"/>
              <w:rPr>
                <w:sz w:val="20"/>
                <w:szCs w:val="20"/>
              </w:rPr>
            </w:pPr>
            <w:r w:rsidRPr="00C3312E">
              <w:rPr>
                <w:sz w:val="20"/>
                <w:szCs w:val="20"/>
              </w:rPr>
              <w:t>-1.6</w:t>
            </w:r>
          </w:p>
        </w:tc>
        <w:tc>
          <w:tcPr>
            <w:tcW w:w="978" w:type="dxa"/>
            <w:shd w:val="clear" w:color="auto" w:fill="auto"/>
          </w:tcPr>
          <w:p w14:paraId="241AB6FA" w14:textId="77777777" w:rsidR="00C3312E" w:rsidRPr="00C3312E" w:rsidRDefault="00C3312E" w:rsidP="00C3312E">
            <w:pPr>
              <w:spacing w:after="0" w:line="240" w:lineRule="auto"/>
              <w:jc w:val="center"/>
              <w:rPr>
                <w:sz w:val="20"/>
                <w:szCs w:val="20"/>
              </w:rPr>
            </w:pPr>
            <w:r w:rsidRPr="00C3312E">
              <w:rPr>
                <w:sz w:val="20"/>
                <w:szCs w:val="20"/>
              </w:rPr>
              <w:t>77.4</w:t>
            </w:r>
          </w:p>
        </w:tc>
      </w:tr>
      <w:tr w:rsidR="00C3312E" w:rsidRPr="00C3312E" w14:paraId="7938932A" w14:textId="77777777" w:rsidTr="00A66217">
        <w:tc>
          <w:tcPr>
            <w:tcW w:w="2718" w:type="dxa"/>
            <w:shd w:val="clear" w:color="auto" w:fill="auto"/>
          </w:tcPr>
          <w:p w14:paraId="5767D303" w14:textId="77777777" w:rsidR="00C3312E" w:rsidRPr="00C3312E" w:rsidRDefault="00C3312E" w:rsidP="00C3312E">
            <w:pPr>
              <w:spacing w:after="0" w:line="240" w:lineRule="auto"/>
              <w:rPr>
                <w:sz w:val="20"/>
                <w:szCs w:val="20"/>
              </w:rPr>
            </w:pPr>
            <w:r w:rsidRPr="00C3312E">
              <w:rPr>
                <w:sz w:val="20"/>
                <w:szCs w:val="20"/>
              </w:rPr>
              <w:t>SWD</w:t>
            </w:r>
          </w:p>
        </w:tc>
        <w:tc>
          <w:tcPr>
            <w:tcW w:w="977" w:type="dxa"/>
            <w:shd w:val="clear" w:color="auto" w:fill="auto"/>
          </w:tcPr>
          <w:p w14:paraId="45170A1C" w14:textId="77777777" w:rsidR="00C3312E" w:rsidRPr="00C3312E" w:rsidRDefault="00C3312E" w:rsidP="00C3312E">
            <w:pPr>
              <w:spacing w:after="0" w:line="240" w:lineRule="auto"/>
              <w:jc w:val="center"/>
              <w:rPr>
                <w:sz w:val="20"/>
                <w:szCs w:val="20"/>
              </w:rPr>
            </w:pPr>
            <w:r w:rsidRPr="00C3312E">
              <w:rPr>
                <w:sz w:val="20"/>
                <w:szCs w:val="20"/>
              </w:rPr>
              <w:t>121</w:t>
            </w:r>
          </w:p>
        </w:tc>
        <w:tc>
          <w:tcPr>
            <w:tcW w:w="977" w:type="dxa"/>
            <w:shd w:val="clear" w:color="auto" w:fill="auto"/>
          </w:tcPr>
          <w:p w14:paraId="1FEB9CDB" w14:textId="77777777" w:rsidR="00C3312E" w:rsidRPr="00C3312E" w:rsidRDefault="00C3312E" w:rsidP="00C3312E">
            <w:pPr>
              <w:spacing w:after="0" w:line="240" w:lineRule="auto"/>
              <w:jc w:val="center"/>
              <w:rPr>
                <w:sz w:val="20"/>
                <w:szCs w:val="20"/>
              </w:rPr>
            </w:pPr>
            <w:r w:rsidRPr="00C3312E">
              <w:rPr>
                <w:sz w:val="20"/>
                <w:szCs w:val="20"/>
              </w:rPr>
              <w:t>63.1</w:t>
            </w:r>
          </w:p>
        </w:tc>
        <w:tc>
          <w:tcPr>
            <w:tcW w:w="977" w:type="dxa"/>
            <w:shd w:val="clear" w:color="auto" w:fill="auto"/>
          </w:tcPr>
          <w:p w14:paraId="2CED3861" w14:textId="77777777" w:rsidR="00C3312E" w:rsidRPr="00C3312E" w:rsidRDefault="00C3312E" w:rsidP="00C3312E">
            <w:pPr>
              <w:spacing w:after="0" w:line="240" w:lineRule="auto"/>
              <w:jc w:val="center"/>
              <w:rPr>
                <w:sz w:val="20"/>
                <w:szCs w:val="20"/>
              </w:rPr>
            </w:pPr>
            <w:r w:rsidRPr="00C3312E">
              <w:rPr>
                <w:sz w:val="20"/>
                <w:szCs w:val="20"/>
              </w:rPr>
              <w:t>62.4</w:t>
            </w:r>
          </w:p>
        </w:tc>
        <w:tc>
          <w:tcPr>
            <w:tcW w:w="977" w:type="dxa"/>
            <w:shd w:val="clear" w:color="auto" w:fill="auto"/>
          </w:tcPr>
          <w:p w14:paraId="2398AB45" w14:textId="77777777" w:rsidR="00C3312E" w:rsidRPr="00C3312E" w:rsidRDefault="00C3312E" w:rsidP="00C3312E">
            <w:pPr>
              <w:spacing w:after="0" w:line="240" w:lineRule="auto"/>
              <w:jc w:val="center"/>
              <w:rPr>
                <w:sz w:val="20"/>
                <w:szCs w:val="20"/>
              </w:rPr>
            </w:pPr>
            <w:r w:rsidRPr="00C3312E">
              <w:rPr>
                <w:sz w:val="20"/>
                <w:szCs w:val="20"/>
              </w:rPr>
              <w:t>65.9</w:t>
            </w:r>
          </w:p>
        </w:tc>
        <w:tc>
          <w:tcPr>
            <w:tcW w:w="977" w:type="dxa"/>
            <w:shd w:val="clear" w:color="auto" w:fill="auto"/>
          </w:tcPr>
          <w:p w14:paraId="32EF3B3A" w14:textId="77777777" w:rsidR="00C3312E" w:rsidRPr="00C3312E" w:rsidRDefault="00C3312E" w:rsidP="00C3312E">
            <w:pPr>
              <w:spacing w:after="0" w:line="240" w:lineRule="auto"/>
              <w:jc w:val="center"/>
              <w:rPr>
                <w:sz w:val="20"/>
                <w:szCs w:val="20"/>
              </w:rPr>
            </w:pPr>
            <w:r w:rsidRPr="00C3312E">
              <w:rPr>
                <w:sz w:val="20"/>
                <w:szCs w:val="20"/>
              </w:rPr>
              <w:t>64.5</w:t>
            </w:r>
          </w:p>
        </w:tc>
        <w:tc>
          <w:tcPr>
            <w:tcW w:w="977" w:type="dxa"/>
            <w:shd w:val="clear" w:color="auto" w:fill="auto"/>
          </w:tcPr>
          <w:p w14:paraId="1EBFECA6" w14:textId="77777777" w:rsidR="00C3312E" w:rsidRPr="00C3312E" w:rsidRDefault="00C3312E" w:rsidP="00C3312E">
            <w:pPr>
              <w:spacing w:after="0" w:line="240" w:lineRule="auto"/>
              <w:jc w:val="center"/>
              <w:rPr>
                <w:sz w:val="20"/>
                <w:szCs w:val="20"/>
              </w:rPr>
            </w:pPr>
            <w:r w:rsidRPr="00C3312E">
              <w:rPr>
                <w:sz w:val="20"/>
                <w:szCs w:val="20"/>
              </w:rPr>
              <w:t>1.4</w:t>
            </w:r>
          </w:p>
        </w:tc>
        <w:tc>
          <w:tcPr>
            <w:tcW w:w="978" w:type="dxa"/>
            <w:shd w:val="clear" w:color="auto" w:fill="auto"/>
          </w:tcPr>
          <w:p w14:paraId="43E66835" w14:textId="77777777" w:rsidR="00C3312E" w:rsidRPr="00C3312E" w:rsidRDefault="00C3312E" w:rsidP="00C3312E">
            <w:pPr>
              <w:spacing w:after="0" w:line="240" w:lineRule="auto"/>
              <w:jc w:val="center"/>
              <w:rPr>
                <w:sz w:val="20"/>
                <w:szCs w:val="20"/>
              </w:rPr>
            </w:pPr>
            <w:r w:rsidRPr="00C3312E">
              <w:rPr>
                <w:sz w:val="20"/>
                <w:szCs w:val="20"/>
              </w:rPr>
              <w:t>72.4</w:t>
            </w:r>
          </w:p>
        </w:tc>
      </w:tr>
      <w:tr w:rsidR="00531ED5" w:rsidRPr="00C3312E" w14:paraId="3F5AA3BA" w14:textId="77777777" w:rsidTr="00A66217">
        <w:tc>
          <w:tcPr>
            <w:tcW w:w="2718" w:type="dxa"/>
            <w:shd w:val="clear" w:color="auto" w:fill="auto"/>
          </w:tcPr>
          <w:p w14:paraId="14AAC929" w14:textId="4D48DB1C" w:rsidR="00531ED5" w:rsidRPr="00C3312E" w:rsidRDefault="00531ED5" w:rsidP="00531ED5">
            <w:pPr>
              <w:spacing w:after="0" w:line="240" w:lineRule="auto"/>
              <w:rPr>
                <w:sz w:val="20"/>
                <w:szCs w:val="20"/>
              </w:rPr>
            </w:pPr>
            <w:r w:rsidRPr="00C3312E">
              <w:rPr>
                <w:sz w:val="20"/>
                <w:szCs w:val="20"/>
              </w:rPr>
              <w:t>EL</w:t>
            </w:r>
          </w:p>
        </w:tc>
        <w:tc>
          <w:tcPr>
            <w:tcW w:w="977" w:type="dxa"/>
            <w:shd w:val="clear" w:color="auto" w:fill="auto"/>
          </w:tcPr>
          <w:p w14:paraId="76F3D739" w14:textId="4DC8C8E6" w:rsidR="00531ED5" w:rsidRPr="00C3312E" w:rsidRDefault="00531ED5" w:rsidP="00531ED5">
            <w:pPr>
              <w:spacing w:after="0" w:line="240" w:lineRule="auto"/>
              <w:jc w:val="center"/>
              <w:rPr>
                <w:sz w:val="20"/>
                <w:szCs w:val="20"/>
              </w:rPr>
            </w:pPr>
            <w:r w:rsidRPr="00C3312E">
              <w:rPr>
                <w:sz w:val="20"/>
                <w:szCs w:val="20"/>
              </w:rPr>
              <w:t>85</w:t>
            </w:r>
          </w:p>
        </w:tc>
        <w:tc>
          <w:tcPr>
            <w:tcW w:w="977" w:type="dxa"/>
            <w:shd w:val="clear" w:color="auto" w:fill="auto"/>
          </w:tcPr>
          <w:p w14:paraId="0394A1CB" w14:textId="2ACFED55" w:rsidR="00531ED5" w:rsidRPr="00C3312E" w:rsidRDefault="00531ED5" w:rsidP="00531ED5">
            <w:pPr>
              <w:spacing w:after="0" w:line="240" w:lineRule="auto"/>
              <w:jc w:val="center"/>
              <w:rPr>
                <w:sz w:val="20"/>
                <w:szCs w:val="20"/>
              </w:rPr>
            </w:pPr>
            <w:r w:rsidRPr="00C3312E">
              <w:rPr>
                <w:sz w:val="20"/>
                <w:szCs w:val="20"/>
              </w:rPr>
              <w:t>58.3</w:t>
            </w:r>
          </w:p>
        </w:tc>
        <w:tc>
          <w:tcPr>
            <w:tcW w:w="977" w:type="dxa"/>
            <w:shd w:val="clear" w:color="auto" w:fill="auto"/>
          </w:tcPr>
          <w:p w14:paraId="780F946D" w14:textId="05D09E30" w:rsidR="00531ED5" w:rsidRPr="00C3312E" w:rsidRDefault="00531ED5" w:rsidP="00531ED5">
            <w:pPr>
              <w:spacing w:after="0" w:line="240" w:lineRule="auto"/>
              <w:jc w:val="center"/>
              <w:rPr>
                <w:sz w:val="20"/>
                <w:szCs w:val="20"/>
              </w:rPr>
            </w:pPr>
            <w:r w:rsidRPr="00C3312E">
              <w:rPr>
                <w:sz w:val="20"/>
                <w:szCs w:val="20"/>
              </w:rPr>
              <w:t>56.9</w:t>
            </w:r>
          </w:p>
        </w:tc>
        <w:tc>
          <w:tcPr>
            <w:tcW w:w="977" w:type="dxa"/>
            <w:shd w:val="clear" w:color="auto" w:fill="auto"/>
          </w:tcPr>
          <w:p w14:paraId="08BE15D5" w14:textId="2F5155C7" w:rsidR="00531ED5" w:rsidRPr="00C3312E" w:rsidRDefault="00531ED5" w:rsidP="00531ED5">
            <w:pPr>
              <w:spacing w:after="0" w:line="240" w:lineRule="auto"/>
              <w:jc w:val="center"/>
              <w:rPr>
                <w:sz w:val="20"/>
                <w:szCs w:val="20"/>
              </w:rPr>
            </w:pPr>
            <w:r w:rsidRPr="00C3312E">
              <w:rPr>
                <w:sz w:val="20"/>
                <w:szCs w:val="20"/>
              </w:rPr>
              <w:t>45.6</w:t>
            </w:r>
          </w:p>
        </w:tc>
        <w:tc>
          <w:tcPr>
            <w:tcW w:w="977" w:type="dxa"/>
            <w:shd w:val="clear" w:color="auto" w:fill="auto"/>
          </w:tcPr>
          <w:p w14:paraId="7F584625" w14:textId="5E5491ED" w:rsidR="00531ED5" w:rsidRPr="00C3312E" w:rsidRDefault="00531ED5" w:rsidP="00531ED5">
            <w:pPr>
              <w:spacing w:after="0" w:line="240" w:lineRule="auto"/>
              <w:jc w:val="center"/>
              <w:rPr>
                <w:sz w:val="20"/>
                <w:szCs w:val="20"/>
              </w:rPr>
            </w:pPr>
            <w:r w:rsidRPr="00C3312E">
              <w:rPr>
                <w:sz w:val="20"/>
                <w:szCs w:val="20"/>
              </w:rPr>
              <w:t>55.3</w:t>
            </w:r>
          </w:p>
        </w:tc>
        <w:tc>
          <w:tcPr>
            <w:tcW w:w="977" w:type="dxa"/>
            <w:shd w:val="clear" w:color="auto" w:fill="auto"/>
          </w:tcPr>
          <w:p w14:paraId="7887FB5D" w14:textId="6D6F1ABE" w:rsidR="00531ED5" w:rsidRPr="00C3312E" w:rsidRDefault="00531ED5" w:rsidP="00531ED5">
            <w:pPr>
              <w:spacing w:after="0" w:line="240" w:lineRule="auto"/>
              <w:jc w:val="center"/>
              <w:rPr>
                <w:sz w:val="20"/>
                <w:szCs w:val="20"/>
              </w:rPr>
            </w:pPr>
            <w:r w:rsidRPr="00C3312E">
              <w:rPr>
                <w:sz w:val="20"/>
                <w:szCs w:val="20"/>
              </w:rPr>
              <w:t>-3.0</w:t>
            </w:r>
          </w:p>
        </w:tc>
        <w:tc>
          <w:tcPr>
            <w:tcW w:w="978" w:type="dxa"/>
            <w:shd w:val="clear" w:color="auto" w:fill="auto"/>
          </w:tcPr>
          <w:p w14:paraId="13C31DCB" w14:textId="5A61EF92" w:rsidR="00531ED5" w:rsidRPr="00C3312E" w:rsidRDefault="00531ED5" w:rsidP="00531ED5">
            <w:pPr>
              <w:spacing w:after="0" w:line="240" w:lineRule="auto"/>
              <w:jc w:val="center"/>
              <w:rPr>
                <w:sz w:val="20"/>
                <w:szCs w:val="20"/>
              </w:rPr>
            </w:pPr>
            <w:r w:rsidRPr="00C3312E">
              <w:rPr>
                <w:sz w:val="20"/>
                <w:szCs w:val="20"/>
              </w:rPr>
              <w:t>64.1</w:t>
            </w:r>
          </w:p>
        </w:tc>
      </w:tr>
      <w:tr w:rsidR="00C3312E" w:rsidRPr="00C3312E" w14:paraId="7A24D339" w14:textId="77777777" w:rsidTr="00A66217">
        <w:tc>
          <w:tcPr>
            <w:tcW w:w="2718" w:type="dxa"/>
            <w:shd w:val="clear" w:color="auto" w:fill="BFBFBF" w:themeFill="background1" w:themeFillShade="BF"/>
          </w:tcPr>
          <w:p w14:paraId="0A72B144" w14:textId="77777777" w:rsidR="00C3312E" w:rsidRPr="00C3312E" w:rsidRDefault="00C3312E" w:rsidP="00C3312E">
            <w:pPr>
              <w:spacing w:after="0" w:line="240" w:lineRule="auto"/>
              <w:rPr>
                <w:rFonts w:eastAsia="Times New Roman" w:cs="Times New Roman"/>
                <w:sz w:val="20"/>
                <w:szCs w:val="20"/>
              </w:rPr>
            </w:pPr>
            <w:r w:rsidRPr="00C3312E">
              <w:rPr>
                <w:sz w:val="20"/>
                <w:szCs w:val="20"/>
              </w:rPr>
              <w:t>All</w:t>
            </w:r>
          </w:p>
        </w:tc>
        <w:tc>
          <w:tcPr>
            <w:tcW w:w="977" w:type="dxa"/>
            <w:shd w:val="clear" w:color="auto" w:fill="BFBFBF" w:themeFill="background1" w:themeFillShade="BF"/>
          </w:tcPr>
          <w:p w14:paraId="6D072CAE" w14:textId="77777777" w:rsidR="00C3312E" w:rsidRPr="00C3312E" w:rsidRDefault="00C3312E" w:rsidP="00C3312E">
            <w:pPr>
              <w:spacing w:after="0" w:line="240" w:lineRule="auto"/>
              <w:jc w:val="center"/>
              <w:rPr>
                <w:sz w:val="20"/>
                <w:szCs w:val="20"/>
              </w:rPr>
            </w:pPr>
            <w:r w:rsidRPr="00C3312E">
              <w:rPr>
                <w:sz w:val="20"/>
                <w:szCs w:val="20"/>
              </w:rPr>
              <w:t>563</w:t>
            </w:r>
          </w:p>
        </w:tc>
        <w:tc>
          <w:tcPr>
            <w:tcW w:w="977" w:type="dxa"/>
            <w:shd w:val="clear" w:color="auto" w:fill="BFBFBF" w:themeFill="background1" w:themeFillShade="BF"/>
          </w:tcPr>
          <w:p w14:paraId="474A0B24" w14:textId="77777777" w:rsidR="00C3312E" w:rsidRPr="00C3312E" w:rsidRDefault="00C3312E" w:rsidP="00C3312E">
            <w:pPr>
              <w:spacing w:after="0" w:line="240" w:lineRule="auto"/>
              <w:jc w:val="center"/>
              <w:rPr>
                <w:sz w:val="20"/>
                <w:szCs w:val="20"/>
              </w:rPr>
            </w:pPr>
            <w:r w:rsidRPr="00C3312E">
              <w:rPr>
                <w:sz w:val="20"/>
                <w:szCs w:val="20"/>
              </w:rPr>
              <w:t>83.9</w:t>
            </w:r>
          </w:p>
        </w:tc>
        <w:tc>
          <w:tcPr>
            <w:tcW w:w="977" w:type="dxa"/>
            <w:shd w:val="clear" w:color="auto" w:fill="BFBFBF" w:themeFill="background1" w:themeFillShade="BF"/>
          </w:tcPr>
          <w:p w14:paraId="7E9A4EB3" w14:textId="77777777" w:rsidR="00C3312E" w:rsidRPr="00C3312E" w:rsidRDefault="00C3312E" w:rsidP="00C3312E">
            <w:pPr>
              <w:spacing w:after="0" w:line="240" w:lineRule="auto"/>
              <w:jc w:val="center"/>
              <w:rPr>
                <w:sz w:val="20"/>
                <w:szCs w:val="20"/>
              </w:rPr>
            </w:pPr>
            <w:r w:rsidRPr="00C3312E">
              <w:rPr>
                <w:sz w:val="20"/>
                <w:szCs w:val="20"/>
              </w:rPr>
              <w:t>84.8</w:t>
            </w:r>
          </w:p>
        </w:tc>
        <w:tc>
          <w:tcPr>
            <w:tcW w:w="977" w:type="dxa"/>
            <w:shd w:val="clear" w:color="auto" w:fill="BFBFBF" w:themeFill="background1" w:themeFillShade="BF"/>
          </w:tcPr>
          <w:p w14:paraId="00CA1514" w14:textId="77777777" w:rsidR="00C3312E" w:rsidRPr="00C3312E" w:rsidRDefault="00C3312E" w:rsidP="00C3312E">
            <w:pPr>
              <w:spacing w:after="0" w:line="240" w:lineRule="auto"/>
              <w:jc w:val="center"/>
              <w:rPr>
                <w:sz w:val="20"/>
                <w:szCs w:val="20"/>
              </w:rPr>
            </w:pPr>
            <w:r w:rsidRPr="00C3312E">
              <w:rPr>
                <w:sz w:val="20"/>
                <w:szCs w:val="20"/>
              </w:rPr>
              <w:t>82.6</w:t>
            </w:r>
          </w:p>
        </w:tc>
        <w:tc>
          <w:tcPr>
            <w:tcW w:w="977" w:type="dxa"/>
            <w:shd w:val="clear" w:color="auto" w:fill="BFBFBF" w:themeFill="background1" w:themeFillShade="BF"/>
          </w:tcPr>
          <w:p w14:paraId="6397510B" w14:textId="77777777" w:rsidR="00C3312E" w:rsidRPr="00C3312E" w:rsidRDefault="00C3312E" w:rsidP="00C3312E">
            <w:pPr>
              <w:spacing w:after="0" w:line="240" w:lineRule="auto"/>
              <w:jc w:val="center"/>
              <w:rPr>
                <w:sz w:val="20"/>
                <w:szCs w:val="20"/>
              </w:rPr>
            </w:pPr>
            <w:r w:rsidRPr="00C3312E">
              <w:rPr>
                <w:sz w:val="20"/>
                <w:szCs w:val="20"/>
              </w:rPr>
              <w:t>81.9</w:t>
            </w:r>
          </w:p>
        </w:tc>
        <w:tc>
          <w:tcPr>
            <w:tcW w:w="977" w:type="dxa"/>
            <w:shd w:val="clear" w:color="auto" w:fill="BFBFBF" w:themeFill="background1" w:themeFillShade="BF"/>
          </w:tcPr>
          <w:p w14:paraId="3F0CF65A" w14:textId="77777777" w:rsidR="00C3312E" w:rsidRPr="00C3312E" w:rsidRDefault="00C3312E" w:rsidP="00C3312E">
            <w:pPr>
              <w:spacing w:after="0" w:line="240" w:lineRule="auto"/>
              <w:jc w:val="center"/>
              <w:rPr>
                <w:sz w:val="20"/>
                <w:szCs w:val="20"/>
              </w:rPr>
            </w:pPr>
            <w:r w:rsidRPr="00C3312E">
              <w:rPr>
                <w:sz w:val="20"/>
                <w:szCs w:val="20"/>
              </w:rPr>
              <w:t>-2.0</w:t>
            </w:r>
          </w:p>
        </w:tc>
        <w:tc>
          <w:tcPr>
            <w:tcW w:w="978" w:type="dxa"/>
            <w:shd w:val="clear" w:color="auto" w:fill="BFBFBF" w:themeFill="background1" w:themeFillShade="BF"/>
          </w:tcPr>
          <w:p w14:paraId="6F53BA73" w14:textId="77777777" w:rsidR="00C3312E" w:rsidRPr="00C3312E" w:rsidRDefault="00C3312E" w:rsidP="00C3312E">
            <w:pPr>
              <w:spacing w:after="0" w:line="240" w:lineRule="auto"/>
              <w:jc w:val="center"/>
              <w:rPr>
                <w:sz w:val="20"/>
                <w:szCs w:val="20"/>
              </w:rPr>
            </w:pPr>
            <w:r w:rsidRPr="00C3312E">
              <w:rPr>
                <w:sz w:val="20"/>
                <w:szCs w:val="20"/>
              </w:rPr>
              <w:t>87.9</w:t>
            </w:r>
          </w:p>
        </w:tc>
      </w:tr>
      <w:tr w:rsidR="00C3312E" w:rsidRPr="00C3312E" w14:paraId="25556A3E" w14:textId="77777777" w:rsidTr="00A66217">
        <w:tc>
          <w:tcPr>
            <w:tcW w:w="9558" w:type="dxa"/>
            <w:gridSpan w:val="8"/>
            <w:tcBorders>
              <w:left w:val="nil"/>
              <w:bottom w:val="nil"/>
              <w:right w:val="nil"/>
            </w:tcBorders>
            <w:shd w:val="clear" w:color="auto" w:fill="auto"/>
          </w:tcPr>
          <w:p w14:paraId="71C81EE0" w14:textId="71067319" w:rsidR="00C3312E" w:rsidRPr="00C3312E" w:rsidRDefault="00C3312E" w:rsidP="00EC5B5A">
            <w:pPr>
              <w:spacing w:before="60" w:after="0" w:line="240" w:lineRule="auto"/>
              <w:rPr>
                <w:sz w:val="18"/>
                <w:szCs w:val="18"/>
              </w:rPr>
            </w:pPr>
            <w:r w:rsidRPr="00C3312E">
              <w:rPr>
                <w:sz w:val="18"/>
                <w:szCs w:val="18"/>
              </w:rPr>
              <w:t xml:space="preserve">* Four-year cohort graduation rate for students from </w:t>
            </w:r>
            <w:r w:rsidR="00531ED5" w:rsidRPr="00C3312E">
              <w:rPr>
                <w:sz w:val="18"/>
                <w:szCs w:val="18"/>
              </w:rPr>
              <w:t>low</w:t>
            </w:r>
            <w:r w:rsidR="00531ED5">
              <w:rPr>
                <w:sz w:val="18"/>
                <w:szCs w:val="18"/>
              </w:rPr>
              <w:t>-</w:t>
            </w:r>
            <w:r w:rsidRPr="00C3312E">
              <w:rPr>
                <w:sz w:val="18"/>
                <w:szCs w:val="18"/>
              </w:rPr>
              <w:t>income families used for 2015 rates.</w:t>
            </w:r>
          </w:p>
        </w:tc>
      </w:tr>
    </w:tbl>
    <w:p w14:paraId="58D99188" w14:textId="2633BE16" w:rsidR="00C3312E" w:rsidRDefault="00C3312E" w:rsidP="00C3312E">
      <w:pPr>
        <w:spacing w:after="0" w:line="240" w:lineRule="auto"/>
      </w:pPr>
    </w:p>
    <w:p w14:paraId="2A102BE8" w14:textId="03611E35" w:rsidR="00E0187B" w:rsidRDefault="00E0187B" w:rsidP="00C3312E">
      <w:pPr>
        <w:spacing w:after="0" w:line="240" w:lineRule="auto"/>
      </w:pPr>
    </w:p>
    <w:tbl>
      <w:tblPr>
        <w:tblStyle w:val="TableGrid5"/>
        <w:tblW w:w="9558" w:type="dxa"/>
        <w:tblLayout w:type="fixed"/>
        <w:tblLook w:val="04A0" w:firstRow="1" w:lastRow="0" w:firstColumn="1" w:lastColumn="0" w:noHBand="0" w:noVBand="1"/>
        <w:tblCaption w:val="Table 23: Framingham Public Schools"/>
        <w:tblDescription w:val="Five-Year Cohort Graduation Rates by Student Group, 2014–2017&#10;"/>
      </w:tblPr>
      <w:tblGrid>
        <w:gridCol w:w="2718"/>
        <w:gridCol w:w="977"/>
        <w:gridCol w:w="977"/>
        <w:gridCol w:w="977"/>
        <w:gridCol w:w="977"/>
        <w:gridCol w:w="977"/>
        <w:gridCol w:w="977"/>
        <w:gridCol w:w="978"/>
      </w:tblGrid>
      <w:tr w:rsidR="00C3312E" w:rsidRPr="00C3312E" w14:paraId="022E0B0D" w14:textId="77777777" w:rsidTr="00A66217">
        <w:tc>
          <w:tcPr>
            <w:tcW w:w="9558" w:type="dxa"/>
            <w:gridSpan w:val="8"/>
            <w:tcBorders>
              <w:top w:val="nil"/>
              <w:left w:val="nil"/>
              <w:right w:val="nil"/>
            </w:tcBorders>
            <w:shd w:val="clear" w:color="auto" w:fill="auto"/>
          </w:tcPr>
          <w:p w14:paraId="2DB0F369" w14:textId="77777777" w:rsidR="00C3312E" w:rsidRPr="00C3312E" w:rsidRDefault="00C3312E" w:rsidP="00C3312E">
            <w:pPr>
              <w:spacing w:after="0" w:line="240" w:lineRule="auto"/>
              <w:jc w:val="center"/>
              <w:rPr>
                <w:b/>
                <w:sz w:val="20"/>
                <w:szCs w:val="20"/>
              </w:rPr>
            </w:pPr>
            <w:r w:rsidRPr="00C3312E">
              <w:rPr>
                <w:b/>
                <w:sz w:val="20"/>
                <w:szCs w:val="20"/>
              </w:rPr>
              <w:t xml:space="preserve">Table 23: </w:t>
            </w:r>
            <w:r w:rsidRPr="00C3312E">
              <w:rPr>
                <w:rFonts w:cs="Times New Roman"/>
                <w:b/>
                <w:sz w:val="20"/>
                <w:szCs w:val="20"/>
              </w:rPr>
              <w:t>Framingham Public Schools</w:t>
            </w:r>
          </w:p>
          <w:p w14:paraId="7876D749" w14:textId="1F7A7F3E" w:rsidR="00C3312E" w:rsidRPr="00C3312E" w:rsidRDefault="00C3312E" w:rsidP="00013D3E">
            <w:pPr>
              <w:spacing w:after="0" w:line="240" w:lineRule="auto"/>
              <w:jc w:val="center"/>
              <w:rPr>
                <w:b/>
              </w:rPr>
            </w:pPr>
            <w:r w:rsidRPr="00C3312E">
              <w:rPr>
                <w:b/>
                <w:sz w:val="20"/>
                <w:szCs w:val="20"/>
              </w:rPr>
              <w:t>Five-Year Cohort Graduation Rates</w:t>
            </w:r>
            <w:r w:rsidR="00BF78C0">
              <w:rPr>
                <w:b/>
                <w:sz w:val="20"/>
                <w:szCs w:val="20"/>
              </w:rPr>
              <w:t xml:space="preserve"> by Student Group</w:t>
            </w:r>
            <w:r w:rsidRPr="00C3312E">
              <w:rPr>
                <w:b/>
                <w:sz w:val="20"/>
                <w:szCs w:val="20"/>
              </w:rPr>
              <w:t>, 2014</w:t>
            </w:r>
            <w:r w:rsidR="00013D3E">
              <w:rPr>
                <w:b/>
                <w:sz w:val="20"/>
                <w:szCs w:val="20"/>
              </w:rPr>
              <w:t>–</w:t>
            </w:r>
            <w:r w:rsidRPr="00C3312E">
              <w:rPr>
                <w:b/>
                <w:sz w:val="20"/>
                <w:szCs w:val="20"/>
              </w:rPr>
              <w:t>2017</w:t>
            </w:r>
          </w:p>
        </w:tc>
      </w:tr>
      <w:tr w:rsidR="00C3312E" w:rsidRPr="00C3312E" w14:paraId="60557AFE" w14:textId="77777777" w:rsidTr="00A66217">
        <w:tc>
          <w:tcPr>
            <w:tcW w:w="2718" w:type="dxa"/>
            <w:shd w:val="clear" w:color="auto" w:fill="BFBFBF" w:themeFill="background1" w:themeFillShade="BF"/>
          </w:tcPr>
          <w:p w14:paraId="3B6AAB31" w14:textId="77777777" w:rsidR="00C3312E" w:rsidRPr="00C3312E" w:rsidRDefault="00C3312E" w:rsidP="00EC5B5A">
            <w:pPr>
              <w:spacing w:after="0" w:line="240" w:lineRule="auto"/>
              <w:rPr>
                <w:b/>
                <w:sz w:val="20"/>
                <w:szCs w:val="20"/>
              </w:rPr>
            </w:pPr>
            <w:r w:rsidRPr="00C3312E">
              <w:rPr>
                <w:b/>
                <w:sz w:val="20"/>
                <w:szCs w:val="20"/>
              </w:rPr>
              <w:t>Group</w:t>
            </w:r>
          </w:p>
        </w:tc>
        <w:tc>
          <w:tcPr>
            <w:tcW w:w="977" w:type="dxa"/>
            <w:shd w:val="clear" w:color="auto" w:fill="BFBFBF" w:themeFill="background1" w:themeFillShade="BF"/>
            <w:vAlign w:val="center"/>
          </w:tcPr>
          <w:p w14:paraId="06365CDC" w14:textId="77777777" w:rsidR="00C3312E" w:rsidRPr="00C3312E" w:rsidRDefault="00C3312E" w:rsidP="00A66217">
            <w:pPr>
              <w:spacing w:after="0" w:line="240" w:lineRule="auto"/>
              <w:jc w:val="center"/>
              <w:rPr>
                <w:b/>
                <w:sz w:val="20"/>
                <w:szCs w:val="20"/>
              </w:rPr>
            </w:pPr>
            <w:r w:rsidRPr="00C3312E">
              <w:rPr>
                <w:b/>
                <w:sz w:val="20"/>
                <w:szCs w:val="20"/>
              </w:rPr>
              <w:t>N</w:t>
            </w:r>
          </w:p>
          <w:p w14:paraId="6E95172C" w14:textId="41735870" w:rsidR="00C3312E" w:rsidRPr="00C3312E" w:rsidRDefault="00C3312E" w:rsidP="00A66217">
            <w:pPr>
              <w:spacing w:after="0" w:line="240" w:lineRule="auto"/>
              <w:jc w:val="center"/>
              <w:rPr>
                <w:b/>
                <w:sz w:val="20"/>
                <w:szCs w:val="20"/>
              </w:rPr>
            </w:pPr>
            <w:r w:rsidRPr="00C3312E">
              <w:rPr>
                <w:b/>
                <w:sz w:val="20"/>
                <w:szCs w:val="20"/>
              </w:rPr>
              <w:t>(2017)</w:t>
            </w:r>
          </w:p>
        </w:tc>
        <w:tc>
          <w:tcPr>
            <w:tcW w:w="977" w:type="dxa"/>
            <w:shd w:val="clear" w:color="auto" w:fill="BFBFBF" w:themeFill="background1" w:themeFillShade="BF"/>
            <w:vAlign w:val="center"/>
          </w:tcPr>
          <w:p w14:paraId="68A6D61D" w14:textId="77777777" w:rsidR="00C3312E" w:rsidRPr="00C3312E" w:rsidRDefault="00C3312E" w:rsidP="00A66217">
            <w:pPr>
              <w:spacing w:after="0" w:line="240" w:lineRule="auto"/>
              <w:jc w:val="center"/>
              <w:rPr>
                <w:b/>
                <w:sz w:val="20"/>
                <w:szCs w:val="20"/>
              </w:rPr>
            </w:pPr>
            <w:r w:rsidRPr="00C3312E">
              <w:rPr>
                <w:b/>
                <w:sz w:val="20"/>
                <w:szCs w:val="20"/>
              </w:rPr>
              <w:t>2014</w:t>
            </w:r>
          </w:p>
        </w:tc>
        <w:tc>
          <w:tcPr>
            <w:tcW w:w="977" w:type="dxa"/>
            <w:shd w:val="clear" w:color="auto" w:fill="BFBFBF" w:themeFill="background1" w:themeFillShade="BF"/>
            <w:vAlign w:val="center"/>
          </w:tcPr>
          <w:p w14:paraId="6370FC5C" w14:textId="77777777" w:rsidR="00C3312E" w:rsidRPr="00C3312E" w:rsidRDefault="00C3312E" w:rsidP="00A66217">
            <w:pPr>
              <w:spacing w:after="0" w:line="240" w:lineRule="auto"/>
              <w:jc w:val="center"/>
              <w:rPr>
                <w:b/>
                <w:sz w:val="20"/>
                <w:szCs w:val="20"/>
              </w:rPr>
            </w:pPr>
            <w:r w:rsidRPr="00C3312E">
              <w:rPr>
                <w:b/>
                <w:sz w:val="20"/>
                <w:szCs w:val="20"/>
              </w:rPr>
              <w:t>2015</w:t>
            </w:r>
          </w:p>
        </w:tc>
        <w:tc>
          <w:tcPr>
            <w:tcW w:w="977" w:type="dxa"/>
            <w:shd w:val="clear" w:color="auto" w:fill="BFBFBF" w:themeFill="background1" w:themeFillShade="BF"/>
            <w:vAlign w:val="center"/>
          </w:tcPr>
          <w:p w14:paraId="008E4FDC" w14:textId="77777777" w:rsidR="00C3312E" w:rsidRPr="00C3312E" w:rsidRDefault="00C3312E" w:rsidP="00A66217">
            <w:pPr>
              <w:spacing w:after="0" w:line="240" w:lineRule="auto"/>
              <w:jc w:val="center"/>
              <w:rPr>
                <w:b/>
                <w:sz w:val="20"/>
                <w:szCs w:val="20"/>
              </w:rPr>
            </w:pPr>
            <w:r w:rsidRPr="00C3312E">
              <w:rPr>
                <w:b/>
                <w:sz w:val="20"/>
                <w:szCs w:val="20"/>
              </w:rPr>
              <w:t>2016</w:t>
            </w:r>
          </w:p>
        </w:tc>
        <w:tc>
          <w:tcPr>
            <w:tcW w:w="977" w:type="dxa"/>
            <w:shd w:val="clear" w:color="auto" w:fill="BFBFBF" w:themeFill="background1" w:themeFillShade="BF"/>
            <w:vAlign w:val="center"/>
          </w:tcPr>
          <w:p w14:paraId="6E9A56C1" w14:textId="77777777" w:rsidR="00C3312E" w:rsidRPr="00C3312E" w:rsidRDefault="00C3312E" w:rsidP="00A66217">
            <w:pPr>
              <w:spacing w:after="0" w:line="240" w:lineRule="auto"/>
              <w:jc w:val="center"/>
              <w:rPr>
                <w:b/>
                <w:sz w:val="20"/>
                <w:szCs w:val="20"/>
              </w:rPr>
            </w:pPr>
            <w:r w:rsidRPr="00C3312E">
              <w:rPr>
                <w:b/>
                <w:sz w:val="20"/>
                <w:szCs w:val="20"/>
              </w:rPr>
              <w:t>2017</w:t>
            </w:r>
          </w:p>
        </w:tc>
        <w:tc>
          <w:tcPr>
            <w:tcW w:w="977" w:type="dxa"/>
            <w:shd w:val="clear" w:color="auto" w:fill="BFBFBF" w:themeFill="background1" w:themeFillShade="BF"/>
            <w:vAlign w:val="center"/>
          </w:tcPr>
          <w:p w14:paraId="31FF0DEC" w14:textId="77777777" w:rsidR="00C3312E" w:rsidRPr="00C3312E" w:rsidRDefault="00C3312E" w:rsidP="00A66217">
            <w:pPr>
              <w:spacing w:after="0" w:line="240" w:lineRule="auto"/>
              <w:jc w:val="center"/>
              <w:rPr>
                <w:b/>
                <w:sz w:val="20"/>
                <w:szCs w:val="20"/>
              </w:rPr>
            </w:pPr>
            <w:r w:rsidRPr="00C3312E">
              <w:rPr>
                <w:b/>
                <w:sz w:val="20"/>
                <w:szCs w:val="20"/>
              </w:rPr>
              <w:t>4-yr Change</w:t>
            </w:r>
          </w:p>
        </w:tc>
        <w:tc>
          <w:tcPr>
            <w:tcW w:w="978" w:type="dxa"/>
            <w:shd w:val="clear" w:color="auto" w:fill="BFBFBF" w:themeFill="background1" w:themeFillShade="BF"/>
            <w:vAlign w:val="center"/>
          </w:tcPr>
          <w:p w14:paraId="20C5D3A7" w14:textId="77777777" w:rsidR="00C3312E" w:rsidRPr="00C3312E" w:rsidRDefault="00C3312E" w:rsidP="00A66217">
            <w:pPr>
              <w:spacing w:after="0" w:line="240" w:lineRule="auto"/>
              <w:jc w:val="center"/>
              <w:rPr>
                <w:b/>
                <w:sz w:val="20"/>
                <w:szCs w:val="20"/>
              </w:rPr>
            </w:pPr>
            <w:r w:rsidRPr="00C3312E">
              <w:rPr>
                <w:b/>
                <w:sz w:val="20"/>
                <w:szCs w:val="20"/>
              </w:rPr>
              <w:t>State (2017)</w:t>
            </w:r>
          </w:p>
        </w:tc>
      </w:tr>
      <w:tr w:rsidR="00C3312E" w:rsidRPr="00C3312E" w14:paraId="020A4BC3" w14:textId="77777777" w:rsidTr="00A66217">
        <w:tc>
          <w:tcPr>
            <w:tcW w:w="2718" w:type="dxa"/>
            <w:shd w:val="clear" w:color="auto" w:fill="auto"/>
          </w:tcPr>
          <w:p w14:paraId="4A5C4D7F"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977" w:type="dxa"/>
            <w:shd w:val="clear" w:color="auto" w:fill="auto"/>
          </w:tcPr>
          <w:p w14:paraId="5215D834" w14:textId="77777777" w:rsidR="00C3312E" w:rsidRPr="00C3312E" w:rsidRDefault="00C3312E" w:rsidP="00C3312E">
            <w:pPr>
              <w:spacing w:after="0" w:line="240" w:lineRule="auto"/>
              <w:jc w:val="center"/>
              <w:rPr>
                <w:sz w:val="20"/>
                <w:szCs w:val="20"/>
              </w:rPr>
            </w:pPr>
            <w:r w:rsidRPr="00C3312E">
              <w:rPr>
                <w:sz w:val="20"/>
                <w:szCs w:val="20"/>
              </w:rPr>
              <w:t>47</w:t>
            </w:r>
          </w:p>
        </w:tc>
        <w:tc>
          <w:tcPr>
            <w:tcW w:w="977" w:type="dxa"/>
            <w:shd w:val="clear" w:color="auto" w:fill="auto"/>
          </w:tcPr>
          <w:p w14:paraId="2B141F47" w14:textId="77777777" w:rsidR="00C3312E" w:rsidRPr="00C3312E" w:rsidRDefault="00C3312E" w:rsidP="00C3312E">
            <w:pPr>
              <w:spacing w:after="0" w:line="240" w:lineRule="auto"/>
              <w:jc w:val="center"/>
              <w:rPr>
                <w:sz w:val="20"/>
                <w:szCs w:val="20"/>
              </w:rPr>
            </w:pPr>
            <w:r w:rsidRPr="00C3312E">
              <w:rPr>
                <w:sz w:val="20"/>
                <w:szCs w:val="20"/>
              </w:rPr>
              <w:t>95.2</w:t>
            </w:r>
          </w:p>
        </w:tc>
        <w:tc>
          <w:tcPr>
            <w:tcW w:w="977" w:type="dxa"/>
            <w:shd w:val="clear" w:color="auto" w:fill="auto"/>
          </w:tcPr>
          <w:p w14:paraId="3E00BF35" w14:textId="77777777" w:rsidR="00C3312E" w:rsidRPr="00C3312E" w:rsidRDefault="00C3312E" w:rsidP="00C3312E">
            <w:pPr>
              <w:spacing w:after="0" w:line="240" w:lineRule="auto"/>
              <w:jc w:val="center"/>
              <w:rPr>
                <w:sz w:val="20"/>
                <w:szCs w:val="20"/>
              </w:rPr>
            </w:pPr>
            <w:r w:rsidRPr="00C3312E">
              <w:rPr>
                <w:sz w:val="20"/>
                <w:szCs w:val="20"/>
              </w:rPr>
              <w:t>85.7</w:t>
            </w:r>
          </w:p>
        </w:tc>
        <w:tc>
          <w:tcPr>
            <w:tcW w:w="977" w:type="dxa"/>
            <w:shd w:val="clear" w:color="auto" w:fill="auto"/>
          </w:tcPr>
          <w:p w14:paraId="3DB43AFB" w14:textId="77777777" w:rsidR="00C3312E" w:rsidRPr="00C3312E" w:rsidRDefault="00C3312E" w:rsidP="00C3312E">
            <w:pPr>
              <w:spacing w:after="0" w:line="240" w:lineRule="auto"/>
              <w:jc w:val="center"/>
              <w:rPr>
                <w:sz w:val="20"/>
                <w:szCs w:val="20"/>
              </w:rPr>
            </w:pPr>
            <w:r w:rsidRPr="00C3312E">
              <w:rPr>
                <w:sz w:val="20"/>
                <w:szCs w:val="20"/>
              </w:rPr>
              <w:t>72.1</w:t>
            </w:r>
          </w:p>
        </w:tc>
        <w:tc>
          <w:tcPr>
            <w:tcW w:w="977" w:type="dxa"/>
            <w:shd w:val="clear" w:color="auto" w:fill="auto"/>
          </w:tcPr>
          <w:p w14:paraId="46478A25" w14:textId="77777777" w:rsidR="00C3312E" w:rsidRPr="00C3312E" w:rsidRDefault="00C3312E" w:rsidP="00C3312E">
            <w:pPr>
              <w:spacing w:after="0" w:line="240" w:lineRule="auto"/>
              <w:jc w:val="center"/>
              <w:rPr>
                <w:sz w:val="20"/>
                <w:szCs w:val="20"/>
              </w:rPr>
            </w:pPr>
            <w:r w:rsidRPr="00C3312E">
              <w:rPr>
                <w:sz w:val="20"/>
                <w:szCs w:val="20"/>
              </w:rPr>
              <w:t>85.1</w:t>
            </w:r>
          </w:p>
        </w:tc>
        <w:tc>
          <w:tcPr>
            <w:tcW w:w="977" w:type="dxa"/>
            <w:shd w:val="clear" w:color="auto" w:fill="auto"/>
          </w:tcPr>
          <w:p w14:paraId="418B9AE9" w14:textId="77777777" w:rsidR="00C3312E" w:rsidRPr="00C3312E" w:rsidRDefault="00C3312E" w:rsidP="00C3312E">
            <w:pPr>
              <w:spacing w:after="0" w:line="240" w:lineRule="auto"/>
              <w:jc w:val="center"/>
              <w:rPr>
                <w:sz w:val="20"/>
                <w:szCs w:val="20"/>
              </w:rPr>
            </w:pPr>
            <w:r w:rsidRPr="00C3312E">
              <w:rPr>
                <w:sz w:val="20"/>
                <w:szCs w:val="20"/>
              </w:rPr>
              <w:t>-10.1</w:t>
            </w:r>
          </w:p>
        </w:tc>
        <w:tc>
          <w:tcPr>
            <w:tcW w:w="978" w:type="dxa"/>
            <w:shd w:val="clear" w:color="auto" w:fill="auto"/>
          </w:tcPr>
          <w:p w14:paraId="23C2C4F2" w14:textId="77777777" w:rsidR="00C3312E" w:rsidRPr="00C3312E" w:rsidRDefault="00C3312E" w:rsidP="00C3312E">
            <w:pPr>
              <w:spacing w:after="0" w:line="240" w:lineRule="auto"/>
              <w:jc w:val="center"/>
              <w:rPr>
                <w:sz w:val="20"/>
                <w:szCs w:val="20"/>
              </w:rPr>
            </w:pPr>
            <w:r w:rsidRPr="00C3312E">
              <w:rPr>
                <w:sz w:val="20"/>
                <w:szCs w:val="20"/>
              </w:rPr>
              <w:t>84.2</w:t>
            </w:r>
          </w:p>
        </w:tc>
      </w:tr>
      <w:tr w:rsidR="00C3312E" w:rsidRPr="00C3312E" w14:paraId="7FF06172" w14:textId="77777777" w:rsidTr="00A66217">
        <w:tc>
          <w:tcPr>
            <w:tcW w:w="2718" w:type="dxa"/>
            <w:shd w:val="clear" w:color="auto" w:fill="BFBFBF" w:themeFill="background1" w:themeFillShade="BF"/>
          </w:tcPr>
          <w:p w14:paraId="60093521"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977" w:type="dxa"/>
            <w:shd w:val="clear" w:color="auto" w:fill="BFBFBF" w:themeFill="background1" w:themeFillShade="BF"/>
          </w:tcPr>
          <w:p w14:paraId="5C482328" w14:textId="77777777" w:rsidR="00C3312E" w:rsidRPr="00C3312E" w:rsidRDefault="00C3312E" w:rsidP="00C3312E">
            <w:pPr>
              <w:spacing w:after="0" w:line="240" w:lineRule="auto"/>
              <w:jc w:val="center"/>
              <w:rPr>
                <w:sz w:val="20"/>
                <w:szCs w:val="20"/>
              </w:rPr>
            </w:pPr>
            <w:r w:rsidRPr="00C3312E">
              <w:rPr>
                <w:sz w:val="20"/>
                <w:szCs w:val="20"/>
              </w:rPr>
              <w:t>38</w:t>
            </w:r>
          </w:p>
        </w:tc>
        <w:tc>
          <w:tcPr>
            <w:tcW w:w="977" w:type="dxa"/>
            <w:shd w:val="clear" w:color="auto" w:fill="BFBFBF" w:themeFill="background1" w:themeFillShade="BF"/>
          </w:tcPr>
          <w:p w14:paraId="5679A326" w14:textId="77777777" w:rsidR="00C3312E" w:rsidRPr="00C3312E" w:rsidRDefault="00C3312E" w:rsidP="00C3312E">
            <w:pPr>
              <w:spacing w:after="0" w:line="240" w:lineRule="auto"/>
              <w:jc w:val="center"/>
              <w:rPr>
                <w:sz w:val="20"/>
                <w:szCs w:val="20"/>
              </w:rPr>
            </w:pPr>
            <w:r w:rsidRPr="00C3312E">
              <w:rPr>
                <w:sz w:val="20"/>
                <w:szCs w:val="20"/>
              </w:rPr>
              <w:t>93.3</w:t>
            </w:r>
          </w:p>
        </w:tc>
        <w:tc>
          <w:tcPr>
            <w:tcW w:w="977" w:type="dxa"/>
            <w:shd w:val="clear" w:color="auto" w:fill="BFBFBF" w:themeFill="background1" w:themeFillShade="BF"/>
          </w:tcPr>
          <w:p w14:paraId="1374DF0B" w14:textId="77777777" w:rsidR="00C3312E" w:rsidRPr="00C3312E" w:rsidRDefault="00C3312E" w:rsidP="00C3312E">
            <w:pPr>
              <w:spacing w:after="0" w:line="240" w:lineRule="auto"/>
              <w:jc w:val="center"/>
              <w:rPr>
                <w:sz w:val="20"/>
                <w:szCs w:val="20"/>
              </w:rPr>
            </w:pPr>
            <w:r w:rsidRPr="00C3312E">
              <w:rPr>
                <w:sz w:val="20"/>
                <w:szCs w:val="20"/>
              </w:rPr>
              <w:t>94.7</w:t>
            </w:r>
          </w:p>
        </w:tc>
        <w:tc>
          <w:tcPr>
            <w:tcW w:w="977" w:type="dxa"/>
            <w:shd w:val="clear" w:color="auto" w:fill="BFBFBF" w:themeFill="background1" w:themeFillShade="BF"/>
          </w:tcPr>
          <w:p w14:paraId="059D749A" w14:textId="77777777" w:rsidR="00C3312E" w:rsidRPr="00C3312E" w:rsidRDefault="00C3312E" w:rsidP="00C3312E">
            <w:pPr>
              <w:spacing w:after="0" w:line="240" w:lineRule="auto"/>
              <w:jc w:val="center"/>
              <w:rPr>
                <w:sz w:val="20"/>
                <w:szCs w:val="20"/>
              </w:rPr>
            </w:pPr>
            <w:r w:rsidRPr="00C3312E">
              <w:rPr>
                <w:sz w:val="20"/>
                <w:szCs w:val="20"/>
              </w:rPr>
              <w:t>92.1</w:t>
            </w:r>
          </w:p>
        </w:tc>
        <w:tc>
          <w:tcPr>
            <w:tcW w:w="977" w:type="dxa"/>
            <w:shd w:val="clear" w:color="auto" w:fill="BFBFBF" w:themeFill="background1" w:themeFillShade="BF"/>
          </w:tcPr>
          <w:p w14:paraId="048EF5FD" w14:textId="77777777" w:rsidR="00C3312E" w:rsidRPr="00C3312E" w:rsidRDefault="00C3312E" w:rsidP="00C3312E">
            <w:pPr>
              <w:spacing w:after="0" w:line="240" w:lineRule="auto"/>
              <w:jc w:val="center"/>
              <w:rPr>
                <w:sz w:val="20"/>
                <w:szCs w:val="20"/>
              </w:rPr>
            </w:pPr>
            <w:r w:rsidRPr="00C3312E">
              <w:rPr>
                <w:sz w:val="20"/>
                <w:szCs w:val="20"/>
              </w:rPr>
              <w:t>92.1</w:t>
            </w:r>
          </w:p>
        </w:tc>
        <w:tc>
          <w:tcPr>
            <w:tcW w:w="977" w:type="dxa"/>
            <w:shd w:val="clear" w:color="auto" w:fill="BFBFBF" w:themeFill="background1" w:themeFillShade="BF"/>
          </w:tcPr>
          <w:p w14:paraId="7B7FADAB" w14:textId="77777777" w:rsidR="00C3312E" w:rsidRPr="00C3312E" w:rsidRDefault="00C3312E" w:rsidP="00C3312E">
            <w:pPr>
              <w:spacing w:after="0" w:line="240" w:lineRule="auto"/>
              <w:jc w:val="center"/>
              <w:rPr>
                <w:sz w:val="20"/>
                <w:szCs w:val="20"/>
              </w:rPr>
            </w:pPr>
            <w:r w:rsidRPr="00C3312E">
              <w:rPr>
                <w:sz w:val="20"/>
                <w:szCs w:val="20"/>
              </w:rPr>
              <w:t>-1.2</w:t>
            </w:r>
          </w:p>
        </w:tc>
        <w:tc>
          <w:tcPr>
            <w:tcW w:w="978" w:type="dxa"/>
            <w:shd w:val="clear" w:color="auto" w:fill="BFBFBF" w:themeFill="background1" w:themeFillShade="BF"/>
          </w:tcPr>
          <w:p w14:paraId="6C367340" w14:textId="77777777" w:rsidR="00C3312E" w:rsidRPr="00C3312E" w:rsidRDefault="00C3312E" w:rsidP="00C3312E">
            <w:pPr>
              <w:spacing w:after="0" w:line="240" w:lineRule="auto"/>
              <w:jc w:val="center"/>
              <w:rPr>
                <w:sz w:val="20"/>
                <w:szCs w:val="20"/>
              </w:rPr>
            </w:pPr>
            <w:r w:rsidRPr="00C3312E">
              <w:rPr>
                <w:sz w:val="20"/>
                <w:szCs w:val="20"/>
              </w:rPr>
              <w:t>95.4</w:t>
            </w:r>
          </w:p>
        </w:tc>
      </w:tr>
      <w:tr w:rsidR="00C3312E" w:rsidRPr="00C3312E" w14:paraId="1651D90F" w14:textId="77777777" w:rsidTr="00A66217">
        <w:tc>
          <w:tcPr>
            <w:tcW w:w="2718" w:type="dxa"/>
            <w:shd w:val="clear" w:color="auto" w:fill="auto"/>
          </w:tcPr>
          <w:p w14:paraId="43D754B7"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977" w:type="dxa"/>
            <w:shd w:val="clear" w:color="auto" w:fill="auto"/>
          </w:tcPr>
          <w:p w14:paraId="36D9C586" w14:textId="77777777" w:rsidR="00C3312E" w:rsidRPr="00C3312E" w:rsidRDefault="00C3312E" w:rsidP="00C3312E">
            <w:pPr>
              <w:spacing w:after="0" w:line="240" w:lineRule="auto"/>
              <w:jc w:val="center"/>
              <w:rPr>
                <w:sz w:val="20"/>
                <w:szCs w:val="20"/>
              </w:rPr>
            </w:pPr>
            <w:r w:rsidRPr="00C3312E">
              <w:rPr>
                <w:sz w:val="20"/>
                <w:szCs w:val="20"/>
              </w:rPr>
              <w:t>128</w:t>
            </w:r>
          </w:p>
        </w:tc>
        <w:tc>
          <w:tcPr>
            <w:tcW w:w="977" w:type="dxa"/>
            <w:shd w:val="clear" w:color="auto" w:fill="auto"/>
          </w:tcPr>
          <w:p w14:paraId="5B7B85BD" w14:textId="77777777" w:rsidR="00C3312E" w:rsidRPr="00C3312E" w:rsidRDefault="00C3312E" w:rsidP="00C3312E">
            <w:pPr>
              <w:spacing w:after="0" w:line="240" w:lineRule="auto"/>
              <w:jc w:val="center"/>
              <w:rPr>
                <w:sz w:val="20"/>
                <w:szCs w:val="20"/>
              </w:rPr>
            </w:pPr>
            <w:r w:rsidRPr="00C3312E">
              <w:rPr>
                <w:sz w:val="20"/>
                <w:szCs w:val="20"/>
              </w:rPr>
              <w:t>68.5</w:t>
            </w:r>
          </w:p>
        </w:tc>
        <w:tc>
          <w:tcPr>
            <w:tcW w:w="977" w:type="dxa"/>
            <w:shd w:val="clear" w:color="auto" w:fill="auto"/>
          </w:tcPr>
          <w:p w14:paraId="2CC67841" w14:textId="77777777" w:rsidR="00C3312E" w:rsidRPr="00C3312E" w:rsidRDefault="00C3312E" w:rsidP="00C3312E">
            <w:pPr>
              <w:spacing w:after="0" w:line="240" w:lineRule="auto"/>
              <w:jc w:val="center"/>
              <w:rPr>
                <w:sz w:val="20"/>
                <w:szCs w:val="20"/>
              </w:rPr>
            </w:pPr>
            <w:r w:rsidRPr="00C3312E">
              <w:rPr>
                <w:sz w:val="20"/>
                <w:szCs w:val="20"/>
              </w:rPr>
              <w:t>81.5</w:t>
            </w:r>
          </w:p>
        </w:tc>
        <w:tc>
          <w:tcPr>
            <w:tcW w:w="977" w:type="dxa"/>
            <w:shd w:val="clear" w:color="auto" w:fill="auto"/>
          </w:tcPr>
          <w:p w14:paraId="55003239" w14:textId="77777777" w:rsidR="00C3312E" w:rsidRPr="00C3312E" w:rsidRDefault="00C3312E" w:rsidP="00C3312E">
            <w:pPr>
              <w:spacing w:after="0" w:line="240" w:lineRule="auto"/>
              <w:jc w:val="center"/>
              <w:rPr>
                <w:sz w:val="20"/>
                <w:szCs w:val="20"/>
              </w:rPr>
            </w:pPr>
            <w:r w:rsidRPr="00C3312E">
              <w:rPr>
                <w:sz w:val="20"/>
                <w:szCs w:val="20"/>
              </w:rPr>
              <w:t>73.6</w:t>
            </w:r>
          </w:p>
        </w:tc>
        <w:tc>
          <w:tcPr>
            <w:tcW w:w="977" w:type="dxa"/>
            <w:shd w:val="clear" w:color="auto" w:fill="auto"/>
          </w:tcPr>
          <w:p w14:paraId="0393A208" w14:textId="77777777" w:rsidR="00C3312E" w:rsidRPr="00C3312E" w:rsidRDefault="00C3312E" w:rsidP="00C3312E">
            <w:pPr>
              <w:spacing w:after="0" w:line="240" w:lineRule="auto"/>
              <w:jc w:val="center"/>
              <w:rPr>
                <w:sz w:val="20"/>
                <w:szCs w:val="20"/>
              </w:rPr>
            </w:pPr>
            <w:r w:rsidRPr="00C3312E">
              <w:rPr>
                <w:sz w:val="20"/>
                <w:szCs w:val="20"/>
              </w:rPr>
              <w:t>75.8</w:t>
            </w:r>
          </w:p>
        </w:tc>
        <w:tc>
          <w:tcPr>
            <w:tcW w:w="977" w:type="dxa"/>
            <w:shd w:val="clear" w:color="auto" w:fill="auto"/>
          </w:tcPr>
          <w:p w14:paraId="51BBC0E8" w14:textId="77777777" w:rsidR="00C3312E" w:rsidRPr="00C3312E" w:rsidRDefault="00C3312E" w:rsidP="00C3312E">
            <w:pPr>
              <w:spacing w:after="0" w:line="240" w:lineRule="auto"/>
              <w:jc w:val="center"/>
              <w:rPr>
                <w:sz w:val="20"/>
                <w:szCs w:val="20"/>
              </w:rPr>
            </w:pPr>
            <w:r w:rsidRPr="00C3312E">
              <w:rPr>
                <w:sz w:val="20"/>
                <w:szCs w:val="20"/>
              </w:rPr>
              <w:t>7.3</w:t>
            </w:r>
          </w:p>
        </w:tc>
        <w:tc>
          <w:tcPr>
            <w:tcW w:w="978" w:type="dxa"/>
            <w:shd w:val="clear" w:color="auto" w:fill="auto"/>
          </w:tcPr>
          <w:p w14:paraId="2AE4605F" w14:textId="77777777" w:rsidR="00C3312E" w:rsidRPr="00C3312E" w:rsidRDefault="00C3312E" w:rsidP="00C3312E">
            <w:pPr>
              <w:spacing w:after="0" w:line="240" w:lineRule="auto"/>
              <w:jc w:val="center"/>
              <w:rPr>
                <w:sz w:val="20"/>
                <w:szCs w:val="20"/>
              </w:rPr>
            </w:pPr>
            <w:r w:rsidRPr="00C3312E">
              <w:rPr>
                <w:sz w:val="20"/>
                <w:szCs w:val="20"/>
              </w:rPr>
              <w:t>77.4</w:t>
            </w:r>
          </w:p>
        </w:tc>
      </w:tr>
      <w:tr w:rsidR="00C3312E" w:rsidRPr="00C3312E" w14:paraId="0DA618D3" w14:textId="77777777" w:rsidTr="00A66217">
        <w:tc>
          <w:tcPr>
            <w:tcW w:w="2718" w:type="dxa"/>
            <w:shd w:val="clear" w:color="auto" w:fill="BFBFBF" w:themeFill="background1" w:themeFillShade="BF"/>
          </w:tcPr>
          <w:p w14:paraId="5D00BEEF"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w:t>
            </w:r>
            <w:proofErr w:type="spellStart"/>
            <w:r w:rsidRPr="00C3312E">
              <w:rPr>
                <w:rFonts w:eastAsia="Times New Roman" w:cs="Times New Roman"/>
                <w:sz w:val="20"/>
                <w:szCs w:val="20"/>
              </w:rPr>
              <w:t>Hisp</w:t>
            </w:r>
            <w:proofErr w:type="spellEnd"/>
            <w:r w:rsidRPr="00C3312E">
              <w:rPr>
                <w:rFonts w:eastAsia="Times New Roman" w:cs="Times New Roman"/>
                <w:sz w:val="20"/>
                <w:szCs w:val="20"/>
              </w:rPr>
              <w:t>./Lat.</w:t>
            </w:r>
          </w:p>
        </w:tc>
        <w:tc>
          <w:tcPr>
            <w:tcW w:w="977" w:type="dxa"/>
            <w:shd w:val="clear" w:color="auto" w:fill="BFBFBF" w:themeFill="background1" w:themeFillShade="BF"/>
          </w:tcPr>
          <w:p w14:paraId="00A9B04B" w14:textId="77777777" w:rsidR="00C3312E" w:rsidRPr="00C3312E" w:rsidRDefault="00C3312E" w:rsidP="00C3312E">
            <w:pPr>
              <w:spacing w:after="0" w:line="240" w:lineRule="auto"/>
              <w:jc w:val="center"/>
              <w:rPr>
                <w:sz w:val="20"/>
                <w:szCs w:val="20"/>
              </w:rPr>
            </w:pPr>
            <w:r w:rsidRPr="00C3312E">
              <w:rPr>
                <w:sz w:val="20"/>
                <w:szCs w:val="20"/>
              </w:rPr>
              <w:t>6</w:t>
            </w:r>
          </w:p>
        </w:tc>
        <w:tc>
          <w:tcPr>
            <w:tcW w:w="977" w:type="dxa"/>
            <w:shd w:val="clear" w:color="auto" w:fill="BFBFBF" w:themeFill="background1" w:themeFillShade="BF"/>
          </w:tcPr>
          <w:p w14:paraId="08DCDC14" w14:textId="77777777" w:rsidR="00C3312E" w:rsidRPr="00C3312E" w:rsidRDefault="00C3312E" w:rsidP="00C3312E">
            <w:pPr>
              <w:spacing w:after="0" w:line="240" w:lineRule="auto"/>
              <w:jc w:val="center"/>
              <w:rPr>
                <w:sz w:val="20"/>
                <w:szCs w:val="20"/>
              </w:rPr>
            </w:pPr>
            <w:r w:rsidRPr="00C3312E">
              <w:rPr>
                <w:sz w:val="20"/>
                <w:szCs w:val="20"/>
              </w:rPr>
              <w:t>66.7</w:t>
            </w:r>
          </w:p>
        </w:tc>
        <w:tc>
          <w:tcPr>
            <w:tcW w:w="977" w:type="dxa"/>
            <w:shd w:val="clear" w:color="auto" w:fill="BFBFBF" w:themeFill="background1" w:themeFillShade="BF"/>
          </w:tcPr>
          <w:p w14:paraId="1BF3B2E7" w14:textId="77777777" w:rsidR="00C3312E" w:rsidRPr="00C3312E" w:rsidRDefault="00C3312E" w:rsidP="00C3312E">
            <w:pPr>
              <w:spacing w:after="0" w:line="240" w:lineRule="auto"/>
              <w:jc w:val="center"/>
              <w:rPr>
                <w:sz w:val="20"/>
                <w:szCs w:val="20"/>
              </w:rPr>
            </w:pPr>
            <w:r w:rsidRPr="00C3312E">
              <w:rPr>
                <w:sz w:val="20"/>
                <w:szCs w:val="20"/>
              </w:rPr>
              <w:t>--</w:t>
            </w:r>
          </w:p>
        </w:tc>
        <w:tc>
          <w:tcPr>
            <w:tcW w:w="977" w:type="dxa"/>
            <w:shd w:val="clear" w:color="auto" w:fill="BFBFBF" w:themeFill="background1" w:themeFillShade="BF"/>
          </w:tcPr>
          <w:p w14:paraId="6F22F968" w14:textId="77777777" w:rsidR="00C3312E" w:rsidRPr="00C3312E" w:rsidRDefault="00C3312E" w:rsidP="00C3312E">
            <w:pPr>
              <w:spacing w:after="0" w:line="240" w:lineRule="auto"/>
              <w:jc w:val="center"/>
              <w:rPr>
                <w:sz w:val="20"/>
                <w:szCs w:val="20"/>
              </w:rPr>
            </w:pPr>
            <w:r w:rsidRPr="00C3312E">
              <w:rPr>
                <w:sz w:val="20"/>
                <w:szCs w:val="20"/>
              </w:rPr>
              <w:t>--</w:t>
            </w:r>
          </w:p>
        </w:tc>
        <w:tc>
          <w:tcPr>
            <w:tcW w:w="977" w:type="dxa"/>
            <w:shd w:val="clear" w:color="auto" w:fill="BFBFBF" w:themeFill="background1" w:themeFillShade="BF"/>
          </w:tcPr>
          <w:p w14:paraId="2BC6F6CB" w14:textId="77777777" w:rsidR="00C3312E" w:rsidRPr="00C3312E" w:rsidRDefault="00C3312E" w:rsidP="00C3312E">
            <w:pPr>
              <w:spacing w:after="0" w:line="240" w:lineRule="auto"/>
              <w:jc w:val="center"/>
              <w:rPr>
                <w:sz w:val="20"/>
                <w:szCs w:val="20"/>
              </w:rPr>
            </w:pPr>
            <w:r w:rsidRPr="00C3312E">
              <w:rPr>
                <w:sz w:val="20"/>
                <w:szCs w:val="20"/>
              </w:rPr>
              <w:t>66.7</w:t>
            </w:r>
          </w:p>
        </w:tc>
        <w:tc>
          <w:tcPr>
            <w:tcW w:w="977" w:type="dxa"/>
            <w:shd w:val="clear" w:color="auto" w:fill="BFBFBF" w:themeFill="background1" w:themeFillShade="BF"/>
          </w:tcPr>
          <w:p w14:paraId="0AF68A1D" w14:textId="77777777" w:rsidR="00C3312E" w:rsidRPr="00C3312E" w:rsidRDefault="00C3312E" w:rsidP="00C3312E">
            <w:pPr>
              <w:spacing w:after="0" w:line="240" w:lineRule="auto"/>
              <w:jc w:val="center"/>
              <w:rPr>
                <w:sz w:val="20"/>
                <w:szCs w:val="20"/>
              </w:rPr>
            </w:pPr>
            <w:r w:rsidRPr="00C3312E">
              <w:rPr>
                <w:sz w:val="20"/>
                <w:szCs w:val="20"/>
              </w:rPr>
              <w:t>0.0</w:t>
            </w:r>
          </w:p>
        </w:tc>
        <w:tc>
          <w:tcPr>
            <w:tcW w:w="978" w:type="dxa"/>
            <w:shd w:val="clear" w:color="auto" w:fill="BFBFBF" w:themeFill="background1" w:themeFillShade="BF"/>
          </w:tcPr>
          <w:p w14:paraId="2F1D2F23" w14:textId="77777777" w:rsidR="00C3312E" w:rsidRPr="00C3312E" w:rsidRDefault="00C3312E" w:rsidP="00C3312E">
            <w:pPr>
              <w:spacing w:after="0" w:line="240" w:lineRule="auto"/>
              <w:jc w:val="center"/>
              <w:rPr>
                <w:sz w:val="20"/>
                <w:szCs w:val="20"/>
              </w:rPr>
            </w:pPr>
            <w:r w:rsidRPr="00C3312E">
              <w:rPr>
                <w:sz w:val="20"/>
                <w:szCs w:val="20"/>
              </w:rPr>
              <w:t>87.7</w:t>
            </w:r>
          </w:p>
        </w:tc>
      </w:tr>
      <w:tr w:rsidR="00C3312E" w:rsidRPr="00C3312E" w14:paraId="1358A434" w14:textId="77777777" w:rsidTr="00A66217">
        <w:tc>
          <w:tcPr>
            <w:tcW w:w="2718" w:type="dxa"/>
            <w:shd w:val="clear" w:color="auto" w:fill="auto"/>
          </w:tcPr>
          <w:p w14:paraId="38131897"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977" w:type="dxa"/>
            <w:shd w:val="clear" w:color="auto" w:fill="auto"/>
          </w:tcPr>
          <w:p w14:paraId="4FA32CB3" w14:textId="77777777" w:rsidR="00C3312E" w:rsidRPr="00C3312E" w:rsidRDefault="00C3312E" w:rsidP="00C3312E">
            <w:pPr>
              <w:spacing w:after="0" w:line="240" w:lineRule="auto"/>
              <w:jc w:val="center"/>
              <w:rPr>
                <w:sz w:val="20"/>
                <w:szCs w:val="20"/>
              </w:rPr>
            </w:pPr>
            <w:r w:rsidRPr="00C3312E">
              <w:rPr>
                <w:sz w:val="20"/>
                <w:szCs w:val="20"/>
              </w:rPr>
              <w:t>355</w:t>
            </w:r>
          </w:p>
        </w:tc>
        <w:tc>
          <w:tcPr>
            <w:tcW w:w="977" w:type="dxa"/>
            <w:shd w:val="clear" w:color="auto" w:fill="auto"/>
          </w:tcPr>
          <w:p w14:paraId="41F6B2AF" w14:textId="77777777" w:rsidR="00C3312E" w:rsidRPr="00C3312E" w:rsidRDefault="00C3312E" w:rsidP="00C3312E">
            <w:pPr>
              <w:spacing w:after="0" w:line="240" w:lineRule="auto"/>
              <w:jc w:val="center"/>
              <w:rPr>
                <w:sz w:val="20"/>
                <w:szCs w:val="20"/>
              </w:rPr>
            </w:pPr>
            <w:r w:rsidRPr="00C3312E">
              <w:rPr>
                <w:sz w:val="20"/>
                <w:szCs w:val="20"/>
              </w:rPr>
              <w:t>91.7</w:t>
            </w:r>
          </w:p>
        </w:tc>
        <w:tc>
          <w:tcPr>
            <w:tcW w:w="977" w:type="dxa"/>
            <w:shd w:val="clear" w:color="auto" w:fill="auto"/>
          </w:tcPr>
          <w:p w14:paraId="3031AD61" w14:textId="77777777" w:rsidR="00C3312E" w:rsidRPr="00C3312E" w:rsidRDefault="00C3312E" w:rsidP="00C3312E">
            <w:pPr>
              <w:spacing w:after="0" w:line="240" w:lineRule="auto"/>
              <w:jc w:val="center"/>
              <w:rPr>
                <w:sz w:val="20"/>
                <w:szCs w:val="20"/>
              </w:rPr>
            </w:pPr>
            <w:r w:rsidRPr="00C3312E">
              <w:rPr>
                <w:sz w:val="20"/>
                <w:szCs w:val="20"/>
              </w:rPr>
              <w:t>89.4</w:t>
            </w:r>
          </w:p>
        </w:tc>
        <w:tc>
          <w:tcPr>
            <w:tcW w:w="977" w:type="dxa"/>
            <w:shd w:val="clear" w:color="auto" w:fill="auto"/>
          </w:tcPr>
          <w:p w14:paraId="7CD538DA" w14:textId="77777777" w:rsidR="00C3312E" w:rsidRPr="00C3312E" w:rsidRDefault="00C3312E" w:rsidP="00C3312E">
            <w:pPr>
              <w:spacing w:after="0" w:line="240" w:lineRule="auto"/>
              <w:jc w:val="center"/>
              <w:rPr>
                <w:sz w:val="20"/>
                <w:szCs w:val="20"/>
              </w:rPr>
            </w:pPr>
            <w:r w:rsidRPr="00C3312E">
              <w:rPr>
                <w:sz w:val="20"/>
                <w:szCs w:val="20"/>
              </w:rPr>
              <w:t>92.6</w:t>
            </w:r>
          </w:p>
        </w:tc>
        <w:tc>
          <w:tcPr>
            <w:tcW w:w="977" w:type="dxa"/>
            <w:shd w:val="clear" w:color="auto" w:fill="auto"/>
          </w:tcPr>
          <w:p w14:paraId="1AF30280" w14:textId="77777777" w:rsidR="00C3312E" w:rsidRPr="00C3312E" w:rsidRDefault="00C3312E" w:rsidP="00C3312E">
            <w:pPr>
              <w:spacing w:after="0" w:line="240" w:lineRule="auto"/>
              <w:jc w:val="center"/>
              <w:rPr>
                <w:sz w:val="20"/>
                <w:szCs w:val="20"/>
              </w:rPr>
            </w:pPr>
            <w:r w:rsidRPr="00C3312E">
              <w:rPr>
                <w:sz w:val="20"/>
                <w:szCs w:val="20"/>
              </w:rPr>
              <w:t>91.0</w:t>
            </w:r>
          </w:p>
        </w:tc>
        <w:tc>
          <w:tcPr>
            <w:tcW w:w="977" w:type="dxa"/>
            <w:shd w:val="clear" w:color="auto" w:fill="auto"/>
          </w:tcPr>
          <w:p w14:paraId="77B3B35A" w14:textId="77777777" w:rsidR="00C3312E" w:rsidRPr="00C3312E" w:rsidRDefault="00C3312E" w:rsidP="00C3312E">
            <w:pPr>
              <w:spacing w:after="0" w:line="240" w:lineRule="auto"/>
              <w:jc w:val="center"/>
              <w:rPr>
                <w:sz w:val="20"/>
                <w:szCs w:val="20"/>
              </w:rPr>
            </w:pPr>
            <w:r w:rsidRPr="00C3312E">
              <w:rPr>
                <w:sz w:val="20"/>
                <w:szCs w:val="20"/>
              </w:rPr>
              <w:t>-0.7</w:t>
            </w:r>
          </w:p>
        </w:tc>
        <w:tc>
          <w:tcPr>
            <w:tcW w:w="978" w:type="dxa"/>
            <w:shd w:val="clear" w:color="auto" w:fill="auto"/>
          </w:tcPr>
          <w:p w14:paraId="43F46F25" w14:textId="77777777" w:rsidR="00C3312E" w:rsidRPr="00C3312E" w:rsidRDefault="00C3312E" w:rsidP="00C3312E">
            <w:pPr>
              <w:spacing w:after="0" w:line="240" w:lineRule="auto"/>
              <w:jc w:val="center"/>
              <w:rPr>
                <w:sz w:val="20"/>
                <w:szCs w:val="20"/>
              </w:rPr>
            </w:pPr>
            <w:r w:rsidRPr="00C3312E">
              <w:rPr>
                <w:sz w:val="20"/>
                <w:szCs w:val="20"/>
              </w:rPr>
              <w:t>93.9</w:t>
            </w:r>
          </w:p>
        </w:tc>
      </w:tr>
      <w:tr w:rsidR="00C3312E" w:rsidRPr="00C3312E" w14:paraId="6CD9006B" w14:textId="77777777" w:rsidTr="00A66217">
        <w:tc>
          <w:tcPr>
            <w:tcW w:w="2718" w:type="dxa"/>
            <w:shd w:val="clear" w:color="auto" w:fill="BFBFBF" w:themeFill="background1" w:themeFillShade="BF"/>
          </w:tcPr>
          <w:p w14:paraId="4AA0167D" w14:textId="77777777" w:rsidR="00C3312E" w:rsidRPr="00C3312E" w:rsidRDefault="00C3312E" w:rsidP="00C3312E">
            <w:pPr>
              <w:spacing w:after="0" w:line="240" w:lineRule="auto"/>
              <w:rPr>
                <w:sz w:val="20"/>
                <w:szCs w:val="20"/>
              </w:rPr>
            </w:pPr>
            <w:r w:rsidRPr="00C3312E">
              <w:rPr>
                <w:sz w:val="20"/>
                <w:szCs w:val="20"/>
              </w:rPr>
              <w:t>High needs</w:t>
            </w:r>
          </w:p>
        </w:tc>
        <w:tc>
          <w:tcPr>
            <w:tcW w:w="977" w:type="dxa"/>
            <w:shd w:val="clear" w:color="auto" w:fill="BFBFBF" w:themeFill="background1" w:themeFillShade="BF"/>
          </w:tcPr>
          <w:p w14:paraId="7A8B8AB4" w14:textId="77777777" w:rsidR="00C3312E" w:rsidRPr="00C3312E" w:rsidRDefault="00C3312E" w:rsidP="00C3312E">
            <w:pPr>
              <w:spacing w:after="0" w:line="240" w:lineRule="auto"/>
              <w:jc w:val="center"/>
              <w:rPr>
                <w:sz w:val="20"/>
                <w:szCs w:val="20"/>
              </w:rPr>
            </w:pPr>
            <w:r w:rsidRPr="00C3312E">
              <w:rPr>
                <w:sz w:val="20"/>
                <w:szCs w:val="20"/>
              </w:rPr>
              <w:t>342</w:t>
            </w:r>
          </w:p>
        </w:tc>
        <w:tc>
          <w:tcPr>
            <w:tcW w:w="977" w:type="dxa"/>
            <w:shd w:val="clear" w:color="auto" w:fill="BFBFBF" w:themeFill="background1" w:themeFillShade="BF"/>
          </w:tcPr>
          <w:p w14:paraId="56551EAA" w14:textId="77777777" w:rsidR="00C3312E" w:rsidRPr="00C3312E" w:rsidRDefault="00C3312E" w:rsidP="00C3312E">
            <w:pPr>
              <w:spacing w:after="0" w:line="240" w:lineRule="auto"/>
              <w:jc w:val="center"/>
              <w:rPr>
                <w:sz w:val="20"/>
                <w:szCs w:val="20"/>
              </w:rPr>
            </w:pPr>
            <w:r w:rsidRPr="00C3312E">
              <w:rPr>
                <w:sz w:val="20"/>
                <w:szCs w:val="20"/>
              </w:rPr>
              <w:t>78.7</w:t>
            </w:r>
          </w:p>
        </w:tc>
        <w:tc>
          <w:tcPr>
            <w:tcW w:w="977" w:type="dxa"/>
            <w:shd w:val="clear" w:color="auto" w:fill="BFBFBF" w:themeFill="background1" w:themeFillShade="BF"/>
          </w:tcPr>
          <w:p w14:paraId="1A864297" w14:textId="77777777" w:rsidR="00C3312E" w:rsidRPr="00C3312E" w:rsidRDefault="00C3312E" w:rsidP="00C3312E">
            <w:pPr>
              <w:spacing w:after="0" w:line="240" w:lineRule="auto"/>
              <w:jc w:val="center"/>
              <w:rPr>
                <w:sz w:val="20"/>
                <w:szCs w:val="20"/>
              </w:rPr>
            </w:pPr>
            <w:r w:rsidRPr="00C3312E">
              <w:rPr>
                <w:sz w:val="20"/>
                <w:szCs w:val="20"/>
              </w:rPr>
              <w:t>80.3</w:t>
            </w:r>
          </w:p>
        </w:tc>
        <w:tc>
          <w:tcPr>
            <w:tcW w:w="977" w:type="dxa"/>
            <w:shd w:val="clear" w:color="auto" w:fill="BFBFBF" w:themeFill="background1" w:themeFillShade="BF"/>
          </w:tcPr>
          <w:p w14:paraId="2BB564BD" w14:textId="77777777" w:rsidR="00C3312E" w:rsidRPr="00C3312E" w:rsidRDefault="00C3312E" w:rsidP="00C3312E">
            <w:pPr>
              <w:spacing w:after="0" w:line="240" w:lineRule="auto"/>
              <w:jc w:val="center"/>
              <w:rPr>
                <w:sz w:val="20"/>
                <w:szCs w:val="20"/>
              </w:rPr>
            </w:pPr>
            <w:r w:rsidRPr="00C3312E">
              <w:rPr>
                <w:sz w:val="20"/>
                <w:szCs w:val="20"/>
              </w:rPr>
              <w:t>79.8</w:t>
            </w:r>
          </w:p>
        </w:tc>
        <w:tc>
          <w:tcPr>
            <w:tcW w:w="977" w:type="dxa"/>
            <w:shd w:val="clear" w:color="auto" w:fill="BFBFBF" w:themeFill="background1" w:themeFillShade="BF"/>
          </w:tcPr>
          <w:p w14:paraId="68E65DE1" w14:textId="77777777" w:rsidR="00C3312E" w:rsidRPr="00C3312E" w:rsidRDefault="00C3312E" w:rsidP="00C3312E">
            <w:pPr>
              <w:spacing w:after="0" w:line="240" w:lineRule="auto"/>
              <w:jc w:val="center"/>
              <w:rPr>
                <w:sz w:val="20"/>
                <w:szCs w:val="20"/>
              </w:rPr>
            </w:pPr>
            <w:r w:rsidRPr="00C3312E">
              <w:rPr>
                <w:sz w:val="20"/>
                <w:szCs w:val="20"/>
              </w:rPr>
              <w:t>79.8</w:t>
            </w:r>
          </w:p>
        </w:tc>
        <w:tc>
          <w:tcPr>
            <w:tcW w:w="977" w:type="dxa"/>
            <w:shd w:val="clear" w:color="auto" w:fill="BFBFBF" w:themeFill="background1" w:themeFillShade="BF"/>
          </w:tcPr>
          <w:p w14:paraId="68AC7BEB" w14:textId="77777777" w:rsidR="00C3312E" w:rsidRPr="00C3312E" w:rsidRDefault="00C3312E" w:rsidP="00C3312E">
            <w:pPr>
              <w:spacing w:after="0" w:line="240" w:lineRule="auto"/>
              <w:jc w:val="center"/>
              <w:rPr>
                <w:sz w:val="20"/>
                <w:szCs w:val="20"/>
              </w:rPr>
            </w:pPr>
            <w:r w:rsidRPr="00C3312E">
              <w:rPr>
                <w:sz w:val="20"/>
                <w:szCs w:val="20"/>
              </w:rPr>
              <w:t>1.1</w:t>
            </w:r>
          </w:p>
        </w:tc>
        <w:tc>
          <w:tcPr>
            <w:tcW w:w="978" w:type="dxa"/>
            <w:shd w:val="clear" w:color="auto" w:fill="BFBFBF" w:themeFill="background1" w:themeFillShade="BF"/>
          </w:tcPr>
          <w:p w14:paraId="3C1AD7E3" w14:textId="77777777" w:rsidR="00C3312E" w:rsidRPr="00C3312E" w:rsidRDefault="00C3312E" w:rsidP="00C3312E">
            <w:pPr>
              <w:spacing w:after="0" w:line="240" w:lineRule="auto"/>
              <w:jc w:val="center"/>
              <w:rPr>
                <w:sz w:val="20"/>
                <w:szCs w:val="20"/>
              </w:rPr>
            </w:pPr>
            <w:r w:rsidRPr="00C3312E">
              <w:rPr>
                <w:sz w:val="20"/>
                <w:szCs w:val="20"/>
              </w:rPr>
              <w:t>83.0</w:t>
            </w:r>
          </w:p>
        </w:tc>
      </w:tr>
      <w:tr w:rsidR="00C3312E" w:rsidRPr="00C3312E" w14:paraId="5090EDD9" w14:textId="77777777" w:rsidTr="00A66217">
        <w:tc>
          <w:tcPr>
            <w:tcW w:w="2718" w:type="dxa"/>
            <w:shd w:val="clear" w:color="auto" w:fill="auto"/>
          </w:tcPr>
          <w:p w14:paraId="5BF20AB8" w14:textId="77777777" w:rsidR="00C3312E" w:rsidRPr="00C3312E" w:rsidRDefault="00C3312E" w:rsidP="00C3312E">
            <w:pPr>
              <w:spacing w:after="0" w:line="240" w:lineRule="auto"/>
              <w:rPr>
                <w:sz w:val="20"/>
                <w:szCs w:val="20"/>
              </w:rPr>
            </w:pPr>
            <w:r w:rsidRPr="00C3312E">
              <w:rPr>
                <w:sz w:val="20"/>
                <w:szCs w:val="20"/>
              </w:rPr>
              <w:t>Economically Disadvantaged*</w:t>
            </w:r>
          </w:p>
        </w:tc>
        <w:tc>
          <w:tcPr>
            <w:tcW w:w="977" w:type="dxa"/>
            <w:shd w:val="clear" w:color="auto" w:fill="auto"/>
          </w:tcPr>
          <w:p w14:paraId="6F922CCD" w14:textId="77777777" w:rsidR="00C3312E" w:rsidRPr="00C3312E" w:rsidRDefault="00C3312E" w:rsidP="00C3312E">
            <w:pPr>
              <w:spacing w:after="0" w:line="240" w:lineRule="auto"/>
              <w:jc w:val="center"/>
              <w:rPr>
                <w:sz w:val="20"/>
                <w:szCs w:val="20"/>
              </w:rPr>
            </w:pPr>
            <w:r w:rsidRPr="00C3312E">
              <w:rPr>
                <w:sz w:val="20"/>
                <w:szCs w:val="20"/>
              </w:rPr>
              <w:t>265</w:t>
            </w:r>
          </w:p>
        </w:tc>
        <w:tc>
          <w:tcPr>
            <w:tcW w:w="977" w:type="dxa"/>
            <w:shd w:val="clear" w:color="auto" w:fill="auto"/>
          </w:tcPr>
          <w:p w14:paraId="55CDAD42" w14:textId="77777777" w:rsidR="00C3312E" w:rsidRPr="00C3312E" w:rsidRDefault="00C3312E" w:rsidP="00C3312E">
            <w:pPr>
              <w:spacing w:after="0" w:line="240" w:lineRule="auto"/>
              <w:jc w:val="center"/>
              <w:rPr>
                <w:sz w:val="20"/>
                <w:szCs w:val="20"/>
              </w:rPr>
            </w:pPr>
            <w:r w:rsidRPr="00C3312E">
              <w:rPr>
                <w:sz w:val="20"/>
                <w:szCs w:val="20"/>
              </w:rPr>
              <w:t>79.4</w:t>
            </w:r>
          </w:p>
        </w:tc>
        <w:tc>
          <w:tcPr>
            <w:tcW w:w="977" w:type="dxa"/>
            <w:shd w:val="clear" w:color="auto" w:fill="auto"/>
          </w:tcPr>
          <w:p w14:paraId="4E7C8F52" w14:textId="77777777" w:rsidR="00C3312E" w:rsidRPr="00C3312E" w:rsidRDefault="00C3312E" w:rsidP="00C3312E">
            <w:pPr>
              <w:spacing w:after="0" w:line="240" w:lineRule="auto"/>
              <w:jc w:val="center"/>
              <w:rPr>
                <w:sz w:val="20"/>
                <w:szCs w:val="20"/>
              </w:rPr>
            </w:pPr>
            <w:r w:rsidRPr="00C3312E">
              <w:rPr>
                <w:sz w:val="20"/>
                <w:szCs w:val="20"/>
              </w:rPr>
              <w:t>82.3</w:t>
            </w:r>
          </w:p>
        </w:tc>
        <w:tc>
          <w:tcPr>
            <w:tcW w:w="977" w:type="dxa"/>
            <w:shd w:val="clear" w:color="auto" w:fill="auto"/>
          </w:tcPr>
          <w:p w14:paraId="1B932E88" w14:textId="77777777" w:rsidR="00C3312E" w:rsidRPr="00C3312E" w:rsidRDefault="00C3312E" w:rsidP="00C3312E">
            <w:pPr>
              <w:spacing w:after="0" w:line="240" w:lineRule="auto"/>
              <w:jc w:val="center"/>
              <w:rPr>
                <w:sz w:val="20"/>
                <w:szCs w:val="20"/>
              </w:rPr>
            </w:pPr>
            <w:r w:rsidRPr="00C3312E">
              <w:rPr>
                <w:sz w:val="20"/>
                <w:szCs w:val="20"/>
              </w:rPr>
              <w:t>79.3</w:t>
            </w:r>
          </w:p>
        </w:tc>
        <w:tc>
          <w:tcPr>
            <w:tcW w:w="977" w:type="dxa"/>
            <w:shd w:val="clear" w:color="auto" w:fill="auto"/>
          </w:tcPr>
          <w:p w14:paraId="786CE6E7" w14:textId="77777777" w:rsidR="00C3312E" w:rsidRPr="00C3312E" w:rsidRDefault="00C3312E" w:rsidP="00C3312E">
            <w:pPr>
              <w:spacing w:after="0" w:line="240" w:lineRule="auto"/>
              <w:jc w:val="center"/>
              <w:rPr>
                <w:sz w:val="20"/>
                <w:szCs w:val="20"/>
              </w:rPr>
            </w:pPr>
            <w:r w:rsidRPr="00C3312E">
              <w:rPr>
                <w:sz w:val="20"/>
                <w:szCs w:val="20"/>
              </w:rPr>
              <w:t>82.3</w:t>
            </w:r>
          </w:p>
        </w:tc>
        <w:tc>
          <w:tcPr>
            <w:tcW w:w="977" w:type="dxa"/>
            <w:shd w:val="clear" w:color="auto" w:fill="auto"/>
          </w:tcPr>
          <w:p w14:paraId="04E32169" w14:textId="77777777" w:rsidR="00C3312E" w:rsidRPr="00C3312E" w:rsidRDefault="00C3312E" w:rsidP="00C3312E">
            <w:pPr>
              <w:spacing w:after="0" w:line="240" w:lineRule="auto"/>
              <w:jc w:val="center"/>
              <w:rPr>
                <w:sz w:val="20"/>
                <w:szCs w:val="20"/>
              </w:rPr>
            </w:pPr>
            <w:r w:rsidRPr="00C3312E">
              <w:rPr>
                <w:sz w:val="20"/>
                <w:szCs w:val="20"/>
              </w:rPr>
              <w:t>2.9</w:t>
            </w:r>
          </w:p>
        </w:tc>
        <w:tc>
          <w:tcPr>
            <w:tcW w:w="978" w:type="dxa"/>
            <w:shd w:val="clear" w:color="auto" w:fill="auto"/>
          </w:tcPr>
          <w:p w14:paraId="1885656E" w14:textId="77777777" w:rsidR="00C3312E" w:rsidRPr="00C3312E" w:rsidRDefault="00C3312E" w:rsidP="00C3312E">
            <w:pPr>
              <w:spacing w:after="0" w:line="240" w:lineRule="auto"/>
              <w:jc w:val="center"/>
              <w:rPr>
                <w:sz w:val="20"/>
                <w:szCs w:val="20"/>
              </w:rPr>
            </w:pPr>
            <w:r w:rsidRPr="00C3312E">
              <w:rPr>
                <w:sz w:val="20"/>
                <w:szCs w:val="20"/>
              </w:rPr>
              <w:t>82.0</w:t>
            </w:r>
          </w:p>
        </w:tc>
      </w:tr>
      <w:tr w:rsidR="00C3312E" w:rsidRPr="00C3312E" w14:paraId="078C566E" w14:textId="77777777" w:rsidTr="00A66217">
        <w:tc>
          <w:tcPr>
            <w:tcW w:w="2718" w:type="dxa"/>
            <w:shd w:val="clear" w:color="auto" w:fill="auto"/>
          </w:tcPr>
          <w:p w14:paraId="2880E4F3" w14:textId="77777777" w:rsidR="00C3312E" w:rsidRPr="00C3312E" w:rsidRDefault="00C3312E" w:rsidP="00C3312E">
            <w:pPr>
              <w:spacing w:after="0" w:line="240" w:lineRule="auto"/>
              <w:rPr>
                <w:sz w:val="20"/>
                <w:szCs w:val="20"/>
              </w:rPr>
            </w:pPr>
            <w:r w:rsidRPr="00C3312E">
              <w:rPr>
                <w:sz w:val="20"/>
                <w:szCs w:val="20"/>
              </w:rPr>
              <w:t>SWD</w:t>
            </w:r>
          </w:p>
        </w:tc>
        <w:tc>
          <w:tcPr>
            <w:tcW w:w="977" w:type="dxa"/>
            <w:shd w:val="clear" w:color="auto" w:fill="auto"/>
          </w:tcPr>
          <w:p w14:paraId="73DC0F32" w14:textId="77777777" w:rsidR="00C3312E" w:rsidRPr="00C3312E" w:rsidRDefault="00C3312E" w:rsidP="00C3312E">
            <w:pPr>
              <w:spacing w:after="0" w:line="240" w:lineRule="auto"/>
              <w:jc w:val="center"/>
              <w:rPr>
                <w:sz w:val="20"/>
                <w:szCs w:val="20"/>
              </w:rPr>
            </w:pPr>
            <w:r w:rsidRPr="00C3312E">
              <w:rPr>
                <w:sz w:val="20"/>
                <w:szCs w:val="20"/>
              </w:rPr>
              <w:t>132</w:t>
            </w:r>
          </w:p>
        </w:tc>
        <w:tc>
          <w:tcPr>
            <w:tcW w:w="977" w:type="dxa"/>
            <w:shd w:val="clear" w:color="auto" w:fill="auto"/>
          </w:tcPr>
          <w:p w14:paraId="5C3FF7F5" w14:textId="77777777" w:rsidR="00C3312E" w:rsidRPr="00C3312E" w:rsidRDefault="00C3312E" w:rsidP="00C3312E">
            <w:pPr>
              <w:spacing w:after="0" w:line="240" w:lineRule="auto"/>
              <w:jc w:val="center"/>
              <w:rPr>
                <w:sz w:val="20"/>
                <w:szCs w:val="20"/>
              </w:rPr>
            </w:pPr>
            <w:r w:rsidRPr="00C3312E">
              <w:rPr>
                <w:sz w:val="20"/>
                <w:szCs w:val="20"/>
              </w:rPr>
              <w:t>67.7</w:t>
            </w:r>
          </w:p>
        </w:tc>
        <w:tc>
          <w:tcPr>
            <w:tcW w:w="977" w:type="dxa"/>
            <w:shd w:val="clear" w:color="auto" w:fill="auto"/>
          </w:tcPr>
          <w:p w14:paraId="1D186984" w14:textId="77777777" w:rsidR="00C3312E" w:rsidRPr="00C3312E" w:rsidRDefault="00C3312E" w:rsidP="00C3312E">
            <w:pPr>
              <w:spacing w:after="0" w:line="240" w:lineRule="auto"/>
              <w:jc w:val="center"/>
              <w:rPr>
                <w:sz w:val="20"/>
                <w:szCs w:val="20"/>
              </w:rPr>
            </w:pPr>
            <w:r w:rsidRPr="00C3312E">
              <w:rPr>
                <w:sz w:val="20"/>
                <w:szCs w:val="20"/>
              </w:rPr>
              <w:t>73.0</w:t>
            </w:r>
          </w:p>
        </w:tc>
        <w:tc>
          <w:tcPr>
            <w:tcW w:w="977" w:type="dxa"/>
            <w:shd w:val="clear" w:color="auto" w:fill="auto"/>
          </w:tcPr>
          <w:p w14:paraId="4C94BBED" w14:textId="77777777" w:rsidR="00C3312E" w:rsidRPr="00C3312E" w:rsidRDefault="00C3312E" w:rsidP="00C3312E">
            <w:pPr>
              <w:spacing w:after="0" w:line="240" w:lineRule="auto"/>
              <w:jc w:val="center"/>
              <w:rPr>
                <w:sz w:val="20"/>
                <w:szCs w:val="20"/>
              </w:rPr>
            </w:pPr>
            <w:r w:rsidRPr="00C3312E">
              <w:rPr>
                <w:sz w:val="20"/>
                <w:szCs w:val="20"/>
              </w:rPr>
              <w:t>67.5</w:t>
            </w:r>
          </w:p>
        </w:tc>
        <w:tc>
          <w:tcPr>
            <w:tcW w:w="977" w:type="dxa"/>
            <w:shd w:val="clear" w:color="auto" w:fill="auto"/>
          </w:tcPr>
          <w:p w14:paraId="00FA5E2D" w14:textId="77777777" w:rsidR="00C3312E" w:rsidRPr="00C3312E" w:rsidRDefault="00C3312E" w:rsidP="00C3312E">
            <w:pPr>
              <w:spacing w:after="0" w:line="240" w:lineRule="auto"/>
              <w:jc w:val="center"/>
              <w:rPr>
                <w:sz w:val="20"/>
                <w:szCs w:val="20"/>
              </w:rPr>
            </w:pPr>
            <w:r w:rsidRPr="00C3312E">
              <w:rPr>
                <w:sz w:val="20"/>
                <w:szCs w:val="20"/>
              </w:rPr>
              <w:t>75.8</w:t>
            </w:r>
          </w:p>
        </w:tc>
        <w:tc>
          <w:tcPr>
            <w:tcW w:w="977" w:type="dxa"/>
            <w:shd w:val="clear" w:color="auto" w:fill="auto"/>
          </w:tcPr>
          <w:p w14:paraId="1FFB871E" w14:textId="77777777" w:rsidR="00C3312E" w:rsidRPr="00C3312E" w:rsidRDefault="00C3312E" w:rsidP="00C3312E">
            <w:pPr>
              <w:spacing w:after="0" w:line="240" w:lineRule="auto"/>
              <w:jc w:val="center"/>
              <w:rPr>
                <w:sz w:val="20"/>
                <w:szCs w:val="20"/>
              </w:rPr>
            </w:pPr>
            <w:r w:rsidRPr="00C3312E">
              <w:rPr>
                <w:sz w:val="20"/>
                <w:szCs w:val="20"/>
              </w:rPr>
              <w:t>8.1</w:t>
            </w:r>
          </w:p>
        </w:tc>
        <w:tc>
          <w:tcPr>
            <w:tcW w:w="978" w:type="dxa"/>
            <w:shd w:val="clear" w:color="auto" w:fill="auto"/>
          </w:tcPr>
          <w:p w14:paraId="0F7B482B" w14:textId="77777777" w:rsidR="00C3312E" w:rsidRPr="00C3312E" w:rsidRDefault="00C3312E" w:rsidP="00C3312E">
            <w:pPr>
              <w:spacing w:after="0" w:line="240" w:lineRule="auto"/>
              <w:jc w:val="center"/>
              <w:rPr>
                <w:sz w:val="20"/>
                <w:szCs w:val="20"/>
              </w:rPr>
            </w:pPr>
            <w:r w:rsidRPr="00C3312E">
              <w:rPr>
                <w:sz w:val="20"/>
                <w:szCs w:val="20"/>
              </w:rPr>
              <w:t>76.8</w:t>
            </w:r>
          </w:p>
        </w:tc>
      </w:tr>
      <w:tr w:rsidR="00531ED5" w:rsidRPr="00C3312E" w14:paraId="1716F5D1" w14:textId="77777777" w:rsidTr="00A66217">
        <w:tc>
          <w:tcPr>
            <w:tcW w:w="2718" w:type="dxa"/>
            <w:shd w:val="clear" w:color="auto" w:fill="auto"/>
          </w:tcPr>
          <w:p w14:paraId="41C3647D" w14:textId="72BCCEC9" w:rsidR="00531ED5" w:rsidRPr="00C3312E" w:rsidRDefault="00531ED5" w:rsidP="00531ED5">
            <w:pPr>
              <w:spacing w:after="0" w:line="240" w:lineRule="auto"/>
              <w:rPr>
                <w:sz w:val="20"/>
                <w:szCs w:val="20"/>
              </w:rPr>
            </w:pPr>
            <w:r w:rsidRPr="00C3312E">
              <w:rPr>
                <w:sz w:val="20"/>
                <w:szCs w:val="20"/>
              </w:rPr>
              <w:t>EL</w:t>
            </w:r>
          </w:p>
        </w:tc>
        <w:tc>
          <w:tcPr>
            <w:tcW w:w="977" w:type="dxa"/>
            <w:shd w:val="clear" w:color="auto" w:fill="auto"/>
          </w:tcPr>
          <w:p w14:paraId="7FF2F0E3" w14:textId="21F4E640" w:rsidR="00531ED5" w:rsidRPr="00C3312E" w:rsidRDefault="00531ED5" w:rsidP="00531ED5">
            <w:pPr>
              <w:spacing w:after="0" w:line="240" w:lineRule="auto"/>
              <w:jc w:val="center"/>
              <w:rPr>
                <w:sz w:val="20"/>
                <w:szCs w:val="20"/>
              </w:rPr>
            </w:pPr>
            <w:r w:rsidRPr="00C3312E">
              <w:rPr>
                <w:sz w:val="20"/>
                <w:szCs w:val="20"/>
              </w:rPr>
              <w:t>68</w:t>
            </w:r>
          </w:p>
        </w:tc>
        <w:tc>
          <w:tcPr>
            <w:tcW w:w="977" w:type="dxa"/>
            <w:shd w:val="clear" w:color="auto" w:fill="auto"/>
          </w:tcPr>
          <w:p w14:paraId="261040BC" w14:textId="4B31DDAC" w:rsidR="00531ED5" w:rsidRPr="00C3312E" w:rsidRDefault="00531ED5" w:rsidP="00531ED5">
            <w:pPr>
              <w:spacing w:after="0" w:line="240" w:lineRule="auto"/>
              <w:jc w:val="center"/>
              <w:rPr>
                <w:sz w:val="20"/>
                <w:szCs w:val="20"/>
              </w:rPr>
            </w:pPr>
            <w:r w:rsidRPr="00C3312E">
              <w:rPr>
                <w:sz w:val="20"/>
                <w:szCs w:val="20"/>
              </w:rPr>
              <w:t>73.1</w:t>
            </w:r>
          </w:p>
        </w:tc>
        <w:tc>
          <w:tcPr>
            <w:tcW w:w="977" w:type="dxa"/>
            <w:shd w:val="clear" w:color="auto" w:fill="auto"/>
          </w:tcPr>
          <w:p w14:paraId="589020F8" w14:textId="5311E0B5" w:rsidR="00531ED5" w:rsidRPr="00C3312E" w:rsidRDefault="00531ED5" w:rsidP="00531ED5">
            <w:pPr>
              <w:spacing w:after="0" w:line="240" w:lineRule="auto"/>
              <w:jc w:val="center"/>
              <w:rPr>
                <w:sz w:val="20"/>
                <w:szCs w:val="20"/>
              </w:rPr>
            </w:pPr>
            <w:r w:rsidRPr="00C3312E">
              <w:rPr>
                <w:sz w:val="20"/>
                <w:szCs w:val="20"/>
              </w:rPr>
              <w:t>70.8</w:t>
            </w:r>
          </w:p>
        </w:tc>
        <w:tc>
          <w:tcPr>
            <w:tcW w:w="977" w:type="dxa"/>
            <w:shd w:val="clear" w:color="auto" w:fill="auto"/>
          </w:tcPr>
          <w:p w14:paraId="2C4DBE89" w14:textId="6FE655B2" w:rsidR="00531ED5" w:rsidRPr="00C3312E" w:rsidRDefault="00531ED5" w:rsidP="00531ED5">
            <w:pPr>
              <w:spacing w:after="0" w:line="240" w:lineRule="auto"/>
              <w:jc w:val="center"/>
              <w:rPr>
                <w:sz w:val="20"/>
                <w:szCs w:val="20"/>
              </w:rPr>
            </w:pPr>
            <w:r w:rsidRPr="00C3312E">
              <w:rPr>
                <w:sz w:val="20"/>
                <w:szCs w:val="20"/>
              </w:rPr>
              <w:t>66.7</w:t>
            </w:r>
          </w:p>
        </w:tc>
        <w:tc>
          <w:tcPr>
            <w:tcW w:w="977" w:type="dxa"/>
            <w:shd w:val="clear" w:color="auto" w:fill="auto"/>
          </w:tcPr>
          <w:p w14:paraId="3D934B96" w14:textId="7272749D" w:rsidR="00531ED5" w:rsidRPr="00C3312E" w:rsidRDefault="00531ED5" w:rsidP="00531ED5">
            <w:pPr>
              <w:spacing w:after="0" w:line="240" w:lineRule="auto"/>
              <w:jc w:val="center"/>
              <w:rPr>
                <w:sz w:val="20"/>
                <w:szCs w:val="20"/>
              </w:rPr>
            </w:pPr>
            <w:r w:rsidRPr="00C3312E">
              <w:rPr>
                <w:sz w:val="20"/>
                <w:szCs w:val="20"/>
              </w:rPr>
              <w:t>54.4</w:t>
            </w:r>
          </w:p>
        </w:tc>
        <w:tc>
          <w:tcPr>
            <w:tcW w:w="977" w:type="dxa"/>
            <w:shd w:val="clear" w:color="auto" w:fill="auto"/>
          </w:tcPr>
          <w:p w14:paraId="56C78DB6" w14:textId="2BF09B0E" w:rsidR="00531ED5" w:rsidRPr="00C3312E" w:rsidRDefault="00531ED5" w:rsidP="00531ED5">
            <w:pPr>
              <w:spacing w:after="0" w:line="240" w:lineRule="auto"/>
              <w:jc w:val="center"/>
              <w:rPr>
                <w:sz w:val="20"/>
                <w:szCs w:val="20"/>
              </w:rPr>
            </w:pPr>
            <w:r w:rsidRPr="00C3312E">
              <w:rPr>
                <w:sz w:val="20"/>
                <w:szCs w:val="20"/>
              </w:rPr>
              <w:t>-18.7</w:t>
            </w:r>
          </w:p>
        </w:tc>
        <w:tc>
          <w:tcPr>
            <w:tcW w:w="978" w:type="dxa"/>
            <w:shd w:val="clear" w:color="auto" w:fill="auto"/>
          </w:tcPr>
          <w:p w14:paraId="40945F40" w14:textId="487930D7" w:rsidR="00531ED5" w:rsidRPr="00C3312E" w:rsidRDefault="00531ED5" w:rsidP="00531ED5">
            <w:pPr>
              <w:spacing w:after="0" w:line="240" w:lineRule="auto"/>
              <w:jc w:val="center"/>
              <w:rPr>
                <w:sz w:val="20"/>
                <w:szCs w:val="20"/>
              </w:rPr>
            </w:pPr>
            <w:r w:rsidRPr="00C3312E">
              <w:rPr>
                <w:sz w:val="20"/>
                <w:szCs w:val="20"/>
              </w:rPr>
              <w:t>69.0</w:t>
            </w:r>
          </w:p>
        </w:tc>
      </w:tr>
      <w:tr w:rsidR="00C3312E" w:rsidRPr="00C3312E" w14:paraId="7C38276E" w14:textId="77777777" w:rsidTr="00A66217">
        <w:tc>
          <w:tcPr>
            <w:tcW w:w="2718" w:type="dxa"/>
            <w:shd w:val="clear" w:color="auto" w:fill="BFBFBF" w:themeFill="background1" w:themeFillShade="BF"/>
          </w:tcPr>
          <w:p w14:paraId="2DDC69A7" w14:textId="77777777" w:rsidR="00C3312E" w:rsidRPr="00C3312E" w:rsidRDefault="00C3312E" w:rsidP="00C3312E">
            <w:pPr>
              <w:spacing w:after="0" w:line="240" w:lineRule="auto"/>
              <w:rPr>
                <w:rFonts w:eastAsia="Times New Roman" w:cs="Times New Roman"/>
                <w:sz w:val="20"/>
                <w:szCs w:val="20"/>
              </w:rPr>
            </w:pPr>
            <w:r w:rsidRPr="00C3312E">
              <w:rPr>
                <w:sz w:val="20"/>
                <w:szCs w:val="20"/>
              </w:rPr>
              <w:t>All</w:t>
            </w:r>
          </w:p>
        </w:tc>
        <w:tc>
          <w:tcPr>
            <w:tcW w:w="977" w:type="dxa"/>
            <w:shd w:val="clear" w:color="auto" w:fill="BFBFBF" w:themeFill="background1" w:themeFillShade="BF"/>
          </w:tcPr>
          <w:p w14:paraId="7BCE09E3" w14:textId="77777777" w:rsidR="00C3312E" w:rsidRPr="00C3312E" w:rsidRDefault="00C3312E" w:rsidP="00C3312E">
            <w:pPr>
              <w:spacing w:after="0" w:line="240" w:lineRule="auto"/>
              <w:jc w:val="center"/>
              <w:rPr>
                <w:sz w:val="20"/>
                <w:szCs w:val="20"/>
              </w:rPr>
            </w:pPr>
            <w:r w:rsidRPr="00C3312E">
              <w:rPr>
                <w:sz w:val="20"/>
                <w:szCs w:val="20"/>
              </w:rPr>
              <w:t>574</w:t>
            </w:r>
          </w:p>
        </w:tc>
        <w:tc>
          <w:tcPr>
            <w:tcW w:w="977" w:type="dxa"/>
            <w:shd w:val="clear" w:color="auto" w:fill="BFBFBF" w:themeFill="background1" w:themeFillShade="BF"/>
          </w:tcPr>
          <w:p w14:paraId="2A5E4656" w14:textId="77777777" w:rsidR="00C3312E" w:rsidRPr="00C3312E" w:rsidRDefault="00C3312E" w:rsidP="00C3312E">
            <w:pPr>
              <w:spacing w:after="0" w:line="240" w:lineRule="auto"/>
              <w:jc w:val="center"/>
              <w:rPr>
                <w:sz w:val="20"/>
                <w:szCs w:val="20"/>
              </w:rPr>
            </w:pPr>
            <w:r w:rsidRPr="00C3312E">
              <w:rPr>
                <w:sz w:val="20"/>
                <w:szCs w:val="20"/>
              </w:rPr>
              <w:t>87.3</w:t>
            </w:r>
          </w:p>
        </w:tc>
        <w:tc>
          <w:tcPr>
            <w:tcW w:w="977" w:type="dxa"/>
            <w:shd w:val="clear" w:color="auto" w:fill="BFBFBF" w:themeFill="background1" w:themeFillShade="BF"/>
          </w:tcPr>
          <w:p w14:paraId="7DBD0CA8" w14:textId="77777777" w:rsidR="00C3312E" w:rsidRPr="00C3312E" w:rsidRDefault="00C3312E" w:rsidP="00C3312E">
            <w:pPr>
              <w:spacing w:after="0" w:line="240" w:lineRule="auto"/>
              <w:jc w:val="center"/>
              <w:rPr>
                <w:sz w:val="20"/>
                <w:szCs w:val="20"/>
              </w:rPr>
            </w:pPr>
            <w:r w:rsidRPr="00C3312E">
              <w:rPr>
                <w:sz w:val="20"/>
                <w:szCs w:val="20"/>
              </w:rPr>
              <w:t>87.7</w:t>
            </w:r>
          </w:p>
        </w:tc>
        <w:tc>
          <w:tcPr>
            <w:tcW w:w="977" w:type="dxa"/>
            <w:shd w:val="clear" w:color="auto" w:fill="BFBFBF" w:themeFill="background1" w:themeFillShade="BF"/>
          </w:tcPr>
          <w:p w14:paraId="589B8ACE" w14:textId="77777777" w:rsidR="00C3312E" w:rsidRPr="00C3312E" w:rsidRDefault="00C3312E" w:rsidP="00C3312E">
            <w:pPr>
              <w:spacing w:after="0" w:line="240" w:lineRule="auto"/>
              <w:jc w:val="center"/>
              <w:rPr>
                <w:sz w:val="20"/>
                <w:szCs w:val="20"/>
              </w:rPr>
            </w:pPr>
            <w:r w:rsidRPr="00C3312E">
              <w:rPr>
                <w:sz w:val="20"/>
                <w:szCs w:val="20"/>
              </w:rPr>
              <w:t>87.8</w:t>
            </w:r>
          </w:p>
        </w:tc>
        <w:tc>
          <w:tcPr>
            <w:tcW w:w="977" w:type="dxa"/>
            <w:shd w:val="clear" w:color="auto" w:fill="BFBFBF" w:themeFill="background1" w:themeFillShade="BF"/>
          </w:tcPr>
          <w:p w14:paraId="6228F1C0" w14:textId="77777777" w:rsidR="00C3312E" w:rsidRPr="00C3312E" w:rsidRDefault="00C3312E" w:rsidP="00C3312E">
            <w:pPr>
              <w:spacing w:after="0" w:line="240" w:lineRule="auto"/>
              <w:jc w:val="center"/>
              <w:rPr>
                <w:sz w:val="20"/>
                <w:szCs w:val="20"/>
              </w:rPr>
            </w:pPr>
            <w:r w:rsidRPr="00C3312E">
              <w:rPr>
                <w:sz w:val="20"/>
                <w:szCs w:val="20"/>
              </w:rPr>
              <w:t>86.9</w:t>
            </w:r>
          </w:p>
        </w:tc>
        <w:tc>
          <w:tcPr>
            <w:tcW w:w="977" w:type="dxa"/>
            <w:shd w:val="clear" w:color="auto" w:fill="BFBFBF" w:themeFill="background1" w:themeFillShade="BF"/>
          </w:tcPr>
          <w:p w14:paraId="57CF48B0" w14:textId="77777777" w:rsidR="00C3312E" w:rsidRPr="00C3312E" w:rsidRDefault="00C3312E" w:rsidP="00C3312E">
            <w:pPr>
              <w:spacing w:after="0" w:line="240" w:lineRule="auto"/>
              <w:jc w:val="center"/>
              <w:rPr>
                <w:sz w:val="20"/>
                <w:szCs w:val="20"/>
              </w:rPr>
            </w:pPr>
            <w:r w:rsidRPr="00C3312E">
              <w:rPr>
                <w:sz w:val="20"/>
                <w:szCs w:val="20"/>
              </w:rPr>
              <w:t>-0.4</w:t>
            </w:r>
          </w:p>
        </w:tc>
        <w:tc>
          <w:tcPr>
            <w:tcW w:w="978" w:type="dxa"/>
            <w:shd w:val="clear" w:color="auto" w:fill="BFBFBF" w:themeFill="background1" w:themeFillShade="BF"/>
          </w:tcPr>
          <w:p w14:paraId="46245E08" w14:textId="77777777" w:rsidR="00C3312E" w:rsidRPr="00C3312E" w:rsidRDefault="00C3312E" w:rsidP="00C3312E">
            <w:pPr>
              <w:spacing w:after="0" w:line="240" w:lineRule="auto"/>
              <w:jc w:val="center"/>
              <w:rPr>
                <w:sz w:val="20"/>
                <w:szCs w:val="20"/>
              </w:rPr>
            </w:pPr>
            <w:r w:rsidRPr="00C3312E">
              <w:rPr>
                <w:sz w:val="20"/>
                <w:szCs w:val="20"/>
              </w:rPr>
              <w:t>90.1</w:t>
            </w:r>
          </w:p>
        </w:tc>
      </w:tr>
      <w:tr w:rsidR="00C3312E" w:rsidRPr="00C3312E" w14:paraId="6763F26C" w14:textId="77777777" w:rsidTr="00A66217">
        <w:tc>
          <w:tcPr>
            <w:tcW w:w="9558" w:type="dxa"/>
            <w:gridSpan w:val="8"/>
            <w:tcBorders>
              <w:left w:val="nil"/>
              <w:bottom w:val="nil"/>
              <w:right w:val="nil"/>
            </w:tcBorders>
            <w:shd w:val="clear" w:color="auto" w:fill="auto"/>
          </w:tcPr>
          <w:p w14:paraId="114D8E97" w14:textId="21CADF57" w:rsidR="00C3312E" w:rsidRPr="00C3312E" w:rsidRDefault="00C3312E" w:rsidP="00EC5B5A">
            <w:pPr>
              <w:spacing w:before="60" w:after="0" w:line="240" w:lineRule="auto"/>
              <w:rPr>
                <w:sz w:val="18"/>
                <w:szCs w:val="18"/>
              </w:rPr>
            </w:pPr>
            <w:r w:rsidRPr="00C3312E">
              <w:rPr>
                <w:sz w:val="18"/>
                <w:szCs w:val="18"/>
              </w:rPr>
              <w:t xml:space="preserve">* Four-year cohort graduation rate for students from </w:t>
            </w:r>
            <w:r w:rsidR="00531ED5" w:rsidRPr="00C3312E">
              <w:rPr>
                <w:sz w:val="18"/>
                <w:szCs w:val="18"/>
              </w:rPr>
              <w:t>low</w:t>
            </w:r>
            <w:r w:rsidR="00531ED5">
              <w:rPr>
                <w:sz w:val="18"/>
                <w:szCs w:val="18"/>
              </w:rPr>
              <w:t>-</w:t>
            </w:r>
            <w:r w:rsidRPr="00C3312E">
              <w:rPr>
                <w:sz w:val="18"/>
                <w:szCs w:val="18"/>
              </w:rPr>
              <w:t>income families used for 2013 and 2014 rates.</w:t>
            </w:r>
          </w:p>
        </w:tc>
      </w:tr>
    </w:tbl>
    <w:p w14:paraId="00580296" w14:textId="5D9CEB7D" w:rsidR="00C3312E" w:rsidRDefault="00C3312E" w:rsidP="00C3312E">
      <w:pPr>
        <w:spacing w:after="0" w:line="240" w:lineRule="auto"/>
      </w:pPr>
    </w:p>
    <w:p w14:paraId="6802F43F" w14:textId="77777777" w:rsidR="0089512A" w:rsidRPr="00C3312E" w:rsidRDefault="0089512A" w:rsidP="00C3312E">
      <w:pPr>
        <w:spacing w:after="0" w:line="240" w:lineRule="auto"/>
      </w:pPr>
    </w:p>
    <w:tbl>
      <w:tblPr>
        <w:tblStyle w:val="TableGrid12"/>
        <w:tblW w:w="0" w:type="auto"/>
        <w:tblLook w:val="04A0" w:firstRow="1" w:lastRow="0" w:firstColumn="1" w:lastColumn="0" w:noHBand="0" w:noVBand="1"/>
        <w:tblCaption w:val="Table 24: Framingham Public Schools"/>
        <w:tblDescription w:val="In-School Suspension Rates by Student Group, 2015–2018&#10;"/>
      </w:tblPr>
      <w:tblGrid>
        <w:gridCol w:w="3075"/>
        <w:gridCol w:w="991"/>
        <w:gridCol w:w="991"/>
        <w:gridCol w:w="991"/>
        <w:gridCol w:w="997"/>
        <w:gridCol w:w="1151"/>
        <w:gridCol w:w="1164"/>
      </w:tblGrid>
      <w:tr w:rsidR="00C3312E" w:rsidRPr="00C3312E" w14:paraId="7529BB54" w14:textId="77777777" w:rsidTr="00A66217">
        <w:tc>
          <w:tcPr>
            <w:tcW w:w="9360" w:type="dxa"/>
            <w:gridSpan w:val="7"/>
            <w:tcBorders>
              <w:top w:val="nil"/>
              <w:left w:val="nil"/>
              <w:right w:val="nil"/>
            </w:tcBorders>
            <w:shd w:val="clear" w:color="auto" w:fill="auto"/>
          </w:tcPr>
          <w:p w14:paraId="4B67F6CE" w14:textId="77777777" w:rsidR="00C3312E" w:rsidRPr="00EC5B5A" w:rsidRDefault="00C3312E" w:rsidP="00C3312E">
            <w:pPr>
              <w:spacing w:after="0" w:line="240" w:lineRule="auto"/>
              <w:jc w:val="center"/>
              <w:rPr>
                <w:b/>
                <w:sz w:val="20"/>
                <w:szCs w:val="20"/>
              </w:rPr>
            </w:pPr>
            <w:r w:rsidRPr="00EC5B5A">
              <w:rPr>
                <w:b/>
                <w:sz w:val="20"/>
                <w:szCs w:val="20"/>
              </w:rPr>
              <w:t xml:space="preserve">Table 24: </w:t>
            </w:r>
            <w:r w:rsidRPr="00EC5B5A">
              <w:rPr>
                <w:rFonts w:cs="Times New Roman"/>
                <w:b/>
                <w:sz w:val="20"/>
                <w:szCs w:val="20"/>
              </w:rPr>
              <w:t>Framingham Public Schools</w:t>
            </w:r>
          </w:p>
          <w:p w14:paraId="6E740D28" w14:textId="79408ACF" w:rsidR="00C3312E" w:rsidRPr="00C3312E" w:rsidRDefault="00C3312E" w:rsidP="00013D3E">
            <w:pPr>
              <w:spacing w:after="0" w:line="240" w:lineRule="auto"/>
              <w:jc w:val="center"/>
              <w:rPr>
                <w:sz w:val="20"/>
                <w:szCs w:val="20"/>
              </w:rPr>
            </w:pPr>
            <w:r w:rsidRPr="00EC5B5A">
              <w:rPr>
                <w:b/>
                <w:sz w:val="20"/>
                <w:szCs w:val="20"/>
              </w:rPr>
              <w:t xml:space="preserve">In-School Suspension Rates by </w:t>
            </w:r>
            <w:r w:rsidR="002A3659" w:rsidRPr="00EC5B5A">
              <w:rPr>
                <w:b/>
                <w:sz w:val="20"/>
                <w:szCs w:val="20"/>
              </w:rPr>
              <w:t>S</w:t>
            </w:r>
            <w:r w:rsidR="002A3659">
              <w:rPr>
                <w:b/>
                <w:sz w:val="20"/>
                <w:szCs w:val="20"/>
              </w:rPr>
              <w:t>tudent G</w:t>
            </w:r>
            <w:r w:rsidR="002A3659" w:rsidRPr="00EC5B5A">
              <w:rPr>
                <w:b/>
                <w:sz w:val="20"/>
                <w:szCs w:val="20"/>
              </w:rPr>
              <w:t>roup</w:t>
            </w:r>
            <w:r w:rsidRPr="00EC5B5A">
              <w:rPr>
                <w:b/>
                <w:sz w:val="20"/>
                <w:szCs w:val="20"/>
              </w:rPr>
              <w:t>, 2015</w:t>
            </w:r>
            <w:r w:rsidR="00013D3E">
              <w:rPr>
                <w:b/>
                <w:sz w:val="20"/>
                <w:szCs w:val="20"/>
              </w:rPr>
              <w:t>–</w:t>
            </w:r>
            <w:r w:rsidRPr="00EC5B5A">
              <w:rPr>
                <w:b/>
                <w:sz w:val="20"/>
                <w:szCs w:val="20"/>
              </w:rPr>
              <w:t>2018</w:t>
            </w:r>
          </w:p>
        </w:tc>
      </w:tr>
      <w:tr w:rsidR="00C3312E" w:rsidRPr="00C3312E" w14:paraId="4C397508" w14:textId="77777777" w:rsidTr="00A66217">
        <w:tc>
          <w:tcPr>
            <w:tcW w:w="3075" w:type="dxa"/>
            <w:shd w:val="clear" w:color="auto" w:fill="BFBFBF" w:themeFill="background1" w:themeFillShade="BF"/>
            <w:vAlign w:val="center"/>
          </w:tcPr>
          <w:p w14:paraId="5D0472D6" w14:textId="77777777" w:rsidR="00C3312E" w:rsidRPr="00EC5B5A" w:rsidRDefault="00C3312E" w:rsidP="00A66217">
            <w:pPr>
              <w:spacing w:after="0" w:line="240" w:lineRule="auto"/>
              <w:rPr>
                <w:b/>
                <w:sz w:val="20"/>
                <w:szCs w:val="20"/>
              </w:rPr>
            </w:pPr>
            <w:r w:rsidRPr="00EC5B5A">
              <w:rPr>
                <w:b/>
                <w:sz w:val="20"/>
                <w:szCs w:val="20"/>
              </w:rPr>
              <w:t>Group</w:t>
            </w:r>
          </w:p>
        </w:tc>
        <w:tc>
          <w:tcPr>
            <w:tcW w:w="991" w:type="dxa"/>
            <w:shd w:val="clear" w:color="auto" w:fill="BFBFBF" w:themeFill="background1" w:themeFillShade="BF"/>
            <w:vAlign w:val="center"/>
          </w:tcPr>
          <w:p w14:paraId="0EB6562F" w14:textId="77777777" w:rsidR="00C3312E" w:rsidRPr="00EC5B5A" w:rsidRDefault="00C3312E" w:rsidP="00A66217">
            <w:pPr>
              <w:spacing w:after="0" w:line="240" w:lineRule="auto"/>
              <w:jc w:val="center"/>
              <w:rPr>
                <w:b/>
                <w:sz w:val="20"/>
                <w:szCs w:val="20"/>
              </w:rPr>
            </w:pPr>
            <w:r w:rsidRPr="00EC5B5A">
              <w:rPr>
                <w:b/>
                <w:sz w:val="20"/>
                <w:szCs w:val="20"/>
              </w:rPr>
              <w:t>2015</w:t>
            </w:r>
          </w:p>
        </w:tc>
        <w:tc>
          <w:tcPr>
            <w:tcW w:w="991" w:type="dxa"/>
            <w:shd w:val="clear" w:color="auto" w:fill="BFBFBF" w:themeFill="background1" w:themeFillShade="BF"/>
            <w:vAlign w:val="center"/>
          </w:tcPr>
          <w:p w14:paraId="041505C5" w14:textId="77777777" w:rsidR="00C3312E" w:rsidRPr="00EC5B5A" w:rsidRDefault="00C3312E" w:rsidP="00A66217">
            <w:pPr>
              <w:spacing w:after="0" w:line="240" w:lineRule="auto"/>
              <w:jc w:val="center"/>
              <w:rPr>
                <w:b/>
                <w:sz w:val="20"/>
                <w:szCs w:val="20"/>
              </w:rPr>
            </w:pPr>
            <w:r w:rsidRPr="00EC5B5A">
              <w:rPr>
                <w:b/>
                <w:sz w:val="20"/>
                <w:szCs w:val="20"/>
              </w:rPr>
              <w:t>2016</w:t>
            </w:r>
          </w:p>
        </w:tc>
        <w:tc>
          <w:tcPr>
            <w:tcW w:w="991" w:type="dxa"/>
            <w:shd w:val="clear" w:color="auto" w:fill="BFBFBF" w:themeFill="background1" w:themeFillShade="BF"/>
            <w:vAlign w:val="center"/>
          </w:tcPr>
          <w:p w14:paraId="358B0EFD" w14:textId="77777777" w:rsidR="00C3312E" w:rsidRPr="00EC5B5A" w:rsidRDefault="00C3312E" w:rsidP="00A66217">
            <w:pPr>
              <w:spacing w:after="0" w:line="240" w:lineRule="auto"/>
              <w:jc w:val="center"/>
              <w:rPr>
                <w:b/>
                <w:sz w:val="20"/>
                <w:szCs w:val="20"/>
              </w:rPr>
            </w:pPr>
            <w:r w:rsidRPr="00EC5B5A">
              <w:rPr>
                <w:b/>
                <w:sz w:val="20"/>
                <w:szCs w:val="20"/>
              </w:rPr>
              <w:t>2017</w:t>
            </w:r>
          </w:p>
        </w:tc>
        <w:tc>
          <w:tcPr>
            <w:tcW w:w="997" w:type="dxa"/>
            <w:shd w:val="clear" w:color="auto" w:fill="BFBFBF" w:themeFill="background1" w:themeFillShade="BF"/>
            <w:vAlign w:val="center"/>
          </w:tcPr>
          <w:p w14:paraId="32CAD122" w14:textId="77777777" w:rsidR="00C3312E" w:rsidRPr="00EC5B5A" w:rsidRDefault="00C3312E" w:rsidP="00A66217">
            <w:pPr>
              <w:spacing w:after="0" w:line="240" w:lineRule="auto"/>
              <w:jc w:val="center"/>
              <w:rPr>
                <w:b/>
                <w:sz w:val="20"/>
                <w:szCs w:val="20"/>
              </w:rPr>
            </w:pPr>
            <w:r w:rsidRPr="00EC5B5A">
              <w:rPr>
                <w:b/>
                <w:sz w:val="20"/>
                <w:szCs w:val="20"/>
              </w:rPr>
              <w:t>2018</w:t>
            </w:r>
          </w:p>
        </w:tc>
        <w:tc>
          <w:tcPr>
            <w:tcW w:w="1151" w:type="dxa"/>
            <w:shd w:val="clear" w:color="auto" w:fill="BFBFBF" w:themeFill="background1" w:themeFillShade="BF"/>
            <w:vAlign w:val="center"/>
          </w:tcPr>
          <w:p w14:paraId="29C5DB4C" w14:textId="77777777" w:rsidR="00C3312E" w:rsidRPr="00EC5B5A" w:rsidRDefault="00C3312E" w:rsidP="00A66217">
            <w:pPr>
              <w:spacing w:after="0" w:line="240" w:lineRule="auto"/>
              <w:jc w:val="center"/>
              <w:rPr>
                <w:b/>
                <w:sz w:val="20"/>
                <w:szCs w:val="20"/>
              </w:rPr>
            </w:pPr>
            <w:r w:rsidRPr="00EC5B5A">
              <w:rPr>
                <w:b/>
                <w:sz w:val="20"/>
                <w:szCs w:val="20"/>
              </w:rPr>
              <w:t>4-yr Change</w:t>
            </w:r>
          </w:p>
        </w:tc>
        <w:tc>
          <w:tcPr>
            <w:tcW w:w="1164" w:type="dxa"/>
            <w:shd w:val="clear" w:color="auto" w:fill="BFBFBF" w:themeFill="background1" w:themeFillShade="BF"/>
            <w:vAlign w:val="center"/>
          </w:tcPr>
          <w:p w14:paraId="267AB333" w14:textId="77777777" w:rsidR="00C3312E" w:rsidRPr="00EC5B5A" w:rsidRDefault="00C3312E" w:rsidP="00A66217">
            <w:pPr>
              <w:spacing w:after="0" w:line="240" w:lineRule="auto"/>
              <w:jc w:val="center"/>
              <w:rPr>
                <w:b/>
                <w:sz w:val="20"/>
                <w:szCs w:val="20"/>
              </w:rPr>
            </w:pPr>
            <w:r w:rsidRPr="00EC5B5A">
              <w:rPr>
                <w:b/>
                <w:sz w:val="20"/>
                <w:szCs w:val="20"/>
              </w:rPr>
              <w:t>State (2018)</w:t>
            </w:r>
          </w:p>
        </w:tc>
      </w:tr>
      <w:tr w:rsidR="00C3312E" w:rsidRPr="00C3312E" w14:paraId="6751449D" w14:textId="77777777" w:rsidTr="00A66217">
        <w:tc>
          <w:tcPr>
            <w:tcW w:w="3075" w:type="dxa"/>
            <w:shd w:val="clear" w:color="auto" w:fill="auto"/>
          </w:tcPr>
          <w:p w14:paraId="534B9503"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991" w:type="dxa"/>
            <w:shd w:val="clear" w:color="auto" w:fill="auto"/>
          </w:tcPr>
          <w:p w14:paraId="15A07D84" w14:textId="77777777" w:rsidR="00C3312E" w:rsidRPr="00C3312E" w:rsidRDefault="00C3312E" w:rsidP="00C3312E">
            <w:pPr>
              <w:spacing w:after="0" w:line="240" w:lineRule="auto"/>
              <w:jc w:val="center"/>
              <w:rPr>
                <w:sz w:val="20"/>
                <w:szCs w:val="20"/>
              </w:rPr>
            </w:pPr>
            <w:r w:rsidRPr="00C3312E">
              <w:rPr>
                <w:sz w:val="20"/>
                <w:szCs w:val="20"/>
              </w:rPr>
              <w:t>4.6</w:t>
            </w:r>
          </w:p>
        </w:tc>
        <w:tc>
          <w:tcPr>
            <w:tcW w:w="991" w:type="dxa"/>
            <w:shd w:val="clear" w:color="auto" w:fill="auto"/>
          </w:tcPr>
          <w:p w14:paraId="48FBFA3C" w14:textId="77777777" w:rsidR="00C3312E" w:rsidRPr="00C3312E" w:rsidRDefault="00C3312E" w:rsidP="00C3312E">
            <w:pPr>
              <w:spacing w:after="0" w:line="240" w:lineRule="auto"/>
              <w:jc w:val="center"/>
              <w:rPr>
                <w:sz w:val="20"/>
                <w:szCs w:val="20"/>
              </w:rPr>
            </w:pPr>
            <w:r w:rsidRPr="00C3312E">
              <w:rPr>
                <w:sz w:val="20"/>
                <w:szCs w:val="20"/>
              </w:rPr>
              <w:t>5.4</w:t>
            </w:r>
          </w:p>
        </w:tc>
        <w:tc>
          <w:tcPr>
            <w:tcW w:w="991" w:type="dxa"/>
            <w:shd w:val="clear" w:color="auto" w:fill="auto"/>
          </w:tcPr>
          <w:p w14:paraId="05BB9C01" w14:textId="77777777" w:rsidR="00C3312E" w:rsidRPr="00C3312E" w:rsidRDefault="00C3312E" w:rsidP="00C3312E">
            <w:pPr>
              <w:spacing w:after="0" w:line="240" w:lineRule="auto"/>
              <w:jc w:val="center"/>
              <w:rPr>
                <w:sz w:val="20"/>
                <w:szCs w:val="20"/>
              </w:rPr>
            </w:pPr>
            <w:r w:rsidRPr="00C3312E">
              <w:rPr>
                <w:sz w:val="20"/>
                <w:szCs w:val="20"/>
              </w:rPr>
              <w:t>3.6</w:t>
            </w:r>
          </w:p>
        </w:tc>
        <w:tc>
          <w:tcPr>
            <w:tcW w:w="997" w:type="dxa"/>
            <w:shd w:val="clear" w:color="auto" w:fill="auto"/>
          </w:tcPr>
          <w:p w14:paraId="095C7B6D" w14:textId="77777777" w:rsidR="00C3312E" w:rsidRPr="00C3312E" w:rsidRDefault="00C3312E" w:rsidP="00C3312E">
            <w:pPr>
              <w:spacing w:after="0" w:line="240" w:lineRule="auto"/>
              <w:jc w:val="center"/>
              <w:rPr>
                <w:sz w:val="20"/>
                <w:szCs w:val="20"/>
              </w:rPr>
            </w:pPr>
            <w:r w:rsidRPr="00C3312E">
              <w:rPr>
                <w:sz w:val="20"/>
                <w:szCs w:val="20"/>
              </w:rPr>
              <w:t>3.1</w:t>
            </w:r>
          </w:p>
        </w:tc>
        <w:tc>
          <w:tcPr>
            <w:tcW w:w="1151" w:type="dxa"/>
            <w:shd w:val="clear" w:color="auto" w:fill="auto"/>
          </w:tcPr>
          <w:p w14:paraId="3BF7CCC1" w14:textId="77777777" w:rsidR="00C3312E" w:rsidRPr="00C3312E" w:rsidRDefault="00C3312E" w:rsidP="00C3312E">
            <w:pPr>
              <w:spacing w:after="0" w:line="240" w:lineRule="auto"/>
              <w:jc w:val="center"/>
              <w:rPr>
                <w:sz w:val="20"/>
                <w:szCs w:val="20"/>
              </w:rPr>
            </w:pPr>
            <w:r w:rsidRPr="00C3312E">
              <w:rPr>
                <w:sz w:val="20"/>
                <w:szCs w:val="20"/>
              </w:rPr>
              <w:t>-1.5</w:t>
            </w:r>
          </w:p>
        </w:tc>
        <w:tc>
          <w:tcPr>
            <w:tcW w:w="1164" w:type="dxa"/>
            <w:shd w:val="clear" w:color="auto" w:fill="auto"/>
          </w:tcPr>
          <w:p w14:paraId="2C76DEE2" w14:textId="77777777" w:rsidR="00C3312E" w:rsidRPr="00C3312E" w:rsidRDefault="00C3312E" w:rsidP="00C3312E">
            <w:pPr>
              <w:spacing w:after="0" w:line="240" w:lineRule="auto"/>
              <w:jc w:val="center"/>
              <w:rPr>
                <w:sz w:val="20"/>
                <w:szCs w:val="20"/>
              </w:rPr>
            </w:pPr>
            <w:r w:rsidRPr="00C3312E">
              <w:rPr>
                <w:sz w:val="20"/>
                <w:szCs w:val="20"/>
              </w:rPr>
              <w:t>3.4</w:t>
            </w:r>
          </w:p>
        </w:tc>
      </w:tr>
      <w:tr w:rsidR="00C3312E" w:rsidRPr="00C3312E" w14:paraId="3C9BC953" w14:textId="77777777" w:rsidTr="00A66217">
        <w:tc>
          <w:tcPr>
            <w:tcW w:w="3075" w:type="dxa"/>
            <w:shd w:val="clear" w:color="auto" w:fill="BFBFBF" w:themeFill="background1" w:themeFillShade="BF"/>
          </w:tcPr>
          <w:p w14:paraId="33C223F0"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991" w:type="dxa"/>
            <w:shd w:val="clear" w:color="auto" w:fill="BFBFBF" w:themeFill="background1" w:themeFillShade="BF"/>
          </w:tcPr>
          <w:p w14:paraId="39E96D0E" w14:textId="77777777" w:rsidR="00C3312E" w:rsidRPr="00C3312E" w:rsidRDefault="00C3312E" w:rsidP="00C3312E">
            <w:pPr>
              <w:spacing w:after="0" w:line="240" w:lineRule="auto"/>
              <w:jc w:val="center"/>
              <w:rPr>
                <w:sz w:val="20"/>
                <w:szCs w:val="20"/>
              </w:rPr>
            </w:pPr>
            <w:r w:rsidRPr="00C3312E">
              <w:rPr>
                <w:sz w:val="20"/>
                <w:szCs w:val="20"/>
              </w:rPr>
              <w:t>1.0</w:t>
            </w:r>
          </w:p>
        </w:tc>
        <w:tc>
          <w:tcPr>
            <w:tcW w:w="991" w:type="dxa"/>
            <w:shd w:val="clear" w:color="auto" w:fill="BFBFBF" w:themeFill="background1" w:themeFillShade="BF"/>
          </w:tcPr>
          <w:p w14:paraId="4B0974C6" w14:textId="77777777" w:rsidR="00C3312E" w:rsidRPr="00C3312E" w:rsidRDefault="00C3312E" w:rsidP="00C3312E">
            <w:pPr>
              <w:spacing w:after="0" w:line="240" w:lineRule="auto"/>
              <w:jc w:val="center"/>
              <w:rPr>
                <w:sz w:val="20"/>
                <w:szCs w:val="20"/>
              </w:rPr>
            </w:pPr>
            <w:r w:rsidRPr="00C3312E">
              <w:rPr>
                <w:sz w:val="20"/>
                <w:szCs w:val="20"/>
              </w:rPr>
              <w:t>--</w:t>
            </w:r>
          </w:p>
        </w:tc>
        <w:tc>
          <w:tcPr>
            <w:tcW w:w="991" w:type="dxa"/>
            <w:shd w:val="clear" w:color="auto" w:fill="BFBFBF" w:themeFill="background1" w:themeFillShade="BF"/>
          </w:tcPr>
          <w:p w14:paraId="44D19CBB" w14:textId="77777777" w:rsidR="00C3312E" w:rsidRPr="00C3312E" w:rsidRDefault="00C3312E" w:rsidP="00C3312E">
            <w:pPr>
              <w:spacing w:after="0" w:line="240" w:lineRule="auto"/>
              <w:jc w:val="center"/>
              <w:rPr>
                <w:sz w:val="20"/>
                <w:szCs w:val="20"/>
              </w:rPr>
            </w:pPr>
            <w:r w:rsidRPr="00C3312E">
              <w:rPr>
                <w:sz w:val="20"/>
                <w:szCs w:val="20"/>
              </w:rPr>
              <w:t>--</w:t>
            </w:r>
          </w:p>
        </w:tc>
        <w:tc>
          <w:tcPr>
            <w:tcW w:w="997" w:type="dxa"/>
            <w:shd w:val="clear" w:color="auto" w:fill="BFBFBF" w:themeFill="background1" w:themeFillShade="BF"/>
          </w:tcPr>
          <w:p w14:paraId="387692BE" w14:textId="77777777" w:rsidR="00C3312E" w:rsidRPr="00C3312E" w:rsidRDefault="00C3312E" w:rsidP="00C3312E">
            <w:pPr>
              <w:spacing w:after="0" w:line="240" w:lineRule="auto"/>
              <w:jc w:val="center"/>
              <w:rPr>
                <w:sz w:val="20"/>
                <w:szCs w:val="20"/>
              </w:rPr>
            </w:pPr>
            <w:r w:rsidRPr="00C3312E">
              <w:rPr>
                <w:sz w:val="20"/>
                <w:szCs w:val="20"/>
              </w:rPr>
              <w:t>--</w:t>
            </w:r>
          </w:p>
        </w:tc>
        <w:tc>
          <w:tcPr>
            <w:tcW w:w="1151" w:type="dxa"/>
            <w:shd w:val="clear" w:color="auto" w:fill="BFBFBF" w:themeFill="background1" w:themeFillShade="BF"/>
          </w:tcPr>
          <w:p w14:paraId="37E85093" w14:textId="77777777" w:rsidR="00C3312E" w:rsidRPr="00C3312E" w:rsidRDefault="00C3312E" w:rsidP="00C3312E">
            <w:pPr>
              <w:spacing w:after="0" w:line="240" w:lineRule="auto"/>
              <w:jc w:val="center"/>
              <w:rPr>
                <w:sz w:val="20"/>
                <w:szCs w:val="20"/>
              </w:rPr>
            </w:pPr>
            <w:r w:rsidRPr="00C3312E">
              <w:rPr>
                <w:sz w:val="20"/>
                <w:szCs w:val="20"/>
              </w:rPr>
              <w:t>--</w:t>
            </w:r>
          </w:p>
        </w:tc>
        <w:tc>
          <w:tcPr>
            <w:tcW w:w="1164" w:type="dxa"/>
            <w:shd w:val="clear" w:color="auto" w:fill="BFBFBF" w:themeFill="background1" w:themeFillShade="BF"/>
          </w:tcPr>
          <w:p w14:paraId="6667F12A" w14:textId="77777777" w:rsidR="00C3312E" w:rsidRPr="00C3312E" w:rsidRDefault="00C3312E" w:rsidP="00C3312E">
            <w:pPr>
              <w:spacing w:after="0" w:line="240" w:lineRule="auto"/>
              <w:jc w:val="center"/>
              <w:rPr>
                <w:sz w:val="20"/>
                <w:szCs w:val="20"/>
              </w:rPr>
            </w:pPr>
            <w:r w:rsidRPr="00C3312E">
              <w:rPr>
                <w:sz w:val="20"/>
                <w:szCs w:val="20"/>
              </w:rPr>
              <w:t>0.6</w:t>
            </w:r>
          </w:p>
        </w:tc>
      </w:tr>
      <w:tr w:rsidR="00C3312E" w:rsidRPr="00C3312E" w14:paraId="5C6A2379" w14:textId="77777777" w:rsidTr="00A66217">
        <w:tc>
          <w:tcPr>
            <w:tcW w:w="3075" w:type="dxa"/>
            <w:shd w:val="clear" w:color="auto" w:fill="auto"/>
          </w:tcPr>
          <w:p w14:paraId="3F8752AA"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991" w:type="dxa"/>
            <w:shd w:val="clear" w:color="auto" w:fill="auto"/>
          </w:tcPr>
          <w:p w14:paraId="457B119C" w14:textId="77777777" w:rsidR="00C3312E" w:rsidRPr="00C3312E" w:rsidRDefault="00C3312E" w:rsidP="00C3312E">
            <w:pPr>
              <w:spacing w:after="0" w:line="240" w:lineRule="auto"/>
              <w:jc w:val="center"/>
              <w:rPr>
                <w:sz w:val="20"/>
                <w:szCs w:val="20"/>
              </w:rPr>
            </w:pPr>
            <w:r w:rsidRPr="00C3312E">
              <w:rPr>
                <w:sz w:val="20"/>
                <w:szCs w:val="20"/>
              </w:rPr>
              <w:t>4.4</w:t>
            </w:r>
          </w:p>
        </w:tc>
        <w:tc>
          <w:tcPr>
            <w:tcW w:w="991" w:type="dxa"/>
            <w:shd w:val="clear" w:color="auto" w:fill="auto"/>
          </w:tcPr>
          <w:p w14:paraId="1D5F5CF3" w14:textId="77777777" w:rsidR="00C3312E" w:rsidRPr="00C3312E" w:rsidRDefault="00C3312E" w:rsidP="00C3312E">
            <w:pPr>
              <w:spacing w:after="0" w:line="240" w:lineRule="auto"/>
              <w:jc w:val="center"/>
              <w:rPr>
                <w:sz w:val="20"/>
                <w:szCs w:val="20"/>
              </w:rPr>
            </w:pPr>
            <w:r w:rsidRPr="00C3312E">
              <w:rPr>
                <w:sz w:val="20"/>
                <w:szCs w:val="20"/>
              </w:rPr>
              <w:t>3.3</w:t>
            </w:r>
          </w:p>
        </w:tc>
        <w:tc>
          <w:tcPr>
            <w:tcW w:w="991" w:type="dxa"/>
            <w:shd w:val="clear" w:color="auto" w:fill="auto"/>
          </w:tcPr>
          <w:p w14:paraId="6E7D907E" w14:textId="77777777" w:rsidR="00C3312E" w:rsidRPr="00C3312E" w:rsidRDefault="00C3312E" w:rsidP="00C3312E">
            <w:pPr>
              <w:spacing w:after="0" w:line="240" w:lineRule="auto"/>
              <w:jc w:val="center"/>
              <w:rPr>
                <w:sz w:val="20"/>
                <w:szCs w:val="20"/>
              </w:rPr>
            </w:pPr>
            <w:r w:rsidRPr="00C3312E">
              <w:rPr>
                <w:sz w:val="20"/>
                <w:szCs w:val="20"/>
              </w:rPr>
              <w:t>3.3</w:t>
            </w:r>
          </w:p>
        </w:tc>
        <w:tc>
          <w:tcPr>
            <w:tcW w:w="997" w:type="dxa"/>
            <w:shd w:val="clear" w:color="auto" w:fill="auto"/>
          </w:tcPr>
          <w:p w14:paraId="621D3725" w14:textId="77777777" w:rsidR="00C3312E" w:rsidRPr="00C3312E" w:rsidRDefault="00C3312E" w:rsidP="00C3312E">
            <w:pPr>
              <w:spacing w:after="0" w:line="240" w:lineRule="auto"/>
              <w:jc w:val="center"/>
              <w:rPr>
                <w:sz w:val="20"/>
                <w:szCs w:val="20"/>
              </w:rPr>
            </w:pPr>
            <w:r w:rsidRPr="00C3312E">
              <w:rPr>
                <w:sz w:val="20"/>
                <w:szCs w:val="20"/>
              </w:rPr>
              <w:t>3.0</w:t>
            </w:r>
          </w:p>
        </w:tc>
        <w:tc>
          <w:tcPr>
            <w:tcW w:w="1151" w:type="dxa"/>
            <w:shd w:val="clear" w:color="auto" w:fill="auto"/>
          </w:tcPr>
          <w:p w14:paraId="15D96C92" w14:textId="77777777" w:rsidR="00C3312E" w:rsidRPr="00C3312E" w:rsidRDefault="00C3312E" w:rsidP="00C3312E">
            <w:pPr>
              <w:spacing w:after="0" w:line="240" w:lineRule="auto"/>
              <w:jc w:val="center"/>
              <w:rPr>
                <w:sz w:val="20"/>
                <w:szCs w:val="20"/>
              </w:rPr>
            </w:pPr>
            <w:r w:rsidRPr="00C3312E">
              <w:rPr>
                <w:sz w:val="20"/>
                <w:szCs w:val="20"/>
              </w:rPr>
              <w:t>-1.4</w:t>
            </w:r>
          </w:p>
        </w:tc>
        <w:tc>
          <w:tcPr>
            <w:tcW w:w="1164" w:type="dxa"/>
            <w:shd w:val="clear" w:color="auto" w:fill="auto"/>
          </w:tcPr>
          <w:p w14:paraId="5126E69E" w14:textId="77777777" w:rsidR="00C3312E" w:rsidRPr="00C3312E" w:rsidRDefault="00C3312E" w:rsidP="00C3312E">
            <w:pPr>
              <w:spacing w:after="0" w:line="240" w:lineRule="auto"/>
              <w:jc w:val="center"/>
              <w:rPr>
                <w:sz w:val="20"/>
                <w:szCs w:val="20"/>
              </w:rPr>
            </w:pPr>
            <w:r w:rsidRPr="00C3312E">
              <w:rPr>
                <w:sz w:val="20"/>
                <w:szCs w:val="20"/>
              </w:rPr>
              <w:t>2.4</w:t>
            </w:r>
          </w:p>
        </w:tc>
      </w:tr>
      <w:tr w:rsidR="00C3312E" w:rsidRPr="00C3312E" w14:paraId="313B6848" w14:textId="77777777" w:rsidTr="00A66217">
        <w:tc>
          <w:tcPr>
            <w:tcW w:w="3075" w:type="dxa"/>
            <w:shd w:val="clear" w:color="auto" w:fill="BFBFBF" w:themeFill="background1" w:themeFillShade="BF"/>
          </w:tcPr>
          <w:p w14:paraId="6EDFBE42"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non-Hispanic or Latino</w:t>
            </w:r>
          </w:p>
        </w:tc>
        <w:tc>
          <w:tcPr>
            <w:tcW w:w="991" w:type="dxa"/>
            <w:shd w:val="clear" w:color="auto" w:fill="BFBFBF" w:themeFill="background1" w:themeFillShade="BF"/>
          </w:tcPr>
          <w:p w14:paraId="1892D9FF" w14:textId="77777777" w:rsidR="00C3312E" w:rsidRPr="00C3312E" w:rsidRDefault="00C3312E" w:rsidP="00C3312E">
            <w:pPr>
              <w:spacing w:after="0" w:line="240" w:lineRule="auto"/>
              <w:jc w:val="center"/>
              <w:rPr>
                <w:sz w:val="20"/>
                <w:szCs w:val="20"/>
              </w:rPr>
            </w:pPr>
            <w:r w:rsidRPr="00C3312E">
              <w:rPr>
                <w:sz w:val="20"/>
                <w:szCs w:val="20"/>
              </w:rPr>
              <w:t>1.8</w:t>
            </w:r>
          </w:p>
        </w:tc>
        <w:tc>
          <w:tcPr>
            <w:tcW w:w="991" w:type="dxa"/>
            <w:shd w:val="clear" w:color="auto" w:fill="BFBFBF" w:themeFill="background1" w:themeFillShade="BF"/>
          </w:tcPr>
          <w:p w14:paraId="54C1D464" w14:textId="77777777" w:rsidR="00C3312E" w:rsidRPr="00C3312E" w:rsidRDefault="00C3312E" w:rsidP="00C3312E">
            <w:pPr>
              <w:spacing w:after="0" w:line="240" w:lineRule="auto"/>
              <w:jc w:val="center"/>
              <w:rPr>
                <w:sz w:val="20"/>
                <w:szCs w:val="20"/>
              </w:rPr>
            </w:pPr>
            <w:r w:rsidRPr="00C3312E">
              <w:rPr>
                <w:sz w:val="20"/>
                <w:szCs w:val="20"/>
              </w:rPr>
              <w:t>2.3</w:t>
            </w:r>
          </w:p>
        </w:tc>
        <w:tc>
          <w:tcPr>
            <w:tcW w:w="991" w:type="dxa"/>
            <w:shd w:val="clear" w:color="auto" w:fill="BFBFBF" w:themeFill="background1" w:themeFillShade="BF"/>
          </w:tcPr>
          <w:p w14:paraId="2AFDE87B" w14:textId="77777777" w:rsidR="00C3312E" w:rsidRPr="00C3312E" w:rsidRDefault="00C3312E" w:rsidP="00C3312E">
            <w:pPr>
              <w:spacing w:after="0" w:line="240" w:lineRule="auto"/>
              <w:jc w:val="center"/>
              <w:rPr>
                <w:sz w:val="20"/>
                <w:szCs w:val="20"/>
              </w:rPr>
            </w:pPr>
            <w:r w:rsidRPr="00C3312E">
              <w:rPr>
                <w:sz w:val="20"/>
                <w:szCs w:val="20"/>
              </w:rPr>
              <w:t>1.6</w:t>
            </w:r>
          </w:p>
        </w:tc>
        <w:tc>
          <w:tcPr>
            <w:tcW w:w="997" w:type="dxa"/>
            <w:shd w:val="clear" w:color="auto" w:fill="BFBFBF" w:themeFill="background1" w:themeFillShade="BF"/>
          </w:tcPr>
          <w:p w14:paraId="69CC7C97" w14:textId="77777777" w:rsidR="00C3312E" w:rsidRPr="00C3312E" w:rsidRDefault="00C3312E" w:rsidP="00C3312E">
            <w:pPr>
              <w:spacing w:after="0" w:line="240" w:lineRule="auto"/>
              <w:jc w:val="center"/>
              <w:rPr>
                <w:sz w:val="20"/>
                <w:szCs w:val="20"/>
              </w:rPr>
            </w:pPr>
            <w:r w:rsidRPr="00C3312E">
              <w:rPr>
                <w:sz w:val="20"/>
                <w:szCs w:val="20"/>
              </w:rPr>
              <w:t>1.7</w:t>
            </w:r>
          </w:p>
        </w:tc>
        <w:tc>
          <w:tcPr>
            <w:tcW w:w="1151" w:type="dxa"/>
            <w:shd w:val="clear" w:color="auto" w:fill="BFBFBF" w:themeFill="background1" w:themeFillShade="BF"/>
          </w:tcPr>
          <w:p w14:paraId="64D498C0" w14:textId="77777777" w:rsidR="00C3312E" w:rsidRPr="00C3312E" w:rsidRDefault="00C3312E" w:rsidP="00C3312E">
            <w:pPr>
              <w:spacing w:after="0" w:line="240" w:lineRule="auto"/>
              <w:jc w:val="center"/>
              <w:rPr>
                <w:sz w:val="20"/>
                <w:szCs w:val="20"/>
              </w:rPr>
            </w:pPr>
            <w:r w:rsidRPr="00C3312E">
              <w:rPr>
                <w:sz w:val="20"/>
                <w:szCs w:val="20"/>
              </w:rPr>
              <w:t>-0.1</w:t>
            </w:r>
          </w:p>
        </w:tc>
        <w:tc>
          <w:tcPr>
            <w:tcW w:w="1164" w:type="dxa"/>
            <w:shd w:val="clear" w:color="auto" w:fill="BFBFBF" w:themeFill="background1" w:themeFillShade="BF"/>
          </w:tcPr>
          <w:p w14:paraId="4AF4ED2B" w14:textId="77777777" w:rsidR="00C3312E" w:rsidRPr="00C3312E" w:rsidRDefault="00C3312E" w:rsidP="00C3312E">
            <w:pPr>
              <w:spacing w:after="0" w:line="240" w:lineRule="auto"/>
              <w:jc w:val="center"/>
              <w:rPr>
                <w:sz w:val="20"/>
                <w:szCs w:val="20"/>
              </w:rPr>
            </w:pPr>
            <w:r w:rsidRPr="00C3312E">
              <w:rPr>
                <w:sz w:val="20"/>
                <w:szCs w:val="20"/>
              </w:rPr>
              <w:t>2.3</w:t>
            </w:r>
          </w:p>
        </w:tc>
      </w:tr>
      <w:tr w:rsidR="00C3312E" w:rsidRPr="00C3312E" w14:paraId="12B04A67" w14:textId="77777777" w:rsidTr="00A66217">
        <w:tc>
          <w:tcPr>
            <w:tcW w:w="3075" w:type="dxa"/>
            <w:shd w:val="clear" w:color="auto" w:fill="auto"/>
          </w:tcPr>
          <w:p w14:paraId="4F1C6DF1"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991" w:type="dxa"/>
            <w:shd w:val="clear" w:color="auto" w:fill="auto"/>
          </w:tcPr>
          <w:p w14:paraId="10B2A3F3" w14:textId="77777777" w:rsidR="00C3312E" w:rsidRPr="00C3312E" w:rsidRDefault="00C3312E" w:rsidP="00C3312E">
            <w:pPr>
              <w:spacing w:after="0" w:line="240" w:lineRule="auto"/>
              <w:jc w:val="center"/>
              <w:rPr>
                <w:sz w:val="20"/>
                <w:szCs w:val="20"/>
              </w:rPr>
            </w:pPr>
            <w:r w:rsidRPr="00C3312E">
              <w:rPr>
                <w:sz w:val="20"/>
                <w:szCs w:val="20"/>
              </w:rPr>
              <w:t>1.7</w:t>
            </w:r>
          </w:p>
        </w:tc>
        <w:tc>
          <w:tcPr>
            <w:tcW w:w="991" w:type="dxa"/>
            <w:shd w:val="clear" w:color="auto" w:fill="auto"/>
          </w:tcPr>
          <w:p w14:paraId="30485C3F" w14:textId="77777777" w:rsidR="00C3312E" w:rsidRPr="00C3312E" w:rsidRDefault="00C3312E" w:rsidP="00C3312E">
            <w:pPr>
              <w:spacing w:after="0" w:line="240" w:lineRule="auto"/>
              <w:jc w:val="center"/>
              <w:rPr>
                <w:sz w:val="20"/>
                <w:szCs w:val="20"/>
              </w:rPr>
            </w:pPr>
            <w:r w:rsidRPr="00C3312E">
              <w:rPr>
                <w:sz w:val="20"/>
                <w:szCs w:val="20"/>
              </w:rPr>
              <w:t>1.4</w:t>
            </w:r>
          </w:p>
        </w:tc>
        <w:tc>
          <w:tcPr>
            <w:tcW w:w="991" w:type="dxa"/>
            <w:shd w:val="clear" w:color="auto" w:fill="auto"/>
          </w:tcPr>
          <w:p w14:paraId="6307B4DA" w14:textId="77777777" w:rsidR="00C3312E" w:rsidRPr="00C3312E" w:rsidRDefault="00C3312E" w:rsidP="00C3312E">
            <w:pPr>
              <w:spacing w:after="0" w:line="240" w:lineRule="auto"/>
              <w:jc w:val="center"/>
              <w:rPr>
                <w:sz w:val="20"/>
                <w:szCs w:val="20"/>
              </w:rPr>
            </w:pPr>
            <w:r w:rsidRPr="00C3312E">
              <w:rPr>
                <w:sz w:val="20"/>
                <w:szCs w:val="20"/>
              </w:rPr>
              <w:t>1.7</w:t>
            </w:r>
          </w:p>
        </w:tc>
        <w:tc>
          <w:tcPr>
            <w:tcW w:w="997" w:type="dxa"/>
            <w:shd w:val="clear" w:color="auto" w:fill="auto"/>
          </w:tcPr>
          <w:p w14:paraId="39B1F27A" w14:textId="77777777" w:rsidR="00C3312E" w:rsidRPr="00C3312E" w:rsidRDefault="00C3312E" w:rsidP="00C3312E">
            <w:pPr>
              <w:spacing w:after="0" w:line="240" w:lineRule="auto"/>
              <w:jc w:val="center"/>
              <w:rPr>
                <w:sz w:val="20"/>
                <w:szCs w:val="20"/>
              </w:rPr>
            </w:pPr>
            <w:r w:rsidRPr="00C3312E">
              <w:rPr>
                <w:sz w:val="20"/>
                <w:szCs w:val="20"/>
              </w:rPr>
              <w:t>1.8</w:t>
            </w:r>
          </w:p>
        </w:tc>
        <w:tc>
          <w:tcPr>
            <w:tcW w:w="1151" w:type="dxa"/>
            <w:shd w:val="clear" w:color="auto" w:fill="auto"/>
          </w:tcPr>
          <w:p w14:paraId="7AAFFFA5" w14:textId="77777777" w:rsidR="00C3312E" w:rsidRPr="00C3312E" w:rsidRDefault="00C3312E" w:rsidP="00C3312E">
            <w:pPr>
              <w:spacing w:after="0" w:line="240" w:lineRule="auto"/>
              <w:jc w:val="center"/>
              <w:rPr>
                <w:sz w:val="20"/>
                <w:szCs w:val="20"/>
              </w:rPr>
            </w:pPr>
            <w:r w:rsidRPr="00C3312E">
              <w:rPr>
                <w:sz w:val="20"/>
                <w:szCs w:val="20"/>
              </w:rPr>
              <w:t>0.1</w:t>
            </w:r>
          </w:p>
        </w:tc>
        <w:tc>
          <w:tcPr>
            <w:tcW w:w="1164" w:type="dxa"/>
            <w:shd w:val="clear" w:color="auto" w:fill="auto"/>
          </w:tcPr>
          <w:p w14:paraId="4CEF482A" w14:textId="77777777" w:rsidR="00C3312E" w:rsidRPr="00C3312E" w:rsidRDefault="00C3312E" w:rsidP="00C3312E">
            <w:pPr>
              <w:spacing w:after="0" w:line="240" w:lineRule="auto"/>
              <w:jc w:val="center"/>
              <w:rPr>
                <w:sz w:val="20"/>
                <w:szCs w:val="20"/>
              </w:rPr>
            </w:pPr>
            <w:r w:rsidRPr="00C3312E">
              <w:rPr>
                <w:sz w:val="20"/>
                <w:szCs w:val="20"/>
              </w:rPr>
              <w:t>1.4</w:t>
            </w:r>
          </w:p>
        </w:tc>
      </w:tr>
      <w:tr w:rsidR="00C3312E" w:rsidRPr="00C3312E" w14:paraId="5799086D" w14:textId="77777777" w:rsidTr="00A66217">
        <w:tc>
          <w:tcPr>
            <w:tcW w:w="3075" w:type="dxa"/>
            <w:shd w:val="clear" w:color="auto" w:fill="BFBFBF" w:themeFill="background1" w:themeFillShade="BF"/>
          </w:tcPr>
          <w:p w14:paraId="10230E6A" w14:textId="77777777" w:rsidR="00C3312E" w:rsidRPr="00C3312E" w:rsidRDefault="00C3312E" w:rsidP="00C3312E">
            <w:pPr>
              <w:spacing w:after="0" w:line="240" w:lineRule="auto"/>
              <w:rPr>
                <w:sz w:val="20"/>
                <w:szCs w:val="20"/>
              </w:rPr>
            </w:pPr>
            <w:r w:rsidRPr="00C3312E">
              <w:rPr>
                <w:sz w:val="20"/>
                <w:szCs w:val="20"/>
              </w:rPr>
              <w:t>High Needs</w:t>
            </w:r>
          </w:p>
        </w:tc>
        <w:tc>
          <w:tcPr>
            <w:tcW w:w="991" w:type="dxa"/>
            <w:shd w:val="clear" w:color="auto" w:fill="BFBFBF" w:themeFill="background1" w:themeFillShade="BF"/>
          </w:tcPr>
          <w:p w14:paraId="2BECA671" w14:textId="77777777" w:rsidR="00C3312E" w:rsidRPr="00C3312E" w:rsidRDefault="00C3312E" w:rsidP="00C3312E">
            <w:pPr>
              <w:spacing w:after="0" w:line="240" w:lineRule="auto"/>
              <w:jc w:val="center"/>
              <w:rPr>
                <w:sz w:val="20"/>
                <w:szCs w:val="20"/>
              </w:rPr>
            </w:pPr>
            <w:r w:rsidRPr="00C3312E">
              <w:rPr>
                <w:sz w:val="20"/>
                <w:szCs w:val="20"/>
              </w:rPr>
              <w:t>3.7</w:t>
            </w:r>
          </w:p>
        </w:tc>
        <w:tc>
          <w:tcPr>
            <w:tcW w:w="991" w:type="dxa"/>
            <w:shd w:val="clear" w:color="auto" w:fill="BFBFBF" w:themeFill="background1" w:themeFillShade="BF"/>
          </w:tcPr>
          <w:p w14:paraId="30B9FDCA" w14:textId="77777777" w:rsidR="00C3312E" w:rsidRPr="00C3312E" w:rsidRDefault="00C3312E" w:rsidP="00C3312E">
            <w:pPr>
              <w:spacing w:after="0" w:line="240" w:lineRule="auto"/>
              <w:jc w:val="center"/>
              <w:rPr>
                <w:sz w:val="20"/>
                <w:szCs w:val="20"/>
              </w:rPr>
            </w:pPr>
            <w:r w:rsidRPr="00C3312E">
              <w:rPr>
                <w:sz w:val="20"/>
                <w:szCs w:val="20"/>
              </w:rPr>
              <w:t>3.1</w:t>
            </w:r>
          </w:p>
        </w:tc>
        <w:tc>
          <w:tcPr>
            <w:tcW w:w="991" w:type="dxa"/>
            <w:shd w:val="clear" w:color="auto" w:fill="BFBFBF" w:themeFill="background1" w:themeFillShade="BF"/>
          </w:tcPr>
          <w:p w14:paraId="6A4A05D2" w14:textId="77777777" w:rsidR="00C3312E" w:rsidRPr="00C3312E" w:rsidRDefault="00C3312E" w:rsidP="00C3312E">
            <w:pPr>
              <w:spacing w:after="0" w:line="240" w:lineRule="auto"/>
              <w:jc w:val="center"/>
              <w:rPr>
                <w:sz w:val="20"/>
                <w:szCs w:val="20"/>
              </w:rPr>
            </w:pPr>
            <w:r w:rsidRPr="00C3312E">
              <w:rPr>
                <w:sz w:val="20"/>
                <w:szCs w:val="20"/>
              </w:rPr>
              <w:t>3.1</w:t>
            </w:r>
          </w:p>
        </w:tc>
        <w:tc>
          <w:tcPr>
            <w:tcW w:w="997" w:type="dxa"/>
            <w:shd w:val="clear" w:color="auto" w:fill="BFBFBF" w:themeFill="background1" w:themeFillShade="BF"/>
          </w:tcPr>
          <w:p w14:paraId="34CE4885" w14:textId="77777777" w:rsidR="00C3312E" w:rsidRPr="00C3312E" w:rsidRDefault="00C3312E" w:rsidP="00C3312E">
            <w:pPr>
              <w:spacing w:after="0" w:line="240" w:lineRule="auto"/>
              <w:jc w:val="center"/>
              <w:rPr>
                <w:sz w:val="20"/>
                <w:szCs w:val="20"/>
              </w:rPr>
            </w:pPr>
            <w:r w:rsidRPr="00C3312E">
              <w:rPr>
                <w:sz w:val="20"/>
                <w:szCs w:val="20"/>
              </w:rPr>
              <w:t>3.1</w:t>
            </w:r>
          </w:p>
        </w:tc>
        <w:tc>
          <w:tcPr>
            <w:tcW w:w="1151" w:type="dxa"/>
            <w:shd w:val="clear" w:color="auto" w:fill="BFBFBF" w:themeFill="background1" w:themeFillShade="BF"/>
          </w:tcPr>
          <w:p w14:paraId="68C0DA20" w14:textId="77777777" w:rsidR="00C3312E" w:rsidRPr="00C3312E" w:rsidRDefault="00C3312E" w:rsidP="00C3312E">
            <w:pPr>
              <w:spacing w:after="0" w:line="240" w:lineRule="auto"/>
              <w:jc w:val="center"/>
              <w:rPr>
                <w:sz w:val="20"/>
                <w:szCs w:val="20"/>
              </w:rPr>
            </w:pPr>
            <w:r w:rsidRPr="00C3312E">
              <w:rPr>
                <w:sz w:val="20"/>
                <w:szCs w:val="20"/>
              </w:rPr>
              <w:t>-0.6</w:t>
            </w:r>
          </w:p>
        </w:tc>
        <w:tc>
          <w:tcPr>
            <w:tcW w:w="1164" w:type="dxa"/>
            <w:shd w:val="clear" w:color="auto" w:fill="BFBFBF" w:themeFill="background1" w:themeFillShade="BF"/>
          </w:tcPr>
          <w:p w14:paraId="497CE63A" w14:textId="77777777" w:rsidR="00C3312E" w:rsidRPr="00C3312E" w:rsidRDefault="00C3312E" w:rsidP="00C3312E">
            <w:pPr>
              <w:spacing w:after="0" w:line="240" w:lineRule="auto"/>
              <w:jc w:val="center"/>
              <w:rPr>
                <w:sz w:val="20"/>
                <w:szCs w:val="20"/>
              </w:rPr>
            </w:pPr>
            <w:r w:rsidRPr="00C3312E">
              <w:rPr>
                <w:sz w:val="20"/>
                <w:szCs w:val="20"/>
              </w:rPr>
              <w:t>2.7</w:t>
            </w:r>
          </w:p>
        </w:tc>
      </w:tr>
      <w:tr w:rsidR="00C3312E" w:rsidRPr="00C3312E" w14:paraId="054E2395" w14:textId="77777777" w:rsidTr="00A66217">
        <w:tc>
          <w:tcPr>
            <w:tcW w:w="3075" w:type="dxa"/>
            <w:shd w:val="clear" w:color="auto" w:fill="auto"/>
          </w:tcPr>
          <w:p w14:paraId="24E510C5" w14:textId="77777777" w:rsidR="00C3312E" w:rsidRPr="00C3312E" w:rsidRDefault="00C3312E" w:rsidP="00C3312E">
            <w:pPr>
              <w:spacing w:after="0" w:line="240" w:lineRule="auto"/>
              <w:rPr>
                <w:sz w:val="20"/>
                <w:szCs w:val="20"/>
              </w:rPr>
            </w:pPr>
            <w:proofErr w:type="gramStart"/>
            <w:r w:rsidRPr="00C3312E">
              <w:rPr>
                <w:sz w:val="20"/>
                <w:szCs w:val="20"/>
              </w:rPr>
              <w:t>Economically disadvantaged</w:t>
            </w:r>
            <w:proofErr w:type="gramEnd"/>
            <w:r w:rsidRPr="00C3312E">
              <w:rPr>
                <w:sz w:val="20"/>
                <w:szCs w:val="20"/>
              </w:rPr>
              <w:t>*</w:t>
            </w:r>
          </w:p>
        </w:tc>
        <w:tc>
          <w:tcPr>
            <w:tcW w:w="991" w:type="dxa"/>
            <w:shd w:val="clear" w:color="auto" w:fill="auto"/>
          </w:tcPr>
          <w:p w14:paraId="02C120E0" w14:textId="77777777" w:rsidR="00C3312E" w:rsidRPr="00C3312E" w:rsidRDefault="00C3312E" w:rsidP="00C3312E">
            <w:pPr>
              <w:spacing w:after="0" w:line="240" w:lineRule="auto"/>
              <w:jc w:val="center"/>
              <w:rPr>
                <w:sz w:val="20"/>
                <w:szCs w:val="20"/>
              </w:rPr>
            </w:pPr>
            <w:r w:rsidRPr="00C3312E">
              <w:rPr>
                <w:sz w:val="20"/>
                <w:szCs w:val="20"/>
              </w:rPr>
              <w:t>3.8</w:t>
            </w:r>
          </w:p>
        </w:tc>
        <w:tc>
          <w:tcPr>
            <w:tcW w:w="991" w:type="dxa"/>
            <w:shd w:val="clear" w:color="auto" w:fill="auto"/>
          </w:tcPr>
          <w:p w14:paraId="4616D38B" w14:textId="77777777" w:rsidR="00C3312E" w:rsidRPr="00C3312E" w:rsidRDefault="00C3312E" w:rsidP="00C3312E">
            <w:pPr>
              <w:spacing w:after="0" w:line="240" w:lineRule="auto"/>
              <w:jc w:val="center"/>
              <w:rPr>
                <w:sz w:val="20"/>
                <w:szCs w:val="20"/>
              </w:rPr>
            </w:pPr>
            <w:r w:rsidRPr="00C3312E">
              <w:rPr>
                <w:sz w:val="20"/>
                <w:szCs w:val="20"/>
              </w:rPr>
              <w:t>3.4</w:t>
            </w:r>
          </w:p>
        </w:tc>
        <w:tc>
          <w:tcPr>
            <w:tcW w:w="991" w:type="dxa"/>
            <w:shd w:val="clear" w:color="auto" w:fill="auto"/>
          </w:tcPr>
          <w:p w14:paraId="74BE4EBE" w14:textId="77777777" w:rsidR="00C3312E" w:rsidRPr="00C3312E" w:rsidRDefault="00C3312E" w:rsidP="00C3312E">
            <w:pPr>
              <w:spacing w:after="0" w:line="240" w:lineRule="auto"/>
              <w:jc w:val="center"/>
              <w:rPr>
                <w:sz w:val="20"/>
                <w:szCs w:val="20"/>
              </w:rPr>
            </w:pPr>
            <w:r w:rsidRPr="00C3312E">
              <w:rPr>
                <w:sz w:val="20"/>
                <w:szCs w:val="20"/>
              </w:rPr>
              <w:t>3.5</w:t>
            </w:r>
          </w:p>
        </w:tc>
        <w:tc>
          <w:tcPr>
            <w:tcW w:w="997" w:type="dxa"/>
            <w:shd w:val="clear" w:color="auto" w:fill="auto"/>
          </w:tcPr>
          <w:p w14:paraId="43DFB84C" w14:textId="77777777" w:rsidR="00C3312E" w:rsidRPr="00C3312E" w:rsidRDefault="00C3312E" w:rsidP="00C3312E">
            <w:pPr>
              <w:spacing w:after="0" w:line="240" w:lineRule="auto"/>
              <w:jc w:val="center"/>
              <w:rPr>
                <w:sz w:val="20"/>
                <w:szCs w:val="20"/>
              </w:rPr>
            </w:pPr>
            <w:r w:rsidRPr="00C3312E">
              <w:rPr>
                <w:sz w:val="20"/>
                <w:szCs w:val="20"/>
              </w:rPr>
              <w:t>3.7</w:t>
            </w:r>
          </w:p>
        </w:tc>
        <w:tc>
          <w:tcPr>
            <w:tcW w:w="1151" w:type="dxa"/>
            <w:shd w:val="clear" w:color="auto" w:fill="auto"/>
          </w:tcPr>
          <w:p w14:paraId="78AE1D63" w14:textId="77777777" w:rsidR="00C3312E" w:rsidRPr="00C3312E" w:rsidRDefault="00C3312E" w:rsidP="00C3312E">
            <w:pPr>
              <w:spacing w:after="0" w:line="240" w:lineRule="auto"/>
              <w:jc w:val="center"/>
              <w:rPr>
                <w:sz w:val="20"/>
                <w:szCs w:val="20"/>
              </w:rPr>
            </w:pPr>
            <w:r w:rsidRPr="00C3312E">
              <w:rPr>
                <w:sz w:val="20"/>
                <w:szCs w:val="20"/>
              </w:rPr>
              <w:t>-0.1</w:t>
            </w:r>
          </w:p>
        </w:tc>
        <w:tc>
          <w:tcPr>
            <w:tcW w:w="1164" w:type="dxa"/>
            <w:shd w:val="clear" w:color="auto" w:fill="auto"/>
          </w:tcPr>
          <w:p w14:paraId="4AAA60BE" w14:textId="77777777" w:rsidR="00C3312E" w:rsidRPr="00C3312E" w:rsidRDefault="00C3312E" w:rsidP="00C3312E">
            <w:pPr>
              <w:spacing w:after="0" w:line="240" w:lineRule="auto"/>
              <w:jc w:val="center"/>
              <w:rPr>
                <w:sz w:val="20"/>
                <w:szCs w:val="20"/>
              </w:rPr>
            </w:pPr>
            <w:r w:rsidRPr="00C3312E">
              <w:rPr>
                <w:sz w:val="20"/>
                <w:szCs w:val="20"/>
              </w:rPr>
              <w:t>2.9</w:t>
            </w:r>
          </w:p>
        </w:tc>
      </w:tr>
      <w:tr w:rsidR="00C3312E" w:rsidRPr="00C3312E" w14:paraId="665E1014" w14:textId="77777777" w:rsidTr="00A66217">
        <w:tc>
          <w:tcPr>
            <w:tcW w:w="3075" w:type="dxa"/>
            <w:shd w:val="clear" w:color="auto" w:fill="auto"/>
          </w:tcPr>
          <w:p w14:paraId="2A9871AE" w14:textId="77777777" w:rsidR="00C3312E" w:rsidRPr="00C3312E" w:rsidRDefault="00C3312E" w:rsidP="00C3312E">
            <w:pPr>
              <w:spacing w:after="0" w:line="240" w:lineRule="auto"/>
              <w:rPr>
                <w:sz w:val="20"/>
                <w:szCs w:val="20"/>
              </w:rPr>
            </w:pPr>
            <w:r w:rsidRPr="00C3312E">
              <w:rPr>
                <w:sz w:val="20"/>
                <w:szCs w:val="20"/>
              </w:rPr>
              <w:t>SWD</w:t>
            </w:r>
          </w:p>
        </w:tc>
        <w:tc>
          <w:tcPr>
            <w:tcW w:w="991" w:type="dxa"/>
            <w:shd w:val="clear" w:color="auto" w:fill="auto"/>
          </w:tcPr>
          <w:p w14:paraId="354DE11A" w14:textId="77777777" w:rsidR="00C3312E" w:rsidRPr="00C3312E" w:rsidRDefault="00C3312E" w:rsidP="00C3312E">
            <w:pPr>
              <w:spacing w:after="0" w:line="240" w:lineRule="auto"/>
              <w:jc w:val="center"/>
              <w:rPr>
                <w:sz w:val="20"/>
                <w:szCs w:val="20"/>
              </w:rPr>
            </w:pPr>
            <w:r w:rsidRPr="00C3312E">
              <w:rPr>
                <w:sz w:val="20"/>
                <w:szCs w:val="20"/>
              </w:rPr>
              <w:t>6.2</w:t>
            </w:r>
          </w:p>
        </w:tc>
        <w:tc>
          <w:tcPr>
            <w:tcW w:w="991" w:type="dxa"/>
            <w:shd w:val="clear" w:color="auto" w:fill="auto"/>
          </w:tcPr>
          <w:p w14:paraId="07C16177" w14:textId="77777777" w:rsidR="00C3312E" w:rsidRPr="00C3312E" w:rsidRDefault="00C3312E" w:rsidP="00C3312E">
            <w:pPr>
              <w:spacing w:after="0" w:line="240" w:lineRule="auto"/>
              <w:jc w:val="center"/>
              <w:rPr>
                <w:sz w:val="20"/>
                <w:szCs w:val="20"/>
              </w:rPr>
            </w:pPr>
            <w:r w:rsidRPr="00C3312E">
              <w:rPr>
                <w:sz w:val="20"/>
                <w:szCs w:val="20"/>
              </w:rPr>
              <w:t>5.1</w:t>
            </w:r>
          </w:p>
        </w:tc>
        <w:tc>
          <w:tcPr>
            <w:tcW w:w="991" w:type="dxa"/>
            <w:shd w:val="clear" w:color="auto" w:fill="auto"/>
          </w:tcPr>
          <w:p w14:paraId="20C4BC7E" w14:textId="77777777" w:rsidR="00C3312E" w:rsidRPr="00C3312E" w:rsidRDefault="00C3312E" w:rsidP="00C3312E">
            <w:pPr>
              <w:spacing w:after="0" w:line="240" w:lineRule="auto"/>
              <w:jc w:val="center"/>
              <w:rPr>
                <w:sz w:val="20"/>
                <w:szCs w:val="20"/>
              </w:rPr>
            </w:pPr>
            <w:r w:rsidRPr="00C3312E">
              <w:rPr>
                <w:sz w:val="20"/>
                <w:szCs w:val="20"/>
              </w:rPr>
              <w:t>4.9</w:t>
            </w:r>
          </w:p>
        </w:tc>
        <w:tc>
          <w:tcPr>
            <w:tcW w:w="997" w:type="dxa"/>
            <w:shd w:val="clear" w:color="auto" w:fill="auto"/>
          </w:tcPr>
          <w:p w14:paraId="367FF255" w14:textId="77777777" w:rsidR="00C3312E" w:rsidRPr="00C3312E" w:rsidRDefault="00C3312E" w:rsidP="00C3312E">
            <w:pPr>
              <w:spacing w:after="0" w:line="240" w:lineRule="auto"/>
              <w:jc w:val="center"/>
              <w:rPr>
                <w:sz w:val="20"/>
                <w:szCs w:val="20"/>
              </w:rPr>
            </w:pPr>
            <w:r w:rsidRPr="00C3312E">
              <w:rPr>
                <w:sz w:val="20"/>
                <w:szCs w:val="20"/>
              </w:rPr>
              <w:t>4.8</w:t>
            </w:r>
          </w:p>
        </w:tc>
        <w:tc>
          <w:tcPr>
            <w:tcW w:w="1151" w:type="dxa"/>
            <w:shd w:val="clear" w:color="auto" w:fill="auto"/>
          </w:tcPr>
          <w:p w14:paraId="6580886F" w14:textId="77777777" w:rsidR="00C3312E" w:rsidRPr="00C3312E" w:rsidRDefault="00C3312E" w:rsidP="00C3312E">
            <w:pPr>
              <w:spacing w:after="0" w:line="240" w:lineRule="auto"/>
              <w:jc w:val="center"/>
              <w:rPr>
                <w:sz w:val="20"/>
                <w:szCs w:val="20"/>
              </w:rPr>
            </w:pPr>
            <w:r w:rsidRPr="00C3312E">
              <w:rPr>
                <w:sz w:val="20"/>
                <w:szCs w:val="20"/>
              </w:rPr>
              <w:t>-1.4</w:t>
            </w:r>
          </w:p>
        </w:tc>
        <w:tc>
          <w:tcPr>
            <w:tcW w:w="1164" w:type="dxa"/>
            <w:shd w:val="clear" w:color="auto" w:fill="auto"/>
          </w:tcPr>
          <w:p w14:paraId="0EFEF733" w14:textId="77777777" w:rsidR="00C3312E" w:rsidRPr="00C3312E" w:rsidRDefault="00C3312E" w:rsidP="00C3312E">
            <w:pPr>
              <w:spacing w:after="0" w:line="240" w:lineRule="auto"/>
              <w:jc w:val="center"/>
              <w:rPr>
                <w:sz w:val="20"/>
                <w:szCs w:val="20"/>
              </w:rPr>
            </w:pPr>
            <w:r w:rsidRPr="00C3312E">
              <w:rPr>
                <w:sz w:val="20"/>
                <w:szCs w:val="20"/>
              </w:rPr>
              <w:t>3.3</w:t>
            </w:r>
          </w:p>
        </w:tc>
      </w:tr>
      <w:tr w:rsidR="00064030" w:rsidRPr="00C3312E" w14:paraId="64DBDE3F" w14:textId="77777777" w:rsidTr="00A66217">
        <w:tc>
          <w:tcPr>
            <w:tcW w:w="3075" w:type="dxa"/>
            <w:shd w:val="clear" w:color="auto" w:fill="auto"/>
          </w:tcPr>
          <w:p w14:paraId="141A7159" w14:textId="5C49F979" w:rsidR="00064030" w:rsidRPr="00C3312E" w:rsidRDefault="00064030" w:rsidP="00064030">
            <w:pPr>
              <w:spacing w:after="0" w:line="240" w:lineRule="auto"/>
              <w:rPr>
                <w:sz w:val="20"/>
                <w:szCs w:val="20"/>
              </w:rPr>
            </w:pPr>
            <w:r w:rsidRPr="00C3312E">
              <w:rPr>
                <w:sz w:val="20"/>
                <w:szCs w:val="20"/>
              </w:rPr>
              <w:t>EL</w:t>
            </w:r>
          </w:p>
        </w:tc>
        <w:tc>
          <w:tcPr>
            <w:tcW w:w="991" w:type="dxa"/>
            <w:shd w:val="clear" w:color="auto" w:fill="auto"/>
          </w:tcPr>
          <w:p w14:paraId="557B2C03" w14:textId="779E849E" w:rsidR="00064030" w:rsidRPr="00C3312E" w:rsidRDefault="00064030" w:rsidP="00064030">
            <w:pPr>
              <w:spacing w:after="0" w:line="240" w:lineRule="auto"/>
              <w:jc w:val="center"/>
              <w:rPr>
                <w:sz w:val="20"/>
                <w:szCs w:val="20"/>
              </w:rPr>
            </w:pPr>
            <w:r w:rsidRPr="00C3312E">
              <w:rPr>
                <w:sz w:val="20"/>
                <w:szCs w:val="20"/>
              </w:rPr>
              <w:t>1.9</w:t>
            </w:r>
          </w:p>
        </w:tc>
        <w:tc>
          <w:tcPr>
            <w:tcW w:w="991" w:type="dxa"/>
            <w:shd w:val="clear" w:color="auto" w:fill="auto"/>
          </w:tcPr>
          <w:p w14:paraId="71545045" w14:textId="175292EB" w:rsidR="00064030" w:rsidRPr="00C3312E" w:rsidRDefault="00064030" w:rsidP="00064030">
            <w:pPr>
              <w:spacing w:after="0" w:line="240" w:lineRule="auto"/>
              <w:jc w:val="center"/>
              <w:rPr>
                <w:sz w:val="20"/>
                <w:szCs w:val="20"/>
              </w:rPr>
            </w:pPr>
            <w:r w:rsidRPr="00C3312E">
              <w:rPr>
                <w:sz w:val="20"/>
                <w:szCs w:val="20"/>
              </w:rPr>
              <w:t>1.2</w:t>
            </w:r>
          </w:p>
        </w:tc>
        <w:tc>
          <w:tcPr>
            <w:tcW w:w="991" w:type="dxa"/>
            <w:shd w:val="clear" w:color="auto" w:fill="auto"/>
          </w:tcPr>
          <w:p w14:paraId="4A985775" w14:textId="55DAFC0A" w:rsidR="00064030" w:rsidRPr="00C3312E" w:rsidRDefault="00064030" w:rsidP="00064030">
            <w:pPr>
              <w:spacing w:after="0" w:line="240" w:lineRule="auto"/>
              <w:jc w:val="center"/>
              <w:rPr>
                <w:sz w:val="20"/>
                <w:szCs w:val="20"/>
              </w:rPr>
            </w:pPr>
            <w:r w:rsidRPr="00C3312E">
              <w:rPr>
                <w:sz w:val="20"/>
                <w:szCs w:val="20"/>
              </w:rPr>
              <w:t>2.6</w:t>
            </w:r>
          </w:p>
        </w:tc>
        <w:tc>
          <w:tcPr>
            <w:tcW w:w="997" w:type="dxa"/>
            <w:shd w:val="clear" w:color="auto" w:fill="auto"/>
          </w:tcPr>
          <w:p w14:paraId="51600F06" w14:textId="4D03EE17" w:rsidR="00064030" w:rsidRPr="00C3312E" w:rsidRDefault="00064030" w:rsidP="00064030">
            <w:pPr>
              <w:spacing w:after="0" w:line="240" w:lineRule="auto"/>
              <w:jc w:val="center"/>
              <w:rPr>
                <w:sz w:val="20"/>
                <w:szCs w:val="20"/>
              </w:rPr>
            </w:pPr>
            <w:r w:rsidRPr="00C3312E">
              <w:rPr>
                <w:sz w:val="20"/>
                <w:szCs w:val="20"/>
              </w:rPr>
              <w:t>2.0</w:t>
            </w:r>
          </w:p>
        </w:tc>
        <w:tc>
          <w:tcPr>
            <w:tcW w:w="1151" w:type="dxa"/>
            <w:shd w:val="clear" w:color="auto" w:fill="auto"/>
          </w:tcPr>
          <w:p w14:paraId="6D2D4C1E" w14:textId="2AD1B5C2" w:rsidR="00064030" w:rsidRPr="00C3312E" w:rsidRDefault="00064030" w:rsidP="00064030">
            <w:pPr>
              <w:spacing w:after="0" w:line="240" w:lineRule="auto"/>
              <w:jc w:val="center"/>
              <w:rPr>
                <w:sz w:val="20"/>
                <w:szCs w:val="20"/>
              </w:rPr>
            </w:pPr>
            <w:r w:rsidRPr="00C3312E">
              <w:rPr>
                <w:sz w:val="20"/>
                <w:szCs w:val="20"/>
              </w:rPr>
              <w:t>0.1</w:t>
            </w:r>
          </w:p>
        </w:tc>
        <w:tc>
          <w:tcPr>
            <w:tcW w:w="1164" w:type="dxa"/>
            <w:shd w:val="clear" w:color="auto" w:fill="auto"/>
          </w:tcPr>
          <w:p w14:paraId="7DCE0D29" w14:textId="4A369F4E" w:rsidR="00064030" w:rsidRPr="00C3312E" w:rsidRDefault="00064030" w:rsidP="00064030">
            <w:pPr>
              <w:spacing w:after="0" w:line="240" w:lineRule="auto"/>
              <w:jc w:val="center"/>
              <w:rPr>
                <w:sz w:val="20"/>
                <w:szCs w:val="20"/>
              </w:rPr>
            </w:pPr>
            <w:r w:rsidRPr="00C3312E">
              <w:rPr>
                <w:sz w:val="20"/>
                <w:szCs w:val="20"/>
              </w:rPr>
              <w:t>1.8</w:t>
            </w:r>
          </w:p>
        </w:tc>
      </w:tr>
      <w:tr w:rsidR="00C3312E" w:rsidRPr="00C3312E" w14:paraId="36E2063C" w14:textId="77777777" w:rsidTr="00A66217">
        <w:tc>
          <w:tcPr>
            <w:tcW w:w="3075" w:type="dxa"/>
            <w:shd w:val="clear" w:color="auto" w:fill="BFBFBF" w:themeFill="background1" w:themeFillShade="BF"/>
          </w:tcPr>
          <w:p w14:paraId="419BC414" w14:textId="77777777" w:rsidR="00C3312E" w:rsidRPr="00C3312E" w:rsidRDefault="00C3312E" w:rsidP="00C3312E">
            <w:pPr>
              <w:spacing w:after="0" w:line="240" w:lineRule="auto"/>
              <w:rPr>
                <w:rFonts w:eastAsia="Times New Roman" w:cs="Times New Roman"/>
                <w:sz w:val="20"/>
                <w:szCs w:val="20"/>
              </w:rPr>
            </w:pPr>
            <w:r w:rsidRPr="00C3312E">
              <w:rPr>
                <w:sz w:val="20"/>
                <w:szCs w:val="20"/>
              </w:rPr>
              <w:t>All</w:t>
            </w:r>
          </w:p>
        </w:tc>
        <w:tc>
          <w:tcPr>
            <w:tcW w:w="991" w:type="dxa"/>
            <w:shd w:val="clear" w:color="auto" w:fill="BFBFBF" w:themeFill="background1" w:themeFillShade="BF"/>
          </w:tcPr>
          <w:p w14:paraId="0FBE13ED" w14:textId="77777777" w:rsidR="00C3312E" w:rsidRPr="00C3312E" w:rsidRDefault="00C3312E" w:rsidP="00C3312E">
            <w:pPr>
              <w:spacing w:after="0" w:line="240" w:lineRule="auto"/>
              <w:jc w:val="center"/>
              <w:rPr>
                <w:sz w:val="20"/>
                <w:szCs w:val="20"/>
              </w:rPr>
            </w:pPr>
            <w:r w:rsidRPr="00C3312E">
              <w:rPr>
                <w:sz w:val="20"/>
                <w:szCs w:val="20"/>
              </w:rPr>
              <w:t>2.5</w:t>
            </w:r>
          </w:p>
        </w:tc>
        <w:tc>
          <w:tcPr>
            <w:tcW w:w="991" w:type="dxa"/>
            <w:shd w:val="clear" w:color="auto" w:fill="BFBFBF" w:themeFill="background1" w:themeFillShade="BF"/>
          </w:tcPr>
          <w:p w14:paraId="0A0F2AB7" w14:textId="77777777" w:rsidR="00C3312E" w:rsidRPr="00C3312E" w:rsidRDefault="00C3312E" w:rsidP="00C3312E">
            <w:pPr>
              <w:spacing w:after="0" w:line="240" w:lineRule="auto"/>
              <w:jc w:val="center"/>
              <w:rPr>
                <w:sz w:val="20"/>
                <w:szCs w:val="20"/>
              </w:rPr>
            </w:pPr>
            <w:r w:rsidRPr="00C3312E">
              <w:rPr>
                <w:sz w:val="20"/>
                <w:szCs w:val="20"/>
              </w:rPr>
              <w:t>2.1</w:t>
            </w:r>
          </w:p>
        </w:tc>
        <w:tc>
          <w:tcPr>
            <w:tcW w:w="991" w:type="dxa"/>
            <w:shd w:val="clear" w:color="auto" w:fill="BFBFBF" w:themeFill="background1" w:themeFillShade="BF"/>
          </w:tcPr>
          <w:p w14:paraId="02E66A21" w14:textId="77777777" w:rsidR="00C3312E" w:rsidRPr="00C3312E" w:rsidRDefault="00C3312E" w:rsidP="00C3312E">
            <w:pPr>
              <w:spacing w:after="0" w:line="240" w:lineRule="auto"/>
              <w:jc w:val="center"/>
              <w:rPr>
                <w:sz w:val="20"/>
                <w:szCs w:val="20"/>
              </w:rPr>
            </w:pPr>
            <w:r w:rsidRPr="00C3312E">
              <w:rPr>
                <w:sz w:val="20"/>
                <w:szCs w:val="20"/>
              </w:rPr>
              <w:t>2.2</w:t>
            </w:r>
          </w:p>
        </w:tc>
        <w:tc>
          <w:tcPr>
            <w:tcW w:w="997" w:type="dxa"/>
            <w:shd w:val="clear" w:color="auto" w:fill="BFBFBF" w:themeFill="background1" w:themeFillShade="BF"/>
          </w:tcPr>
          <w:p w14:paraId="5C821794" w14:textId="77777777" w:rsidR="00C3312E" w:rsidRPr="00C3312E" w:rsidRDefault="00C3312E" w:rsidP="00C3312E">
            <w:pPr>
              <w:spacing w:after="0" w:line="240" w:lineRule="auto"/>
              <w:jc w:val="center"/>
              <w:rPr>
                <w:sz w:val="20"/>
                <w:szCs w:val="20"/>
              </w:rPr>
            </w:pPr>
            <w:r w:rsidRPr="00C3312E">
              <w:rPr>
                <w:sz w:val="20"/>
                <w:szCs w:val="20"/>
              </w:rPr>
              <w:t>2.2</w:t>
            </w:r>
          </w:p>
        </w:tc>
        <w:tc>
          <w:tcPr>
            <w:tcW w:w="1151" w:type="dxa"/>
            <w:shd w:val="clear" w:color="auto" w:fill="BFBFBF" w:themeFill="background1" w:themeFillShade="BF"/>
          </w:tcPr>
          <w:p w14:paraId="05CF6D53" w14:textId="77777777" w:rsidR="00C3312E" w:rsidRPr="00C3312E" w:rsidRDefault="00C3312E" w:rsidP="00C3312E">
            <w:pPr>
              <w:spacing w:after="0" w:line="240" w:lineRule="auto"/>
              <w:jc w:val="center"/>
              <w:rPr>
                <w:sz w:val="20"/>
                <w:szCs w:val="20"/>
              </w:rPr>
            </w:pPr>
            <w:r w:rsidRPr="00C3312E">
              <w:rPr>
                <w:sz w:val="20"/>
                <w:szCs w:val="20"/>
              </w:rPr>
              <w:t>-0.3</w:t>
            </w:r>
          </w:p>
        </w:tc>
        <w:tc>
          <w:tcPr>
            <w:tcW w:w="1164" w:type="dxa"/>
            <w:shd w:val="clear" w:color="auto" w:fill="BFBFBF" w:themeFill="background1" w:themeFillShade="BF"/>
          </w:tcPr>
          <w:p w14:paraId="01A1CA7E" w14:textId="77777777" w:rsidR="00C3312E" w:rsidRPr="00C3312E" w:rsidRDefault="00C3312E" w:rsidP="00C3312E">
            <w:pPr>
              <w:spacing w:after="0" w:line="240" w:lineRule="auto"/>
              <w:jc w:val="center"/>
              <w:rPr>
                <w:sz w:val="20"/>
                <w:szCs w:val="20"/>
              </w:rPr>
            </w:pPr>
            <w:r w:rsidRPr="00C3312E">
              <w:rPr>
                <w:sz w:val="20"/>
                <w:szCs w:val="20"/>
              </w:rPr>
              <w:t>1.8</w:t>
            </w:r>
          </w:p>
        </w:tc>
      </w:tr>
    </w:tbl>
    <w:p w14:paraId="18160A10" w14:textId="77777777" w:rsidR="00C3312E" w:rsidRPr="00C3312E" w:rsidRDefault="00C3312E" w:rsidP="00C3312E">
      <w:pPr>
        <w:spacing w:after="0" w:line="240" w:lineRule="auto"/>
      </w:pPr>
    </w:p>
    <w:tbl>
      <w:tblPr>
        <w:tblStyle w:val="TableGrid12"/>
        <w:tblW w:w="0" w:type="auto"/>
        <w:tblLook w:val="04A0" w:firstRow="1" w:lastRow="0" w:firstColumn="1" w:lastColumn="0" w:noHBand="0" w:noVBand="1"/>
        <w:tblCaption w:val="Table 25: Framingham Public Schools"/>
        <w:tblDescription w:val="Out-of-School Suspension Rates by Student Group, 2015–2018&#10;"/>
      </w:tblPr>
      <w:tblGrid>
        <w:gridCol w:w="3076"/>
        <w:gridCol w:w="996"/>
        <w:gridCol w:w="991"/>
        <w:gridCol w:w="991"/>
        <w:gridCol w:w="991"/>
        <w:gridCol w:w="1194"/>
        <w:gridCol w:w="1121"/>
      </w:tblGrid>
      <w:tr w:rsidR="00C3312E" w:rsidRPr="002A3659" w14:paraId="5648ECA2" w14:textId="77777777" w:rsidTr="00A66217">
        <w:tc>
          <w:tcPr>
            <w:tcW w:w="9360" w:type="dxa"/>
            <w:gridSpan w:val="7"/>
            <w:tcBorders>
              <w:top w:val="nil"/>
              <w:left w:val="nil"/>
              <w:right w:val="nil"/>
            </w:tcBorders>
            <w:shd w:val="clear" w:color="auto" w:fill="auto"/>
          </w:tcPr>
          <w:p w14:paraId="335F03EB" w14:textId="77777777" w:rsidR="00C3312E" w:rsidRPr="00EC5B5A" w:rsidRDefault="00C3312E" w:rsidP="00C3312E">
            <w:pPr>
              <w:spacing w:after="0" w:line="240" w:lineRule="auto"/>
              <w:jc w:val="center"/>
              <w:rPr>
                <w:b/>
                <w:sz w:val="20"/>
                <w:szCs w:val="20"/>
              </w:rPr>
            </w:pPr>
            <w:r w:rsidRPr="00EC5B5A">
              <w:rPr>
                <w:b/>
                <w:sz w:val="20"/>
                <w:szCs w:val="20"/>
              </w:rPr>
              <w:lastRenderedPageBreak/>
              <w:t xml:space="preserve">Table 25: </w:t>
            </w:r>
            <w:r w:rsidRPr="00EC5B5A">
              <w:rPr>
                <w:rFonts w:cs="Times New Roman"/>
                <w:b/>
                <w:sz w:val="20"/>
                <w:szCs w:val="20"/>
              </w:rPr>
              <w:t>Framingham Public Schools</w:t>
            </w:r>
          </w:p>
          <w:p w14:paraId="5F262AE8" w14:textId="529FE994" w:rsidR="00C3312E" w:rsidRPr="00EC5B5A" w:rsidRDefault="00C3312E" w:rsidP="003067D5">
            <w:pPr>
              <w:spacing w:after="0" w:line="240" w:lineRule="auto"/>
              <w:jc w:val="center"/>
              <w:rPr>
                <w:b/>
                <w:sz w:val="20"/>
                <w:szCs w:val="20"/>
              </w:rPr>
            </w:pPr>
            <w:r w:rsidRPr="00EC5B5A">
              <w:rPr>
                <w:b/>
                <w:sz w:val="20"/>
                <w:szCs w:val="20"/>
              </w:rPr>
              <w:t xml:space="preserve">Out-of-School Suspension Rates by </w:t>
            </w:r>
            <w:r w:rsidR="002A3659" w:rsidRPr="00EC5B5A">
              <w:rPr>
                <w:b/>
                <w:sz w:val="20"/>
                <w:szCs w:val="20"/>
              </w:rPr>
              <w:t>S</w:t>
            </w:r>
            <w:r w:rsidR="002A3659">
              <w:rPr>
                <w:b/>
                <w:sz w:val="20"/>
                <w:szCs w:val="20"/>
              </w:rPr>
              <w:t>tudent G</w:t>
            </w:r>
            <w:r w:rsidR="002A3659" w:rsidRPr="00EC5B5A">
              <w:rPr>
                <w:b/>
                <w:sz w:val="20"/>
                <w:szCs w:val="20"/>
              </w:rPr>
              <w:t>roup</w:t>
            </w:r>
            <w:r w:rsidRPr="00EC5B5A">
              <w:rPr>
                <w:b/>
                <w:sz w:val="20"/>
                <w:szCs w:val="20"/>
              </w:rPr>
              <w:t>, 2015–2018</w:t>
            </w:r>
          </w:p>
        </w:tc>
      </w:tr>
      <w:tr w:rsidR="00C3312E" w:rsidRPr="00C3312E" w14:paraId="3F5AC828" w14:textId="77777777" w:rsidTr="00A66217">
        <w:tc>
          <w:tcPr>
            <w:tcW w:w="3076" w:type="dxa"/>
            <w:shd w:val="clear" w:color="auto" w:fill="BFBFBF" w:themeFill="background1" w:themeFillShade="BF"/>
            <w:vAlign w:val="center"/>
          </w:tcPr>
          <w:p w14:paraId="46AAE156" w14:textId="77777777" w:rsidR="00C3312E" w:rsidRPr="00EC5B5A" w:rsidRDefault="00C3312E" w:rsidP="00A66217">
            <w:pPr>
              <w:spacing w:after="0" w:line="240" w:lineRule="auto"/>
              <w:rPr>
                <w:b/>
                <w:sz w:val="20"/>
                <w:szCs w:val="20"/>
              </w:rPr>
            </w:pPr>
            <w:r w:rsidRPr="00EC5B5A">
              <w:rPr>
                <w:b/>
                <w:sz w:val="20"/>
                <w:szCs w:val="20"/>
              </w:rPr>
              <w:t>Group</w:t>
            </w:r>
          </w:p>
        </w:tc>
        <w:tc>
          <w:tcPr>
            <w:tcW w:w="996" w:type="dxa"/>
            <w:shd w:val="clear" w:color="auto" w:fill="BFBFBF" w:themeFill="background1" w:themeFillShade="BF"/>
            <w:vAlign w:val="center"/>
          </w:tcPr>
          <w:p w14:paraId="24937BF5" w14:textId="77777777" w:rsidR="00C3312E" w:rsidRPr="00EC5B5A" w:rsidRDefault="00C3312E" w:rsidP="00A66217">
            <w:pPr>
              <w:spacing w:after="0" w:line="240" w:lineRule="auto"/>
              <w:jc w:val="center"/>
              <w:rPr>
                <w:b/>
                <w:sz w:val="20"/>
                <w:szCs w:val="20"/>
              </w:rPr>
            </w:pPr>
            <w:r w:rsidRPr="00EC5B5A">
              <w:rPr>
                <w:b/>
                <w:sz w:val="20"/>
                <w:szCs w:val="20"/>
              </w:rPr>
              <w:t>2015</w:t>
            </w:r>
          </w:p>
        </w:tc>
        <w:tc>
          <w:tcPr>
            <w:tcW w:w="991" w:type="dxa"/>
            <w:shd w:val="clear" w:color="auto" w:fill="BFBFBF" w:themeFill="background1" w:themeFillShade="BF"/>
            <w:vAlign w:val="center"/>
          </w:tcPr>
          <w:p w14:paraId="49072611" w14:textId="77777777" w:rsidR="00C3312E" w:rsidRPr="00EC5B5A" w:rsidRDefault="00C3312E" w:rsidP="00A66217">
            <w:pPr>
              <w:spacing w:after="0" w:line="240" w:lineRule="auto"/>
              <w:jc w:val="center"/>
              <w:rPr>
                <w:b/>
                <w:sz w:val="20"/>
                <w:szCs w:val="20"/>
              </w:rPr>
            </w:pPr>
            <w:r w:rsidRPr="00EC5B5A">
              <w:rPr>
                <w:b/>
                <w:sz w:val="20"/>
                <w:szCs w:val="20"/>
              </w:rPr>
              <w:t>2016</w:t>
            </w:r>
          </w:p>
        </w:tc>
        <w:tc>
          <w:tcPr>
            <w:tcW w:w="991" w:type="dxa"/>
            <w:shd w:val="clear" w:color="auto" w:fill="BFBFBF" w:themeFill="background1" w:themeFillShade="BF"/>
            <w:vAlign w:val="center"/>
          </w:tcPr>
          <w:p w14:paraId="324C3FA1" w14:textId="77777777" w:rsidR="00C3312E" w:rsidRPr="00EC5B5A" w:rsidRDefault="00C3312E" w:rsidP="00A66217">
            <w:pPr>
              <w:spacing w:after="0" w:line="240" w:lineRule="auto"/>
              <w:jc w:val="center"/>
              <w:rPr>
                <w:b/>
                <w:sz w:val="20"/>
                <w:szCs w:val="20"/>
              </w:rPr>
            </w:pPr>
            <w:r w:rsidRPr="00EC5B5A">
              <w:rPr>
                <w:b/>
                <w:sz w:val="20"/>
                <w:szCs w:val="20"/>
              </w:rPr>
              <w:t>2017</w:t>
            </w:r>
          </w:p>
        </w:tc>
        <w:tc>
          <w:tcPr>
            <w:tcW w:w="991" w:type="dxa"/>
            <w:shd w:val="clear" w:color="auto" w:fill="BFBFBF" w:themeFill="background1" w:themeFillShade="BF"/>
            <w:vAlign w:val="center"/>
          </w:tcPr>
          <w:p w14:paraId="3231DB15" w14:textId="77777777" w:rsidR="00C3312E" w:rsidRPr="00EC5B5A" w:rsidRDefault="00C3312E" w:rsidP="00A66217">
            <w:pPr>
              <w:spacing w:after="0" w:line="240" w:lineRule="auto"/>
              <w:jc w:val="center"/>
              <w:rPr>
                <w:b/>
                <w:sz w:val="20"/>
                <w:szCs w:val="20"/>
              </w:rPr>
            </w:pPr>
            <w:r w:rsidRPr="00EC5B5A">
              <w:rPr>
                <w:b/>
                <w:sz w:val="20"/>
                <w:szCs w:val="20"/>
              </w:rPr>
              <w:t>2018</w:t>
            </w:r>
          </w:p>
        </w:tc>
        <w:tc>
          <w:tcPr>
            <w:tcW w:w="1194" w:type="dxa"/>
            <w:shd w:val="clear" w:color="auto" w:fill="BFBFBF" w:themeFill="background1" w:themeFillShade="BF"/>
            <w:vAlign w:val="center"/>
          </w:tcPr>
          <w:p w14:paraId="3DAE7511" w14:textId="77777777" w:rsidR="00C3312E" w:rsidRPr="00EC5B5A" w:rsidRDefault="00C3312E" w:rsidP="00A66217">
            <w:pPr>
              <w:spacing w:after="0" w:line="240" w:lineRule="auto"/>
              <w:jc w:val="center"/>
              <w:rPr>
                <w:b/>
                <w:sz w:val="20"/>
                <w:szCs w:val="20"/>
              </w:rPr>
            </w:pPr>
            <w:r w:rsidRPr="00EC5B5A">
              <w:rPr>
                <w:b/>
                <w:sz w:val="20"/>
                <w:szCs w:val="20"/>
              </w:rPr>
              <w:t>4-yr Change</w:t>
            </w:r>
          </w:p>
        </w:tc>
        <w:tc>
          <w:tcPr>
            <w:tcW w:w="1121" w:type="dxa"/>
            <w:shd w:val="clear" w:color="auto" w:fill="BFBFBF" w:themeFill="background1" w:themeFillShade="BF"/>
            <w:vAlign w:val="center"/>
          </w:tcPr>
          <w:p w14:paraId="68CDEF1B" w14:textId="77777777" w:rsidR="00C3312E" w:rsidRPr="00EC5B5A" w:rsidRDefault="00C3312E" w:rsidP="00A66217">
            <w:pPr>
              <w:spacing w:after="0" w:line="240" w:lineRule="auto"/>
              <w:jc w:val="center"/>
              <w:rPr>
                <w:b/>
                <w:sz w:val="20"/>
                <w:szCs w:val="20"/>
              </w:rPr>
            </w:pPr>
            <w:r w:rsidRPr="00EC5B5A">
              <w:rPr>
                <w:b/>
                <w:sz w:val="20"/>
                <w:szCs w:val="20"/>
              </w:rPr>
              <w:t>State (2018)</w:t>
            </w:r>
          </w:p>
        </w:tc>
      </w:tr>
      <w:tr w:rsidR="00C3312E" w:rsidRPr="00C3312E" w14:paraId="50B8C4F9" w14:textId="77777777" w:rsidTr="00A66217">
        <w:tc>
          <w:tcPr>
            <w:tcW w:w="3076" w:type="dxa"/>
            <w:shd w:val="clear" w:color="auto" w:fill="auto"/>
          </w:tcPr>
          <w:p w14:paraId="18BD8F35"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996" w:type="dxa"/>
            <w:shd w:val="clear" w:color="auto" w:fill="auto"/>
          </w:tcPr>
          <w:p w14:paraId="3B2BB494" w14:textId="77777777" w:rsidR="00C3312E" w:rsidRPr="00C3312E" w:rsidRDefault="00C3312E" w:rsidP="00C3312E">
            <w:pPr>
              <w:spacing w:after="0" w:line="240" w:lineRule="auto"/>
              <w:jc w:val="center"/>
              <w:rPr>
                <w:sz w:val="20"/>
                <w:szCs w:val="20"/>
              </w:rPr>
            </w:pPr>
            <w:r w:rsidRPr="00C3312E">
              <w:rPr>
                <w:sz w:val="20"/>
                <w:szCs w:val="20"/>
              </w:rPr>
              <w:t>5.8</w:t>
            </w:r>
          </w:p>
        </w:tc>
        <w:tc>
          <w:tcPr>
            <w:tcW w:w="991" w:type="dxa"/>
            <w:shd w:val="clear" w:color="auto" w:fill="auto"/>
          </w:tcPr>
          <w:p w14:paraId="16BB60D1" w14:textId="77777777" w:rsidR="00C3312E" w:rsidRPr="00C3312E" w:rsidRDefault="00C3312E" w:rsidP="00C3312E">
            <w:pPr>
              <w:spacing w:after="0" w:line="240" w:lineRule="auto"/>
              <w:jc w:val="center"/>
              <w:rPr>
                <w:sz w:val="20"/>
                <w:szCs w:val="20"/>
              </w:rPr>
            </w:pPr>
            <w:r w:rsidRPr="00C3312E">
              <w:rPr>
                <w:sz w:val="20"/>
                <w:szCs w:val="20"/>
              </w:rPr>
              <w:t>4.7</w:t>
            </w:r>
          </w:p>
        </w:tc>
        <w:tc>
          <w:tcPr>
            <w:tcW w:w="991" w:type="dxa"/>
            <w:shd w:val="clear" w:color="auto" w:fill="auto"/>
          </w:tcPr>
          <w:p w14:paraId="2D7DFD9B" w14:textId="77777777" w:rsidR="00C3312E" w:rsidRPr="00C3312E" w:rsidRDefault="00C3312E" w:rsidP="00C3312E">
            <w:pPr>
              <w:spacing w:after="0" w:line="240" w:lineRule="auto"/>
              <w:jc w:val="center"/>
              <w:rPr>
                <w:sz w:val="20"/>
                <w:szCs w:val="20"/>
              </w:rPr>
            </w:pPr>
            <w:r w:rsidRPr="00C3312E">
              <w:rPr>
                <w:sz w:val="20"/>
                <w:szCs w:val="20"/>
              </w:rPr>
              <w:t>6.4</w:t>
            </w:r>
          </w:p>
        </w:tc>
        <w:tc>
          <w:tcPr>
            <w:tcW w:w="991" w:type="dxa"/>
            <w:shd w:val="clear" w:color="auto" w:fill="auto"/>
          </w:tcPr>
          <w:p w14:paraId="5576E851" w14:textId="77777777" w:rsidR="00C3312E" w:rsidRPr="00C3312E" w:rsidRDefault="00C3312E" w:rsidP="00C3312E">
            <w:pPr>
              <w:spacing w:after="0" w:line="240" w:lineRule="auto"/>
              <w:jc w:val="center"/>
              <w:rPr>
                <w:sz w:val="20"/>
                <w:szCs w:val="20"/>
              </w:rPr>
            </w:pPr>
            <w:r w:rsidRPr="00C3312E">
              <w:rPr>
                <w:sz w:val="20"/>
                <w:szCs w:val="20"/>
              </w:rPr>
              <w:t>8.3</w:t>
            </w:r>
          </w:p>
        </w:tc>
        <w:tc>
          <w:tcPr>
            <w:tcW w:w="1194" w:type="dxa"/>
            <w:shd w:val="clear" w:color="auto" w:fill="auto"/>
          </w:tcPr>
          <w:p w14:paraId="4DBB506E" w14:textId="77777777" w:rsidR="00C3312E" w:rsidRPr="00C3312E" w:rsidRDefault="00C3312E" w:rsidP="00C3312E">
            <w:pPr>
              <w:spacing w:after="0" w:line="240" w:lineRule="auto"/>
              <w:jc w:val="center"/>
              <w:rPr>
                <w:sz w:val="20"/>
                <w:szCs w:val="20"/>
              </w:rPr>
            </w:pPr>
            <w:r w:rsidRPr="00C3312E">
              <w:rPr>
                <w:sz w:val="20"/>
                <w:szCs w:val="20"/>
              </w:rPr>
              <w:t>2.5</w:t>
            </w:r>
          </w:p>
        </w:tc>
        <w:tc>
          <w:tcPr>
            <w:tcW w:w="1121" w:type="dxa"/>
            <w:shd w:val="clear" w:color="auto" w:fill="auto"/>
          </w:tcPr>
          <w:p w14:paraId="2609601B" w14:textId="77777777" w:rsidR="00C3312E" w:rsidRPr="00C3312E" w:rsidRDefault="00C3312E" w:rsidP="00C3312E">
            <w:pPr>
              <w:spacing w:after="0" w:line="240" w:lineRule="auto"/>
              <w:jc w:val="center"/>
              <w:rPr>
                <w:sz w:val="20"/>
                <w:szCs w:val="20"/>
              </w:rPr>
            </w:pPr>
            <w:r w:rsidRPr="00C3312E">
              <w:rPr>
                <w:sz w:val="20"/>
                <w:szCs w:val="20"/>
              </w:rPr>
              <w:t>6.0</w:t>
            </w:r>
          </w:p>
        </w:tc>
      </w:tr>
      <w:tr w:rsidR="00C3312E" w:rsidRPr="00C3312E" w14:paraId="1515E504" w14:textId="77777777" w:rsidTr="00A66217">
        <w:tc>
          <w:tcPr>
            <w:tcW w:w="3076" w:type="dxa"/>
            <w:shd w:val="clear" w:color="auto" w:fill="BFBFBF" w:themeFill="background1" w:themeFillShade="BF"/>
          </w:tcPr>
          <w:p w14:paraId="5B696424"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996" w:type="dxa"/>
            <w:shd w:val="clear" w:color="auto" w:fill="BFBFBF" w:themeFill="background1" w:themeFillShade="BF"/>
          </w:tcPr>
          <w:p w14:paraId="75339131" w14:textId="77777777" w:rsidR="00C3312E" w:rsidRPr="00C3312E" w:rsidRDefault="00C3312E" w:rsidP="00C3312E">
            <w:pPr>
              <w:spacing w:after="0" w:line="240" w:lineRule="auto"/>
              <w:jc w:val="center"/>
              <w:rPr>
                <w:sz w:val="20"/>
                <w:szCs w:val="20"/>
              </w:rPr>
            </w:pPr>
            <w:r w:rsidRPr="00C3312E">
              <w:rPr>
                <w:sz w:val="20"/>
                <w:szCs w:val="20"/>
              </w:rPr>
              <w:t>1.0</w:t>
            </w:r>
          </w:p>
        </w:tc>
        <w:tc>
          <w:tcPr>
            <w:tcW w:w="991" w:type="dxa"/>
            <w:shd w:val="clear" w:color="auto" w:fill="BFBFBF" w:themeFill="background1" w:themeFillShade="BF"/>
          </w:tcPr>
          <w:p w14:paraId="5655F604" w14:textId="77777777" w:rsidR="00C3312E" w:rsidRPr="00C3312E" w:rsidRDefault="00C3312E" w:rsidP="00C3312E">
            <w:pPr>
              <w:spacing w:after="0" w:line="240" w:lineRule="auto"/>
              <w:jc w:val="center"/>
              <w:rPr>
                <w:sz w:val="20"/>
                <w:szCs w:val="20"/>
              </w:rPr>
            </w:pPr>
            <w:r w:rsidRPr="00C3312E">
              <w:rPr>
                <w:sz w:val="20"/>
                <w:szCs w:val="20"/>
              </w:rPr>
              <w:t>--</w:t>
            </w:r>
          </w:p>
        </w:tc>
        <w:tc>
          <w:tcPr>
            <w:tcW w:w="991" w:type="dxa"/>
            <w:shd w:val="clear" w:color="auto" w:fill="BFBFBF" w:themeFill="background1" w:themeFillShade="BF"/>
          </w:tcPr>
          <w:p w14:paraId="3ACBE2FA" w14:textId="77777777" w:rsidR="00C3312E" w:rsidRPr="00C3312E" w:rsidRDefault="00C3312E" w:rsidP="00C3312E">
            <w:pPr>
              <w:spacing w:after="0" w:line="240" w:lineRule="auto"/>
              <w:jc w:val="center"/>
              <w:rPr>
                <w:sz w:val="20"/>
                <w:szCs w:val="20"/>
              </w:rPr>
            </w:pPr>
            <w:r w:rsidRPr="00C3312E">
              <w:rPr>
                <w:sz w:val="20"/>
                <w:szCs w:val="20"/>
              </w:rPr>
              <w:t>--</w:t>
            </w:r>
          </w:p>
        </w:tc>
        <w:tc>
          <w:tcPr>
            <w:tcW w:w="991" w:type="dxa"/>
            <w:shd w:val="clear" w:color="auto" w:fill="BFBFBF" w:themeFill="background1" w:themeFillShade="BF"/>
          </w:tcPr>
          <w:p w14:paraId="3ACF5D66" w14:textId="77777777" w:rsidR="00C3312E" w:rsidRPr="00C3312E" w:rsidRDefault="00C3312E" w:rsidP="00C3312E">
            <w:pPr>
              <w:spacing w:after="0" w:line="240" w:lineRule="auto"/>
              <w:jc w:val="center"/>
              <w:rPr>
                <w:sz w:val="20"/>
                <w:szCs w:val="20"/>
              </w:rPr>
            </w:pPr>
            <w:r w:rsidRPr="00C3312E">
              <w:rPr>
                <w:sz w:val="20"/>
                <w:szCs w:val="20"/>
              </w:rPr>
              <w:t>--</w:t>
            </w:r>
          </w:p>
        </w:tc>
        <w:tc>
          <w:tcPr>
            <w:tcW w:w="1194" w:type="dxa"/>
            <w:shd w:val="clear" w:color="auto" w:fill="BFBFBF" w:themeFill="background1" w:themeFillShade="BF"/>
          </w:tcPr>
          <w:p w14:paraId="403EDDF5" w14:textId="77777777" w:rsidR="00C3312E" w:rsidRPr="00C3312E" w:rsidRDefault="00C3312E" w:rsidP="00C3312E">
            <w:pPr>
              <w:spacing w:after="0" w:line="240" w:lineRule="auto"/>
              <w:jc w:val="center"/>
              <w:rPr>
                <w:sz w:val="20"/>
                <w:szCs w:val="20"/>
              </w:rPr>
            </w:pPr>
            <w:r w:rsidRPr="00C3312E">
              <w:rPr>
                <w:sz w:val="20"/>
                <w:szCs w:val="20"/>
              </w:rPr>
              <w:t>--</w:t>
            </w:r>
          </w:p>
        </w:tc>
        <w:tc>
          <w:tcPr>
            <w:tcW w:w="1121" w:type="dxa"/>
            <w:shd w:val="clear" w:color="auto" w:fill="BFBFBF" w:themeFill="background1" w:themeFillShade="BF"/>
          </w:tcPr>
          <w:p w14:paraId="46D5D9EB" w14:textId="77777777" w:rsidR="00C3312E" w:rsidRPr="00C3312E" w:rsidRDefault="00C3312E" w:rsidP="00C3312E">
            <w:pPr>
              <w:spacing w:after="0" w:line="240" w:lineRule="auto"/>
              <w:jc w:val="center"/>
              <w:rPr>
                <w:sz w:val="20"/>
                <w:szCs w:val="20"/>
              </w:rPr>
            </w:pPr>
            <w:r w:rsidRPr="00C3312E">
              <w:rPr>
                <w:sz w:val="20"/>
                <w:szCs w:val="20"/>
              </w:rPr>
              <w:t>0.7</w:t>
            </w:r>
          </w:p>
        </w:tc>
      </w:tr>
      <w:tr w:rsidR="00C3312E" w:rsidRPr="00C3312E" w14:paraId="3B520FE6" w14:textId="77777777" w:rsidTr="00A66217">
        <w:tc>
          <w:tcPr>
            <w:tcW w:w="3076" w:type="dxa"/>
            <w:shd w:val="clear" w:color="auto" w:fill="auto"/>
          </w:tcPr>
          <w:p w14:paraId="03FF795D"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996" w:type="dxa"/>
            <w:shd w:val="clear" w:color="auto" w:fill="auto"/>
          </w:tcPr>
          <w:p w14:paraId="7ADF8D05" w14:textId="77777777" w:rsidR="00C3312E" w:rsidRPr="00C3312E" w:rsidRDefault="00C3312E" w:rsidP="00C3312E">
            <w:pPr>
              <w:spacing w:after="0" w:line="240" w:lineRule="auto"/>
              <w:jc w:val="center"/>
              <w:rPr>
                <w:sz w:val="20"/>
                <w:szCs w:val="20"/>
              </w:rPr>
            </w:pPr>
            <w:r w:rsidRPr="00C3312E">
              <w:rPr>
                <w:sz w:val="20"/>
                <w:szCs w:val="20"/>
              </w:rPr>
              <w:t>5.1</w:t>
            </w:r>
          </w:p>
        </w:tc>
        <w:tc>
          <w:tcPr>
            <w:tcW w:w="991" w:type="dxa"/>
            <w:shd w:val="clear" w:color="auto" w:fill="auto"/>
          </w:tcPr>
          <w:p w14:paraId="6D31E768" w14:textId="77777777" w:rsidR="00C3312E" w:rsidRPr="00C3312E" w:rsidRDefault="00C3312E" w:rsidP="00C3312E">
            <w:pPr>
              <w:spacing w:after="0" w:line="240" w:lineRule="auto"/>
              <w:jc w:val="center"/>
              <w:rPr>
                <w:sz w:val="20"/>
                <w:szCs w:val="20"/>
              </w:rPr>
            </w:pPr>
            <w:r w:rsidRPr="00C3312E">
              <w:rPr>
                <w:sz w:val="20"/>
                <w:szCs w:val="20"/>
              </w:rPr>
              <w:t>5.0</w:t>
            </w:r>
          </w:p>
        </w:tc>
        <w:tc>
          <w:tcPr>
            <w:tcW w:w="991" w:type="dxa"/>
            <w:shd w:val="clear" w:color="auto" w:fill="auto"/>
          </w:tcPr>
          <w:p w14:paraId="2E8784E2" w14:textId="77777777" w:rsidR="00C3312E" w:rsidRPr="00C3312E" w:rsidRDefault="00C3312E" w:rsidP="00C3312E">
            <w:pPr>
              <w:spacing w:after="0" w:line="240" w:lineRule="auto"/>
              <w:jc w:val="center"/>
              <w:rPr>
                <w:sz w:val="20"/>
                <w:szCs w:val="20"/>
              </w:rPr>
            </w:pPr>
            <w:r w:rsidRPr="00C3312E">
              <w:rPr>
                <w:sz w:val="20"/>
                <w:szCs w:val="20"/>
              </w:rPr>
              <w:t>5.7</w:t>
            </w:r>
          </w:p>
        </w:tc>
        <w:tc>
          <w:tcPr>
            <w:tcW w:w="991" w:type="dxa"/>
            <w:shd w:val="clear" w:color="auto" w:fill="auto"/>
          </w:tcPr>
          <w:p w14:paraId="20018E92" w14:textId="77777777" w:rsidR="00C3312E" w:rsidRPr="00C3312E" w:rsidRDefault="00C3312E" w:rsidP="00C3312E">
            <w:pPr>
              <w:spacing w:after="0" w:line="240" w:lineRule="auto"/>
              <w:jc w:val="center"/>
              <w:rPr>
                <w:sz w:val="20"/>
                <w:szCs w:val="20"/>
              </w:rPr>
            </w:pPr>
            <w:r w:rsidRPr="00C3312E">
              <w:rPr>
                <w:sz w:val="20"/>
                <w:szCs w:val="20"/>
              </w:rPr>
              <w:t>7.3</w:t>
            </w:r>
          </w:p>
        </w:tc>
        <w:tc>
          <w:tcPr>
            <w:tcW w:w="1194" w:type="dxa"/>
            <w:shd w:val="clear" w:color="auto" w:fill="auto"/>
          </w:tcPr>
          <w:p w14:paraId="76C740EA" w14:textId="77777777" w:rsidR="00C3312E" w:rsidRPr="00C3312E" w:rsidRDefault="00C3312E" w:rsidP="00C3312E">
            <w:pPr>
              <w:spacing w:after="0" w:line="240" w:lineRule="auto"/>
              <w:jc w:val="center"/>
              <w:rPr>
                <w:sz w:val="20"/>
                <w:szCs w:val="20"/>
              </w:rPr>
            </w:pPr>
            <w:r w:rsidRPr="00C3312E">
              <w:rPr>
                <w:sz w:val="20"/>
                <w:szCs w:val="20"/>
              </w:rPr>
              <w:t>2.2</w:t>
            </w:r>
          </w:p>
        </w:tc>
        <w:tc>
          <w:tcPr>
            <w:tcW w:w="1121" w:type="dxa"/>
            <w:shd w:val="clear" w:color="auto" w:fill="auto"/>
          </w:tcPr>
          <w:p w14:paraId="551254F5" w14:textId="77777777" w:rsidR="00C3312E" w:rsidRPr="00C3312E" w:rsidRDefault="00C3312E" w:rsidP="00C3312E">
            <w:pPr>
              <w:spacing w:after="0" w:line="240" w:lineRule="auto"/>
              <w:jc w:val="center"/>
              <w:rPr>
                <w:sz w:val="20"/>
                <w:szCs w:val="20"/>
              </w:rPr>
            </w:pPr>
            <w:r w:rsidRPr="00C3312E">
              <w:rPr>
                <w:sz w:val="20"/>
                <w:szCs w:val="20"/>
              </w:rPr>
              <w:t>5.1</w:t>
            </w:r>
          </w:p>
        </w:tc>
      </w:tr>
      <w:tr w:rsidR="00C3312E" w:rsidRPr="00C3312E" w14:paraId="1D64E19D" w14:textId="77777777" w:rsidTr="00A66217">
        <w:tc>
          <w:tcPr>
            <w:tcW w:w="3076" w:type="dxa"/>
            <w:shd w:val="clear" w:color="auto" w:fill="BFBFBF" w:themeFill="background1" w:themeFillShade="BF"/>
          </w:tcPr>
          <w:p w14:paraId="5638BCAD"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non-Hispanic or Latino</w:t>
            </w:r>
          </w:p>
        </w:tc>
        <w:tc>
          <w:tcPr>
            <w:tcW w:w="996" w:type="dxa"/>
            <w:shd w:val="clear" w:color="auto" w:fill="BFBFBF" w:themeFill="background1" w:themeFillShade="BF"/>
          </w:tcPr>
          <w:p w14:paraId="59AB15AF" w14:textId="77777777" w:rsidR="00C3312E" w:rsidRPr="00C3312E" w:rsidRDefault="00C3312E" w:rsidP="00C3312E">
            <w:pPr>
              <w:spacing w:after="0" w:line="240" w:lineRule="auto"/>
              <w:jc w:val="center"/>
              <w:rPr>
                <w:sz w:val="20"/>
                <w:szCs w:val="20"/>
              </w:rPr>
            </w:pPr>
            <w:r w:rsidRPr="00C3312E">
              <w:rPr>
                <w:sz w:val="20"/>
                <w:szCs w:val="20"/>
              </w:rPr>
              <w:t>3.2</w:t>
            </w:r>
          </w:p>
        </w:tc>
        <w:tc>
          <w:tcPr>
            <w:tcW w:w="991" w:type="dxa"/>
            <w:shd w:val="clear" w:color="auto" w:fill="BFBFBF" w:themeFill="background1" w:themeFillShade="BF"/>
          </w:tcPr>
          <w:p w14:paraId="136BB670" w14:textId="77777777" w:rsidR="00C3312E" w:rsidRPr="00C3312E" w:rsidRDefault="00C3312E" w:rsidP="00C3312E">
            <w:pPr>
              <w:spacing w:after="0" w:line="240" w:lineRule="auto"/>
              <w:jc w:val="center"/>
              <w:rPr>
                <w:sz w:val="20"/>
                <w:szCs w:val="20"/>
              </w:rPr>
            </w:pPr>
            <w:r w:rsidRPr="00C3312E">
              <w:rPr>
                <w:sz w:val="20"/>
                <w:szCs w:val="20"/>
              </w:rPr>
              <w:t>3.0</w:t>
            </w:r>
          </w:p>
        </w:tc>
        <w:tc>
          <w:tcPr>
            <w:tcW w:w="991" w:type="dxa"/>
            <w:shd w:val="clear" w:color="auto" w:fill="BFBFBF" w:themeFill="background1" w:themeFillShade="BF"/>
          </w:tcPr>
          <w:p w14:paraId="2642B4B1" w14:textId="77777777" w:rsidR="00C3312E" w:rsidRPr="00C3312E" w:rsidRDefault="00C3312E" w:rsidP="00C3312E">
            <w:pPr>
              <w:spacing w:after="0" w:line="240" w:lineRule="auto"/>
              <w:jc w:val="center"/>
              <w:rPr>
                <w:sz w:val="20"/>
                <w:szCs w:val="20"/>
              </w:rPr>
            </w:pPr>
            <w:r w:rsidRPr="00C3312E">
              <w:rPr>
                <w:sz w:val="20"/>
                <w:szCs w:val="20"/>
              </w:rPr>
              <w:t>2.2</w:t>
            </w:r>
          </w:p>
        </w:tc>
        <w:tc>
          <w:tcPr>
            <w:tcW w:w="991" w:type="dxa"/>
            <w:shd w:val="clear" w:color="auto" w:fill="BFBFBF" w:themeFill="background1" w:themeFillShade="BF"/>
          </w:tcPr>
          <w:p w14:paraId="681AA125" w14:textId="77777777" w:rsidR="00C3312E" w:rsidRPr="00C3312E" w:rsidRDefault="00C3312E" w:rsidP="00C3312E">
            <w:pPr>
              <w:spacing w:after="0" w:line="240" w:lineRule="auto"/>
              <w:jc w:val="center"/>
              <w:rPr>
                <w:sz w:val="20"/>
                <w:szCs w:val="20"/>
              </w:rPr>
            </w:pPr>
            <w:r w:rsidRPr="00C3312E">
              <w:rPr>
                <w:sz w:val="20"/>
                <w:szCs w:val="20"/>
              </w:rPr>
              <w:t>4.3</w:t>
            </w:r>
          </w:p>
        </w:tc>
        <w:tc>
          <w:tcPr>
            <w:tcW w:w="1194" w:type="dxa"/>
            <w:shd w:val="clear" w:color="auto" w:fill="BFBFBF" w:themeFill="background1" w:themeFillShade="BF"/>
          </w:tcPr>
          <w:p w14:paraId="60A50725" w14:textId="77777777" w:rsidR="00C3312E" w:rsidRPr="00C3312E" w:rsidRDefault="00C3312E" w:rsidP="00C3312E">
            <w:pPr>
              <w:spacing w:after="0" w:line="240" w:lineRule="auto"/>
              <w:jc w:val="center"/>
              <w:rPr>
                <w:sz w:val="20"/>
                <w:szCs w:val="20"/>
              </w:rPr>
            </w:pPr>
            <w:r w:rsidRPr="00C3312E">
              <w:rPr>
                <w:sz w:val="20"/>
                <w:szCs w:val="20"/>
              </w:rPr>
              <w:t>1.1</w:t>
            </w:r>
          </w:p>
        </w:tc>
        <w:tc>
          <w:tcPr>
            <w:tcW w:w="1121" w:type="dxa"/>
            <w:shd w:val="clear" w:color="auto" w:fill="BFBFBF" w:themeFill="background1" w:themeFillShade="BF"/>
          </w:tcPr>
          <w:p w14:paraId="360FF633" w14:textId="77777777" w:rsidR="00C3312E" w:rsidRPr="00C3312E" w:rsidRDefault="00C3312E" w:rsidP="00C3312E">
            <w:pPr>
              <w:spacing w:after="0" w:line="240" w:lineRule="auto"/>
              <w:jc w:val="center"/>
              <w:rPr>
                <w:sz w:val="20"/>
                <w:szCs w:val="20"/>
              </w:rPr>
            </w:pPr>
            <w:r w:rsidRPr="00C3312E">
              <w:rPr>
                <w:sz w:val="20"/>
                <w:szCs w:val="20"/>
              </w:rPr>
              <w:t>3.3</w:t>
            </w:r>
          </w:p>
        </w:tc>
      </w:tr>
      <w:tr w:rsidR="00C3312E" w:rsidRPr="00C3312E" w14:paraId="2C7D8164" w14:textId="77777777" w:rsidTr="00A66217">
        <w:tc>
          <w:tcPr>
            <w:tcW w:w="3076" w:type="dxa"/>
            <w:shd w:val="clear" w:color="auto" w:fill="auto"/>
          </w:tcPr>
          <w:p w14:paraId="42300AC5"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996" w:type="dxa"/>
            <w:shd w:val="clear" w:color="auto" w:fill="auto"/>
          </w:tcPr>
          <w:p w14:paraId="4819ED06" w14:textId="77777777" w:rsidR="00C3312E" w:rsidRPr="00C3312E" w:rsidRDefault="00C3312E" w:rsidP="00C3312E">
            <w:pPr>
              <w:spacing w:after="0" w:line="240" w:lineRule="auto"/>
              <w:jc w:val="center"/>
              <w:rPr>
                <w:sz w:val="20"/>
                <w:szCs w:val="20"/>
              </w:rPr>
            </w:pPr>
            <w:r w:rsidRPr="00C3312E">
              <w:rPr>
                <w:sz w:val="20"/>
                <w:szCs w:val="20"/>
              </w:rPr>
              <w:t>2.0</w:t>
            </w:r>
          </w:p>
        </w:tc>
        <w:tc>
          <w:tcPr>
            <w:tcW w:w="991" w:type="dxa"/>
            <w:shd w:val="clear" w:color="auto" w:fill="auto"/>
          </w:tcPr>
          <w:p w14:paraId="25A6E7A2" w14:textId="77777777" w:rsidR="00C3312E" w:rsidRPr="00C3312E" w:rsidRDefault="00C3312E" w:rsidP="00C3312E">
            <w:pPr>
              <w:spacing w:after="0" w:line="240" w:lineRule="auto"/>
              <w:jc w:val="center"/>
              <w:rPr>
                <w:sz w:val="20"/>
                <w:szCs w:val="20"/>
              </w:rPr>
            </w:pPr>
            <w:r w:rsidRPr="00C3312E">
              <w:rPr>
                <w:sz w:val="20"/>
                <w:szCs w:val="20"/>
              </w:rPr>
              <w:t>2.5</w:t>
            </w:r>
          </w:p>
        </w:tc>
        <w:tc>
          <w:tcPr>
            <w:tcW w:w="991" w:type="dxa"/>
            <w:shd w:val="clear" w:color="auto" w:fill="auto"/>
          </w:tcPr>
          <w:p w14:paraId="0F10ED46" w14:textId="77777777" w:rsidR="00C3312E" w:rsidRPr="00C3312E" w:rsidRDefault="00C3312E" w:rsidP="00C3312E">
            <w:pPr>
              <w:spacing w:after="0" w:line="240" w:lineRule="auto"/>
              <w:jc w:val="center"/>
              <w:rPr>
                <w:sz w:val="20"/>
                <w:szCs w:val="20"/>
              </w:rPr>
            </w:pPr>
            <w:r w:rsidRPr="00C3312E">
              <w:rPr>
                <w:sz w:val="20"/>
                <w:szCs w:val="20"/>
              </w:rPr>
              <w:t>2.4</w:t>
            </w:r>
          </w:p>
        </w:tc>
        <w:tc>
          <w:tcPr>
            <w:tcW w:w="991" w:type="dxa"/>
            <w:shd w:val="clear" w:color="auto" w:fill="auto"/>
          </w:tcPr>
          <w:p w14:paraId="176B4B7B" w14:textId="77777777" w:rsidR="00C3312E" w:rsidRPr="00C3312E" w:rsidRDefault="00C3312E" w:rsidP="00C3312E">
            <w:pPr>
              <w:spacing w:after="0" w:line="240" w:lineRule="auto"/>
              <w:jc w:val="center"/>
              <w:rPr>
                <w:sz w:val="20"/>
                <w:szCs w:val="20"/>
              </w:rPr>
            </w:pPr>
            <w:r w:rsidRPr="00C3312E">
              <w:rPr>
                <w:sz w:val="20"/>
                <w:szCs w:val="20"/>
              </w:rPr>
              <w:t>3.0</w:t>
            </w:r>
          </w:p>
        </w:tc>
        <w:tc>
          <w:tcPr>
            <w:tcW w:w="1194" w:type="dxa"/>
            <w:shd w:val="clear" w:color="auto" w:fill="auto"/>
          </w:tcPr>
          <w:p w14:paraId="0A3B783E" w14:textId="77777777" w:rsidR="00C3312E" w:rsidRPr="00C3312E" w:rsidRDefault="00C3312E" w:rsidP="00C3312E">
            <w:pPr>
              <w:spacing w:after="0" w:line="240" w:lineRule="auto"/>
              <w:jc w:val="center"/>
              <w:rPr>
                <w:sz w:val="20"/>
                <w:szCs w:val="20"/>
              </w:rPr>
            </w:pPr>
            <w:r w:rsidRPr="00C3312E">
              <w:rPr>
                <w:sz w:val="20"/>
                <w:szCs w:val="20"/>
              </w:rPr>
              <w:t>1</w:t>
            </w:r>
          </w:p>
        </w:tc>
        <w:tc>
          <w:tcPr>
            <w:tcW w:w="1121" w:type="dxa"/>
            <w:shd w:val="clear" w:color="auto" w:fill="auto"/>
          </w:tcPr>
          <w:p w14:paraId="26808BBC" w14:textId="77777777" w:rsidR="00C3312E" w:rsidRPr="00C3312E" w:rsidRDefault="00C3312E" w:rsidP="00C3312E">
            <w:pPr>
              <w:spacing w:after="0" w:line="240" w:lineRule="auto"/>
              <w:jc w:val="center"/>
              <w:rPr>
                <w:sz w:val="20"/>
                <w:szCs w:val="20"/>
              </w:rPr>
            </w:pPr>
            <w:r w:rsidRPr="00C3312E">
              <w:rPr>
                <w:sz w:val="20"/>
                <w:szCs w:val="20"/>
              </w:rPr>
              <w:t>1.9</w:t>
            </w:r>
          </w:p>
        </w:tc>
      </w:tr>
      <w:tr w:rsidR="00C3312E" w:rsidRPr="00C3312E" w14:paraId="18A375C0" w14:textId="77777777" w:rsidTr="00A66217">
        <w:tc>
          <w:tcPr>
            <w:tcW w:w="3076" w:type="dxa"/>
            <w:shd w:val="clear" w:color="auto" w:fill="BFBFBF" w:themeFill="background1" w:themeFillShade="BF"/>
          </w:tcPr>
          <w:p w14:paraId="65D9A7DA" w14:textId="77777777" w:rsidR="00C3312E" w:rsidRPr="00C3312E" w:rsidRDefault="00C3312E" w:rsidP="00C3312E">
            <w:pPr>
              <w:spacing w:after="0" w:line="240" w:lineRule="auto"/>
              <w:rPr>
                <w:sz w:val="20"/>
                <w:szCs w:val="20"/>
              </w:rPr>
            </w:pPr>
            <w:r w:rsidRPr="00C3312E">
              <w:rPr>
                <w:sz w:val="20"/>
                <w:szCs w:val="20"/>
              </w:rPr>
              <w:t>High Needs</w:t>
            </w:r>
          </w:p>
        </w:tc>
        <w:tc>
          <w:tcPr>
            <w:tcW w:w="996" w:type="dxa"/>
            <w:shd w:val="clear" w:color="auto" w:fill="BFBFBF" w:themeFill="background1" w:themeFillShade="BF"/>
          </w:tcPr>
          <w:p w14:paraId="6A093DD2" w14:textId="77777777" w:rsidR="00C3312E" w:rsidRPr="00C3312E" w:rsidRDefault="00C3312E" w:rsidP="00C3312E">
            <w:pPr>
              <w:spacing w:after="0" w:line="240" w:lineRule="auto"/>
              <w:jc w:val="center"/>
              <w:rPr>
                <w:sz w:val="20"/>
                <w:szCs w:val="20"/>
              </w:rPr>
            </w:pPr>
            <w:r w:rsidRPr="00C3312E">
              <w:rPr>
                <w:sz w:val="20"/>
                <w:szCs w:val="20"/>
              </w:rPr>
              <w:t>4.4</w:t>
            </w:r>
          </w:p>
        </w:tc>
        <w:tc>
          <w:tcPr>
            <w:tcW w:w="991" w:type="dxa"/>
            <w:shd w:val="clear" w:color="auto" w:fill="BFBFBF" w:themeFill="background1" w:themeFillShade="BF"/>
          </w:tcPr>
          <w:p w14:paraId="7F958324" w14:textId="77777777" w:rsidR="00C3312E" w:rsidRPr="00C3312E" w:rsidRDefault="00C3312E" w:rsidP="00C3312E">
            <w:pPr>
              <w:spacing w:after="0" w:line="240" w:lineRule="auto"/>
              <w:jc w:val="center"/>
              <w:rPr>
                <w:sz w:val="20"/>
                <w:szCs w:val="20"/>
              </w:rPr>
            </w:pPr>
            <w:r w:rsidRPr="00C3312E">
              <w:rPr>
                <w:sz w:val="20"/>
                <w:szCs w:val="20"/>
              </w:rPr>
              <w:t>4.6</w:t>
            </w:r>
          </w:p>
        </w:tc>
        <w:tc>
          <w:tcPr>
            <w:tcW w:w="991" w:type="dxa"/>
            <w:shd w:val="clear" w:color="auto" w:fill="BFBFBF" w:themeFill="background1" w:themeFillShade="BF"/>
          </w:tcPr>
          <w:p w14:paraId="25D504D3" w14:textId="77777777" w:rsidR="00C3312E" w:rsidRPr="00C3312E" w:rsidRDefault="00C3312E" w:rsidP="00C3312E">
            <w:pPr>
              <w:spacing w:after="0" w:line="240" w:lineRule="auto"/>
              <w:jc w:val="center"/>
              <w:rPr>
                <w:sz w:val="20"/>
                <w:szCs w:val="20"/>
              </w:rPr>
            </w:pPr>
            <w:r w:rsidRPr="00C3312E">
              <w:rPr>
                <w:sz w:val="20"/>
                <w:szCs w:val="20"/>
              </w:rPr>
              <w:t>5.2</w:t>
            </w:r>
          </w:p>
        </w:tc>
        <w:tc>
          <w:tcPr>
            <w:tcW w:w="991" w:type="dxa"/>
            <w:shd w:val="clear" w:color="auto" w:fill="BFBFBF" w:themeFill="background1" w:themeFillShade="BF"/>
          </w:tcPr>
          <w:p w14:paraId="7826D928" w14:textId="77777777" w:rsidR="00C3312E" w:rsidRPr="00C3312E" w:rsidRDefault="00C3312E" w:rsidP="00C3312E">
            <w:pPr>
              <w:spacing w:after="0" w:line="240" w:lineRule="auto"/>
              <w:jc w:val="center"/>
              <w:rPr>
                <w:sz w:val="20"/>
                <w:szCs w:val="20"/>
              </w:rPr>
            </w:pPr>
            <w:r w:rsidRPr="00C3312E">
              <w:rPr>
                <w:sz w:val="20"/>
                <w:szCs w:val="20"/>
              </w:rPr>
              <w:t>6.5</w:t>
            </w:r>
          </w:p>
        </w:tc>
        <w:tc>
          <w:tcPr>
            <w:tcW w:w="1194" w:type="dxa"/>
            <w:shd w:val="clear" w:color="auto" w:fill="BFBFBF" w:themeFill="background1" w:themeFillShade="BF"/>
          </w:tcPr>
          <w:p w14:paraId="0565D0D1" w14:textId="77777777" w:rsidR="00C3312E" w:rsidRPr="00C3312E" w:rsidRDefault="00C3312E" w:rsidP="00C3312E">
            <w:pPr>
              <w:spacing w:after="0" w:line="240" w:lineRule="auto"/>
              <w:jc w:val="center"/>
              <w:rPr>
                <w:sz w:val="20"/>
                <w:szCs w:val="20"/>
              </w:rPr>
            </w:pPr>
            <w:r w:rsidRPr="00C3312E">
              <w:rPr>
                <w:sz w:val="20"/>
                <w:szCs w:val="20"/>
              </w:rPr>
              <w:t>2.1</w:t>
            </w:r>
          </w:p>
        </w:tc>
        <w:tc>
          <w:tcPr>
            <w:tcW w:w="1121" w:type="dxa"/>
            <w:shd w:val="clear" w:color="auto" w:fill="BFBFBF" w:themeFill="background1" w:themeFillShade="BF"/>
          </w:tcPr>
          <w:p w14:paraId="2E088A04" w14:textId="77777777" w:rsidR="00C3312E" w:rsidRPr="00C3312E" w:rsidRDefault="00C3312E" w:rsidP="00C3312E">
            <w:pPr>
              <w:spacing w:after="0" w:line="240" w:lineRule="auto"/>
              <w:jc w:val="center"/>
              <w:rPr>
                <w:sz w:val="20"/>
                <w:szCs w:val="20"/>
              </w:rPr>
            </w:pPr>
            <w:r w:rsidRPr="00C3312E">
              <w:rPr>
                <w:sz w:val="20"/>
                <w:szCs w:val="20"/>
              </w:rPr>
              <w:t>4.6</w:t>
            </w:r>
          </w:p>
        </w:tc>
      </w:tr>
      <w:tr w:rsidR="00C3312E" w:rsidRPr="00C3312E" w14:paraId="415DB2DB" w14:textId="77777777" w:rsidTr="00A66217">
        <w:tc>
          <w:tcPr>
            <w:tcW w:w="3076" w:type="dxa"/>
            <w:shd w:val="clear" w:color="auto" w:fill="auto"/>
          </w:tcPr>
          <w:p w14:paraId="51E9065D" w14:textId="77777777" w:rsidR="00C3312E" w:rsidRPr="00C3312E" w:rsidRDefault="00C3312E" w:rsidP="00C3312E">
            <w:pPr>
              <w:spacing w:after="0" w:line="240" w:lineRule="auto"/>
              <w:rPr>
                <w:sz w:val="20"/>
                <w:szCs w:val="20"/>
              </w:rPr>
            </w:pPr>
            <w:proofErr w:type="gramStart"/>
            <w:r w:rsidRPr="00C3312E">
              <w:rPr>
                <w:sz w:val="20"/>
                <w:szCs w:val="20"/>
              </w:rPr>
              <w:t>Economically disadvantaged</w:t>
            </w:r>
            <w:proofErr w:type="gramEnd"/>
            <w:r w:rsidRPr="00C3312E">
              <w:rPr>
                <w:sz w:val="20"/>
                <w:szCs w:val="20"/>
              </w:rPr>
              <w:t>*</w:t>
            </w:r>
          </w:p>
        </w:tc>
        <w:tc>
          <w:tcPr>
            <w:tcW w:w="996" w:type="dxa"/>
            <w:shd w:val="clear" w:color="auto" w:fill="auto"/>
          </w:tcPr>
          <w:p w14:paraId="73A5FFCA" w14:textId="77777777" w:rsidR="00C3312E" w:rsidRPr="00C3312E" w:rsidRDefault="00C3312E" w:rsidP="00C3312E">
            <w:pPr>
              <w:spacing w:after="0" w:line="240" w:lineRule="auto"/>
              <w:jc w:val="center"/>
              <w:rPr>
                <w:sz w:val="20"/>
                <w:szCs w:val="20"/>
              </w:rPr>
            </w:pPr>
            <w:r w:rsidRPr="00C3312E">
              <w:rPr>
                <w:sz w:val="20"/>
                <w:szCs w:val="20"/>
              </w:rPr>
              <w:t>4.5</w:t>
            </w:r>
          </w:p>
        </w:tc>
        <w:tc>
          <w:tcPr>
            <w:tcW w:w="991" w:type="dxa"/>
            <w:shd w:val="clear" w:color="auto" w:fill="auto"/>
          </w:tcPr>
          <w:p w14:paraId="4252D8B3" w14:textId="77777777" w:rsidR="00C3312E" w:rsidRPr="00C3312E" w:rsidRDefault="00C3312E" w:rsidP="00C3312E">
            <w:pPr>
              <w:spacing w:after="0" w:line="240" w:lineRule="auto"/>
              <w:jc w:val="center"/>
              <w:rPr>
                <w:sz w:val="20"/>
                <w:szCs w:val="20"/>
              </w:rPr>
            </w:pPr>
            <w:r w:rsidRPr="00C3312E">
              <w:rPr>
                <w:sz w:val="20"/>
                <w:szCs w:val="20"/>
              </w:rPr>
              <w:t>4.7</w:t>
            </w:r>
          </w:p>
        </w:tc>
        <w:tc>
          <w:tcPr>
            <w:tcW w:w="991" w:type="dxa"/>
            <w:shd w:val="clear" w:color="auto" w:fill="auto"/>
          </w:tcPr>
          <w:p w14:paraId="7F502FA7" w14:textId="77777777" w:rsidR="00C3312E" w:rsidRPr="00C3312E" w:rsidRDefault="00C3312E" w:rsidP="00C3312E">
            <w:pPr>
              <w:spacing w:after="0" w:line="240" w:lineRule="auto"/>
              <w:jc w:val="center"/>
              <w:rPr>
                <w:sz w:val="20"/>
                <w:szCs w:val="20"/>
              </w:rPr>
            </w:pPr>
            <w:r w:rsidRPr="00C3312E">
              <w:rPr>
                <w:sz w:val="20"/>
                <w:szCs w:val="20"/>
              </w:rPr>
              <w:t>5.7</w:t>
            </w:r>
          </w:p>
        </w:tc>
        <w:tc>
          <w:tcPr>
            <w:tcW w:w="991" w:type="dxa"/>
            <w:shd w:val="clear" w:color="auto" w:fill="auto"/>
          </w:tcPr>
          <w:p w14:paraId="424117B3" w14:textId="77777777" w:rsidR="00C3312E" w:rsidRPr="00C3312E" w:rsidRDefault="00C3312E" w:rsidP="00C3312E">
            <w:pPr>
              <w:spacing w:after="0" w:line="240" w:lineRule="auto"/>
              <w:jc w:val="center"/>
              <w:rPr>
                <w:sz w:val="20"/>
                <w:szCs w:val="20"/>
              </w:rPr>
            </w:pPr>
            <w:r w:rsidRPr="00C3312E">
              <w:rPr>
                <w:sz w:val="20"/>
                <w:szCs w:val="20"/>
              </w:rPr>
              <w:t>7.4</w:t>
            </w:r>
          </w:p>
        </w:tc>
        <w:tc>
          <w:tcPr>
            <w:tcW w:w="1194" w:type="dxa"/>
            <w:shd w:val="clear" w:color="auto" w:fill="auto"/>
          </w:tcPr>
          <w:p w14:paraId="5636F595" w14:textId="77777777" w:rsidR="00C3312E" w:rsidRPr="00C3312E" w:rsidRDefault="00C3312E" w:rsidP="00C3312E">
            <w:pPr>
              <w:spacing w:after="0" w:line="240" w:lineRule="auto"/>
              <w:jc w:val="center"/>
              <w:rPr>
                <w:sz w:val="20"/>
                <w:szCs w:val="20"/>
              </w:rPr>
            </w:pPr>
            <w:r w:rsidRPr="00C3312E">
              <w:rPr>
                <w:sz w:val="20"/>
                <w:szCs w:val="20"/>
              </w:rPr>
              <w:t>2.9</w:t>
            </w:r>
          </w:p>
        </w:tc>
        <w:tc>
          <w:tcPr>
            <w:tcW w:w="1121" w:type="dxa"/>
            <w:shd w:val="clear" w:color="auto" w:fill="auto"/>
          </w:tcPr>
          <w:p w14:paraId="157840E1" w14:textId="77777777" w:rsidR="00C3312E" w:rsidRPr="00C3312E" w:rsidRDefault="00C3312E" w:rsidP="00C3312E">
            <w:pPr>
              <w:spacing w:after="0" w:line="240" w:lineRule="auto"/>
              <w:jc w:val="center"/>
              <w:rPr>
                <w:sz w:val="20"/>
                <w:szCs w:val="20"/>
              </w:rPr>
            </w:pPr>
            <w:r w:rsidRPr="00C3312E">
              <w:rPr>
                <w:sz w:val="20"/>
                <w:szCs w:val="20"/>
              </w:rPr>
              <w:t>5.4</w:t>
            </w:r>
          </w:p>
        </w:tc>
      </w:tr>
      <w:tr w:rsidR="00C3312E" w:rsidRPr="00C3312E" w14:paraId="46610052" w14:textId="77777777" w:rsidTr="00A66217">
        <w:tc>
          <w:tcPr>
            <w:tcW w:w="3076" w:type="dxa"/>
            <w:shd w:val="clear" w:color="auto" w:fill="auto"/>
          </w:tcPr>
          <w:p w14:paraId="03B9CED8" w14:textId="77777777" w:rsidR="00C3312E" w:rsidRPr="00C3312E" w:rsidRDefault="00C3312E" w:rsidP="00C3312E">
            <w:pPr>
              <w:spacing w:after="0" w:line="240" w:lineRule="auto"/>
              <w:rPr>
                <w:sz w:val="20"/>
                <w:szCs w:val="20"/>
              </w:rPr>
            </w:pPr>
            <w:r w:rsidRPr="00C3312E">
              <w:rPr>
                <w:sz w:val="20"/>
                <w:szCs w:val="20"/>
              </w:rPr>
              <w:t>SWD</w:t>
            </w:r>
          </w:p>
        </w:tc>
        <w:tc>
          <w:tcPr>
            <w:tcW w:w="996" w:type="dxa"/>
            <w:shd w:val="clear" w:color="auto" w:fill="auto"/>
          </w:tcPr>
          <w:p w14:paraId="0A40E3C1" w14:textId="77777777" w:rsidR="00C3312E" w:rsidRPr="00C3312E" w:rsidRDefault="00C3312E" w:rsidP="00C3312E">
            <w:pPr>
              <w:spacing w:after="0" w:line="240" w:lineRule="auto"/>
              <w:jc w:val="center"/>
              <w:rPr>
                <w:sz w:val="20"/>
                <w:szCs w:val="20"/>
              </w:rPr>
            </w:pPr>
            <w:r w:rsidRPr="00C3312E">
              <w:rPr>
                <w:sz w:val="20"/>
                <w:szCs w:val="20"/>
              </w:rPr>
              <w:t>7.1</w:t>
            </w:r>
          </w:p>
        </w:tc>
        <w:tc>
          <w:tcPr>
            <w:tcW w:w="991" w:type="dxa"/>
            <w:shd w:val="clear" w:color="auto" w:fill="auto"/>
          </w:tcPr>
          <w:p w14:paraId="766E07D3" w14:textId="77777777" w:rsidR="00C3312E" w:rsidRPr="00C3312E" w:rsidRDefault="00C3312E" w:rsidP="00C3312E">
            <w:pPr>
              <w:spacing w:after="0" w:line="240" w:lineRule="auto"/>
              <w:jc w:val="center"/>
              <w:rPr>
                <w:sz w:val="20"/>
                <w:szCs w:val="20"/>
              </w:rPr>
            </w:pPr>
            <w:r w:rsidRPr="00C3312E">
              <w:rPr>
                <w:sz w:val="20"/>
                <w:szCs w:val="20"/>
              </w:rPr>
              <w:t>7.2</w:t>
            </w:r>
          </w:p>
        </w:tc>
        <w:tc>
          <w:tcPr>
            <w:tcW w:w="991" w:type="dxa"/>
            <w:shd w:val="clear" w:color="auto" w:fill="auto"/>
          </w:tcPr>
          <w:p w14:paraId="762F2A00" w14:textId="77777777" w:rsidR="00C3312E" w:rsidRPr="00C3312E" w:rsidRDefault="00C3312E" w:rsidP="00C3312E">
            <w:pPr>
              <w:spacing w:after="0" w:line="240" w:lineRule="auto"/>
              <w:jc w:val="center"/>
              <w:rPr>
                <w:sz w:val="20"/>
                <w:szCs w:val="20"/>
              </w:rPr>
            </w:pPr>
            <w:r w:rsidRPr="00C3312E">
              <w:rPr>
                <w:sz w:val="20"/>
                <w:szCs w:val="20"/>
              </w:rPr>
              <w:t>8.0</w:t>
            </w:r>
          </w:p>
        </w:tc>
        <w:tc>
          <w:tcPr>
            <w:tcW w:w="991" w:type="dxa"/>
            <w:shd w:val="clear" w:color="auto" w:fill="auto"/>
          </w:tcPr>
          <w:p w14:paraId="0A6B480D" w14:textId="77777777" w:rsidR="00C3312E" w:rsidRPr="00C3312E" w:rsidRDefault="00C3312E" w:rsidP="00C3312E">
            <w:pPr>
              <w:spacing w:after="0" w:line="240" w:lineRule="auto"/>
              <w:jc w:val="center"/>
              <w:rPr>
                <w:sz w:val="20"/>
                <w:szCs w:val="20"/>
              </w:rPr>
            </w:pPr>
            <w:r w:rsidRPr="00C3312E">
              <w:rPr>
                <w:sz w:val="20"/>
                <w:szCs w:val="20"/>
              </w:rPr>
              <w:t>9.8</w:t>
            </w:r>
          </w:p>
        </w:tc>
        <w:tc>
          <w:tcPr>
            <w:tcW w:w="1194" w:type="dxa"/>
            <w:shd w:val="clear" w:color="auto" w:fill="auto"/>
          </w:tcPr>
          <w:p w14:paraId="50B7CC8D" w14:textId="77777777" w:rsidR="00C3312E" w:rsidRPr="00C3312E" w:rsidRDefault="00C3312E" w:rsidP="00C3312E">
            <w:pPr>
              <w:spacing w:after="0" w:line="240" w:lineRule="auto"/>
              <w:jc w:val="center"/>
              <w:rPr>
                <w:sz w:val="20"/>
                <w:szCs w:val="20"/>
              </w:rPr>
            </w:pPr>
            <w:r w:rsidRPr="00C3312E">
              <w:rPr>
                <w:sz w:val="20"/>
                <w:szCs w:val="20"/>
              </w:rPr>
              <w:t>2.7</w:t>
            </w:r>
          </w:p>
        </w:tc>
        <w:tc>
          <w:tcPr>
            <w:tcW w:w="1121" w:type="dxa"/>
            <w:shd w:val="clear" w:color="auto" w:fill="auto"/>
          </w:tcPr>
          <w:p w14:paraId="362F0F0C" w14:textId="77777777" w:rsidR="00C3312E" w:rsidRPr="00C3312E" w:rsidRDefault="00C3312E" w:rsidP="00C3312E">
            <w:pPr>
              <w:spacing w:after="0" w:line="240" w:lineRule="auto"/>
              <w:jc w:val="center"/>
              <w:rPr>
                <w:sz w:val="20"/>
                <w:szCs w:val="20"/>
              </w:rPr>
            </w:pPr>
            <w:r w:rsidRPr="00C3312E">
              <w:rPr>
                <w:sz w:val="20"/>
                <w:szCs w:val="20"/>
              </w:rPr>
              <w:t>5.8</w:t>
            </w:r>
          </w:p>
        </w:tc>
      </w:tr>
      <w:tr w:rsidR="00460897" w:rsidRPr="00C3312E" w14:paraId="5096D5D1" w14:textId="77777777" w:rsidTr="00A66217">
        <w:tc>
          <w:tcPr>
            <w:tcW w:w="3076" w:type="dxa"/>
            <w:shd w:val="clear" w:color="auto" w:fill="auto"/>
          </w:tcPr>
          <w:p w14:paraId="57F5AE6E" w14:textId="68D3B0D9" w:rsidR="00460897" w:rsidRPr="00C3312E" w:rsidRDefault="00460897" w:rsidP="00460897">
            <w:pPr>
              <w:spacing w:after="0" w:line="240" w:lineRule="auto"/>
              <w:rPr>
                <w:sz w:val="20"/>
                <w:szCs w:val="20"/>
              </w:rPr>
            </w:pPr>
            <w:r w:rsidRPr="00C3312E">
              <w:rPr>
                <w:sz w:val="20"/>
                <w:szCs w:val="20"/>
              </w:rPr>
              <w:t>EL</w:t>
            </w:r>
          </w:p>
        </w:tc>
        <w:tc>
          <w:tcPr>
            <w:tcW w:w="996" w:type="dxa"/>
            <w:shd w:val="clear" w:color="auto" w:fill="auto"/>
          </w:tcPr>
          <w:p w14:paraId="073196BE" w14:textId="1885F1FC" w:rsidR="00460897" w:rsidRPr="00C3312E" w:rsidRDefault="00460897" w:rsidP="00460897">
            <w:pPr>
              <w:spacing w:after="0" w:line="240" w:lineRule="auto"/>
              <w:jc w:val="center"/>
              <w:rPr>
                <w:sz w:val="20"/>
                <w:szCs w:val="20"/>
              </w:rPr>
            </w:pPr>
            <w:r w:rsidRPr="00C3312E">
              <w:rPr>
                <w:sz w:val="20"/>
                <w:szCs w:val="20"/>
              </w:rPr>
              <w:t>2.5</w:t>
            </w:r>
          </w:p>
        </w:tc>
        <w:tc>
          <w:tcPr>
            <w:tcW w:w="991" w:type="dxa"/>
            <w:shd w:val="clear" w:color="auto" w:fill="auto"/>
          </w:tcPr>
          <w:p w14:paraId="1470B644" w14:textId="65A117CD" w:rsidR="00460897" w:rsidRPr="00C3312E" w:rsidRDefault="00460897" w:rsidP="00460897">
            <w:pPr>
              <w:spacing w:after="0" w:line="240" w:lineRule="auto"/>
              <w:jc w:val="center"/>
              <w:rPr>
                <w:sz w:val="20"/>
                <w:szCs w:val="20"/>
              </w:rPr>
            </w:pPr>
            <w:r w:rsidRPr="00C3312E">
              <w:rPr>
                <w:sz w:val="20"/>
                <w:szCs w:val="20"/>
              </w:rPr>
              <w:t>3.0</w:t>
            </w:r>
          </w:p>
        </w:tc>
        <w:tc>
          <w:tcPr>
            <w:tcW w:w="991" w:type="dxa"/>
            <w:shd w:val="clear" w:color="auto" w:fill="auto"/>
          </w:tcPr>
          <w:p w14:paraId="430D0DDE" w14:textId="701B09B5" w:rsidR="00460897" w:rsidRPr="00C3312E" w:rsidRDefault="00460897" w:rsidP="00460897">
            <w:pPr>
              <w:spacing w:after="0" w:line="240" w:lineRule="auto"/>
              <w:jc w:val="center"/>
              <w:rPr>
                <w:sz w:val="20"/>
                <w:szCs w:val="20"/>
              </w:rPr>
            </w:pPr>
            <w:r w:rsidRPr="00C3312E">
              <w:rPr>
                <w:sz w:val="20"/>
                <w:szCs w:val="20"/>
              </w:rPr>
              <w:t>4.4</w:t>
            </w:r>
          </w:p>
        </w:tc>
        <w:tc>
          <w:tcPr>
            <w:tcW w:w="991" w:type="dxa"/>
            <w:shd w:val="clear" w:color="auto" w:fill="auto"/>
          </w:tcPr>
          <w:p w14:paraId="66D9DC35" w14:textId="585056B8" w:rsidR="00460897" w:rsidRPr="00C3312E" w:rsidRDefault="00460897" w:rsidP="00460897">
            <w:pPr>
              <w:spacing w:after="0" w:line="240" w:lineRule="auto"/>
              <w:jc w:val="center"/>
              <w:rPr>
                <w:sz w:val="20"/>
                <w:szCs w:val="20"/>
              </w:rPr>
            </w:pPr>
            <w:r w:rsidRPr="00C3312E">
              <w:rPr>
                <w:sz w:val="20"/>
                <w:szCs w:val="20"/>
              </w:rPr>
              <w:t>5.4</w:t>
            </w:r>
          </w:p>
        </w:tc>
        <w:tc>
          <w:tcPr>
            <w:tcW w:w="1194" w:type="dxa"/>
            <w:shd w:val="clear" w:color="auto" w:fill="auto"/>
          </w:tcPr>
          <w:p w14:paraId="4EE1BFEF" w14:textId="1D1BB553" w:rsidR="00460897" w:rsidRPr="00C3312E" w:rsidRDefault="00460897" w:rsidP="00460897">
            <w:pPr>
              <w:spacing w:after="0" w:line="240" w:lineRule="auto"/>
              <w:jc w:val="center"/>
              <w:rPr>
                <w:sz w:val="20"/>
                <w:szCs w:val="20"/>
              </w:rPr>
            </w:pPr>
            <w:r w:rsidRPr="00C3312E">
              <w:rPr>
                <w:sz w:val="20"/>
                <w:szCs w:val="20"/>
              </w:rPr>
              <w:t>2.9</w:t>
            </w:r>
          </w:p>
        </w:tc>
        <w:tc>
          <w:tcPr>
            <w:tcW w:w="1121" w:type="dxa"/>
            <w:shd w:val="clear" w:color="auto" w:fill="auto"/>
          </w:tcPr>
          <w:p w14:paraId="458D1621" w14:textId="4B07FAE2" w:rsidR="00460897" w:rsidRPr="00C3312E" w:rsidRDefault="00460897" w:rsidP="00460897">
            <w:pPr>
              <w:spacing w:after="0" w:line="240" w:lineRule="auto"/>
              <w:jc w:val="center"/>
              <w:rPr>
                <w:sz w:val="20"/>
                <w:szCs w:val="20"/>
              </w:rPr>
            </w:pPr>
            <w:r w:rsidRPr="00C3312E">
              <w:rPr>
                <w:sz w:val="20"/>
                <w:szCs w:val="20"/>
              </w:rPr>
              <w:t>3.7</w:t>
            </w:r>
          </w:p>
        </w:tc>
      </w:tr>
      <w:tr w:rsidR="00C3312E" w:rsidRPr="00C3312E" w14:paraId="78EC07D0" w14:textId="77777777" w:rsidTr="00A66217">
        <w:tc>
          <w:tcPr>
            <w:tcW w:w="3076" w:type="dxa"/>
            <w:shd w:val="clear" w:color="auto" w:fill="BFBFBF" w:themeFill="background1" w:themeFillShade="BF"/>
          </w:tcPr>
          <w:p w14:paraId="12563623" w14:textId="77777777" w:rsidR="00C3312E" w:rsidRPr="00C3312E" w:rsidRDefault="00C3312E" w:rsidP="00C3312E">
            <w:pPr>
              <w:spacing w:after="0" w:line="240" w:lineRule="auto"/>
              <w:rPr>
                <w:sz w:val="20"/>
                <w:szCs w:val="20"/>
              </w:rPr>
            </w:pPr>
            <w:r w:rsidRPr="00C3312E">
              <w:rPr>
                <w:sz w:val="20"/>
                <w:szCs w:val="20"/>
              </w:rPr>
              <w:t>All</w:t>
            </w:r>
          </w:p>
        </w:tc>
        <w:tc>
          <w:tcPr>
            <w:tcW w:w="996" w:type="dxa"/>
            <w:shd w:val="clear" w:color="auto" w:fill="BFBFBF" w:themeFill="background1" w:themeFillShade="BF"/>
          </w:tcPr>
          <w:p w14:paraId="1067A938" w14:textId="77777777" w:rsidR="00C3312E" w:rsidRPr="00C3312E" w:rsidRDefault="00C3312E" w:rsidP="00C3312E">
            <w:pPr>
              <w:spacing w:after="0" w:line="240" w:lineRule="auto"/>
              <w:jc w:val="center"/>
              <w:rPr>
                <w:sz w:val="20"/>
                <w:szCs w:val="20"/>
              </w:rPr>
            </w:pPr>
            <w:r w:rsidRPr="00C3312E">
              <w:rPr>
                <w:sz w:val="20"/>
                <w:szCs w:val="20"/>
              </w:rPr>
              <w:t>3.0</w:t>
            </w:r>
          </w:p>
        </w:tc>
        <w:tc>
          <w:tcPr>
            <w:tcW w:w="991" w:type="dxa"/>
            <w:shd w:val="clear" w:color="auto" w:fill="BFBFBF" w:themeFill="background1" w:themeFillShade="BF"/>
          </w:tcPr>
          <w:p w14:paraId="73D38E46" w14:textId="77777777" w:rsidR="00C3312E" w:rsidRPr="00C3312E" w:rsidRDefault="00C3312E" w:rsidP="00C3312E">
            <w:pPr>
              <w:spacing w:after="0" w:line="240" w:lineRule="auto"/>
              <w:jc w:val="center"/>
              <w:rPr>
                <w:sz w:val="20"/>
                <w:szCs w:val="20"/>
              </w:rPr>
            </w:pPr>
            <w:r w:rsidRPr="00C3312E">
              <w:rPr>
                <w:sz w:val="20"/>
                <w:szCs w:val="20"/>
              </w:rPr>
              <w:t>3.2</w:t>
            </w:r>
          </w:p>
        </w:tc>
        <w:tc>
          <w:tcPr>
            <w:tcW w:w="991" w:type="dxa"/>
            <w:shd w:val="clear" w:color="auto" w:fill="BFBFBF" w:themeFill="background1" w:themeFillShade="BF"/>
          </w:tcPr>
          <w:p w14:paraId="160617D5" w14:textId="77777777" w:rsidR="00C3312E" w:rsidRPr="00C3312E" w:rsidRDefault="00C3312E" w:rsidP="00C3312E">
            <w:pPr>
              <w:spacing w:after="0" w:line="240" w:lineRule="auto"/>
              <w:jc w:val="center"/>
              <w:rPr>
                <w:sz w:val="20"/>
                <w:szCs w:val="20"/>
              </w:rPr>
            </w:pPr>
            <w:r w:rsidRPr="00C3312E">
              <w:rPr>
                <w:sz w:val="20"/>
                <w:szCs w:val="20"/>
              </w:rPr>
              <w:t>3.5</w:t>
            </w:r>
          </w:p>
        </w:tc>
        <w:tc>
          <w:tcPr>
            <w:tcW w:w="991" w:type="dxa"/>
            <w:shd w:val="clear" w:color="auto" w:fill="BFBFBF" w:themeFill="background1" w:themeFillShade="BF"/>
          </w:tcPr>
          <w:p w14:paraId="02CCF85C" w14:textId="77777777" w:rsidR="00C3312E" w:rsidRPr="00C3312E" w:rsidRDefault="00C3312E" w:rsidP="00C3312E">
            <w:pPr>
              <w:spacing w:after="0" w:line="240" w:lineRule="auto"/>
              <w:jc w:val="center"/>
              <w:rPr>
                <w:sz w:val="20"/>
                <w:szCs w:val="20"/>
              </w:rPr>
            </w:pPr>
            <w:r w:rsidRPr="00C3312E">
              <w:rPr>
                <w:sz w:val="20"/>
                <w:szCs w:val="20"/>
              </w:rPr>
              <w:t>4.5</w:t>
            </w:r>
          </w:p>
        </w:tc>
        <w:tc>
          <w:tcPr>
            <w:tcW w:w="1194" w:type="dxa"/>
            <w:shd w:val="clear" w:color="auto" w:fill="BFBFBF" w:themeFill="background1" w:themeFillShade="BF"/>
          </w:tcPr>
          <w:p w14:paraId="0C609AD2" w14:textId="77777777" w:rsidR="00C3312E" w:rsidRPr="00C3312E" w:rsidRDefault="00C3312E" w:rsidP="00C3312E">
            <w:pPr>
              <w:spacing w:after="0" w:line="240" w:lineRule="auto"/>
              <w:jc w:val="center"/>
              <w:rPr>
                <w:sz w:val="20"/>
                <w:szCs w:val="20"/>
              </w:rPr>
            </w:pPr>
            <w:r w:rsidRPr="00C3312E">
              <w:rPr>
                <w:sz w:val="20"/>
                <w:szCs w:val="20"/>
              </w:rPr>
              <w:t>1.5</w:t>
            </w:r>
          </w:p>
        </w:tc>
        <w:tc>
          <w:tcPr>
            <w:tcW w:w="1121" w:type="dxa"/>
            <w:shd w:val="clear" w:color="auto" w:fill="BFBFBF" w:themeFill="background1" w:themeFillShade="BF"/>
          </w:tcPr>
          <w:p w14:paraId="71202302" w14:textId="77777777" w:rsidR="00C3312E" w:rsidRPr="00C3312E" w:rsidRDefault="00C3312E" w:rsidP="00C3312E">
            <w:pPr>
              <w:spacing w:after="0" w:line="240" w:lineRule="auto"/>
              <w:jc w:val="center"/>
              <w:rPr>
                <w:sz w:val="20"/>
                <w:szCs w:val="20"/>
              </w:rPr>
            </w:pPr>
            <w:r w:rsidRPr="00C3312E">
              <w:rPr>
                <w:sz w:val="20"/>
                <w:szCs w:val="20"/>
              </w:rPr>
              <w:t>2.9</w:t>
            </w:r>
          </w:p>
        </w:tc>
      </w:tr>
    </w:tbl>
    <w:p w14:paraId="11F4B079" w14:textId="54610CEC" w:rsidR="00C3312E" w:rsidRDefault="00C3312E" w:rsidP="00C3312E">
      <w:pPr>
        <w:spacing w:after="0" w:line="240" w:lineRule="auto"/>
      </w:pPr>
    </w:p>
    <w:p w14:paraId="2A399320" w14:textId="77777777" w:rsidR="0089512A" w:rsidRPr="00C3312E" w:rsidRDefault="0089512A" w:rsidP="00C3312E">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Framingham Public Schools"/>
        <w:tblDescription w:val="Dropout Rates by Student Group, 2015–2018&#10;"/>
      </w:tblPr>
      <w:tblGrid>
        <w:gridCol w:w="3042"/>
        <w:gridCol w:w="996"/>
        <w:gridCol w:w="996"/>
        <w:gridCol w:w="996"/>
        <w:gridCol w:w="996"/>
        <w:gridCol w:w="1152"/>
        <w:gridCol w:w="1164"/>
      </w:tblGrid>
      <w:tr w:rsidR="00C3312E" w:rsidRPr="00C3312E" w14:paraId="0B860671" w14:textId="77777777" w:rsidTr="00A66217">
        <w:tc>
          <w:tcPr>
            <w:tcW w:w="9342" w:type="dxa"/>
            <w:gridSpan w:val="7"/>
          </w:tcPr>
          <w:p w14:paraId="7322D9CF"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 xml:space="preserve">Table 26: </w:t>
            </w:r>
            <w:r w:rsidRPr="00C3312E">
              <w:rPr>
                <w:rFonts w:cs="Times New Roman"/>
                <w:b/>
                <w:sz w:val="20"/>
                <w:szCs w:val="20"/>
              </w:rPr>
              <w:t>Framingham Public Schools</w:t>
            </w:r>
          </w:p>
          <w:p w14:paraId="1B0AE1D2" w14:textId="07C60E60" w:rsidR="00C3312E" w:rsidRPr="00C3312E" w:rsidRDefault="00C3312E" w:rsidP="00F525F9">
            <w:pPr>
              <w:spacing w:after="0" w:line="240" w:lineRule="auto"/>
              <w:jc w:val="center"/>
              <w:rPr>
                <w:rFonts w:eastAsia="Times New Roman" w:cs="Times New Roman"/>
                <w:b/>
                <w:sz w:val="20"/>
                <w:szCs w:val="20"/>
              </w:rPr>
            </w:pPr>
            <w:r w:rsidRPr="00C3312E">
              <w:rPr>
                <w:rFonts w:eastAsia="Times New Roman" w:cs="Times New Roman"/>
                <w:b/>
                <w:sz w:val="20"/>
                <w:szCs w:val="20"/>
              </w:rPr>
              <w:t xml:space="preserve">Dropout Rates by </w:t>
            </w:r>
            <w:r w:rsidR="00460897" w:rsidRPr="00C3312E">
              <w:rPr>
                <w:rFonts w:eastAsia="Times New Roman" w:cs="Times New Roman"/>
                <w:b/>
                <w:sz w:val="20"/>
                <w:szCs w:val="20"/>
              </w:rPr>
              <w:t>S</w:t>
            </w:r>
            <w:r w:rsidR="00460897">
              <w:rPr>
                <w:rFonts w:eastAsia="Times New Roman" w:cs="Times New Roman"/>
                <w:b/>
                <w:sz w:val="20"/>
                <w:szCs w:val="20"/>
              </w:rPr>
              <w:t>tudent G</w:t>
            </w:r>
            <w:r w:rsidR="00460897" w:rsidRPr="00C3312E">
              <w:rPr>
                <w:rFonts w:eastAsia="Times New Roman" w:cs="Times New Roman"/>
                <w:b/>
                <w:sz w:val="20"/>
                <w:szCs w:val="20"/>
              </w:rPr>
              <w:t>roup</w:t>
            </w:r>
            <w:r w:rsidRPr="00C3312E">
              <w:rPr>
                <w:rFonts w:eastAsia="Times New Roman" w:cs="Times New Roman"/>
                <w:b/>
                <w:sz w:val="20"/>
                <w:szCs w:val="20"/>
              </w:rPr>
              <w:t>, 2015–2018</w:t>
            </w:r>
          </w:p>
        </w:tc>
      </w:tr>
      <w:tr w:rsidR="00C3312E" w:rsidRPr="00C3312E" w14:paraId="017EFFA2" w14:textId="77777777" w:rsidTr="00A66217">
        <w:tc>
          <w:tcPr>
            <w:tcW w:w="3042" w:type="dxa"/>
            <w:tcBorders>
              <w:top w:val="single" w:sz="4" w:space="0" w:color="auto"/>
              <w:left w:val="single" w:sz="4" w:space="0" w:color="auto"/>
            </w:tcBorders>
            <w:shd w:val="clear" w:color="auto" w:fill="BFBFBF" w:themeFill="background1" w:themeFillShade="BF"/>
            <w:vAlign w:val="center"/>
          </w:tcPr>
          <w:p w14:paraId="2FB1C5AA" w14:textId="77777777" w:rsidR="00C3312E" w:rsidRPr="00C3312E" w:rsidRDefault="00C3312E" w:rsidP="00A66217">
            <w:pPr>
              <w:spacing w:after="0" w:line="240" w:lineRule="auto"/>
              <w:rPr>
                <w:rFonts w:eastAsia="Times New Roman" w:cs="Times New Roman"/>
                <w:b/>
                <w:sz w:val="20"/>
                <w:szCs w:val="20"/>
              </w:rPr>
            </w:pPr>
            <w:r w:rsidRPr="00C3312E">
              <w:rPr>
                <w:rFonts w:eastAsia="Times New Roman" w:cs="Times New Roman"/>
                <w:b/>
                <w:sz w:val="20"/>
                <w:szCs w:val="20"/>
              </w:rPr>
              <w:t>Group</w:t>
            </w:r>
          </w:p>
        </w:tc>
        <w:tc>
          <w:tcPr>
            <w:tcW w:w="996" w:type="dxa"/>
            <w:shd w:val="clear" w:color="auto" w:fill="BFBFBF" w:themeFill="background1" w:themeFillShade="BF"/>
            <w:vAlign w:val="center"/>
          </w:tcPr>
          <w:p w14:paraId="51F8CF77"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2015</w:t>
            </w:r>
          </w:p>
        </w:tc>
        <w:tc>
          <w:tcPr>
            <w:tcW w:w="996" w:type="dxa"/>
            <w:shd w:val="clear" w:color="auto" w:fill="BFBFBF" w:themeFill="background1" w:themeFillShade="BF"/>
            <w:vAlign w:val="center"/>
          </w:tcPr>
          <w:p w14:paraId="513BF7B9"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2016</w:t>
            </w:r>
          </w:p>
        </w:tc>
        <w:tc>
          <w:tcPr>
            <w:tcW w:w="996" w:type="dxa"/>
            <w:shd w:val="clear" w:color="auto" w:fill="BFBFBF" w:themeFill="background1" w:themeFillShade="BF"/>
            <w:vAlign w:val="center"/>
          </w:tcPr>
          <w:p w14:paraId="049B58D7"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2017</w:t>
            </w:r>
          </w:p>
        </w:tc>
        <w:tc>
          <w:tcPr>
            <w:tcW w:w="996" w:type="dxa"/>
            <w:shd w:val="clear" w:color="auto" w:fill="BFBFBF" w:themeFill="background1" w:themeFillShade="BF"/>
            <w:vAlign w:val="center"/>
          </w:tcPr>
          <w:p w14:paraId="56ABE168"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2018</w:t>
            </w:r>
          </w:p>
        </w:tc>
        <w:tc>
          <w:tcPr>
            <w:tcW w:w="1152" w:type="dxa"/>
            <w:shd w:val="clear" w:color="auto" w:fill="BFBFBF" w:themeFill="background1" w:themeFillShade="BF"/>
            <w:vAlign w:val="center"/>
          </w:tcPr>
          <w:p w14:paraId="1AF3408E"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vAlign w:val="center"/>
          </w:tcPr>
          <w:p w14:paraId="01003F09" w14:textId="77777777" w:rsidR="00C3312E" w:rsidRPr="00C3312E" w:rsidRDefault="00C3312E" w:rsidP="00A66217">
            <w:pPr>
              <w:spacing w:after="0" w:line="240" w:lineRule="auto"/>
              <w:jc w:val="center"/>
              <w:rPr>
                <w:rFonts w:eastAsia="Times New Roman" w:cs="Times New Roman"/>
                <w:b/>
                <w:sz w:val="20"/>
                <w:szCs w:val="20"/>
              </w:rPr>
            </w:pPr>
            <w:r w:rsidRPr="00C3312E">
              <w:rPr>
                <w:rFonts w:eastAsia="Times New Roman" w:cs="Times New Roman"/>
                <w:b/>
                <w:sz w:val="20"/>
                <w:szCs w:val="20"/>
              </w:rPr>
              <w:t>State (2018)</w:t>
            </w:r>
          </w:p>
        </w:tc>
      </w:tr>
      <w:tr w:rsidR="00C3312E" w:rsidRPr="00C3312E" w14:paraId="68C4EA1F" w14:textId="77777777" w:rsidTr="00A66217">
        <w:tc>
          <w:tcPr>
            <w:tcW w:w="3042" w:type="dxa"/>
            <w:tcBorders>
              <w:top w:val="single" w:sz="4" w:space="0" w:color="auto"/>
              <w:left w:val="single" w:sz="4" w:space="0" w:color="auto"/>
            </w:tcBorders>
            <w:shd w:val="clear" w:color="auto" w:fill="auto"/>
          </w:tcPr>
          <w:p w14:paraId="0021A8A6"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996" w:type="dxa"/>
            <w:shd w:val="clear" w:color="auto" w:fill="auto"/>
          </w:tcPr>
          <w:p w14:paraId="264F8929" w14:textId="77777777" w:rsidR="00C3312E" w:rsidRPr="00C3312E" w:rsidRDefault="00C3312E" w:rsidP="00C3312E">
            <w:pPr>
              <w:spacing w:after="0" w:line="240" w:lineRule="auto"/>
              <w:jc w:val="center"/>
              <w:rPr>
                <w:sz w:val="20"/>
                <w:szCs w:val="20"/>
              </w:rPr>
            </w:pPr>
            <w:r w:rsidRPr="00C3312E">
              <w:rPr>
                <w:sz w:val="20"/>
                <w:szCs w:val="20"/>
              </w:rPr>
              <w:t>5.2</w:t>
            </w:r>
          </w:p>
        </w:tc>
        <w:tc>
          <w:tcPr>
            <w:tcW w:w="996" w:type="dxa"/>
            <w:shd w:val="clear" w:color="auto" w:fill="auto"/>
          </w:tcPr>
          <w:p w14:paraId="544DB278" w14:textId="77777777" w:rsidR="00C3312E" w:rsidRPr="00C3312E" w:rsidRDefault="00C3312E" w:rsidP="00C3312E">
            <w:pPr>
              <w:spacing w:after="0" w:line="240" w:lineRule="auto"/>
              <w:jc w:val="center"/>
              <w:rPr>
                <w:sz w:val="20"/>
                <w:szCs w:val="20"/>
              </w:rPr>
            </w:pPr>
            <w:r w:rsidRPr="00C3312E">
              <w:rPr>
                <w:sz w:val="20"/>
                <w:szCs w:val="20"/>
              </w:rPr>
              <w:t>3.4</w:t>
            </w:r>
          </w:p>
        </w:tc>
        <w:tc>
          <w:tcPr>
            <w:tcW w:w="996" w:type="dxa"/>
            <w:shd w:val="clear" w:color="auto" w:fill="auto"/>
          </w:tcPr>
          <w:p w14:paraId="43C49623" w14:textId="77777777" w:rsidR="00C3312E" w:rsidRPr="00C3312E" w:rsidRDefault="00C3312E" w:rsidP="00C3312E">
            <w:pPr>
              <w:spacing w:after="0" w:line="240" w:lineRule="auto"/>
              <w:jc w:val="center"/>
              <w:rPr>
                <w:sz w:val="20"/>
                <w:szCs w:val="20"/>
              </w:rPr>
            </w:pPr>
            <w:r w:rsidRPr="00C3312E">
              <w:rPr>
                <w:sz w:val="20"/>
                <w:szCs w:val="20"/>
              </w:rPr>
              <w:t>2.7</w:t>
            </w:r>
          </w:p>
        </w:tc>
        <w:tc>
          <w:tcPr>
            <w:tcW w:w="996" w:type="dxa"/>
            <w:shd w:val="clear" w:color="auto" w:fill="auto"/>
          </w:tcPr>
          <w:p w14:paraId="67C08FCF" w14:textId="77777777" w:rsidR="00C3312E" w:rsidRPr="00C3312E" w:rsidRDefault="00C3312E" w:rsidP="00C3312E">
            <w:pPr>
              <w:spacing w:after="0" w:line="240" w:lineRule="auto"/>
              <w:jc w:val="center"/>
              <w:rPr>
                <w:sz w:val="20"/>
                <w:szCs w:val="20"/>
              </w:rPr>
            </w:pPr>
            <w:r w:rsidRPr="00C3312E">
              <w:rPr>
                <w:sz w:val="20"/>
                <w:szCs w:val="20"/>
              </w:rPr>
              <w:t>3.1</w:t>
            </w:r>
          </w:p>
        </w:tc>
        <w:tc>
          <w:tcPr>
            <w:tcW w:w="1152" w:type="dxa"/>
            <w:shd w:val="clear" w:color="auto" w:fill="auto"/>
          </w:tcPr>
          <w:p w14:paraId="6159E2E5" w14:textId="77777777" w:rsidR="00C3312E" w:rsidRPr="00C3312E" w:rsidRDefault="00C3312E" w:rsidP="00C3312E">
            <w:pPr>
              <w:spacing w:after="0" w:line="240" w:lineRule="auto"/>
              <w:jc w:val="center"/>
              <w:rPr>
                <w:sz w:val="20"/>
                <w:szCs w:val="20"/>
              </w:rPr>
            </w:pPr>
            <w:r w:rsidRPr="00C3312E">
              <w:rPr>
                <w:sz w:val="20"/>
                <w:szCs w:val="20"/>
              </w:rPr>
              <w:t>-2.1</w:t>
            </w:r>
          </w:p>
        </w:tc>
        <w:tc>
          <w:tcPr>
            <w:tcW w:w="1164" w:type="dxa"/>
            <w:tcBorders>
              <w:top w:val="single" w:sz="4" w:space="0" w:color="auto"/>
              <w:right w:val="single" w:sz="4" w:space="0" w:color="auto"/>
            </w:tcBorders>
            <w:shd w:val="clear" w:color="auto" w:fill="auto"/>
          </w:tcPr>
          <w:p w14:paraId="50625E35" w14:textId="77777777" w:rsidR="00C3312E" w:rsidRPr="00C3312E" w:rsidRDefault="00C3312E" w:rsidP="00C3312E">
            <w:pPr>
              <w:spacing w:after="0" w:line="240" w:lineRule="auto"/>
              <w:jc w:val="center"/>
              <w:rPr>
                <w:sz w:val="20"/>
                <w:szCs w:val="20"/>
              </w:rPr>
            </w:pPr>
            <w:r w:rsidRPr="00C3312E">
              <w:rPr>
                <w:sz w:val="20"/>
                <w:szCs w:val="20"/>
              </w:rPr>
              <w:t>2.9</w:t>
            </w:r>
          </w:p>
        </w:tc>
      </w:tr>
      <w:tr w:rsidR="00C3312E" w:rsidRPr="00C3312E" w14:paraId="4B319336" w14:textId="77777777" w:rsidTr="00A66217">
        <w:tc>
          <w:tcPr>
            <w:tcW w:w="3042" w:type="dxa"/>
            <w:tcBorders>
              <w:top w:val="single" w:sz="4" w:space="0" w:color="auto"/>
              <w:left w:val="single" w:sz="4" w:space="0" w:color="auto"/>
            </w:tcBorders>
            <w:shd w:val="clear" w:color="auto" w:fill="BFBFBF" w:themeFill="background1" w:themeFillShade="BF"/>
          </w:tcPr>
          <w:p w14:paraId="6556A36A"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996" w:type="dxa"/>
            <w:shd w:val="clear" w:color="auto" w:fill="BFBFBF" w:themeFill="background1" w:themeFillShade="BF"/>
          </w:tcPr>
          <w:p w14:paraId="47C818E3" w14:textId="77777777" w:rsidR="00C3312E" w:rsidRPr="00C3312E" w:rsidRDefault="00C3312E" w:rsidP="00C3312E">
            <w:pPr>
              <w:spacing w:after="0" w:line="240" w:lineRule="auto"/>
              <w:jc w:val="center"/>
              <w:rPr>
                <w:sz w:val="20"/>
                <w:szCs w:val="20"/>
              </w:rPr>
            </w:pPr>
            <w:r w:rsidRPr="00C3312E">
              <w:rPr>
                <w:sz w:val="20"/>
                <w:szCs w:val="20"/>
              </w:rPr>
              <w:t>0.0</w:t>
            </w:r>
          </w:p>
        </w:tc>
        <w:tc>
          <w:tcPr>
            <w:tcW w:w="996" w:type="dxa"/>
            <w:shd w:val="clear" w:color="auto" w:fill="BFBFBF" w:themeFill="background1" w:themeFillShade="BF"/>
          </w:tcPr>
          <w:p w14:paraId="626F8E36" w14:textId="77777777" w:rsidR="00C3312E" w:rsidRPr="00C3312E" w:rsidRDefault="00C3312E" w:rsidP="00C3312E">
            <w:pPr>
              <w:spacing w:after="0" w:line="240" w:lineRule="auto"/>
              <w:jc w:val="center"/>
              <w:rPr>
                <w:sz w:val="20"/>
                <w:szCs w:val="20"/>
              </w:rPr>
            </w:pPr>
            <w:r w:rsidRPr="00C3312E">
              <w:rPr>
                <w:sz w:val="20"/>
                <w:szCs w:val="20"/>
              </w:rPr>
              <w:t>1.5</w:t>
            </w:r>
          </w:p>
        </w:tc>
        <w:tc>
          <w:tcPr>
            <w:tcW w:w="996" w:type="dxa"/>
            <w:shd w:val="clear" w:color="auto" w:fill="BFBFBF" w:themeFill="background1" w:themeFillShade="BF"/>
          </w:tcPr>
          <w:p w14:paraId="6CAF8DF9" w14:textId="77777777" w:rsidR="00C3312E" w:rsidRPr="00C3312E" w:rsidRDefault="00C3312E" w:rsidP="00C3312E">
            <w:pPr>
              <w:spacing w:after="0" w:line="240" w:lineRule="auto"/>
              <w:jc w:val="center"/>
              <w:rPr>
                <w:sz w:val="20"/>
                <w:szCs w:val="20"/>
              </w:rPr>
            </w:pPr>
            <w:r w:rsidRPr="00C3312E">
              <w:rPr>
                <w:sz w:val="20"/>
                <w:szCs w:val="20"/>
              </w:rPr>
              <w:t>2.3</w:t>
            </w:r>
          </w:p>
        </w:tc>
        <w:tc>
          <w:tcPr>
            <w:tcW w:w="996" w:type="dxa"/>
            <w:shd w:val="clear" w:color="auto" w:fill="BFBFBF" w:themeFill="background1" w:themeFillShade="BF"/>
          </w:tcPr>
          <w:p w14:paraId="25E679ED" w14:textId="77777777" w:rsidR="00C3312E" w:rsidRPr="00C3312E" w:rsidRDefault="00C3312E" w:rsidP="00C3312E">
            <w:pPr>
              <w:spacing w:after="0" w:line="240" w:lineRule="auto"/>
              <w:jc w:val="center"/>
              <w:rPr>
                <w:sz w:val="20"/>
                <w:szCs w:val="20"/>
              </w:rPr>
            </w:pPr>
            <w:r w:rsidRPr="00C3312E">
              <w:rPr>
                <w:sz w:val="20"/>
                <w:szCs w:val="20"/>
              </w:rPr>
              <w:t>3.2</w:t>
            </w:r>
          </w:p>
        </w:tc>
        <w:tc>
          <w:tcPr>
            <w:tcW w:w="1152" w:type="dxa"/>
            <w:shd w:val="clear" w:color="auto" w:fill="BFBFBF" w:themeFill="background1" w:themeFillShade="BF"/>
          </w:tcPr>
          <w:p w14:paraId="15E0454D" w14:textId="77777777" w:rsidR="00C3312E" w:rsidRPr="00C3312E" w:rsidRDefault="00C3312E" w:rsidP="00C3312E">
            <w:pPr>
              <w:spacing w:after="0" w:line="240" w:lineRule="auto"/>
              <w:jc w:val="center"/>
              <w:rPr>
                <w:sz w:val="20"/>
                <w:szCs w:val="20"/>
              </w:rPr>
            </w:pPr>
            <w:r w:rsidRPr="00C3312E">
              <w:rPr>
                <w:sz w:val="20"/>
                <w:szCs w:val="20"/>
              </w:rPr>
              <w:t>3.2</w:t>
            </w:r>
          </w:p>
        </w:tc>
        <w:tc>
          <w:tcPr>
            <w:tcW w:w="1164" w:type="dxa"/>
            <w:tcBorders>
              <w:top w:val="single" w:sz="4" w:space="0" w:color="auto"/>
              <w:right w:val="single" w:sz="4" w:space="0" w:color="auto"/>
            </w:tcBorders>
            <w:shd w:val="clear" w:color="auto" w:fill="BFBFBF" w:themeFill="background1" w:themeFillShade="BF"/>
          </w:tcPr>
          <w:p w14:paraId="57CF6A65" w14:textId="77777777" w:rsidR="00C3312E" w:rsidRPr="00C3312E" w:rsidRDefault="00C3312E" w:rsidP="00C3312E">
            <w:pPr>
              <w:spacing w:after="0" w:line="240" w:lineRule="auto"/>
              <w:jc w:val="center"/>
              <w:rPr>
                <w:sz w:val="20"/>
                <w:szCs w:val="20"/>
              </w:rPr>
            </w:pPr>
            <w:r w:rsidRPr="00C3312E">
              <w:rPr>
                <w:sz w:val="20"/>
                <w:szCs w:val="20"/>
              </w:rPr>
              <w:t>0.6</w:t>
            </w:r>
          </w:p>
        </w:tc>
      </w:tr>
      <w:tr w:rsidR="00C3312E" w:rsidRPr="00C3312E" w14:paraId="345DD828" w14:textId="77777777" w:rsidTr="00A66217">
        <w:tc>
          <w:tcPr>
            <w:tcW w:w="3042" w:type="dxa"/>
            <w:tcBorders>
              <w:top w:val="single" w:sz="4" w:space="0" w:color="auto"/>
              <w:left w:val="single" w:sz="4" w:space="0" w:color="auto"/>
            </w:tcBorders>
            <w:shd w:val="clear" w:color="auto" w:fill="auto"/>
          </w:tcPr>
          <w:p w14:paraId="47E95562"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996" w:type="dxa"/>
            <w:shd w:val="clear" w:color="auto" w:fill="auto"/>
          </w:tcPr>
          <w:p w14:paraId="5D7D777A" w14:textId="77777777" w:rsidR="00C3312E" w:rsidRPr="00C3312E" w:rsidRDefault="00C3312E" w:rsidP="00C3312E">
            <w:pPr>
              <w:spacing w:after="0" w:line="240" w:lineRule="auto"/>
              <w:jc w:val="center"/>
              <w:rPr>
                <w:sz w:val="20"/>
                <w:szCs w:val="20"/>
              </w:rPr>
            </w:pPr>
            <w:r w:rsidRPr="00C3312E">
              <w:rPr>
                <w:sz w:val="20"/>
                <w:szCs w:val="20"/>
              </w:rPr>
              <w:t>5.9</w:t>
            </w:r>
          </w:p>
        </w:tc>
        <w:tc>
          <w:tcPr>
            <w:tcW w:w="996" w:type="dxa"/>
            <w:shd w:val="clear" w:color="auto" w:fill="auto"/>
          </w:tcPr>
          <w:p w14:paraId="315D6C39" w14:textId="77777777" w:rsidR="00C3312E" w:rsidRPr="00C3312E" w:rsidRDefault="00C3312E" w:rsidP="00C3312E">
            <w:pPr>
              <w:spacing w:after="0" w:line="240" w:lineRule="auto"/>
              <w:jc w:val="center"/>
              <w:rPr>
                <w:sz w:val="20"/>
                <w:szCs w:val="20"/>
              </w:rPr>
            </w:pPr>
            <w:r w:rsidRPr="00C3312E">
              <w:rPr>
                <w:sz w:val="20"/>
                <w:szCs w:val="20"/>
              </w:rPr>
              <w:t>4.0</w:t>
            </w:r>
          </w:p>
        </w:tc>
        <w:tc>
          <w:tcPr>
            <w:tcW w:w="996" w:type="dxa"/>
            <w:shd w:val="clear" w:color="auto" w:fill="auto"/>
          </w:tcPr>
          <w:p w14:paraId="680D8592" w14:textId="77777777" w:rsidR="00C3312E" w:rsidRPr="00C3312E" w:rsidRDefault="00C3312E" w:rsidP="00C3312E">
            <w:pPr>
              <w:spacing w:after="0" w:line="240" w:lineRule="auto"/>
              <w:jc w:val="center"/>
              <w:rPr>
                <w:sz w:val="20"/>
                <w:szCs w:val="20"/>
              </w:rPr>
            </w:pPr>
            <w:r w:rsidRPr="00C3312E">
              <w:rPr>
                <w:sz w:val="20"/>
                <w:szCs w:val="20"/>
              </w:rPr>
              <w:t>8.0</w:t>
            </w:r>
          </w:p>
        </w:tc>
        <w:tc>
          <w:tcPr>
            <w:tcW w:w="996" w:type="dxa"/>
            <w:shd w:val="clear" w:color="auto" w:fill="auto"/>
          </w:tcPr>
          <w:p w14:paraId="69CA1B16" w14:textId="77777777" w:rsidR="00C3312E" w:rsidRPr="00C3312E" w:rsidRDefault="00C3312E" w:rsidP="00C3312E">
            <w:pPr>
              <w:spacing w:after="0" w:line="240" w:lineRule="auto"/>
              <w:jc w:val="center"/>
              <w:rPr>
                <w:sz w:val="20"/>
                <w:szCs w:val="20"/>
              </w:rPr>
            </w:pPr>
            <w:r w:rsidRPr="00C3312E">
              <w:rPr>
                <w:sz w:val="20"/>
                <w:szCs w:val="20"/>
              </w:rPr>
              <w:t>5.2</w:t>
            </w:r>
          </w:p>
        </w:tc>
        <w:tc>
          <w:tcPr>
            <w:tcW w:w="1152" w:type="dxa"/>
            <w:shd w:val="clear" w:color="auto" w:fill="auto"/>
          </w:tcPr>
          <w:p w14:paraId="097E0E29" w14:textId="77777777" w:rsidR="00C3312E" w:rsidRPr="00C3312E" w:rsidRDefault="00C3312E" w:rsidP="00C3312E">
            <w:pPr>
              <w:spacing w:after="0" w:line="240" w:lineRule="auto"/>
              <w:jc w:val="center"/>
              <w:rPr>
                <w:sz w:val="20"/>
                <w:szCs w:val="20"/>
              </w:rPr>
            </w:pPr>
            <w:r w:rsidRPr="00C3312E">
              <w:rPr>
                <w:sz w:val="20"/>
                <w:szCs w:val="20"/>
              </w:rPr>
              <w:t>-0.7</w:t>
            </w:r>
          </w:p>
        </w:tc>
        <w:tc>
          <w:tcPr>
            <w:tcW w:w="1164" w:type="dxa"/>
            <w:tcBorders>
              <w:top w:val="single" w:sz="4" w:space="0" w:color="auto"/>
              <w:right w:val="single" w:sz="4" w:space="0" w:color="auto"/>
            </w:tcBorders>
            <w:shd w:val="clear" w:color="auto" w:fill="auto"/>
          </w:tcPr>
          <w:p w14:paraId="43F1F557" w14:textId="77777777" w:rsidR="00C3312E" w:rsidRPr="00C3312E" w:rsidRDefault="00C3312E" w:rsidP="00C3312E">
            <w:pPr>
              <w:spacing w:after="0" w:line="240" w:lineRule="auto"/>
              <w:jc w:val="center"/>
              <w:rPr>
                <w:sz w:val="20"/>
                <w:szCs w:val="20"/>
              </w:rPr>
            </w:pPr>
            <w:r w:rsidRPr="00C3312E">
              <w:rPr>
                <w:sz w:val="20"/>
                <w:szCs w:val="20"/>
              </w:rPr>
              <w:t>4.5</w:t>
            </w:r>
          </w:p>
        </w:tc>
      </w:tr>
      <w:tr w:rsidR="00C3312E" w:rsidRPr="00C3312E" w14:paraId="33F66947" w14:textId="77777777" w:rsidTr="00A66217">
        <w:tc>
          <w:tcPr>
            <w:tcW w:w="3042" w:type="dxa"/>
            <w:tcBorders>
              <w:top w:val="single" w:sz="4" w:space="0" w:color="auto"/>
              <w:left w:val="single" w:sz="4" w:space="0" w:color="auto"/>
            </w:tcBorders>
            <w:shd w:val="clear" w:color="auto" w:fill="BFBFBF" w:themeFill="background1" w:themeFillShade="BF"/>
          </w:tcPr>
          <w:p w14:paraId="0F3A504C"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non-Hispanic or Latino</w:t>
            </w:r>
          </w:p>
        </w:tc>
        <w:tc>
          <w:tcPr>
            <w:tcW w:w="996" w:type="dxa"/>
            <w:shd w:val="clear" w:color="auto" w:fill="BFBFBF" w:themeFill="background1" w:themeFillShade="BF"/>
          </w:tcPr>
          <w:p w14:paraId="4B273E50" w14:textId="77777777" w:rsidR="00C3312E" w:rsidRPr="00C3312E" w:rsidRDefault="00C3312E" w:rsidP="00C3312E">
            <w:pPr>
              <w:spacing w:after="0" w:line="240" w:lineRule="auto"/>
              <w:jc w:val="center"/>
              <w:rPr>
                <w:sz w:val="20"/>
                <w:szCs w:val="20"/>
              </w:rPr>
            </w:pPr>
            <w:r w:rsidRPr="00C3312E">
              <w:rPr>
                <w:sz w:val="20"/>
                <w:szCs w:val="20"/>
              </w:rPr>
              <w:t>5.9</w:t>
            </w:r>
          </w:p>
        </w:tc>
        <w:tc>
          <w:tcPr>
            <w:tcW w:w="996" w:type="dxa"/>
            <w:shd w:val="clear" w:color="auto" w:fill="BFBFBF" w:themeFill="background1" w:themeFillShade="BF"/>
          </w:tcPr>
          <w:p w14:paraId="3B8E6093" w14:textId="77777777" w:rsidR="00C3312E" w:rsidRPr="00C3312E" w:rsidRDefault="00C3312E" w:rsidP="00C3312E">
            <w:pPr>
              <w:spacing w:after="0" w:line="240" w:lineRule="auto"/>
              <w:jc w:val="center"/>
              <w:rPr>
                <w:sz w:val="20"/>
                <w:szCs w:val="20"/>
              </w:rPr>
            </w:pPr>
            <w:r w:rsidRPr="00C3312E">
              <w:rPr>
                <w:sz w:val="20"/>
                <w:szCs w:val="20"/>
              </w:rPr>
              <w:t>0.0</w:t>
            </w:r>
          </w:p>
        </w:tc>
        <w:tc>
          <w:tcPr>
            <w:tcW w:w="996" w:type="dxa"/>
            <w:shd w:val="clear" w:color="auto" w:fill="BFBFBF" w:themeFill="background1" w:themeFillShade="BF"/>
          </w:tcPr>
          <w:p w14:paraId="601BB540" w14:textId="77777777" w:rsidR="00C3312E" w:rsidRPr="00C3312E" w:rsidRDefault="00C3312E" w:rsidP="00C3312E">
            <w:pPr>
              <w:spacing w:after="0" w:line="240" w:lineRule="auto"/>
              <w:jc w:val="center"/>
              <w:rPr>
                <w:sz w:val="20"/>
                <w:szCs w:val="20"/>
              </w:rPr>
            </w:pPr>
            <w:r w:rsidRPr="00C3312E">
              <w:rPr>
                <w:sz w:val="20"/>
                <w:szCs w:val="20"/>
              </w:rPr>
              <w:t>1.8</w:t>
            </w:r>
          </w:p>
        </w:tc>
        <w:tc>
          <w:tcPr>
            <w:tcW w:w="996" w:type="dxa"/>
            <w:shd w:val="clear" w:color="auto" w:fill="BFBFBF" w:themeFill="background1" w:themeFillShade="BF"/>
          </w:tcPr>
          <w:p w14:paraId="22054DE4" w14:textId="77777777" w:rsidR="00C3312E" w:rsidRPr="00C3312E" w:rsidRDefault="00C3312E" w:rsidP="00C3312E">
            <w:pPr>
              <w:spacing w:after="0" w:line="240" w:lineRule="auto"/>
              <w:jc w:val="center"/>
              <w:rPr>
                <w:sz w:val="20"/>
                <w:szCs w:val="20"/>
              </w:rPr>
            </w:pPr>
            <w:r w:rsidRPr="00C3312E">
              <w:rPr>
                <w:sz w:val="20"/>
                <w:szCs w:val="20"/>
              </w:rPr>
              <w:t>2.9</w:t>
            </w:r>
          </w:p>
        </w:tc>
        <w:tc>
          <w:tcPr>
            <w:tcW w:w="1152" w:type="dxa"/>
            <w:shd w:val="clear" w:color="auto" w:fill="BFBFBF" w:themeFill="background1" w:themeFillShade="BF"/>
          </w:tcPr>
          <w:p w14:paraId="4089DE0C" w14:textId="77777777" w:rsidR="00C3312E" w:rsidRPr="00C3312E" w:rsidRDefault="00C3312E" w:rsidP="00C3312E">
            <w:pPr>
              <w:spacing w:after="0" w:line="240" w:lineRule="auto"/>
              <w:jc w:val="center"/>
              <w:rPr>
                <w:sz w:val="20"/>
                <w:szCs w:val="20"/>
              </w:rPr>
            </w:pPr>
            <w:r w:rsidRPr="00C3312E">
              <w:rPr>
                <w:sz w:val="20"/>
                <w:szCs w:val="20"/>
              </w:rPr>
              <w:t>-3.0</w:t>
            </w:r>
          </w:p>
        </w:tc>
        <w:tc>
          <w:tcPr>
            <w:tcW w:w="1164" w:type="dxa"/>
            <w:tcBorders>
              <w:top w:val="single" w:sz="4" w:space="0" w:color="auto"/>
              <w:right w:val="single" w:sz="4" w:space="0" w:color="auto"/>
            </w:tcBorders>
            <w:shd w:val="clear" w:color="auto" w:fill="BFBFBF" w:themeFill="background1" w:themeFillShade="BF"/>
          </w:tcPr>
          <w:p w14:paraId="0418515F" w14:textId="77777777" w:rsidR="00C3312E" w:rsidRPr="00C3312E" w:rsidRDefault="00C3312E" w:rsidP="00C3312E">
            <w:pPr>
              <w:spacing w:after="0" w:line="240" w:lineRule="auto"/>
              <w:jc w:val="center"/>
              <w:rPr>
                <w:sz w:val="20"/>
                <w:szCs w:val="20"/>
              </w:rPr>
            </w:pPr>
            <w:r w:rsidRPr="00C3312E">
              <w:rPr>
                <w:sz w:val="20"/>
                <w:szCs w:val="20"/>
              </w:rPr>
              <w:t>1.9</w:t>
            </w:r>
          </w:p>
        </w:tc>
      </w:tr>
      <w:tr w:rsidR="00C3312E" w:rsidRPr="00C3312E" w14:paraId="10353E96" w14:textId="77777777" w:rsidTr="00A66217">
        <w:tc>
          <w:tcPr>
            <w:tcW w:w="3042" w:type="dxa"/>
            <w:tcBorders>
              <w:top w:val="single" w:sz="4" w:space="0" w:color="auto"/>
              <w:left w:val="single" w:sz="4" w:space="0" w:color="auto"/>
            </w:tcBorders>
            <w:shd w:val="clear" w:color="auto" w:fill="auto"/>
          </w:tcPr>
          <w:p w14:paraId="0F319260"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996" w:type="dxa"/>
            <w:shd w:val="clear" w:color="auto" w:fill="auto"/>
          </w:tcPr>
          <w:p w14:paraId="7BC92E95" w14:textId="77777777" w:rsidR="00C3312E" w:rsidRPr="00C3312E" w:rsidRDefault="00C3312E" w:rsidP="00C3312E">
            <w:pPr>
              <w:spacing w:after="0" w:line="240" w:lineRule="auto"/>
              <w:jc w:val="center"/>
              <w:rPr>
                <w:sz w:val="20"/>
                <w:szCs w:val="20"/>
              </w:rPr>
            </w:pPr>
            <w:r w:rsidRPr="00C3312E">
              <w:rPr>
                <w:sz w:val="20"/>
                <w:szCs w:val="20"/>
              </w:rPr>
              <w:t>1.6</w:t>
            </w:r>
          </w:p>
        </w:tc>
        <w:tc>
          <w:tcPr>
            <w:tcW w:w="996" w:type="dxa"/>
            <w:shd w:val="clear" w:color="auto" w:fill="auto"/>
          </w:tcPr>
          <w:p w14:paraId="700D15CB" w14:textId="77777777" w:rsidR="00C3312E" w:rsidRPr="00C3312E" w:rsidRDefault="00C3312E" w:rsidP="00C3312E">
            <w:pPr>
              <w:spacing w:after="0" w:line="240" w:lineRule="auto"/>
              <w:jc w:val="center"/>
              <w:rPr>
                <w:sz w:val="20"/>
                <w:szCs w:val="20"/>
              </w:rPr>
            </w:pPr>
            <w:r w:rsidRPr="00C3312E">
              <w:rPr>
                <w:sz w:val="20"/>
                <w:szCs w:val="20"/>
              </w:rPr>
              <w:t>1.1</w:t>
            </w:r>
          </w:p>
        </w:tc>
        <w:tc>
          <w:tcPr>
            <w:tcW w:w="996" w:type="dxa"/>
            <w:shd w:val="clear" w:color="auto" w:fill="auto"/>
          </w:tcPr>
          <w:p w14:paraId="4109FCC4" w14:textId="77777777" w:rsidR="00C3312E" w:rsidRPr="00C3312E" w:rsidRDefault="00C3312E" w:rsidP="00C3312E">
            <w:pPr>
              <w:spacing w:after="0" w:line="240" w:lineRule="auto"/>
              <w:jc w:val="center"/>
              <w:rPr>
                <w:sz w:val="20"/>
                <w:szCs w:val="20"/>
              </w:rPr>
            </w:pPr>
            <w:r w:rsidRPr="00C3312E">
              <w:rPr>
                <w:sz w:val="20"/>
                <w:szCs w:val="20"/>
              </w:rPr>
              <w:t>2.7</w:t>
            </w:r>
          </w:p>
        </w:tc>
        <w:tc>
          <w:tcPr>
            <w:tcW w:w="996" w:type="dxa"/>
            <w:shd w:val="clear" w:color="auto" w:fill="auto"/>
          </w:tcPr>
          <w:p w14:paraId="3732B3F6" w14:textId="77777777" w:rsidR="00C3312E" w:rsidRPr="00C3312E" w:rsidRDefault="00C3312E" w:rsidP="00C3312E">
            <w:pPr>
              <w:spacing w:after="0" w:line="240" w:lineRule="auto"/>
              <w:jc w:val="center"/>
              <w:rPr>
                <w:sz w:val="20"/>
                <w:szCs w:val="20"/>
              </w:rPr>
            </w:pPr>
            <w:r w:rsidRPr="00C3312E">
              <w:rPr>
                <w:sz w:val="20"/>
                <w:szCs w:val="20"/>
              </w:rPr>
              <w:t>1.7</w:t>
            </w:r>
          </w:p>
        </w:tc>
        <w:tc>
          <w:tcPr>
            <w:tcW w:w="1152" w:type="dxa"/>
            <w:shd w:val="clear" w:color="auto" w:fill="auto"/>
          </w:tcPr>
          <w:p w14:paraId="2F2EA628" w14:textId="77777777" w:rsidR="00C3312E" w:rsidRPr="00C3312E" w:rsidRDefault="00C3312E" w:rsidP="00C3312E">
            <w:pPr>
              <w:spacing w:after="0" w:line="240" w:lineRule="auto"/>
              <w:jc w:val="center"/>
              <w:rPr>
                <w:sz w:val="20"/>
                <w:szCs w:val="20"/>
              </w:rPr>
            </w:pPr>
            <w:r w:rsidRPr="00C3312E">
              <w:rPr>
                <w:sz w:val="20"/>
                <w:szCs w:val="20"/>
              </w:rPr>
              <w:t>0.1</w:t>
            </w:r>
          </w:p>
        </w:tc>
        <w:tc>
          <w:tcPr>
            <w:tcW w:w="1164" w:type="dxa"/>
            <w:tcBorders>
              <w:top w:val="single" w:sz="4" w:space="0" w:color="auto"/>
              <w:right w:val="single" w:sz="4" w:space="0" w:color="auto"/>
            </w:tcBorders>
            <w:shd w:val="clear" w:color="auto" w:fill="auto"/>
          </w:tcPr>
          <w:p w14:paraId="2BA91271" w14:textId="77777777" w:rsidR="00C3312E" w:rsidRPr="00C3312E" w:rsidRDefault="00C3312E" w:rsidP="00C3312E">
            <w:pPr>
              <w:spacing w:after="0" w:line="240" w:lineRule="auto"/>
              <w:jc w:val="center"/>
              <w:rPr>
                <w:sz w:val="20"/>
                <w:szCs w:val="20"/>
              </w:rPr>
            </w:pPr>
            <w:r w:rsidRPr="00C3312E">
              <w:rPr>
                <w:sz w:val="20"/>
                <w:szCs w:val="20"/>
              </w:rPr>
              <w:t>1.0</w:t>
            </w:r>
          </w:p>
        </w:tc>
      </w:tr>
      <w:tr w:rsidR="00C3312E" w:rsidRPr="00C3312E" w14:paraId="4711DA1F" w14:textId="77777777" w:rsidTr="00A66217">
        <w:tc>
          <w:tcPr>
            <w:tcW w:w="3042" w:type="dxa"/>
            <w:tcBorders>
              <w:top w:val="single" w:sz="4" w:space="0" w:color="auto"/>
              <w:left w:val="single" w:sz="4" w:space="0" w:color="auto"/>
            </w:tcBorders>
            <w:shd w:val="clear" w:color="auto" w:fill="BFBFBF" w:themeFill="background1" w:themeFillShade="BF"/>
          </w:tcPr>
          <w:p w14:paraId="65AEC98C"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High Needs</w:t>
            </w:r>
          </w:p>
        </w:tc>
        <w:tc>
          <w:tcPr>
            <w:tcW w:w="996" w:type="dxa"/>
            <w:shd w:val="clear" w:color="auto" w:fill="BFBFBF" w:themeFill="background1" w:themeFillShade="BF"/>
          </w:tcPr>
          <w:p w14:paraId="7D76DD84" w14:textId="77777777" w:rsidR="00C3312E" w:rsidRPr="00C3312E" w:rsidRDefault="00C3312E" w:rsidP="00C3312E">
            <w:pPr>
              <w:spacing w:after="0" w:line="240" w:lineRule="auto"/>
              <w:jc w:val="center"/>
              <w:rPr>
                <w:sz w:val="20"/>
                <w:szCs w:val="20"/>
              </w:rPr>
            </w:pPr>
            <w:r w:rsidRPr="00C3312E">
              <w:rPr>
                <w:sz w:val="20"/>
                <w:szCs w:val="20"/>
              </w:rPr>
              <w:t>4.2</w:t>
            </w:r>
          </w:p>
        </w:tc>
        <w:tc>
          <w:tcPr>
            <w:tcW w:w="996" w:type="dxa"/>
            <w:shd w:val="clear" w:color="auto" w:fill="BFBFBF" w:themeFill="background1" w:themeFillShade="BF"/>
          </w:tcPr>
          <w:p w14:paraId="541D131A" w14:textId="77777777" w:rsidR="00C3312E" w:rsidRPr="00C3312E" w:rsidRDefault="00C3312E" w:rsidP="00C3312E">
            <w:pPr>
              <w:spacing w:after="0" w:line="240" w:lineRule="auto"/>
              <w:jc w:val="center"/>
              <w:rPr>
                <w:sz w:val="20"/>
                <w:szCs w:val="20"/>
              </w:rPr>
            </w:pPr>
            <w:r w:rsidRPr="00C3312E">
              <w:rPr>
                <w:sz w:val="20"/>
                <w:szCs w:val="20"/>
              </w:rPr>
              <w:t>3.6</w:t>
            </w:r>
          </w:p>
        </w:tc>
        <w:tc>
          <w:tcPr>
            <w:tcW w:w="996" w:type="dxa"/>
            <w:shd w:val="clear" w:color="auto" w:fill="BFBFBF" w:themeFill="background1" w:themeFillShade="BF"/>
          </w:tcPr>
          <w:p w14:paraId="7A72B9EA" w14:textId="77777777" w:rsidR="00C3312E" w:rsidRPr="00C3312E" w:rsidRDefault="00C3312E" w:rsidP="00C3312E">
            <w:pPr>
              <w:spacing w:after="0" w:line="240" w:lineRule="auto"/>
              <w:jc w:val="center"/>
              <w:rPr>
                <w:sz w:val="20"/>
                <w:szCs w:val="20"/>
              </w:rPr>
            </w:pPr>
            <w:r w:rsidRPr="00C3312E">
              <w:rPr>
                <w:sz w:val="20"/>
                <w:szCs w:val="20"/>
              </w:rPr>
              <w:t>6.3</w:t>
            </w:r>
          </w:p>
        </w:tc>
        <w:tc>
          <w:tcPr>
            <w:tcW w:w="996" w:type="dxa"/>
            <w:shd w:val="clear" w:color="auto" w:fill="BFBFBF" w:themeFill="background1" w:themeFillShade="BF"/>
          </w:tcPr>
          <w:p w14:paraId="1E532E4F" w14:textId="77777777" w:rsidR="00C3312E" w:rsidRPr="00C3312E" w:rsidRDefault="00C3312E" w:rsidP="00C3312E">
            <w:pPr>
              <w:spacing w:after="0" w:line="240" w:lineRule="auto"/>
              <w:jc w:val="center"/>
              <w:rPr>
                <w:sz w:val="20"/>
                <w:szCs w:val="20"/>
              </w:rPr>
            </w:pPr>
            <w:r w:rsidRPr="00C3312E">
              <w:rPr>
                <w:sz w:val="20"/>
                <w:szCs w:val="20"/>
              </w:rPr>
              <w:t>4.6</w:t>
            </w:r>
          </w:p>
        </w:tc>
        <w:tc>
          <w:tcPr>
            <w:tcW w:w="1152" w:type="dxa"/>
            <w:shd w:val="clear" w:color="auto" w:fill="BFBFBF" w:themeFill="background1" w:themeFillShade="BF"/>
          </w:tcPr>
          <w:p w14:paraId="7824608A" w14:textId="77777777" w:rsidR="00C3312E" w:rsidRPr="00C3312E" w:rsidRDefault="00C3312E" w:rsidP="00C3312E">
            <w:pPr>
              <w:spacing w:after="0" w:line="240" w:lineRule="auto"/>
              <w:jc w:val="center"/>
              <w:rPr>
                <w:sz w:val="20"/>
                <w:szCs w:val="20"/>
              </w:rPr>
            </w:pPr>
            <w:r w:rsidRPr="00C3312E">
              <w:rPr>
                <w:sz w:val="20"/>
                <w:szCs w:val="20"/>
              </w:rPr>
              <w:t>0.4</w:t>
            </w:r>
          </w:p>
        </w:tc>
        <w:tc>
          <w:tcPr>
            <w:tcW w:w="1164" w:type="dxa"/>
            <w:tcBorders>
              <w:top w:val="single" w:sz="4" w:space="0" w:color="auto"/>
              <w:right w:val="single" w:sz="4" w:space="0" w:color="auto"/>
            </w:tcBorders>
            <w:shd w:val="clear" w:color="auto" w:fill="BFBFBF" w:themeFill="background1" w:themeFillShade="BF"/>
          </w:tcPr>
          <w:p w14:paraId="26989827" w14:textId="77777777" w:rsidR="00C3312E" w:rsidRPr="00C3312E" w:rsidRDefault="00C3312E" w:rsidP="00C3312E">
            <w:pPr>
              <w:spacing w:after="0" w:line="240" w:lineRule="auto"/>
              <w:jc w:val="center"/>
              <w:rPr>
                <w:sz w:val="20"/>
                <w:szCs w:val="20"/>
              </w:rPr>
            </w:pPr>
            <w:r w:rsidRPr="00C3312E">
              <w:rPr>
                <w:sz w:val="20"/>
                <w:szCs w:val="20"/>
              </w:rPr>
              <w:t>3.6</w:t>
            </w:r>
          </w:p>
        </w:tc>
      </w:tr>
      <w:tr w:rsidR="00C3312E" w:rsidRPr="00C3312E" w14:paraId="2CD6627D" w14:textId="77777777" w:rsidTr="00A66217">
        <w:tc>
          <w:tcPr>
            <w:tcW w:w="3042" w:type="dxa"/>
            <w:tcBorders>
              <w:top w:val="single" w:sz="4" w:space="0" w:color="auto"/>
              <w:left w:val="single" w:sz="4" w:space="0" w:color="auto"/>
            </w:tcBorders>
            <w:shd w:val="clear" w:color="auto" w:fill="auto"/>
          </w:tcPr>
          <w:p w14:paraId="12E9BBD2" w14:textId="77777777" w:rsidR="00C3312E" w:rsidRPr="00C3312E" w:rsidRDefault="00C3312E" w:rsidP="00C3312E">
            <w:pPr>
              <w:spacing w:after="0" w:line="240" w:lineRule="auto"/>
              <w:rPr>
                <w:rFonts w:eastAsia="Times New Roman" w:cs="Times New Roman"/>
                <w:sz w:val="20"/>
                <w:szCs w:val="20"/>
              </w:rPr>
            </w:pPr>
            <w:proofErr w:type="gramStart"/>
            <w:r w:rsidRPr="00C3312E">
              <w:rPr>
                <w:sz w:val="20"/>
                <w:szCs w:val="20"/>
              </w:rPr>
              <w:t>Economically disadvantaged</w:t>
            </w:r>
            <w:proofErr w:type="gramEnd"/>
          </w:p>
        </w:tc>
        <w:tc>
          <w:tcPr>
            <w:tcW w:w="996" w:type="dxa"/>
            <w:shd w:val="clear" w:color="auto" w:fill="auto"/>
          </w:tcPr>
          <w:p w14:paraId="2BD711A0" w14:textId="77777777" w:rsidR="00C3312E" w:rsidRPr="00C3312E" w:rsidRDefault="00C3312E" w:rsidP="00C3312E">
            <w:pPr>
              <w:spacing w:after="0" w:line="240" w:lineRule="auto"/>
              <w:jc w:val="center"/>
              <w:rPr>
                <w:sz w:val="20"/>
                <w:szCs w:val="20"/>
              </w:rPr>
            </w:pPr>
            <w:r w:rsidRPr="00C3312E">
              <w:rPr>
                <w:sz w:val="20"/>
                <w:szCs w:val="20"/>
              </w:rPr>
              <w:t>4.5</w:t>
            </w:r>
          </w:p>
        </w:tc>
        <w:tc>
          <w:tcPr>
            <w:tcW w:w="996" w:type="dxa"/>
            <w:shd w:val="clear" w:color="auto" w:fill="auto"/>
          </w:tcPr>
          <w:p w14:paraId="74CBF2A6" w14:textId="77777777" w:rsidR="00C3312E" w:rsidRPr="00C3312E" w:rsidRDefault="00C3312E" w:rsidP="00C3312E">
            <w:pPr>
              <w:spacing w:after="0" w:line="240" w:lineRule="auto"/>
              <w:jc w:val="center"/>
              <w:rPr>
                <w:sz w:val="20"/>
                <w:szCs w:val="20"/>
              </w:rPr>
            </w:pPr>
            <w:r w:rsidRPr="00C3312E">
              <w:rPr>
                <w:sz w:val="20"/>
                <w:szCs w:val="20"/>
              </w:rPr>
              <w:t>3.4</w:t>
            </w:r>
          </w:p>
        </w:tc>
        <w:tc>
          <w:tcPr>
            <w:tcW w:w="996" w:type="dxa"/>
            <w:shd w:val="clear" w:color="auto" w:fill="auto"/>
          </w:tcPr>
          <w:p w14:paraId="4F28CE1A" w14:textId="77777777" w:rsidR="00C3312E" w:rsidRPr="00C3312E" w:rsidRDefault="00C3312E" w:rsidP="00C3312E">
            <w:pPr>
              <w:spacing w:after="0" w:line="240" w:lineRule="auto"/>
              <w:jc w:val="center"/>
              <w:rPr>
                <w:sz w:val="20"/>
                <w:szCs w:val="20"/>
              </w:rPr>
            </w:pPr>
            <w:r w:rsidRPr="00C3312E">
              <w:rPr>
                <w:sz w:val="20"/>
                <w:szCs w:val="20"/>
              </w:rPr>
              <w:t>2.9</w:t>
            </w:r>
          </w:p>
        </w:tc>
        <w:tc>
          <w:tcPr>
            <w:tcW w:w="996" w:type="dxa"/>
            <w:shd w:val="clear" w:color="auto" w:fill="auto"/>
          </w:tcPr>
          <w:p w14:paraId="6B77A8C3" w14:textId="77777777" w:rsidR="00C3312E" w:rsidRPr="00C3312E" w:rsidRDefault="00C3312E" w:rsidP="00C3312E">
            <w:pPr>
              <w:spacing w:after="0" w:line="240" w:lineRule="auto"/>
              <w:jc w:val="center"/>
              <w:rPr>
                <w:sz w:val="20"/>
                <w:szCs w:val="20"/>
              </w:rPr>
            </w:pPr>
            <w:r w:rsidRPr="00C3312E">
              <w:rPr>
                <w:sz w:val="20"/>
                <w:szCs w:val="20"/>
              </w:rPr>
              <w:t>3.7</w:t>
            </w:r>
          </w:p>
        </w:tc>
        <w:tc>
          <w:tcPr>
            <w:tcW w:w="1152" w:type="dxa"/>
            <w:shd w:val="clear" w:color="auto" w:fill="auto"/>
          </w:tcPr>
          <w:p w14:paraId="68924191" w14:textId="77777777" w:rsidR="00C3312E" w:rsidRPr="00C3312E" w:rsidRDefault="00C3312E" w:rsidP="00C3312E">
            <w:pPr>
              <w:spacing w:after="0" w:line="240" w:lineRule="auto"/>
              <w:jc w:val="center"/>
              <w:rPr>
                <w:sz w:val="20"/>
                <w:szCs w:val="20"/>
              </w:rPr>
            </w:pPr>
            <w:r w:rsidRPr="00C3312E">
              <w:rPr>
                <w:sz w:val="20"/>
                <w:szCs w:val="20"/>
              </w:rPr>
              <w:t>-0.8</w:t>
            </w:r>
          </w:p>
        </w:tc>
        <w:tc>
          <w:tcPr>
            <w:tcW w:w="1164" w:type="dxa"/>
            <w:tcBorders>
              <w:top w:val="single" w:sz="4" w:space="0" w:color="auto"/>
              <w:right w:val="single" w:sz="4" w:space="0" w:color="auto"/>
            </w:tcBorders>
            <w:shd w:val="clear" w:color="auto" w:fill="auto"/>
          </w:tcPr>
          <w:p w14:paraId="4DEA33E9" w14:textId="77777777" w:rsidR="00C3312E" w:rsidRPr="00C3312E" w:rsidRDefault="00C3312E" w:rsidP="00C3312E">
            <w:pPr>
              <w:spacing w:after="0" w:line="240" w:lineRule="auto"/>
              <w:jc w:val="center"/>
              <w:rPr>
                <w:sz w:val="20"/>
                <w:szCs w:val="20"/>
              </w:rPr>
            </w:pPr>
            <w:r w:rsidRPr="00C3312E">
              <w:rPr>
                <w:sz w:val="20"/>
                <w:szCs w:val="20"/>
              </w:rPr>
              <w:t>3.6</w:t>
            </w:r>
          </w:p>
        </w:tc>
      </w:tr>
      <w:tr w:rsidR="00C3312E" w:rsidRPr="00C3312E" w14:paraId="4824F875" w14:textId="77777777" w:rsidTr="00A66217">
        <w:tc>
          <w:tcPr>
            <w:tcW w:w="3042" w:type="dxa"/>
            <w:tcBorders>
              <w:top w:val="single" w:sz="4" w:space="0" w:color="auto"/>
              <w:left w:val="single" w:sz="4" w:space="0" w:color="auto"/>
            </w:tcBorders>
            <w:shd w:val="clear" w:color="auto" w:fill="auto"/>
          </w:tcPr>
          <w:p w14:paraId="477D062C"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SWD</w:t>
            </w:r>
          </w:p>
        </w:tc>
        <w:tc>
          <w:tcPr>
            <w:tcW w:w="996" w:type="dxa"/>
            <w:shd w:val="clear" w:color="auto" w:fill="auto"/>
          </w:tcPr>
          <w:p w14:paraId="2262B195" w14:textId="77777777" w:rsidR="00C3312E" w:rsidRPr="00C3312E" w:rsidRDefault="00C3312E" w:rsidP="00C3312E">
            <w:pPr>
              <w:spacing w:after="0" w:line="240" w:lineRule="auto"/>
              <w:jc w:val="center"/>
              <w:rPr>
                <w:sz w:val="20"/>
                <w:szCs w:val="20"/>
              </w:rPr>
            </w:pPr>
            <w:r w:rsidRPr="00C3312E">
              <w:rPr>
                <w:sz w:val="20"/>
                <w:szCs w:val="20"/>
              </w:rPr>
              <w:t>5.6</w:t>
            </w:r>
          </w:p>
        </w:tc>
        <w:tc>
          <w:tcPr>
            <w:tcW w:w="996" w:type="dxa"/>
            <w:shd w:val="clear" w:color="auto" w:fill="auto"/>
          </w:tcPr>
          <w:p w14:paraId="3F4374AD" w14:textId="77777777" w:rsidR="00C3312E" w:rsidRPr="00C3312E" w:rsidRDefault="00C3312E" w:rsidP="00C3312E">
            <w:pPr>
              <w:spacing w:after="0" w:line="240" w:lineRule="auto"/>
              <w:jc w:val="center"/>
              <w:rPr>
                <w:sz w:val="20"/>
                <w:szCs w:val="20"/>
              </w:rPr>
            </w:pPr>
            <w:r w:rsidRPr="00C3312E">
              <w:rPr>
                <w:sz w:val="20"/>
                <w:szCs w:val="20"/>
              </w:rPr>
              <w:t>4.6</w:t>
            </w:r>
          </w:p>
        </w:tc>
        <w:tc>
          <w:tcPr>
            <w:tcW w:w="996" w:type="dxa"/>
            <w:shd w:val="clear" w:color="auto" w:fill="auto"/>
          </w:tcPr>
          <w:p w14:paraId="19DFD8A2" w14:textId="77777777" w:rsidR="00C3312E" w:rsidRPr="00C3312E" w:rsidRDefault="00C3312E" w:rsidP="00C3312E">
            <w:pPr>
              <w:spacing w:after="0" w:line="240" w:lineRule="auto"/>
              <w:jc w:val="center"/>
              <w:rPr>
                <w:sz w:val="20"/>
                <w:szCs w:val="20"/>
              </w:rPr>
            </w:pPr>
            <w:r w:rsidRPr="00C3312E">
              <w:rPr>
                <w:sz w:val="20"/>
                <w:szCs w:val="20"/>
              </w:rPr>
              <w:t>5.4</w:t>
            </w:r>
          </w:p>
        </w:tc>
        <w:tc>
          <w:tcPr>
            <w:tcW w:w="996" w:type="dxa"/>
            <w:shd w:val="clear" w:color="auto" w:fill="auto"/>
          </w:tcPr>
          <w:p w14:paraId="3B8672C7" w14:textId="77777777" w:rsidR="00C3312E" w:rsidRPr="00C3312E" w:rsidRDefault="00C3312E" w:rsidP="00C3312E">
            <w:pPr>
              <w:spacing w:after="0" w:line="240" w:lineRule="auto"/>
              <w:jc w:val="center"/>
              <w:rPr>
                <w:sz w:val="20"/>
                <w:szCs w:val="20"/>
              </w:rPr>
            </w:pPr>
            <w:r w:rsidRPr="00C3312E">
              <w:rPr>
                <w:sz w:val="20"/>
                <w:szCs w:val="20"/>
              </w:rPr>
              <w:t>4.5</w:t>
            </w:r>
          </w:p>
        </w:tc>
        <w:tc>
          <w:tcPr>
            <w:tcW w:w="1152" w:type="dxa"/>
            <w:shd w:val="clear" w:color="auto" w:fill="auto"/>
          </w:tcPr>
          <w:p w14:paraId="2FEE116A" w14:textId="77777777" w:rsidR="00C3312E" w:rsidRPr="00C3312E" w:rsidRDefault="00C3312E" w:rsidP="00C3312E">
            <w:pPr>
              <w:spacing w:after="0" w:line="240" w:lineRule="auto"/>
              <w:jc w:val="center"/>
              <w:rPr>
                <w:sz w:val="20"/>
                <w:szCs w:val="20"/>
              </w:rPr>
            </w:pPr>
            <w:r w:rsidRPr="00C3312E">
              <w:rPr>
                <w:sz w:val="20"/>
                <w:szCs w:val="20"/>
              </w:rPr>
              <w:t>-1.1</w:t>
            </w:r>
          </w:p>
        </w:tc>
        <w:tc>
          <w:tcPr>
            <w:tcW w:w="1164" w:type="dxa"/>
            <w:tcBorders>
              <w:top w:val="single" w:sz="4" w:space="0" w:color="auto"/>
              <w:right w:val="single" w:sz="4" w:space="0" w:color="auto"/>
            </w:tcBorders>
            <w:shd w:val="clear" w:color="auto" w:fill="auto"/>
          </w:tcPr>
          <w:p w14:paraId="5B1ED02B" w14:textId="77777777" w:rsidR="00C3312E" w:rsidRPr="00C3312E" w:rsidRDefault="00C3312E" w:rsidP="00C3312E">
            <w:pPr>
              <w:spacing w:after="0" w:line="240" w:lineRule="auto"/>
              <w:jc w:val="center"/>
              <w:rPr>
                <w:sz w:val="20"/>
                <w:szCs w:val="20"/>
              </w:rPr>
            </w:pPr>
            <w:r w:rsidRPr="00C3312E">
              <w:rPr>
                <w:sz w:val="20"/>
                <w:szCs w:val="20"/>
              </w:rPr>
              <w:t>3.4</w:t>
            </w:r>
          </w:p>
        </w:tc>
      </w:tr>
      <w:tr w:rsidR="00460897" w:rsidRPr="00C3312E" w14:paraId="66E1BECA" w14:textId="77777777" w:rsidTr="00A66217">
        <w:tc>
          <w:tcPr>
            <w:tcW w:w="3042" w:type="dxa"/>
            <w:tcBorders>
              <w:top w:val="single" w:sz="4" w:space="0" w:color="auto"/>
              <w:left w:val="single" w:sz="4" w:space="0" w:color="auto"/>
            </w:tcBorders>
            <w:shd w:val="clear" w:color="auto" w:fill="auto"/>
          </w:tcPr>
          <w:p w14:paraId="6AC43B00" w14:textId="723034FD" w:rsidR="00460897" w:rsidRPr="00C3312E" w:rsidRDefault="00460897" w:rsidP="00460897">
            <w:pPr>
              <w:spacing w:after="0" w:line="240" w:lineRule="auto"/>
              <w:rPr>
                <w:rFonts w:eastAsia="Times New Roman" w:cs="Times New Roman"/>
                <w:sz w:val="20"/>
                <w:szCs w:val="20"/>
              </w:rPr>
            </w:pPr>
            <w:r w:rsidRPr="00C3312E">
              <w:rPr>
                <w:rFonts w:eastAsia="Times New Roman" w:cs="Times New Roman"/>
                <w:sz w:val="20"/>
                <w:szCs w:val="20"/>
              </w:rPr>
              <w:t>EL</w:t>
            </w:r>
          </w:p>
        </w:tc>
        <w:tc>
          <w:tcPr>
            <w:tcW w:w="996" w:type="dxa"/>
            <w:shd w:val="clear" w:color="auto" w:fill="auto"/>
          </w:tcPr>
          <w:p w14:paraId="05185D00" w14:textId="5F814E9E" w:rsidR="00460897" w:rsidRPr="00C3312E" w:rsidRDefault="00460897" w:rsidP="00460897">
            <w:pPr>
              <w:spacing w:after="0" w:line="240" w:lineRule="auto"/>
              <w:jc w:val="center"/>
              <w:rPr>
                <w:sz w:val="20"/>
                <w:szCs w:val="20"/>
              </w:rPr>
            </w:pPr>
            <w:r w:rsidRPr="00C3312E">
              <w:rPr>
                <w:sz w:val="20"/>
                <w:szCs w:val="20"/>
              </w:rPr>
              <w:t>3.7</w:t>
            </w:r>
          </w:p>
        </w:tc>
        <w:tc>
          <w:tcPr>
            <w:tcW w:w="996" w:type="dxa"/>
            <w:shd w:val="clear" w:color="auto" w:fill="auto"/>
          </w:tcPr>
          <w:p w14:paraId="12B46EFE" w14:textId="7EB1E600" w:rsidR="00460897" w:rsidRPr="00C3312E" w:rsidRDefault="00460897" w:rsidP="00460897">
            <w:pPr>
              <w:spacing w:after="0" w:line="240" w:lineRule="auto"/>
              <w:jc w:val="center"/>
              <w:rPr>
                <w:sz w:val="20"/>
                <w:szCs w:val="20"/>
              </w:rPr>
            </w:pPr>
            <w:r w:rsidRPr="00C3312E">
              <w:rPr>
                <w:sz w:val="20"/>
                <w:szCs w:val="20"/>
              </w:rPr>
              <w:t>5.0</w:t>
            </w:r>
          </w:p>
        </w:tc>
        <w:tc>
          <w:tcPr>
            <w:tcW w:w="996" w:type="dxa"/>
            <w:shd w:val="clear" w:color="auto" w:fill="auto"/>
          </w:tcPr>
          <w:p w14:paraId="2F12BD46" w14:textId="09D18FB4" w:rsidR="00460897" w:rsidRPr="00C3312E" w:rsidRDefault="00460897" w:rsidP="00460897">
            <w:pPr>
              <w:spacing w:after="0" w:line="240" w:lineRule="auto"/>
              <w:jc w:val="center"/>
              <w:rPr>
                <w:sz w:val="20"/>
                <w:szCs w:val="20"/>
              </w:rPr>
            </w:pPr>
            <w:r w:rsidRPr="00C3312E">
              <w:rPr>
                <w:sz w:val="20"/>
                <w:szCs w:val="20"/>
              </w:rPr>
              <w:t>10.3</w:t>
            </w:r>
          </w:p>
        </w:tc>
        <w:tc>
          <w:tcPr>
            <w:tcW w:w="996" w:type="dxa"/>
            <w:shd w:val="clear" w:color="auto" w:fill="auto"/>
          </w:tcPr>
          <w:p w14:paraId="7CF3E657" w14:textId="4782B00D" w:rsidR="00460897" w:rsidRPr="00C3312E" w:rsidRDefault="00460897" w:rsidP="00460897">
            <w:pPr>
              <w:spacing w:after="0" w:line="240" w:lineRule="auto"/>
              <w:jc w:val="center"/>
              <w:rPr>
                <w:sz w:val="20"/>
                <w:szCs w:val="20"/>
              </w:rPr>
            </w:pPr>
            <w:r w:rsidRPr="00C3312E">
              <w:rPr>
                <w:sz w:val="20"/>
                <w:szCs w:val="20"/>
              </w:rPr>
              <w:t>3.2</w:t>
            </w:r>
          </w:p>
        </w:tc>
        <w:tc>
          <w:tcPr>
            <w:tcW w:w="1152" w:type="dxa"/>
            <w:shd w:val="clear" w:color="auto" w:fill="auto"/>
          </w:tcPr>
          <w:p w14:paraId="33D8957C" w14:textId="7BA8BD62" w:rsidR="00460897" w:rsidRPr="00C3312E" w:rsidRDefault="00460897" w:rsidP="00460897">
            <w:pPr>
              <w:spacing w:after="0" w:line="240" w:lineRule="auto"/>
              <w:jc w:val="center"/>
              <w:rPr>
                <w:sz w:val="20"/>
                <w:szCs w:val="20"/>
              </w:rPr>
            </w:pPr>
            <w:r w:rsidRPr="00C3312E">
              <w:rPr>
                <w:sz w:val="20"/>
                <w:szCs w:val="20"/>
              </w:rPr>
              <w:t>-0.5</w:t>
            </w:r>
          </w:p>
        </w:tc>
        <w:tc>
          <w:tcPr>
            <w:tcW w:w="1164" w:type="dxa"/>
            <w:tcBorders>
              <w:top w:val="single" w:sz="4" w:space="0" w:color="auto"/>
              <w:right w:val="single" w:sz="4" w:space="0" w:color="auto"/>
            </w:tcBorders>
            <w:shd w:val="clear" w:color="auto" w:fill="auto"/>
          </w:tcPr>
          <w:p w14:paraId="16EB95E2" w14:textId="13765091" w:rsidR="00460897" w:rsidRPr="00C3312E" w:rsidRDefault="00460897" w:rsidP="00460897">
            <w:pPr>
              <w:spacing w:after="0" w:line="240" w:lineRule="auto"/>
              <w:jc w:val="center"/>
              <w:rPr>
                <w:sz w:val="20"/>
                <w:szCs w:val="20"/>
              </w:rPr>
            </w:pPr>
            <w:r w:rsidRPr="00C3312E">
              <w:rPr>
                <w:sz w:val="20"/>
                <w:szCs w:val="20"/>
              </w:rPr>
              <w:t>7.6</w:t>
            </w:r>
          </w:p>
        </w:tc>
      </w:tr>
      <w:tr w:rsidR="00C3312E" w:rsidRPr="00C3312E" w14:paraId="5AC6E4F7" w14:textId="77777777" w:rsidTr="00A66217">
        <w:tc>
          <w:tcPr>
            <w:tcW w:w="3042" w:type="dxa"/>
            <w:tcBorders>
              <w:top w:val="single" w:sz="4" w:space="0" w:color="auto"/>
              <w:left w:val="single" w:sz="4" w:space="0" w:color="auto"/>
            </w:tcBorders>
            <w:shd w:val="clear" w:color="auto" w:fill="BFBFBF" w:themeFill="background1" w:themeFillShade="BF"/>
          </w:tcPr>
          <w:p w14:paraId="4D5C7D7D"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All</w:t>
            </w:r>
          </w:p>
        </w:tc>
        <w:tc>
          <w:tcPr>
            <w:tcW w:w="996" w:type="dxa"/>
            <w:shd w:val="clear" w:color="auto" w:fill="BFBFBF" w:themeFill="background1" w:themeFillShade="BF"/>
          </w:tcPr>
          <w:p w14:paraId="70470E35" w14:textId="77777777" w:rsidR="00C3312E" w:rsidRPr="00C3312E" w:rsidRDefault="00C3312E" w:rsidP="00C3312E">
            <w:pPr>
              <w:spacing w:after="0" w:line="240" w:lineRule="auto"/>
              <w:jc w:val="center"/>
              <w:rPr>
                <w:sz w:val="20"/>
                <w:szCs w:val="20"/>
              </w:rPr>
            </w:pPr>
            <w:r w:rsidRPr="00C3312E">
              <w:rPr>
                <w:sz w:val="20"/>
                <w:szCs w:val="20"/>
              </w:rPr>
              <w:t>2.5</w:t>
            </w:r>
          </w:p>
        </w:tc>
        <w:tc>
          <w:tcPr>
            <w:tcW w:w="996" w:type="dxa"/>
            <w:shd w:val="clear" w:color="auto" w:fill="BFBFBF" w:themeFill="background1" w:themeFillShade="BF"/>
          </w:tcPr>
          <w:p w14:paraId="70F8F35F" w14:textId="77777777" w:rsidR="00C3312E" w:rsidRPr="00C3312E" w:rsidRDefault="00C3312E" w:rsidP="00C3312E">
            <w:pPr>
              <w:spacing w:after="0" w:line="240" w:lineRule="auto"/>
              <w:jc w:val="center"/>
              <w:rPr>
                <w:sz w:val="20"/>
                <w:szCs w:val="20"/>
              </w:rPr>
            </w:pPr>
            <w:r w:rsidRPr="00C3312E">
              <w:rPr>
                <w:sz w:val="20"/>
                <w:szCs w:val="20"/>
              </w:rPr>
              <w:t>1.8</w:t>
            </w:r>
          </w:p>
        </w:tc>
        <w:tc>
          <w:tcPr>
            <w:tcW w:w="996" w:type="dxa"/>
            <w:shd w:val="clear" w:color="auto" w:fill="BFBFBF" w:themeFill="background1" w:themeFillShade="BF"/>
          </w:tcPr>
          <w:p w14:paraId="199D87EA" w14:textId="77777777" w:rsidR="00C3312E" w:rsidRPr="00C3312E" w:rsidRDefault="00C3312E" w:rsidP="00C3312E">
            <w:pPr>
              <w:spacing w:after="0" w:line="240" w:lineRule="auto"/>
              <w:jc w:val="center"/>
              <w:rPr>
                <w:sz w:val="20"/>
                <w:szCs w:val="20"/>
              </w:rPr>
            </w:pPr>
            <w:r w:rsidRPr="00C3312E">
              <w:rPr>
                <w:sz w:val="20"/>
                <w:szCs w:val="20"/>
              </w:rPr>
              <w:t>3.8</w:t>
            </w:r>
          </w:p>
        </w:tc>
        <w:tc>
          <w:tcPr>
            <w:tcW w:w="996" w:type="dxa"/>
            <w:shd w:val="clear" w:color="auto" w:fill="BFBFBF" w:themeFill="background1" w:themeFillShade="BF"/>
          </w:tcPr>
          <w:p w14:paraId="4B73CDFC" w14:textId="77777777" w:rsidR="00C3312E" w:rsidRPr="00C3312E" w:rsidRDefault="00C3312E" w:rsidP="00C3312E">
            <w:pPr>
              <w:spacing w:after="0" w:line="240" w:lineRule="auto"/>
              <w:jc w:val="center"/>
              <w:rPr>
                <w:sz w:val="20"/>
                <w:szCs w:val="20"/>
              </w:rPr>
            </w:pPr>
            <w:r w:rsidRPr="00C3312E">
              <w:rPr>
                <w:sz w:val="20"/>
                <w:szCs w:val="20"/>
              </w:rPr>
              <w:t>2.7</w:t>
            </w:r>
          </w:p>
        </w:tc>
        <w:tc>
          <w:tcPr>
            <w:tcW w:w="1152" w:type="dxa"/>
            <w:shd w:val="clear" w:color="auto" w:fill="BFBFBF" w:themeFill="background1" w:themeFillShade="BF"/>
          </w:tcPr>
          <w:p w14:paraId="34B21C4E" w14:textId="77777777" w:rsidR="00C3312E" w:rsidRPr="00C3312E" w:rsidRDefault="00C3312E" w:rsidP="00C3312E">
            <w:pPr>
              <w:spacing w:after="0" w:line="240" w:lineRule="auto"/>
              <w:jc w:val="center"/>
              <w:rPr>
                <w:sz w:val="20"/>
                <w:szCs w:val="20"/>
              </w:rPr>
            </w:pPr>
            <w:r w:rsidRPr="00C3312E">
              <w:rPr>
                <w:sz w:val="20"/>
                <w:szCs w:val="20"/>
              </w:rPr>
              <w:t>0.2</w:t>
            </w:r>
          </w:p>
        </w:tc>
        <w:tc>
          <w:tcPr>
            <w:tcW w:w="1164" w:type="dxa"/>
            <w:tcBorders>
              <w:top w:val="single" w:sz="4" w:space="0" w:color="auto"/>
              <w:right w:val="single" w:sz="4" w:space="0" w:color="auto"/>
            </w:tcBorders>
            <w:shd w:val="clear" w:color="auto" w:fill="BFBFBF" w:themeFill="background1" w:themeFillShade="BF"/>
          </w:tcPr>
          <w:p w14:paraId="2FF4BB6C" w14:textId="77777777" w:rsidR="00C3312E" w:rsidRPr="00C3312E" w:rsidRDefault="00C3312E" w:rsidP="00C3312E">
            <w:pPr>
              <w:spacing w:after="0" w:line="240" w:lineRule="auto"/>
              <w:jc w:val="center"/>
              <w:rPr>
                <w:sz w:val="20"/>
                <w:szCs w:val="20"/>
              </w:rPr>
            </w:pPr>
            <w:r w:rsidRPr="00C3312E">
              <w:rPr>
                <w:sz w:val="20"/>
                <w:szCs w:val="20"/>
              </w:rPr>
              <w:t>1.9</w:t>
            </w:r>
          </w:p>
        </w:tc>
      </w:tr>
    </w:tbl>
    <w:p w14:paraId="1B4AC38E" w14:textId="73254E0C" w:rsidR="00C3312E" w:rsidRDefault="00C3312E" w:rsidP="00C3312E">
      <w:pPr>
        <w:spacing w:after="0" w:line="240" w:lineRule="auto"/>
        <w:rPr>
          <w:rFonts w:eastAsia="Times New Roman" w:cs="Times New Roman"/>
        </w:rPr>
      </w:pPr>
    </w:p>
    <w:p w14:paraId="79301838" w14:textId="77777777" w:rsidR="00EC5B5A" w:rsidRPr="00C3312E" w:rsidRDefault="00EC5B5A" w:rsidP="00C3312E">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7: Framingham Public Schools"/>
        <w:tblDescription w:val="Advanced Coursework Completion by Student Group, 2017–2018&#10;"/>
      </w:tblPr>
      <w:tblGrid>
        <w:gridCol w:w="3055"/>
        <w:gridCol w:w="1259"/>
        <w:gridCol w:w="1259"/>
        <w:gridCol w:w="1259"/>
        <w:gridCol w:w="1259"/>
        <w:gridCol w:w="1259"/>
      </w:tblGrid>
      <w:tr w:rsidR="00C3312E" w:rsidRPr="00C3312E" w14:paraId="043DF41F" w14:textId="77777777" w:rsidTr="000F5BEE">
        <w:tc>
          <w:tcPr>
            <w:tcW w:w="9350" w:type="dxa"/>
            <w:gridSpan w:val="6"/>
            <w:tcBorders>
              <w:top w:val="nil"/>
              <w:left w:val="nil"/>
              <w:right w:val="nil"/>
            </w:tcBorders>
          </w:tcPr>
          <w:p w14:paraId="1E3CE0AD"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Table 27: Framingham Public Schools</w:t>
            </w:r>
          </w:p>
          <w:p w14:paraId="20840845" w14:textId="3CECD74D" w:rsidR="00C3312E" w:rsidRPr="00C3312E" w:rsidRDefault="00C3312E">
            <w:pPr>
              <w:spacing w:after="0" w:line="240" w:lineRule="auto"/>
              <w:jc w:val="center"/>
              <w:rPr>
                <w:rFonts w:eastAsia="Times New Roman" w:cs="Times New Roman"/>
                <w:sz w:val="20"/>
                <w:szCs w:val="20"/>
              </w:rPr>
            </w:pPr>
            <w:r w:rsidRPr="00C3312E">
              <w:rPr>
                <w:rFonts w:eastAsia="Times New Roman" w:cs="Times New Roman"/>
                <w:b/>
                <w:sz w:val="20"/>
                <w:szCs w:val="20"/>
              </w:rPr>
              <w:t xml:space="preserve">Advanced </w:t>
            </w:r>
            <w:r w:rsidR="00460897">
              <w:rPr>
                <w:rFonts w:eastAsia="Times New Roman" w:cs="Times New Roman"/>
                <w:b/>
                <w:sz w:val="20"/>
                <w:szCs w:val="20"/>
              </w:rPr>
              <w:t>C</w:t>
            </w:r>
            <w:r w:rsidR="00460897" w:rsidRPr="00C3312E">
              <w:rPr>
                <w:rFonts w:eastAsia="Times New Roman" w:cs="Times New Roman"/>
                <w:b/>
                <w:sz w:val="20"/>
                <w:szCs w:val="20"/>
              </w:rPr>
              <w:t xml:space="preserve">oursework </w:t>
            </w:r>
            <w:r w:rsidR="00460897">
              <w:rPr>
                <w:rFonts w:eastAsia="Times New Roman" w:cs="Times New Roman"/>
                <w:b/>
                <w:sz w:val="20"/>
                <w:szCs w:val="20"/>
              </w:rPr>
              <w:t>C</w:t>
            </w:r>
            <w:r w:rsidR="00460897" w:rsidRPr="00C3312E">
              <w:rPr>
                <w:rFonts w:eastAsia="Times New Roman" w:cs="Times New Roman"/>
                <w:b/>
                <w:sz w:val="20"/>
                <w:szCs w:val="20"/>
              </w:rPr>
              <w:t>ompletion</w:t>
            </w:r>
            <w:r w:rsidR="00A62EB1">
              <w:rPr>
                <w:rFonts w:eastAsia="Times New Roman" w:cs="Times New Roman"/>
                <w:b/>
                <w:sz w:val="20"/>
                <w:szCs w:val="20"/>
              </w:rPr>
              <w:t xml:space="preserve"> by Student Group</w:t>
            </w:r>
            <w:r w:rsidR="00460897">
              <w:rPr>
                <w:rFonts w:eastAsia="Times New Roman" w:cs="Times New Roman"/>
                <w:b/>
                <w:sz w:val="20"/>
                <w:szCs w:val="20"/>
              </w:rPr>
              <w:t>, 2017–2018</w:t>
            </w:r>
          </w:p>
        </w:tc>
      </w:tr>
      <w:tr w:rsidR="00C3312E" w:rsidRPr="00C3312E" w14:paraId="05199F7F" w14:textId="77777777" w:rsidTr="000F5BEE">
        <w:tc>
          <w:tcPr>
            <w:tcW w:w="3055" w:type="dxa"/>
            <w:shd w:val="clear" w:color="auto" w:fill="BFBFBF" w:themeFill="background1" w:themeFillShade="BF"/>
          </w:tcPr>
          <w:p w14:paraId="57CAED73" w14:textId="77777777" w:rsidR="00C3312E" w:rsidRPr="00C3312E" w:rsidRDefault="00C3312E" w:rsidP="00EC5B5A">
            <w:pPr>
              <w:spacing w:after="0" w:line="240" w:lineRule="auto"/>
              <w:rPr>
                <w:rFonts w:eastAsia="Times New Roman" w:cs="Times New Roman"/>
                <w:b/>
                <w:sz w:val="20"/>
                <w:szCs w:val="20"/>
              </w:rPr>
            </w:pPr>
            <w:r w:rsidRPr="00C3312E">
              <w:rPr>
                <w:rFonts w:eastAsia="Times New Roman" w:cs="Times New Roman"/>
                <w:b/>
                <w:sz w:val="20"/>
                <w:szCs w:val="20"/>
              </w:rPr>
              <w:t>Group</w:t>
            </w:r>
          </w:p>
        </w:tc>
        <w:tc>
          <w:tcPr>
            <w:tcW w:w="1259" w:type="dxa"/>
            <w:shd w:val="clear" w:color="auto" w:fill="BFBFBF" w:themeFill="background1" w:themeFillShade="BF"/>
          </w:tcPr>
          <w:p w14:paraId="1F044AB8"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N (2018)</w:t>
            </w:r>
          </w:p>
        </w:tc>
        <w:tc>
          <w:tcPr>
            <w:tcW w:w="1259" w:type="dxa"/>
            <w:shd w:val="clear" w:color="auto" w:fill="BFBFBF" w:themeFill="background1" w:themeFillShade="BF"/>
          </w:tcPr>
          <w:p w14:paraId="02B32494"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2017</w:t>
            </w:r>
          </w:p>
        </w:tc>
        <w:tc>
          <w:tcPr>
            <w:tcW w:w="1259" w:type="dxa"/>
            <w:shd w:val="clear" w:color="auto" w:fill="BFBFBF" w:themeFill="background1" w:themeFillShade="BF"/>
          </w:tcPr>
          <w:p w14:paraId="2D8EE9EE"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2018</w:t>
            </w:r>
          </w:p>
        </w:tc>
        <w:tc>
          <w:tcPr>
            <w:tcW w:w="1259" w:type="dxa"/>
            <w:shd w:val="clear" w:color="auto" w:fill="BFBFBF" w:themeFill="background1" w:themeFillShade="BF"/>
          </w:tcPr>
          <w:p w14:paraId="5EB110B9"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Change</w:t>
            </w:r>
          </w:p>
        </w:tc>
        <w:tc>
          <w:tcPr>
            <w:tcW w:w="1259" w:type="dxa"/>
            <w:shd w:val="clear" w:color="auto" w:fill="BFBFBF" w:themeFill="background1" w:themeFillShade="BF"/>
          </w:tcPr>
          <w:p w14:paraId="49DB8211"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Target</w:t>
            </w:r>
          </w:p>
        </w:tc>
      </w:tr>
      <w:tr w:rsidR="00C3312E" w:rsidRPr="00C3312E" w14:paraId="45FDCF46" w14:textId="77777777" w:rsidTr="000F5BEE">
        <w:tc>
          <w:tcPr>
            <w:tcW w:w="3055" w:type="dxa"/>
            <w:tcBorders>
              <w:top w:val="single" w:sz="4" w:space="0" w:color="auto"/>
              <w:left w:val="single" w:sz="4" w:space="0" w:color="auto"/>
            </w:tcBorders>
            <w:shd w:val="clear" w:color="auto" w:fill="auto"/>
          </w:tcPr>
          <w:p w14:paraId="43086C08"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African American/Black</w:t>
            </w:r>
          </w:p>
        </w:tc>
        <w:tc>
          <w:tcPr>
            <w:tcW w:w="1259" w:type="dxa"/>
          </w:tcPr>
          <w:p w14:paraId="35253EC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81</w:t>
            </w:r>
          </w:p>
        </w:tc>
        <w:tc>
          <w:tcPr>
            <w:tcW w:w="1259" w:type="dxa"/>
          </w:tcPr>
          <w:p w14:paraId="70E64A42"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60.8</w:t>
            </w:r>
          </w:p>
        </w:tc>
        <w:tc>
          <w:tcPr>
            <w:tcW w:w="1259" w:type="dxa"/>
          </w:tcPr>
          <w:p w14:paraId="4DBBAA61"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63.0</w:t>
            </w:r>
          </w:p>
        </w:tc>
        <w:tc>
          <w:tcPr>
            <w:tcW w:w="1259" w:type="dxa"/>
          </w:tcPr>
          <w:p w14:paraId="3384345D"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2.2</w:t>
            </w:r>
          </w:p>
        </w:tc>
        <w:tc>
          <w:tcPr>
            <w:tcW w:w="1259" w:type="dxa"/>
          </w:tcPr>
          <w:p w14:paraId="71D9A78D"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69.2</w:t>
            </w:r>
          </w:p>
        </w:tc>
      </w:tr>
      <w:tr w:rsidR="00C3312E" w:rsidRPr="00C3312E" w14:paraId="3677CCDE" w14:textId="77777777" w:rsidTr="000F5BEE">
        <w:tc>
          <w:tcPr>
            <w:tcW w:w="3055" w:type="dxa"/>
            <w:tcBorders>
              <w:top w:val="single" w:sz="4" w:space="0" w:color="auto"/>
              <w:left w:val="single" w:sz="4" w:space="0" w:color="auto"/>
            </w:tcBorders>
            <w:shd w:val="clear" w:color="auto" w:fill="BFBFBF" w:themeFill="background1" w:themeFillShade="BF"/>
          </w:tcPr>
          <w:p w14:paraId="35057E6E"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Asian</w:t>
            </w:r>
          </w:p>
        </w:tc>
        <w:tc>
          <w:tcPr>
            <w:tcW w:w="1259" w:type="dxa"/>
            <w:shd w:val="clear" w:color="auto" w:fill="BFBFBF" w:themeFill="background1" w:themeFillShade="BF"/>
          </w:tcPr>
          <w:p w14:paraId="2ED01F2C"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68</w:t>
            </w:r>
          </w:p>
        </w:tc>
        <w:tc>
          <w:tcPr>
            <w:tcW w:w="1259" w:type="dxa"/>
            <w:shd w:val="clear" w:color="auto" w:fill="BFBFBF" w:themeFill="background1" w:themeFillShade="BF"/>
          </w:tcPr>
          <w:p w14:paraId="0148B354"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82.6</w:t>
            </w:r>
          </w:p>
        </w:tc>
        <w:tc>
          <w:tcPr>
            <w:tcW w:w="1259" w:type="dxa"/>
            <w:shd w:val="clear" w:color="auto" w:fill="BFBFBF" w:themeFill="background1" w:themeFillShade="BF"/>
          </w:tcPr>
          <w:p w14:paraId="5D1456E9"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92.6</w:t>
            </w:r>
          </w:p>
        </w:tc>
        <w:tc>
          <w:tcPr>
            <w:tcW w:w="1259" w:type="dxa"/>
            <w:shd w:val="clear" w:color="auto" w:fill="BFBFBF" w:themeFill="background1" w:themeFillShade="BF"/>
          </w:tcPr>
          <w:p w14:paraId="705707B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10.0</w:t>
            </w:r>
          </w:p>
        </w:tc>
        <w:tc>
          <w:tcPr>
            <w:tcW w:w="1259" w:type="dxa"/>
            <w:shd w:val="clear" w:color="auto" w:fill="BFBFBF" w:themeFill="background1" w:themeFillShade="BF"/>
          </w:tcPr>
          <w:p w14:paraId="55D06321"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89.0</w:t>
            </w:r>
          </w:p>
        </w:tc>
      </w:tr>
      <w:tr w:rsidR="00C3312E" w:rsidRPr="00C3312E" w14:paraId="6F17187D" w14:textId="77777777" w:rsidTr="000F5BEE">
        <w:tc>
          <w:tcPr>
            <w:tcW w:w="3055" w:type="dxa"/>
            <w:tcBorders>
              <w:top w:val="single" w:sz="4" w:space="0" w:color="auto"/>
              <w:left w:val="single" w:sz="4" w:space="0" w:color="auto"/>
            </w:tcBorders>
            <w:shd w:val="clear" w:color="auto" w:fill="auto"/>
          </w:tcPr>
          <w:p w14:paraId="2CFB3F5C"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Hispanic or Latino</w:t>
            </w:r>
          </w:p>
        </w:tc>
        <w:tc>
          <w:tcPr>
            <w:tcW w:w="1259" w:type="dxa"/>
          </w:tcPr>
          <w:p w14:paraId="3DBA76AD"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216</w:t>
            </w:r>
          </w:p>
        </w:tc>
        <w:tc>
          <w:tcPr>
            <w:tcW w:w="1259" w:type="dxa"/>
          </w:tcPr>
          <w:p w14:paraId="3567A4E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53.4</w:t>
            </w:r>
          </w:p>
        </w:tc>
        <w:tc>
          <w:tcPr>
            <w:tcW w:w="1259" w:type="dxa"/>
          </w:tcPr>
          <w:p w14:paraId="642E653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59.7</w:t>
            </w:r>
          </w:p>
        </w:tc>
        <w:tc>
          <w:tcPr>
            <w:tcW w:w="1259" w:type="dxa"/>
          </w:tcPr>
          <w:p w14:paraId="62EE08BB"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6.3</w:t>
            </w:r>
          </w:p>
        </w:tc>
        <w:tc>
          <w:tcPr>
            <w:tcW w:w="1259" w:type="dxa"/>
          </w:tcPr>
          <w:p w14:paraId="60D1E3A5"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62.0</w:t>
            </w:r>
          </w:p>
        </w:tc>
      </w:tr>
      <w:tr w:rsidR="00C3312E" w:rsidRPr="00C3312E" w14:paraId="6FC2A7A5" w14:textId="77777777" w:rsidTr="000F5BEE">
        <w:tc>
          <w:tcPr>
            <w:tcW w:w="3055" w:type="dxa"/>
            <w:tcBorders>
              <w:top w:val="single" w:sz="4" w:space="0" w:color="auto"/>
              <w:left w:val="single" w:sz="4" w:space="0" w:color="auto"/>
            </w:tcBorders>
            <w:shd w:val="clear" w:color="auto" w:fill="BFBFBF" w:themeFill="background1" w:themeFillShade="BF"/>
          </w:tcPr>
          <w:p w14:paraId="641374A9"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Multi-Race, non-Hispanic or Latino</w:t>
            </w:r>
          </w:p>
        </w:tc>
        <w:tc>
          <w:tcPr>
            <w:tcW w:w="1259" w:type="dxa"/>
            <w:shd w:val="clear" w:color="auto" w:fill="BFBFBF" w:themeFill="background1" w:themeFillShade="BF"/>
          </w:tcPr>
          <w:p w14:paraId="596F5DF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31</w:t>
            </w:r>
          </w:p>
        </w:tc>
        <w:tc>
          <w:tcPr>
            <w:tcW w:w="1259" w:type="dxa"/>
            <w:shd w:val="clear" w:color="auto" w:fill="BFBFBF" w:themeFill="background1" w:themeFillShade="BF"/>
          </w:tcPr>
          <w:p w14:paraId="2074E67C"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w:t>
            </w:r>
          </w:p>
        </w:tc>
        <w:tc>
          <w:tcPr>
            <w:tcW w:w="1259" w:type="dxa"/>
            <w:shd w:val="clear" w:color="auto" w:fill="BFBFBF" w:themeFill="background1" w:themeFillShade="BF"/>
          </w:tcPr>
          <w:p w14:paraId="3FBAF265"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w:t>
            </w:r>
          </w:p>
        </w:tc>
        <w:tc>
          <w:tcPr>
            <w:tcW w:w="1259" w:type="dxa"/>
            <w:shd w:val="clear" w:color="auto" w:fill="BFBFBF" w:themeFill="background1" w:themeFillShade="BF"/>
          </w:tcPr>
          <w:p w14:paraId="01F1F43F"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w:t>
            </w:r>
          </w:p>
        </w:tc>
        <w:tc>
          <w:tcPr>
            <w:tcW w:w="1259" w:type="dxa"/>
            <w:shd w:val="clear" w:color="auto" w:fill="BFBFBF" w:themeFill="background1" w:themeFillShade="BF"/>
          </w:tcPr>
          <w:p w14:paraId="3A33C96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w:t>
            </w:r>
          </w:p>
        </w:tc>
      </w:tr>
      <w:tr w:rsidR="00C3312E" w:rsidRPr="00C3312E" w14:paraId="24C2C551" w14:textId="77777777" w:rsidTr="000F5BEE">
        <w:tc>
          <w:tcPr>
            <w:tcW w:w="3055" w:type="dxa"/>
            <w:tcBorders>
              <w:top w:val="single" w:sz="4" w:space="0" w:color="auto"/>
              <w:left w:val="single" w:sz="4" w:space="0" w:color="auto"/>
            </w:tcBorders>
            <w:shd w:val="clear" w:color="auto" w:fill="auto"/>
          </w:tcPr>
          <w:p w14:paraId="19A6685E"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White</w:t>
            </w:r>
          </w:p>
        </w:tc>
        <w:tc>
          <w:tcPr>
            <w:tcW w:w="1259" w:type="dxa"/>
          </w:tcPr>
          <w:p w14:paraId="1FFEA8B4"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648</w:t>
            </w:r>
          </w:p>
        </w:tc>
        <w:tc>
          <w:tcPr>
            <w:tcW w:w="1259" w:type="dxa"/>
          </w:tcPr>
          <w:p w14:paraId="079AD0F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81.4</w:t>
            </w:r>
          </w:p>
        </w:tc>
        <w:tc>
          <w:tcPr>
            <w:tcW w:w="1259" w:type="dxa"/>
          </w:tcPr>
          <w:p w14:paraId="594F69D2"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79.3</w:t>
            </w:r>
          </w:p>
        </w:tc>
        <w:tc>
          <w:tcPr>
            <w:tcW w:w="1259" w:type="dxa"/>
          </w:tcPr>
          <w:p w14:paraId="569B922D"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-2.1</w:t>
            </w:r>
          </w:p>
        </w:tc>
        <w:tc>
          <w:tcPr>
            <w:tcW w:w="1259" w:type="dxa"/>
          </w:tcPr>
          <w:p w14:paraId="2943AFF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86.5</w:t>
            </w:r>
          </w:p>
        </w:tc>
      </w:tr>
      <w:tr w:rsidR="00C3312E" w:rsidRPr="00C3312E" w14:paraId="27E16F6A" w14:textId="77777777" w:rsidTr="000F5BEE">
        <w:tc>
          <w:tcPr>
            <w:tcW w:w="3055" w:type="dxa"/>
            <w:tcBorders>
              <w:top w:val="single" w:sz="4" w:space="0" w:color="auto"/>
              <w:left w:val="single" w:sz="4" w:space="0" w:color="auto"/>
            </w:tcBorders>
            <w:shd w:val="clear" w:color="auto" w:fill="BFBFBF" w:themeFill="background1" w:themeFillShade="BF"/>
          </w:tcPr>
          <w:p w14:paraId="5F187071"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High Needs</w:t>
            </w:r>
          </w:p>
        </w:tc>
        <w:tc>
          <w:tcPr>
            <w:tcW w:w="1259" w:type="dxa"/>
            <w:shd w:val="clear" w:color="auto" w:fill="BFBFBF" w:themeFill="background1" w:themeFillShade="BF"/>
          </w:tcPr>
          <w:p w14:paraId="479E8BD9"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424</w:t>
            </w:r>
          </w:p>
        </w:tc>
        <w:tc>
          <w:tcPr>
            <w:tcW w:w="1259" w:type="dxa"/>
            <w:shd w:val="clear" w:color="auto" w:fill="BFBFBF" w:themeFill="background1" w:themeFillShade="BF"/>
          </w:tcPr>
          <w:p w14:paraId="2867D3C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43.4</w:t>
            </w:r>
          </w:p>
        </w:tc>
        <w:tc>
          <w:tcPr>
            <w:tcW w:w="1259" w:type="dxa"/>
            <w:shd w:val="clear" w:color="auto" w:fill="BFBFBF" w:themeFill="background1" w:themeFillShade="BF"/>
          </w:tcPr>
          <w:p w14:paraId="3234723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53.1</w:t>
            </w:r>
          </w:p>
        </w:tc>
        <w:tc>
          <w:tcPr>
            <w:tcW w:w="1259" w:type="dxa"/>
            <w:shd w:val="clear" w:color="auto" w:fill="BFBFBF" w:themeFill="background1" w:themeFillShade="BF"/>
          </w:tcPr>
          <w:p w14:paraId="210EFB5B"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9.7</w:t>
            </w:r>
          </w:p>
        </w:tc>
        <w:tc>
          <w:tcPr>
            <w:tcW w:w="1259" w:type="dxa"/>
            <w:shd w:val="clear" w:color="auto" w:fill="BFBFBF" w:themeFill="background1" w:themeFillShade="BF"/>
          </w:tcPr>
          <w:p w14:paraId="56CD9531"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50.4</w:t>
            </w:r>
          </w:p>
        </w:tc>
      </w:tr>
      <w:tr w:rsidR="00C3312E" w:rsidRPr="00C3312E" w14:paraId="556FF354" w14:textId="77777777" w:rsidTr="000F5BEE">
        <w:tc>
          <w:tcPr>
            <w:tcW w:w="3055" w:type="dxa"/>
            <w:tcBorders>
              <w:top w:val="single" w:sz="4" w:space="0" w:color="auto"/>
              <w:left w:val="single" w:sz="4" w:space="0" w:color="auto"/>
            </w:tcBorders>
            <w:shd w:val="clear" w:color="auto" w:fill="auto"/>
          </w:tcPr>
          <w:p w14:paraId="0E7BFD98" w14:textId="77777777" w:rsidR="00C3312E" w:rsidRPr="00C3312E" w:rsidRDefault="00C3312E" w:rsidP="00C3312E">
            <w:pPr>
              <w:spacing w:after="0" w:line="240" w:lineRule="auto"/>
              <w:rPr>
                <w:rFonts w:eastAsia="Times New Roman" w:cs="Times New Roman"/>
                <w:sz w:val="20"/>
                <w:szCs w:val="20"/>
              </w:rPr>
            </w:pPr>
            <w:proofErr w:type="gramStart"/>
            <w:r w:rsidRPr="00C3312E">
              <w:rPr>
                <w:sz w:val="20"/>
                <w:szCs w:val="20"/>
              </w:rPr>
              <w:t>Economically disadvantaged</w:t>
            </w:r>
            <w:proofErr w:type="gramEnd"/>
          </w:p>
        </w:tc>
        <w:tc>
          <w:tcPr>
            <w:tcW w:w="1259" w:type="dxa"/>
          </w:tcPr>
          <w:p w14:paraId="45BC59A7"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262</w:t>
            </w:r>
          </w:p>
        </w:tc>
        <w:tc>
          <w:tcPr>
            <w:tcW w:w="1259" w:type="dxa"/>
          </w:tcPr>
          <w:p w14:paraId="65C846A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51.8</w:t>
            </w:r>
          </w:p>
        </w:tc>
        <w:tc>
          <w:tcPr>
            <w:tcW w:w="1259" w:type="dxa"/>
          </w:tcPr>
          <w:p w14:paraId="4F4BD04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50.8</w:t>
            </w:r>
          </w:p>
        </w:tc>
        <w:tc>
          <w:tcPr>
            <w:tcW w:w="1259" w:type="dxa"/>
          </w:tcPr>
          <w:p w14:paraId="2A8242E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-1.0</w:t>
            </w:r>
          </w:p>
        </w:tc>
        <w:tc>
          <w:tcPr>
            <w:tcW w:w="1259" w:type="dxa"/>
          </w:tcPr>
          <w:p w14:paraId="624D9592"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60.9</w:t>
            </w:r>
          </w:p>
        </w:tc>
      </w:tr>
      <w:tr w:rsidR="00C3312E" w:rsidRPr="00C3312E" w14:paraId="42DB9689" w14:textId="77777777" w:rsidTr="000F5BEE">
        <w:tc>
          <w:tcPr>
            <w:tcW w:w="3055" w:type="dxa"/>
            <w:tcBorders>
              <w:top w:val="single" w:sz="4" w:space="0" w:color="auto"/>
              <w:left w:val="single" w:sz="4" w:space="0" w:color="auto"/>
            </w:tcBorders>
            <w:shd w:val="clear" w:color="auto" w:fill="auto"/>
          </w:tcPr>
          <w:p w14:paraId="067117D7"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SWD</w:t>
            </w:r>
          </w:p>
        </w:tc>
        <w:tc>
          <w:tcPr>
            <w:tcW w:w="1259" w:type="dxa"/>
          </w:tcPr>
          <w:p w14:paraId="3BAC387F"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144</w:t>
            </w:r>
          </w:p>
        </w:tc>
        <w:tc>
          <w:tcPr>
            <w:tcW w:w="1259" w:type="dxa"/>
          </w:tcPr>
          <w:p w14:paraId="59002C1D"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37.7</w:t>
            </w:r>
          </w:p>
        </w:tc>
        <w:tc>
          <w:tcPr>
            <w:tcW w:w="1259" w:type="dxa"/>
          </w:tcPr>
          <w:p w14:paraId="76A9356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53.5</w:t>
            </w:r>
          </w:p>
        </w:tc>
        <w:tc>
          <w:tcPr>
            <w:tcW w:w="1259" w:type="dxa"/>
          </w:tcPr>
          <w:p w14:paraId="54731E64"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15.8</w:t>
            </w:r>
          </w:p>
        </w:tc>
        <w:tc>
          <w:tcPr>
            <w:tcW w:w="1259" w:type="dxa"/>
          </w:tcPr>
          <w:p w14:paraId="5F61B7F8"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43.2</w:t>
            </w:r>
          </w:p>
        </w:tc>
      </w:tr>
      <w:tr w:rsidR="00460897" w:rsidRPr="00C3312E" w14:paraId="653632B2" w14:textId="77777777" w:rsidTr="000F5BEE">
        <w:tc>
          <w:tcPr>
            <w:tcW w:w="3055" w:type="dxa"/>
            <w:tcBorders>
              <w:top w:val="single" w:sz="4" w:space="0" w:color="auto"/>
              <w:left w:val="single" w:sz="4" w:space="0" w:color="auto"/>
            </w:tcBorders>
            <w:shd w:val="clear" w:color="auto" w:fill="auto"/>
          </w:tcPr>
          <w:p w14:paraId="06E2AF15" w14:textId="65AE0E1D" w:rsidR="00460897" w:rsidRPr="00C3312E" w:rsidRDefault="00460897" w:rsidP="00460897">
            <w:pPr>
              <w:spacing w:after="0" w:line="240" w:lineRule="auto"/>
              <w:rPr>
                <w:rFonts w:eastAsia="Times New Roman" w:cs="Times New Roman"/>
                <w:sz w:val="20"/>
                <w:szCs w:val="20"/>
              </w:rPr>
            </w:pPr>
            <w:r w:rsidRPr="00C3312E">
              <w:rPr>
                <w:rFonts w:eastAsia="Times New Roman" w:cs="Times New Roman"/>
                <w:sz w:val="20"/>
                <w:szCs w:val="20"/>
              </w:rPr>
              <w:t>EL</w:t>
            </w:r>
          </w:p>
        </w:tc>
        <w:tc>
          <w:tcPr>
            <w:tcW w:w="1259" w:type="dxa"/>
          </w:tcPr>
          <w:p w14:paraId="416362BD" w14:textId="633604D2" w:rsidR="00460897" w:rsidRPr="00C3312E" w:rsidRDefault="00460897" w:rsidP="00460897">
            <w:pPr>
              <w:spacing w:after="0" w:line="240" w:lineRule="auto"/>
              <w:jc w:val="center"/>
              <w:rPr>
                <w:rFonts w:eastAsia="Times New Roman" w:cs="Times New Roman"/>
                <w:sz w:val="20"/>
                <w:szCs w:val="20"/>
              </w:rPr>
            </w:pPr>
            <w:r w:rsidRPr="00C3312E">
              <w:rPr>
                <w:rFonts w:eastAsia="Times New Roman" w:cs="Times New Roman"/>
                <w:sz w:val="20"/>
                <w:szCs w:val="20"/>
              </w:rPr>
              <w:t>173</w:t>
            </w:r>
          </w:p>
        </w:tc>
        <w:tc>
          <w:tcPr>
            <w:tcW w:w="1259" w:type="dxa"/>
          </w:tcPr>
          <w:p w14:paraId="1CCFC9A6" w14:textId="2A63D0C5" w:rsidR="00460897" w:rsidRPr="00C3312E" w:rsidRDefault="00460897" w:rsidP="00460897">
            <w:pPr>
              <w:spacing w:after="0" w:line="240" w:lineRule="auto"/>
              <w:jc w:val="center"/>
              <w:rPr>
                <w:rFonts w:eastAsia="Times New Roman" w:cs="Times New Roman"/>
                <w:sz w:val="20"/>
                <w:szCs w:val="20"/>
              </w:rPr>
            </w:pPr>
            <w:r w:rsidRPr="00C3312E">
              <w:rPr>
                <w:rFonts w:eastAsia="Times New Roman" w:cs="Times New Roman"/>
                <w:sz w:val="20"/>
                <w:szCs w:val="20"/>
              </w:rPr>
              <w:t>34.4</w:t>
            </w:r>
          </w:p>
        </w:tc>
        <w:tc>
          <w:tcPr>
            <w:tcW w:w="1259" w:type="dxa"/>
          </w:tcPr>
          <w:p w14:paraId="6A77A8BD" w14:textId="524CDF4C" w:rsidR="00460897" w:rsidRPr="00C3312E" w:rsidRDefault="00460897" w:rsidP="00460897">
            <w:pPr>
              <w:spacing w:after="0" w:line="240" w:lineRule="auto"/>
              <w:jc w:val="center"/>
              <w:rPr>
                <w:rFonts w:eastAsia="Times New Roman" w:cs="Times New Roman"/>
                <w:sz w:val="20"/>
                <w:szCs w:val="20"/>
              </w:rPr>
            </w:pPr>
            <w:r w:rsidRPr="00C3312E">
              <w:rPr>
                <w:rFonts w:eastAsia="Times New Roman" w:cs="Times New Roman"/>
                <w:sz w:val="20"/>
                <w:szCs w:val="20"/>
              </w:rPr>
              <w:t>38.7</w:t>
            </w:r>
          </w:p>
        </w:tc>
        <w:tc>
          <w:tcPr>
            <w:tcW w:w="1259" w:type="dxa"/>
          </w:tcPr>
          <w:p w14:paraId="0B9146C9" w14:textId="6A1F3642" w:rsidR="00460897" w:rsidRPr="00C3312E" w:rsidRDefault="00460897" w:rsidP="00460897">
            <w:pPr>
              <w:spacing w:after="0" w:line="240" w:lineRule="auto"/>
              <w:jc w:val="center"/>
              <w:rPr>
                <w:rFonts w:eastAsia="Times New Roman" w:cs="Times New Roman"/>
                <w:sz w:val="20"/>
                <w:szCs w:val="20"/>
              </w:rPr>
            </w:pPr>
            <w:r w:rsidRPr="00C3312E">
              <w:rPr>
                <w:rFonts w:eastAsia="Times New Roman" w:cs="Times New Roman"/>
                <w:sz w:val="20"/>
                <w:szCs w:val="20"/>
              </w:rPr>
              <w:t>4.3</w:t>
            </w:r>
          </w:p>
        </w:tc>
        <w:tc>
          <w:tcPr>
            <w:tcW w:w="1259" w:type="dxa"/>
          </w:tcPr>
          <w:p w14:paraId="5F55449D" w14:textId="4A715F0A" w:rsidR="00460897" w:rsidRPr="00C3312E" w:rsidRDefault="00460897" w:rsidP="00460897">
            <w:pPr>
              <w:spacing w:after="0" w:line="240" w:lineRule="auto"/>
              <w:jc w:val="center"/>
              <w:rPr>
                <w:rFonts w:eastAsia="Times New Roman" w:cs="Times New Roman"/>
                <w:sz w:val="20"/>
                <w:szCs w:val="20"/>
              </w:rPr>
            </w:pPr>
            <w:r w:rsidRPr="00C3312E">
              <w:rPr>
                <w:rFonts w:eastAsia="Times New Roman" w:cs="Times New Roman"/>
                <w:sz w:val="20"/>
                <w:szCs w:val="20"/>
              </w:rPr>
              <w:t>40.0</w:t>
            </w:r>
          </w:p>
        </w:tc>
      </w:tr>
      <w:tr w:rsidR="00C3312E" w:rsidRPr="00C3312E" w14:paraId="31EE1B27" w14:textId="77777777" w:rsidTr="000F5BEE">
        <w:tc>
          <w:tcPr>
            <w:tcW w:w="3055" w:type="dxa"/>
            <w:tcBorders>
              <w:top w:val="single" w:sz="4" w:space="0" w:color="auto"/>
              <w:left w:val="single" w:sz="4" w:space="0" w:color="auto"/>
            </w:tcBorders>
            <w:shd w:val="clear" w:color="auto" w:fill="BFBFBF" w:themeFill="background1" w:themeFillShade="BF"/>
          </w:tcPr>
          <w:p w14:paraId="7D2ADFC1"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All</w:t>
            </w:r>
          </w:p>
        </w:tc>
        <w:tc>
          <w:tcPr>
            <w:tcW w:w="1259" w:type="dxa"/>
            <w:shd w:val="clear" w:color="auto" w:fill="BFBFBF" w:themeFill="background1" w:themeFillShade="BF"/>
          </w:tcPr>
          <w:p w14:paraId="70D6F515"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1,045</w:t>
            </w:r>
          </w:p>
        </w:tc>
        <w:tc>
          <w:tcPr>
            <w:tcW w:w="1259" w:type="dxa"/>
            <w:shd w:val="clear" w:color="auto" w:fill="BFBFBF" w:themeFill="background1" w:themeFillShade="BF"/>
          </w:tcPr>
          <w:p w14:paraId="01851E25"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74.0</w:t>
            </w:r>
          </w:p>
        </w:tc>
        <w:tc>
          <w:tcPr>
            <w:tcW w:w="1259" w:type="dxa"/>
            <w:shd w:val="clear" w:color="auto" w:fill="BFBFBF" w:themeFill="background1" w:themeFillShade="BF"/>
          </w:tcPr>
          <w:p w14:paraId="6AE21A20"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75.1</w:t>
            </w:r>
          </w:p>
        </w:tc>
        <w:tc>
          <w:tcPr>
            <w:tcW w:w="1259" w:type="dxa"/>
            <w:shd w:val="clear" w:color="auto" w:fill="BFBFBF" w:themeFill="background1" w:themeFillShade="BF"/>
          </w:tcPr>
          <w:p w14:paraId="7F112FAA"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1.1</w:t>
            </w:r>
          </w:p>
        </w:tc>
        <w:tc>
          <w:tcPr>
            <w:tcW w:w="1259" w:type="dxa"/>
            <w:shd w:val="clear" w:color="auto" w:fill="BFBFBF" w:themeFill="background1" w:themeFillShade="BF"/>
          </w:tcPr>
          <w:p w14:paraId="515E83AB"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78.6</w:t>
            </w:r>
          </w:p>
        </w:tc>
      </w:tr>
    </w:tbl>
    <w:p w14:paraId="16946D74" w14:textId="77777777" w:rsidR="00C3312E" w:rsidRPr="00C3312E" w:rsidRDefault="00C3312E" w:rsidP="00C3312E">
      <w:pPr>
        <w:spacing w:after="0" w:line="240" w:lineRule="auto"/>
        <w:rPr>
          <w:rFonts w:eastAsia="Times New Roman" w:cs="Times New Roman"/>
        </w:rPr>
      </w:pPr>
    </w:p>
    <w:p w14:paraId="5737BD27" w14:textId="77777777" w:rsidR="00C3312E" w:rsidRPr="00C3312E" w:rsidRDefault="00C3312E" w:rsidP="00C3312E">
      <w:pPr>
        <w:spacing w:after="0" w:line="240" w:lineRule="auto"/>
        <w:rPr>
          <w:rFonts w:eastAsia="Times New Roman" w:cs="Times New Roman"/>
        </w:rPr>
      </w:pPr>
    </w:p>
    <w:p w14:paraId="10605BFC" w14:textId="77777777" w:rsidR="00C3312E" w:rsidRPr="00C3312E" w:rsidRDefault="00C3312E" w:rsidP="00C3312E">
      <w:pPr>
        <w:spacing w:after="0" w:line="240" w:lineRule="auto"/>
        <w:rPr>
          <w:rFonts w:eastAsia="Times New Roman" w:cs="Times New Roman"/>
        </w:rPr>
      </w:pPr>
    </w:p>
    <w:p w14:paraId="5BB58BB7" w14:textId="77777777" w:rsidR="00C3312E" w:rsidRPr="00C3312E" w:rsidRDefault="00C3312E" w:rsidP="00C3312E">
      <w:pPr>
        <w:spacing w:after="0" w:line="240" w:lineRule="auto"/>
        <w:rPr>
          <w:rFonts w:eastAsia="Times New Roman" w:cs="Times New Roman"/>
        </w:rPr>
      </w:pPr>
    </w:p>
    <w:p w14:paraId="5EBDDC05" w14:textId="77777777" w:rsidR="00C3312E" w:rsidRPr="00C3312E" w:rsidRDefault="00C3312E" w:rsidP="00C3312E">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 Framingham Public Schools"/>
        <w:tblDescription w:val="Progress toward Attaining English Language Proficiency, 2017–2018&#10;"/>
      </w:tblPr>
      <w:tblGrid>
        <w:gridCol w:w="850"/>
        <w:gridCol w:w="950"/>
        <w:gridCol w:w="750"/>
        <w:gridCol w:w="850"/>
        <w:gridCol w:w="850"/>
        <w:gridCol w:w="850"/>
        <w:gridCol w:w="930"/>
        <w:gridCol w:w="770"/>
        <w:gridCol w:w="850"/>
        <w:gridCol w:w="850"/>
        <w:gridCol w:w="850"/>
      </w:tblGrid>
      <w:tr w:rsidR="00C3312E" w:rsidRPr="00C3312E" w14:paraId="25D75C0E" w14:textId="77777777" w:rsidTr="000F5BEE">
        <w:tc>
          <w:tcPr>
            <w:tcW w:w="9350" w:type="dxa"/>
            <w:gridSpan w:val="11"/>
            <w:tcBorders>
              <w:top w:val="nil"/>
              <w:left w:val="nil"/>
              <w:right w:val="nil"/>
            </w:tcBorders>
          </w:tcPr>
          <w:p w14:paraId="2F454D73"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lastRenderedPageBreak/>
              <w:t xml:space="preserve">Table 28: </w:t>
            </w:r>
            <w:r w:rsidRPr="00C3312E">
              <w:rPr>
                <w:rFonts w:cs="Times New Roman"/>
                <w:b/>
                <w:sz w:val="20"/>
                <w:szCs w:val="20"/>
              </w:rPr>
              <w:t>Framingham Public Schools</w:t>
            </w:r>
          </w:p>
          <w:p w14:paraId="10B90A93" w14:textId="217E9947" w:rsidR="00C3312E" w:rsidRPr="00C3312E" w:rsidRDefault="00C3312E">
            <w:pPr>
              <w:spacing w:after="0" w:line="240" w:lineRule="auto"/>
              <w:jc w:val="center"/>
              <w:rPr>
                <w:rFonts w:eastAsia="Times New Roman" w:cs="Times New Roman"/>
                <w:sz w:val="20"/>
                <w:szCs w:val="20"/>
              </w:rPr>
            </w:pPr>
            <w:r w:rsidRPr="00C3312E">
              <w:rPr>
                <w:rFonts w:eastAsia="Times New Roman" w:cs="Times New Roman"/>
                <w:b/>
                <w:sz w:val="20"/>
                <w:szCs w:val="20"/>
              </w:rPr>
              <w:t xml:space="preserve">Progress toward </w:t>
            </w:r>
            <w:r w:rsidR="00754040">
              <w:rPr>
                <w:rFonts w:eastAsia="Times New Roman" w:cs="Times New Roman"/>
                <w:b/>
                <w:sz w:val="20"/>
                <w:szCs w:val="20"/>
              </w:rPr>
              <w:t>A</w:t>
            </w:r>
            <w:r w:rsidR="00754040" w:rsidRPr="00C3312E">
              <w:rPr>
                <w:rFonts w:eastAsia="Times New Roman" w:cs="Times New Roman"/>
                <w:b/>
                <w:sz w:val="20"/>
                <w:szCs w:val="20"/>
              </w:rPr>
              <w:t xml:space="preserve">ttaining </w:t>
            </w:r>
            <w:r w:rsidRPr="00C3312E">
              <w:rPr>
                <w:rFonts w:eastAsia="Times New Roman" w:cs="Times New Roman"/>
                <w:b/>
                <w:sz w:val="20"/>
                <w:szCs w:val="20"/>
              </w:rPr>
              <w:t xml:space="preserve">English </w:t>
            </w:r>
            <w:r w:rsidR="00754040">
              <w:rPr>
                <w:rFonts w:eastAsia="Times New Roman" w:cs="Times New Roman"/>
                <w:b/>
                <w:sz w:val="20"/>
                <w:szCs w:val="20"/>
              </w:rPr>
              <w:t>L</w:t>
            </w:r>
            <w:r w:rsidR="00754040" w:rsidRPr="00C3312E">
              <w:rPr>
                <w:rFonts w:eastAsia="Times New Roman" w:cs="Times New Roman"/>
                <w:b/>
                <w:sz w:val="20"/>
                <w:szCs w:val="20"/>
              </w:rPr>
              <w:t xml:space="preserve">anguage </w:t>
            </w:r>
            <w:r w:rsidR="00754040">
              <w:rPr>
                <w:rFonts w:eastAsia="Times New Roman" w:cs="Times New Roman"/>
                <w:b/>
                <w:sz w:val="20"/>
                <w:szCs w:val="20"/>
              </w:rPr>
              <w:t>P</w:t>
            </w:r>
            <w:r w:rsidR="00754040" w:rsidRPr="00C3312E">
              <w:rPr>
                <w:rFonts w:eastAsia="Times New Roman" w:cs="Times New Roman"/>
                <w:b/>
                <w:sz w:val="20"/>
                <w:szCs w:val="20"/>
              </w:rPr>
              <w:t>roficiency</w:t>
            </w:r>
            <w:r w:rsidR="00754040">
              <w:rPr>
                <w:rFonts w:eastAsia="Times New Roman" w:cs="Times New Roman"/>
                <w:b/>
                <w:sz w:val="20"/>
                <w:szCs w:val="20"/>
              </w:rPr>
              <w:t>, 2017–2018</w:t>
            </w:r>
          </w:p>
        </w:tc>
      </w:tr>
      <w:tr w:rsidR="00C3312E" w:rsidRPr="00C3312E" w14:paraId="073C6869" w14:textId="77777777" w:rsidTr="000F5BEE">
        <w:tc>
          <w:tcPr>
            <w:tcW w:w="850" w:type="dxa"/>
            <w:tcBorders>
              <w:bottom w:val="single" w:sz="4" w:space="0" w:color="auto"/>
            </w:tcBorders>
            <w:shd w:val="clear" w:color="auto" w:fill="BFBFBF" w:themeFill="background1" w:themeFillShade="BF"/>
          </w:tcPr>
          <w:p w14:paraId="51F356D5" w14:textId="77777777" w:rsidR="00C3312E" w:rsidRPr="00C3312E" w:rsidRDefault="00C3312E" w:rsidP="00C3312E">
            <w:pPr>
              <w:spacing w:after="0" w:line="240" w:lineRule="auto"/>
              <w:jc w:val="center"/>
              <w:rPr>
                <w:rFonts w:eastAsia="Times New Roman" w:cs="Times New Roman"/>
                <w:b/>
                <w:sz w:val="20"/>
                <w:szCs w:val="20"/>
              </w:rPr>
            </w:pPr>
          </w:p>
        </w:tc>
        <w:tc>
          <w:tcPr>
            <w:tcW w:w="4250" w:type="dxa"/>
            <w:gridSpan w:val="5"/>
            <w:tcBorders>
              <w:bottom w:val="single" w:sz="4" w:space="0" w:color="auto"/>
            </w:tcBorders>
            <w:shd w:val="clear" w:color="auto" w:fill="BFBFBF" w:themeFill="background1" w:themeFillShade="BF"/>
          </w:tcPr>
          <w:p w14:paraId="7F5709BC"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Non-high school</w:t>
            </w:r>
          </w:p>
        </w:tc>
        <w:tc>
          <w:tcPr>
            <w:tcW w:w="4250" w:type="dxa"/>
            <w:gridSpan w:val="5"/>
            <w:tcBorders>
              <w:bottom w:val="single" w:sz="4" w:space="0" w:color="auto"/>
            </w:tcBorders>
            <w:shd w:val="clear" w:color="auto" w:fill="BFBFBF" w:themeFill="background1" w:themeFillShade="BF"/>
          </w:tcPr>
          <w:p w14:paraId="491D61C4"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High school</w:t>
            </w:r>
          </w:p>
        </w:tc>
      </w:tr>
      <w:tr w:rsidR="00C3312E" w:rsidRPr="00C3312E" w14:paraId="059FD33C" w14:textId="77777777" w:rsidTr="000F5BEE">
        <w:tc>
          <w:tcPr>
            <w:tcW w:w="850" w:type="dxa"/>
            <w:shd w:val="clear" w:color="auto" w:fill="BFBFBF" w:themeFill="background1" w:themeFillShade="BF"/>
          </w:tcPr>
          <w:p w14:paraId="337E2D35"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Group</w:t>
            </w:r>
          </w:p>
        </w:tc>
        <w:tc>
          <w:tcPr>
            <w:tcW w:w="950" w:type="dxa"/>
            <w:shd w:val="clear" w:color="auto" w:fill="BFBFBF" w:themeFill="background1" w:themeFillShade="BF"/>
          </w:tcPr>
          <w:p w14:paraId="0A99126A"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N (2018)</w:t>
            </w:r>
          </w:p>
        </w:tc>
        <w:tc>
          <w:tcPr>
            <w:tcW w:w="750" w:type="dxa"/>
            <w:shd w:val="clear" w:color="auto" w:fill="BFBFBF" w:themeFill="background1" w:themeFillShade="BF"/>
          </w:tcPr>
          <w:p w14:paraId="2D641CEA"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2017</w:t>
            </w:r>
          </w:p>
        </w:tc>
        <w:tc>
          <w:tcPr>
            <w:tcW w:w="850" w:type="dxa"/>
            <w:shd w:val="clear" w:color="auto" w:fill="BFBFBF" w:themeFill="background1" w:themeFillShade="BF"/>
          </w:tcPr>
          <w:p w14:paraId="74B5FD85"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2018</w:t>
            </w:r>
          </w:p>
        </w:tc>
        <w:tc>
          <w:tcPr>
            <w:tcW w:w="850" w:type="dxa"/>
            <w:shd w:val="clear" w:color="auto" w:fill="BFBFBF" w:themeFill="background1" w:themeFillShade="BF"/>
          </w:tcPr>
          <w:p w14:paraId="04CBC038"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Change</w:t>
            </w:r>
          </w:p>
        </w:tc>
        <w:tc>
          <w:tcPr>
            <w:tcW w:w="850" w:type="dxa"/>
            <w:shd w:val="clear" w:color="auto" w:fill="BFBFBF" w:themeFill="background1" w:themeFillShade="BF"/>
          </w:tcPr>
          <w:p w14:paraId="1799E336" w14:textId="77777777" w:rsidR="00C3312E" w:rsidRPr="00C3312E" w:rsidRDefault="00C3312E" w:rsidP="00C3312E">
            <w:pPr>
              <w:spacing w:after="0" w:line="240" w:lineRule="auto"/>
              <w:jc w:val="center"/>
              <w:rPr>
                <w:rFonts w:eastAsia="Times New Roman" w:cs="Times New Roman"/>
                <w:b/>
                <w:sz w:val="20"/>
                <w:szCs w:val="20"/>
              </w:rPr>
            </w:pPr>
            <w:r w:rsidRPr="00C3312E">
              <w:rPr>
                <w:rFonts w:eastAsia="Times New Roman" w:cs="Times New Roman"/>
                <w:b/>
                <w:sz w:val="20"/>
                <w:szCs w:val="20"/>
              </w:rPr>
              <w:t>Target</w:t>
            </w:r>
          </w:p>
        </w:tc>
        <w:tc>
          <w:tcPr>
            <w:tcW w:w="930" w:type="dxa"/>
            <w:shd w:val="clear" w:color="auto" w:fill="BFBFBF" w:themeFill="background1" w:themeFillShade="BF"/>
          </w:tcPr>
          <w:p w14:paraId="05AE514F" w14:textId="77777777" w:rsidR="00C3312E" w:rsidRPr="00C3312E" w:rsidRDefault="00C3312E" w:rsidP="00C3312E">
            <w:pPr>
              <w:spacing w:after="0" w:line="240" w:lineRule="auto"/>
              <w:jc w:val="center"/>
              <w:rPr>
                <w:b/>
                <w:sz w:val="20"/>
                <w:szCs w:val="20"/>
              </w:rPr>
            </w:pPr>
            <w:r w:rsidRPr="00C3312E">
              <w:rPr>
                <w:b/>
                <w:sz w:val="20"/>
                <w:szCs w:val="20"/>
              </w:rPr>
              <w:t>N (2018)</w:t>
            </w:r>
          </w:p>
        </w:tc>
        <w:tc>
          <w:tcPr>
            <w:tcW w:w="770" w:type="dxa"/>
            <w:shd w:val="clear" w:color="auto" w:fill="BFBFBF" w:themeFill="background1" w:themeFillShade="BF"/>
          </w:tcPr>
          <w:p w14:paraId="0B71EA24" w14:textId="77777777" w:rsidR="00C3312E" w:rsidRPr="00C3312E" w:rsidRDefault="00C3312E" w:rsidP="00C3312E">
            <w:pPr>
              <w:spacing w:after="0" w:line="240" w:lineRule="auto"/>
              <w:jc w:val="center"/>
              <w:rPr>
                <w:b/>
                <w:sz w:val="20"/>
                <w:szCs w:val="20"/>
              </w:rPr>
            </w:pPr>
            <w:r w:rsidRPr="00C3312E">
              <w:rPr>
                <w:b/>
                <w:sz w:val="20"/>
                <w:szCs w:val="20"/>
              </w:rPr>
              <w:t>2017</w:t>
            </w:r>
          </w:p>
        </w:tc>
        <w:tc>
          <w:tcPr>
            <w:tcW w:w="850" w:type="dxa"/>
            <w:shd w:val="clear" w:color="auto" w:fill="BFBFBF" w:themeFill="background1" w:themeFillShade="BF"/>
          </w:tcPr>
          <w:p w14:paraId="2C302186" w14:textId="77777777" w:rsidR="00C3312E" w:rsidRPr="00C3312E" w:rsidRDefault="00C3312E" w:rsidP="00C3312E">
            <w:pPr>
              <w:spacing w:after="0" w:line="240" w:lineRule="auto"/>
              <w:jc w:val="center"/>
              <w:rPr>
                <w:b/>
                <w:sz w:val="20"/>
                <w:szCs w:val="20"/>
              </w:rPr>
            </w:pPr>
            <w:r w:rsidRPr="00C3312E">
              <w:rPr>
                <w:b/>
                <w:sz w:val="20"/>
                <w:szCs w:val="20"/>
              </w:rPr>
              <w:t>2018</w:t>
            </w:r>
          </w:p>
        </w:tc>
        <w:tc>
          <w:tcPr>
            <w:tcW w:w="850" w:type="dxa"/>
            <w:shd w:val="clear" w:color="auto" w:fill="BFBFBF" w:themeFill="background1" w:themeFillShade="BF"/>
          </w:tcPr>
          <w:p w14:paraId="4D82DF3B" w14:textId="77777777" w:rsidR="00C3312E" w:rsidRPr="00C3312E" w:rsidRDefault="00C3312E" w:rsidP="00C3312E">
            <w:pPr>
              <w:spacing w:after="0" w:line="240" w:lineRule="auto"/>
              <w:jc w:val="center"/>
              <w:rPr>
                <w:b/>
                <w:sz w:val="20"/>
                <w:szCs w:val="20"/>
              </w:rPr>
            </w:pPr>
            <w:r w:rsidRPr="00C3312E">
              <w:rPr>
                <w:b/>
                <w:sz w:val="20"/>
                <w:szCs w:val="20"/>
              </w:rPr>
              <w:t>Change</w:t>
            </w:r>
          </w:p>
        </w:tc>
        <w:tc>
          <w:tcPr>
            <w:tcW w:w="850" w:type="dxa"/>
            <w:shd w:val="clear" w:color="auto" w:fill="BFBFBF" w:themeFill="background1" w:themeFillShade="BF"/>
          </w:tcPr>
          <w:p w14:paraId="30BAB433" w14:textId="77777777" w:rsidR="00C3312E" w:rsidRPr="00C3312E" w:rsidRDefault="00C3312E" w:rsidP="00C3312E">
            <w:pPr>
              <w:spacing w:after="0" w:line="240" w:lineRule="auto"/>
              <w:jc w:val="center"/>
              <w:rPr>
                <w:b/>
                <w:sz w:val="20"/>
                <w:szCs w:val="20"/>
              </w:rPr>
            </w:pPr>
            <w:r w:rsidRPr="00C3312E">
              <w:rPr>
                <w:b/>
                <w:sz w:val="20"/>
                <w:szCs w:val="20"/>
              </w:rPr>
              <w:t>Target</w:t>
            </w:r>
          </w:p>
        </w:tc>
      </w:tr>
      <w:tr w:rsidR="00C3312E" w:rsidRPr="00C3312E" w14:paraId="19369140" w14:textId="77777777" w:rsidTr="000F5BEE">
        <w:tc>
          <w:tcPr>
            <w:tcW w:w="850" w:type="dxa"/>
          </w:tcPr>
          <w:p w14:paraId="5F775BF1" w14:textId="10CAF9AF" w:rsidR="00C3312E" w:rsidRPr="00C3312E" w:rsidRDefault="00754040">
            <w:pPr>
              <w:spacing w:after="0" w:line="240" w:lineRule="auto"/>
              <w:rPr>
                <w:rFonts w:eastAsia="Times New Roman" w:cs="Times New Roman"/>
                <w:sz w:val="20"/>
                <w:szCs w:val="20"/>
              </w:rPr>
            </w:pPr>
            <w:r w:rsidRPr="00C3312E">
              <w:rPr>
                <w:rFonts w:eastAsia="Times New Roman" w:cs="Times New Roman"/>
                <w:sz w:val="20"/>
                <w:szCs w:val="20"/>
              </w:rPr>
              <w:t>E</w:t>
            </w:r>
            <w:r>
              <w:rPr>
                <w:rFonts w:eastAsia="Times New Roman" w:cs="Times New Roman"/>
                <w:sz w:val="20"/>
                <w:szCs w:val="20"/>
              </w:rPr>
              <w:t>L</w:t>
            </w:r>
          </w:p>
        </w:tc>
        <w:tc>
          <w:tcPr>
            <w:tcW w:w="950" w:type="dxa"/>
          </w:tcPr>
          <w:p w14:paraId="010F20C5" w14:textId="77777777" w:rsidR="00C3312E" w:rsidRPr="00C3312E" w:rsidRDefault="00C3312E" w:rsidP="00C3312E">
            <w:pPr>
              <w:spacing w:after="0" w:line="240" w:lineRule="auto"/>
              <w:jc w:val="center"/>
              <w:rPr>
                <w:rFonts w:eastAsia="Times New Roman" w:cs="Times New Roman"/>
                <w:sz w:val="20"/>
                <w:szCs w:val="20"/>
              </w:rPr>
            </w:pPr>
            <w:r w:rsidRPr="00C3312E">
              <w:rPr>
                <w:rFonts w:eastAsia="Times New Roman" w:cs="Times New Roman"/>
                <w:sz w:val="20"/>
                <w:szCs w:val="20"/>
              </w:rPr>
              <w:t>1,176</w:t>
            </w:r>
          </w:p>
        </w:tc>
        <w:tc>
          <w:tcPr>
            <w:tcW w:w="750" w:type="dxa"/>
          </w:tcPr>
          <w:p w14:paraId="3C68CE7A" w14:textId="77777777" w:rsidR="00C3312E" w:rsidRPr="00C3312E" w:rsidRDefault="00C3312E" w:rsidP="00C3312E">
            <w:pPr>
              <w:spacing w:after="0" w:line="240" w:lineRule="auto"/>
              <w:jc w:val="center"/>
              <w:rPr>
                <w:sz w:val="20"/>
                <w:szCs w:val="20"/>
              </w:rPr>
            </w:pPr>
            <w:r w:rsidRPr="00C3312E">
              <w:rPr>
                <w:sz w:val="20"/>
                <w:szCs w:val="20"/>
              </w:rPr>
              <w:t>56.6</w:t>
            </w:r>
          </w:p>
        </w:tc>
        <w:tc>
          <w:tcPr>
            <w:tcW w:w="850" w:type="dxa"/>
          </w:tcPr>
          <w:p w14:paraId="1BC5FEE8" w14:textId="77777777" w:rsidR="00C3312E" w:rsidRPr="00C3312E" w:rsidRDefault="00C3312E" w:rsidP="00C3312E">
            <w:pPr>
              <w:spacing w:after="0" w:line="240" w:lineRule="auto"/>
              <w:jc w:val="center"/>
              <w:rPr>
                <w:sz w:val="20"/>
                <w:szCs w:val="20"/>
              </w:rPr>
            </w:pPr>
            <w:r w:rsidRPr="00C3312E">
              <w:rPr>
                <w:sz w:val="20"/>
                <w:szCs w:val="20"/>
              </w:rPr>
              <w:t>56.7</w:t>
            </w:r>
          </w:p>
        </w:tc>
        <w:tc>
          <w:tcPr>
            <w:tcW w:w="850" w:type="dxa"/>
          </w:tcPr>
          <w:p w14:paraId="15D0CE65" w14:textId="77777777" w:rsidR="00C3312E" w:rsidRPr="00C3312E" w:rsidRDefault="00C3312E" w:rsidP="00C3312E">
            <w:pPr>
              <w:spacing w:after="0" w:line="240" w:lineRule="auto"/>
              <w:jc w:val="center"/>
              <w:rPr>
                <w:sz w:val="20"/>
                <w:szCs w:val="20"/>
              </w:rPr>
            </w:pPr>
            <w:r w:rsidRPr="00C3312E">
              <w:rPr>
                <w:sz w:val="20"/>
                <w:szCs w:val="20"/>
              </w:rPr>
              <w:t>0.1</w:t>
            </w:r>
          </w:p>
        </w:tc>
        <w:tc>
          <w:tcPr>
            <w:tcW w:w="850" w:type="dxa"/>
          </w:tcPr>
          <w:p w14:paraId="068AB071" w14:textId="77777777" w:rsidR="00C3312E" w:rsidRPr="00C3312E" w:rsidRDefault="00C3312E" w:rsidP="00C3312E">
            <w:pPr>
              <w:spacing w:after="0" w:line="240" w:lineRule="auto"/>
              <w:jc w:val="center"/>
              <w:rPr>
                <w:sz w:val="20"/>
                <w:szCs w:val="20"/>
              </w:rPr>
            </w:pPr>
            <w:r w:rsidRPr="00C3312E">
              <w:rPr>
                <w:sz w:val="20"/>
                <w:szCs w:val="20"/>
              </w:rPr>
              <w:t>57.1</w:t>
            </w:r>
          </w:p>
        </w:tc>
        <w:tc>
          <w:tcPr>
            <w:tcW w:w="930" w:type="dxa"/>
          </w:tcPr>
          <w:p w14:paraId="119F97ED" w14:textId="77777777" w:rsidR="00C3312E" w:rsidRPr="00C3312E" w:rsidRDefault="00C3312E" w:rsidP="00C3312E">
            <w:pPr>
              <w:spacing w:after="0" w:line="240" w:lineRule="auto"/>
              <w:jc w:val="center"/>
              <w:rPr>
                <w:sz w:val="20"/>
                <w:szCs w:val="20"/>
              </w:rPr>
            </w:pPr>
            <w:r w:rsidRPr="00C3312E">
              <w:rPr>
                <w:sz w:val="20"/>
                <w:szCs w:val="20"/>
              </w:rPr>
              <w:t>183</w:t>
            </w:r>
          </w:p>
        </w:tc>
        <w:tc>
          <w:tcPr>
            <w:tcW w:w="770" w:type="dxa"/>
          </w:tcPr>
          <w:p w14:paraId="32940D68" w14:textId="77777777" w:rsidR="00C3312E" w:rsidRPr="00C3312E" w:rsidRDefault="00C3312E" w:rsidP="00C3312E">
            <w:pPr>
              <w:spacing w:after="0" w:line="240" w:lineRule="auto"/>
              <w:jc w:val="center"/>
              <w:rPr>
                <w:sz w:val="20"/>
                <w:szCs w:val="20"/>
              </w:rPr>
            </w:pPr>
            <w:r w:rsidRPr="00C3312E">
              <w:rPr>
                <w:sz w:val="20"/>
                <w:szCs w:val="20"/>
              </w:rPr>
              <w:t>38.7</w:t>
            </w:r>
          </w:p>
        </w:tc>
        <w:tc>
          <w:tcPr>
            <w:tcW w:w="850" w:type="dxa"/>
          </w:tcPr>
          <w:p w14:paraId="74D30BFF" w14:textId="77777777" w:rsidR="00C3312E" w:rsidRPr="00C3312E" w:rsidRDefault="00C3312E" w:rsidP="00C3312E">
            <w:pPr>
              <w:spacing w:after="0" w:line="240" w:lineRule="auto"/>
              <w:jc w:val="center"/>
              <w:rPr>
                <w:sz w:val="20"/>
                <w:szCs w:val="20"/>
              </w:rPr>
            </w:pPr>
            <w:r w:rsidRPr="00C3312E">
              <w:rPr>
                <w:sz w:val="20"/>
                <w:szCs w:val="20"/>
              </w:rPr>
              <w:t>37.2</w:t>
            </w:r>
          </w:p>
        </w:tc>
        <w:tc>
          <w:tcPr>
            <w:tcW w:w="850" w:type="dxa"/>
          </w:tcPr>
          <w:p w14:paraId="5F801ED6" w14:textId="77777777" w:rsidR="00C3312E" w:rsidRPr="00C3312E" w:rsidRDefault="00C3312E" w:rsidP="00C3312E">
            <w:pPr>
              <w:spacing w:after="0" w:line="240" w:lineRule="auto"/>
              <w:jc w:val="center"/>
              <w:rPr>
                <w:sz w:val="20"/>
                <w:szCs w:val="20"/>
              </w:rPr>
            </w:pPr>
            <w:r w:rsidRPr="00C3312E">
              <w:rPr>
                <w:sz w:val="20"/>
                <w:szCs w:val="20"/>
              </w:rPr>
              <w:t>-1.5</w:t>
            </w:r>
          </w:p>
        </w:tc>
        <w:tc>
          <w:tcPr>
            <w:tcW w:w="850" w:type="dxa"/>
          </w:tcPr>
          <w:p w14:paraId="512BD27B" w14:textId="77777777" w:rsidR="00C3312E" w:rsidRPr="00C3312E" w:rsidRDefault="00C3312E" w:rsidP="00C3312E">
            <w:pPr>
              <w:spacing w:after="0" w:line="240" w:lineRule="auto"/>
              <w:jc w:val="center"/>
              <w:rPr>
                <w:sz w:val="20"/>
                <w:szCs w:val="20"/>
              </w:rPr>
            </w:pPr>
            <w:r w:rsidRPr="00C3312E">
              <w:rPr>
                <w:sz w:val="20"/>
                <w:szCs w:val="20"/>
              </w:rPr>
              <w:t>43.1</w:t>
            </w:r>
          </w:p>
        </w:tc>
      </w:tr>
      <w:tr w:rsidR="00C3312E" w:rsidRPr="00C3312E" w14:paraId="0D31A739" w14:textId="77777777" w:rsidTr="000F5BEE">
        <w:tc>
          <w:tcPr>
            <w:tcW w:w="850" w:type="dxa"/>
          </w:tcPr>
          <w:p w14:paraId="5D6F128C" w14:textId="77777777" w:rsidR="00C3312E" w:rsidRPr="00C3312E" w:rsidRDefault="00C3312E" w:rsidP="00C3312E">
            <w:pPr>
              <w:spacing w:after="0" w:line="240" w:lineRule="auto"/>
              <w:rPr>
                <w:rFonts w:eastAsia="Times New Roman" w:cs="Times New Roman"/>
                <w:sz w:val="20"/>
                <w:szCs w:val="20"/>
              </w:rPr>
            </w:pPr>
            <w:r w:rsidRPr="00C3312E">
              <w:rPr>
                <w:rFonts w:eastAsia="Times New Roman" w:cs="Times New Roman"/>
                <w:sz w:val="20"/>
                <w:szCs w:val="20"/>
              </w:rPr>
              <w:t>All</w:t>
            </w:r>
          </w:p>
        </w:tc>
        <w:tc>
          <w:tcPr>
            <w:tcW w:w="950" w:type="dxa"/>
          </w:tcPr>
          <w:p w14:paraId="09277DF2" w14:textId="77777777" w:rsidR="00C3312E" w:rsidRPr="00C3312E" w:rsidRDefault="00C3312E" w:rsidP="00C3312E">
            <w:pPr>
              <w:spacing w:after="0" w:line="240" w:lineRule="auto"/>
              <w:jc w:val="center"/>
              <w:rPr>
                <w:sz w:val="20"/>
                <w:szCs w:val="20"/>
              </w:rPr>
            </w:pPr>
            <w:r w:rsidRPr="00C3312E">
              <w:rPr>
                <w:sz w:val="20"/>
                <w:szCs w:val="20"/>
              </w:rPr>
              <w:t>1,176</w:t>
            </w:r>
          </w:p>
        </w:tc>
        <w:tc>
          <w:tcPr>
            <w:tcW w:w="750" w:type="dxa"/>
          </w:tcPr>
          <w:p w14:paraId="4B1774C5" w14:textId="77777777" w:rsidR="00C3312E" w:rsidRPr="00C3312E" w:rsidRDefault="00C3312E" w:rsidP="00C3312E">
            <w:pPr>
              <w:spacing w:after="0" w:line="240" w:lineRule="auto"/>
              <w:jc w:val="center"/>
              <w:rPr>
                <w:sz w:val="20"/>
                <w:szCs w:val="20"/>
              </w:rPr>
            </w:pPr>
            <w:r w:rsidRPr="00C3312E">
              <w:rPr>
                <w:sz w:val="20"/>
                <w:szCs w:val="20"/>
              </w:rPr>
              <w:t>56.6</w:t>
            </w:r>
          </w:p>
        </w:tc>
        <w:tc>
          <w:tcPr>
            <w:tcW w:w="850" w:type="dxa"/>
          </w:tcPr>
          <w:p w14:paraId="5DE78AD2" w14:textId="77777777" w:rsidR="00C3312E" w:rsidRPr="00C3312E" w:rsidRDefault="00C3312E" w:rsidP="00C3312E">
            <w:pPr>
              <w:spacing w:after="0" w:line="240" w:lineRule="auto"/>
              <w:jc w:val="center"/>
              <w:rPr>
                <w:sz w:val="20"/>
                <w:szCs w:val="20"/>
              </w:rPr>
            </w:pPr>
            <w:r w:rsidRPr="00C3312E">
              <w:rPr>
                <w:sz w:val="20"/>
                <w:szCs w:val="20"/>
              </w:rPr>
              <w:t>56.7</w:t>
            </w:r>
          </w:p>
        </w:tc>
        <w:tc>
          <w:tcPr>
            <w:tcW w:w="850" w:type="dxa"/>
          </w:tcPr>
          <w:p w14:paraId="16C591A7" w14:textId="77777777" w:rsidR="00C3312E" w:rsidRPr="00C3312E" w:rsidRDefault="00C3312E" w:rsidP="00C3312E">
            <w:pPr>
              <w:spacing w:after="0" w:line="240" w:lineRule="auto"/>
              <w:jc w:val="center"/>
              <w:rPr>
                <w:sz w:val="20"/>
                <w:szCs w:val="20"/>
              </w:rPr>
            </w:pPr>
            <w:r w:rsidRPr="00C3312E">
              <w:rPr>
                <w:sz w:val="20"/>
                <w:szCs w:val="20"/>
              </w:rPr>
              <w:t>0.1</w:t>
            </w:r>
          </w:p>
        </w:tc>
        <w:tc>
          <w:tcPr>
            <w:tcW w:w="850" w:type="dxa"/>
          </w:tcPr>
          <w:p w14:paraId="347174B5" w14:textId="77777777" w:rsidR="00C3312E" w:rsidRPr="00C3312E" w:rsidRDefault="00C3312E" w:rsidP="00C3312E">
            <w:pPr>
              <w:spacing w:after="0" w:line="240" w:lineRule="auto"/>
              <w:jc w:val="center"/>
              <w:rPr>
                <w:sz w:val="20"/>
                <w:szCs w:val="20"/>
              </w:rPr>
            </w:pPr>
            <w:r w:rsidRPr="00C3312E">
              <w:rPr>
                <w:sz w:val="20"/>
                <w:szCs w:val="20"/>
              </w:rPr>
              <w:t>57.1</w:t>
            </w:r>
          </w:p>
        </w:tc>
        <w:tc>
          <w:tcPr>
            <w:tcW w:w="930" w:type="dxa"/>
          </w:tcPr>
          <w:p w14:paraId="7F9710B4" w14:textId="77777777" w:rsidR="00C3312E" w:rsidRPr="00C3312E" w:rsidRDefault="00C3312E" w:rsidP="00C3312E">
            <w:pPr>
              <w:spacing w:after="0" w:line="240" w:lineRule="auto"/>
              <w:jc w:val="center"/>
              <w:rPr>
                <w:sz w:val="20"/>
                <w:szCs w:val="20"/>
              </w:rPr>
            </w:pPr>
            <w:r w:rsidRPr="00C3312E">
              <w:rPr>
                <w:sz w:val="20"/>
                <w:szCs w:val="20"/>
              </w:rPr>
              <w:t>183</w:t>
            </w:r>
          </w:p>
        </w:tc>
        <w:tc>
          <w:tcPr>
            <w:tcW w:w="770" w:type="dxa"/>
          </w:tcPr>
          <w:p w14:paraId="6168B822" w14:textId="77777777" w:rsidR="00C3312E" w:rsidRPr="00C3312E" w:rsidRDefault="00C3312E" w:rsidP="00C3312E">
            <w:pPr>
              <w:spacing w:after="0" w:line="240" w:lineRule="auto"/>
              <w:jc w:val="center"/>
              <w:rPr>
                <w:sz w:val="20"/>
                <w:szCs w:val="20"/>
              </w:rPr>
            </w:pPr>
            <w:r w:rsidRPr="00C3312E">
              <w:rPr>
                <w:sz w:val="20"/>
                <w:szCs w:val="20"/>
              </w:rPr>
              <w:t>38.7</w:t>
            </w:r>
          </w:p>
        </w:tc>
        <w:tc>
          <w:tcPr>
            <w:tcW w:w="850" w:type="dxa"/>
          </w:tcPr>
          <w:p w14:paraId="096CDC2D" w14:textId="77777777" w:rsidR="00C3312E" w:rsidRPr="00C3312E" w:rsidRDefault="00C3312E" w:rsidP="00C3312E">
            <w:pPr>
              <w:spacing w:after="0" w:line="240" w:lineRule="auto"/>
              <w:jc w:val="center"/>
              <w:rPr>
                <w:sz w:val="20"/>
                <w:szCs w:val="20"/>
              </w:rPr>
            </w:pPr>
            <w:r w:rsidRPr="00C3312E">
              <w:rPr>
                <w:sz w:val="20"/>
                <w:szCs w:val="20"/>
              </w:rPr>
              <w:t>37.2</w:t>
            </w:r>
          </w:p>
        </w:tc>
        <w:tc>
          <w:tcPr>
            <w:tcW w:w="850" w:type="dxa"/>
          </w:tcPr>
          <w:p w14:paraId="30476C70" w14:textId="77777777" w:rsidR="00C3312E" w:rsidRPr="00C3312E" w:rsidRDefault="00C3312E" w:rsidP="00C3312E">
            <w:pPr>
              <w:spacing w:after="0" w:line="240" w:lineRule="auto"/>
              <w:jc w:val="center"/>
              <w:rPr>
                <w:sz w:val="20"/>
                <w:szCs w:val="20"/>
              </w:rPr>
            </w:pPr>
            <w:r w:rsidRPr="00C3312E">
              <w:rPr>
                <w:sz w:val="20"/>
                <w:szCs w:val="20"/>
              </w:rPr>
              <w:t>-1.5</w:t>
            </w:r>
          </w:p>
        </w:tc>
        <w:tc>
          <w:tcPr>
            <w:tcW w:w="850" w:type="dxa"/>
          </w:tcPr>
          <w:p w14:paraId="3F17C01B" w14:textId="77777777" w:rsidR="00C3312E" w:rsidRPr="00C3312E" w:rsidRDefault="00C3312E" w:rsidP="00C3312E">
            <w:pPr>
              <w:spacing w:after="0" w:line="240" w:lineRule="auto"/>
              <w:jc w:val="center"/>
              <w:rPr>
                <w:sz w:val="20"/>
                <w:szCs w:val="20"/>
              </w:rPr>
            </w:pPr>
            <w:r w:rsidRPr="00C3312E">
              <w:rPr>
                <w:sz w:val="20"/>
                <w:szCs w:val="20"/>
              </w:rPr>
              <w:t>43.1</w:t>
            </w:r>
          </w:p>
        </w:tc>
      </w:tr>
    </w:tbl>
    <w:p w14:paraId="44E90043" w14:textId="77777777" w:rsidR="00C3312E" w:rsidRPr="00C3312E" w:rsidRDefault="00C3312E" w:rsidP="00C3312E">
      <w:pPr>
        <w:spacing w:after="0" w:line="240" w:lineRule="auto"/>
        <w:rPr>
          <w:rFonts w:eastAsia="Times New Roman" w:cs="Times New Roman"/>
        </w:rPr>
      </w:pPr>
    </w:p>
    <w:p w14:paraId="40C46C9B" w14:textId="34C21DB7" w:rsidR="00E0187B" w:rsidRDefault="00E0187B" w:rsidP="00C3312E">
      <w:pPr>
        <w:spacing w:after="0" w:line="240" w:lineRule="auto"/>
        <w:rPr>
          <w:rFonts w:eastAsia="Times New Roman" w:cs="Times New Roman"/>
        </w:rPr>
      </w:pPr>
    </w:p>
    <w:p w14:paraId="15FABCBD" w14:textId="77777777" w:rsidR="00E0187B" w:rsidRPr="00C3312E" w:rsidRDefault="00E0187B" w:rsidP="00C3312E">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 Framingham Public Schools"/>
        <w:tblDescription w:val="Chronic Absence Rates by Student Group, 2017–2018&#10;"/>
      </w:tblPr>
      <w:tblGrid>
        <w:gridCol w:w="1600"/>
        <w:gridCol w:w="747"/>
        <w:gridCol w:w="744"/>
        <w:gridCol w:w="744"/>
        <w:gridCol w:w="841"/>
        <w:gridCol w:w="804"/>
        <w:gridCol w:w="747"/>
        <w:gridCol w:w="744"/>
        <w:gridCol w:w="744"/>
        <w:gridCol w:w="841"/>
        <w:gridCol w:w="804"/>
      </w:tblGrid>
      <w:tr w:rsidR="00C3312E" w:rsidRPr="0049499E" w14:paraId="372FB4B8" w14:textId="77777777" w:rsidTr="000F5BEE">
        <w:trPr>
          <w:jc w:val="center"/>
        </w:trPr>
        <w:tc>
          <w:tcPr>
            <w:tcW w:w="9360" w:type="dxa"/>
            <w:gridSpan w:val="11"/>
            <w:tcBorders>
              <w:top w:val="nil"/>
              <w:left w:val="nil"/>
              <w:right w:val="nil"/>
            </w:tcBorders>
          </w:tcPr>
          <w:p w14:paraId="76A3BC19" w14:textId="77777777" w:rsidR="00C3312E" w:rsidRPr="0049499E" w:rsidRDefault="00C3312E" w:rsidP="00C3312E">
            <w:pPr>
              <w:spacing w:after="0" w:line="240" w:lineRule="auto"/>
              <w:jc w:val="center"/>
              <w:rPr>
                <w:rFonts w:eastAsia="Times New Roman" w:cs="Times New Roman"/>
                <w:b/>
                <w:sz w:val="20"/>
                <w:szCs w:val="20"/>
              </w:rPr>
            </w:pPr>
            <w:bookmarkStart w:id="9" w:name="_Hlk33099953"/>
            <w:r w:rsidRPr="0049499E">
              <w:rPr>
                <w:rFonts w:eastAsia="Times New Roman" w:cs="Times New Roman"/>
                <w:b/>
                <w:sz w:val="20"/>
                <w:szCs w:val="20"/>
              </w:rPr>
              <w:t xml:space="preserve">Table 29: </w:t>
            </w:r>
            <w:r w:rsidRPr="0049499E">
              <w:rPr>
                <w:rFonts w:cs="Times New Roman"/>
                <w:b/>
                <w:sz w:val="20"/>
                <w:szCs w:val="20"/>
              </w:rPr>
              <w:t>Framingham Public Schools</w:t>
            </w:r>
          </w:p>
          <w:p w14:paraId="0273FFF9" w14:textId="114E0A7B" w:rsidR="00C3312E" w:rsidRPr="0049499E" w:rsidRDefault="00C3312E">
            <w:pPr>
              <w:spacing w:after="0" w:line="240" w:lineRule="auto"/>
              <w:jc w:val="center"/>
              <w:rPr>
                <w:rFonts w:eastAsia="Times New Roman" w:cs="Times New Roman"/>
                <w:sz w:val="20"/>
                <w:szCs w:val="20"/>
              </w:rPr>
            </w:pPr>
            <w:r w:rsidRPr="0049499E">
              <w:rPr>
                <w:rFonts w:eastAsia="Times New Roman" w:cs="Times New Roman"/>
                <w:b/>
                <w:sz w:val="20"/>
                <w:szCs w:val="20"/>
              </w:rPr>
              <w:t xml:space="preserve">Chronic </w:t>
            </w:r>
            <w:r w:rsidR="00754040" w:rsidRPr="0049499E">
              <w:rPr>
                <w:rFonts w:eastAsia="Times New Roman" w:cs="Times New Roman"/>
                <w:b/>
                <w:sz w:val="20"/>
                <w:szCs w:val="20"/>
              </w:rPr>
              <w:t>Absence Rates</w:t>
            </w:r>
            <w:r w:rsidR="00A62EB1" w:rsidRPr="0049499E">
              <w:rPr>
                <w:rFonts w:eastAsia="Times New Roman" w:cs="Times New Roman"/>
                <w:b/>
                <w:sz w:val="20"/>
                <w:szCs w:val="20"/>
              </w:rPr>
              <w:t xml:space="preserve"> by Student Group</w:t>
            </w:r>
            <w:r w:rsidR="00754040" w:rsidRPr="0049499E">
              <w:rPr>
                <w:rFonts w:eastAsia="Times New Roman" w:cs="Times New Roman"/>
                <w:b/>
                <w:sz w:val="20"/>
                <w:szCs w:val="20"/>
              </w:rPr>
              <w:t>,</w:t>
            </w:r>
            <w:r w:rsidRPr="0049499E">
              <w:rPr>
                <w:rFonts w:eastAsia="Times New Roman" w:cs="Times New Roman"/>
                <w:b/>
                <w:sz w:val="20"/>
                <w:szCs w:val="20"/>
              </w:rPr>
              <w:t>*</w:t>
            </w:r>
            <w:r w:rsidR="00754040" w:rsidRPr="0049499E">
              <w:rPr>
                <w:rFonts w:eastAsia="Times New Roman" w:cs="Times New Roman"/>
                <w:b/>
                <w:sz w:val="20"/>
                <w:szCs w:val="20"/>
              </w:rPr>
              <w:t xml:space="preserve"> 2017–2018</w:t>
            </w:r>
          </w:p>
        </w:tc>
      </w:tr>
      <w:tr w:rsidR="00C3312E" w:rsidRPr="0049499E" w14:paraId="19D18926" w14:textId="77777777" w:rsidTr="000F5BEE">
        <w:trPr>
          <w:jc w:val="center"/>
        </w:trPr>
        <w:tc>
          <w:tcPr>
            <w:tcW w:w="1600" w:type="dxa"/>
            <w:shd w:val="clear" w:color="auto" w:fill="BFBFBF" w:themeFill="background1" w:themeFillShade="BF"/>
          </w:tcPr>
          <w:p w14:paraId="3C34D8B4" w14:textId="77777777" w:rsidR="00C3312E" w:rsidRPr="0049499E" w:rsidRDefault="00C3312E" w:rsidP="00C3312E">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526A4469" w14:textId="77777777" w:rsidR="00C3312E" w:rsidRPr="0049499E" w:rsidRDefault="00C3312E" w:rsidP="00C3312E">
            <w:pPr>
              <w:spacing w:after="0" w:line="240" w:lineRule="auto"/>
              <w:jc w:val="center"/>
              <w:rPr>
                <w:rFonts w:eastAsia="Times New Roman" w:cs="Times New Roman"/>
                <w:b/>
                <w:sz w:val="20"/>
                <w:szCs w:val="20"/>
              </w:rPr>
            </w:pPr>
            <w:r w:rsidRPr="0049499E">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51CF53E0" w14:textId="77777777" w:rsidR="00C3312E" w:rsidRPr="0049499E" w:rsidRDefault="00C3312E" w:rsidP="00C3312E">
            <w:pPr>
              <w:spacing w:after="0" w:line="240" w:lineRule="auto"/>
              <w:jc w:val="center"/>
              <w:rPr>
                <w:rFonts w:eastAsia="Times New Roman" w:cs="Times New Roman"/>
                <w:b/>
                <w:sz w:val="20"/>
                <w:szCs w:val="20"/>
              </w:rPr>
            </w:pPr>
            <w:r w:rsidRPr="0049499E">
              <w:rPr>
                <w:rFonts w:eastAsia="Times New Roman" w:cs="Times New Roman"/>
                <w:b/>
                <w:sz w:val="20"/>
                <w:szCs w:val="20"/>
              </w:rPr>
              <w:t>High school</w:t>
            </w:r>
          </w:p>
        </w:tc>
      </w:tr>
      <w:tr w:rsidR="00C3312E" w:rsidRPr="0049499E" w14:paraId="15FB6923" w14:textId="77777777" w:rsidTr="000F5BEE">
        <w:trPr>
          <w:jc w:val="center"/>
        </w:trPr>
        <w:tc>
          <w:tcPr>
            <w:tcW w:w="1600" w:type="dxa"/>
            <w:shd w:val="clear" w:color="auto" w:fill="BFBFBF" w:themeFill="background1" w:themeFillShade="BF"/>
            <w:vAlign w:val="center"/>
          </w:tcPr>
          <w:p w14:paraId="1687494E" w14:textId="77777777" w:rsidR="00C3312E" w:rsidRPr="0049499E" w:rsidRDefault="00C3312E" w:rsidP="000F5BEE">
            <w:pPr>
              <w:spacing w:after="0" w:line="240" w:lineRule="auto"/>
              <w:rPr>
                <w:rFonts w:eastAsia="Times New Roman" w:cs="Times New Roman"/>
                <w:b/>
                <w:sz w:val="20"/>
                <w:szCs w:val="20"/>
              </w:rPr>
            </w:pPr>
            <w:r w:rsidRPr="0049499E">
              <w:rPr>
                <w:rFonts w:eastAsia="Times New Roman" w:cs="Times New Roman"/>
                <w:b/>
                <w:sz w:val="20"/>
                <w:szCs w:val="20"/>
              </w:rPr>
              <w:t>Group</w:t>
            </w:r>
          </w:p>
        </w:tc>
        <w:tc>
          <w:tcPr>
            <w:tcW w:w="747" w:type="dxa"/>
            <w:shd w:val="clear" w:color="auto" w:fill="BFBFBF" w:themeFill="background1" w:themeFillShade="BF"/>
            <w:vAlign w:val="center"/>
          </w:tcPr>
          <w:p w14:paraId="5F13E849" w14:textId="77777777" w:rsidR="00C3312E" w:rsidRPr="0049499E" w:rsidRDefault="00C3312E" w:rsidP="000F5BEE">
            <w:pPr>
              <w:spacing w:after="0" w:line="240" w:lineRule="auto"/>
              <w:jc w:val="center"/>
              <w:rPr>
                <w:rFonts w:eastAsia="Times New Roman" w:cs="Times New Roman"/>
                <w:b/>
                <w:sz w:val="20"/>
                <w:szCs w:val="20"/>
              </w:rPr>
            </w:pPr>
            <w:r w:rsidRPr="0049499E">
              <w:rPr>
                <w:rFonts w:eastAsia="Times New Roman" w:cs="Times New Roman"/>
                <w:b/>
                <w:sz w:val="20"/>
                <w:szCs w:val="20"/>
              </w:rPr>
              <w:t>N (2018)</w:t>
            </w:r>
          </w:p>
        </w:tc>
        <w:tc>
          <w:tcPr>
            <w:tcW w:w="744" w:type="dxa"/>
            <w:shd w:val="clear" w:color="auto" w:fill="BFBFBF" w:themeFill="background1" w:themeFillShade="BF"/>
            <w:vAlign w:val="center"/>
          </w:tcPr>
          <w:p w14:paraId="19C32624" w14:textId="77777777" w:rsidR="00C3312E" w:rsidRPr="0049499E" w:rsidRDefault="00C3312E" w:rsidP="000F5BEE">
            <w:pPr>
              <w:spacing w:after="0" w:line="240" w:lineRule="auto"/>
              <w:jc w:val="center"/>
              <w:rPr>
                <w:rFonts w:eastAsia="Times New Roman" w:cs="Times New Roman"/>
                <w:b/>
                <w:sz w:val="20"/>
                <w:szCs w:val="20"/>
              </w:rPr>
            </w:pPr>
            <w:r w:rsidRPr="0049499E">
              <w:rPr>
                <w:rFonts w:eastAsia="Times New Roman" w:cs="Times New Roman"/>
                <w:b/>
                <w:sz w:val="20"/>
                <w:szCs w:val="20"/>
              </w:rPr>
              <w:t>2017</w:t>
            </w:r>
          </w:p>
        </w:tc>
        <w:tc>
          <w:tcPr>
            <w:tcW w:w="744" w:type="dxa"/>
            <w:shd w:val="clear" w:color="auto" w:fill="BFBFBF" w:themeFill="background1" w:themeFillShade="BF"/>
            <w:vAlign w:val="center"/>
          </w:tcPr>
          <w:p w14:paraId="6E9B02F3" w14:textId="77777777" w:rsidR="00C3312E" w:rsidRPr="0049499E" w:rsidRDefault="00C3312E" w:rsidP="000F5BEE">
            <w:pPr>
              <w:spacing w:after="0" w:line="240" w:lineRule="auto"/>
              <w:jc w:val="center"/>
              <w:rPr>
                <w:rFonts w:eastAsia="Times New Roman" w:cs="Times New Roman"/>
                <w:b/>
                <w:sz w:val="20"/>
                <w:szCs w:val="20"/>
              </w:rPr>
            </w:pPr>
            <w:r w:rsidRPr="0049499E">
              <w:rPr>
                <w:rFonts w:eastAsia="Times New Roman" w:cs="Times New Roman"/>
                <w:b/>
                <w:sz w:val="20"/>
                <w:szCs w:val="20"/>
              </w:rPr>
              <w:t>2018</w:t>
            </w:r>
          </w:p>
        </w:tc>
        <w:tc>
          <w:tcPr>
            <w:tcW w:w="841" w:type="dxa"/>
            <w:shd w:val="clear" w:color="auto" w:fill="BFBFBF" w:themeFill="background1" w:themeFillShade="BF"/>
            <w:vAlign w:val="center"/>
          </w:tcPr>
          <w:p w14:paraId="4BCD163E" w14:textId="77777777" w:rsidR="00C3312E" w:rsidRPr="0049499E" w:rsidRDefault="00C3312E" w:rsidP="000F5BEE">
            <w:pPr>
              <w:spacing w:after="0" w:line="240" w:lineRule="auto"/>
              <w:jc w:val="center"/>
              <w:rPr>
                <w:rFonts w:eastAsia="Times New Roman" w:cs="Times New Roman"/>
                <w:b/>
                <w:sz w:val="20"/>
                <w:szCs w:val="20"/>
              </w:rPr>
            </w:pPr>
            <w:r w:rsidRPr="0049499E">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vAlign w:val="center"/>
          </w:tcPr>
          <w:p w14:paraId="15DB2D01" w14:textId="77777777" w:rsidR="00C3312E" w:rsidRPr="0049499E" w:rsidRDefault="00C3312E" w:rsidP="000F5BEE">
            <w:pPr>
              <w:spacing w:after="0" w:line="240" w:lineRule="auto"/>
              <w:jc w:val="center"/>
              <w:rPr>
                <w:rFonts w:eastAsia="Times New Roman" w:cs="Times New Roman"/>
                <w:b/>
                <w:sz w:val="20"/>
                <w:szCs w:val="20"/>
              </w:rPr>
            </w:pPr>
            <w:r w:rsidRPr="0049499E">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vAlign w:val="center"/>
          </w:tcPr>
          <w:p w14:paraId="145A4919" w14:textId="77777777" w:rsidR="00C3312E" w:rsidRPr="0049499E" w:rsidRDefault="00C3312E" w:rsidP="000F5BEE">
            <w:pPr>
              <w:spacing w:after="0" w:line="240" w:lineRule="auto"/>
              <w:jc w:val="center"/>
              <w:rPr>
                <w:b/>
                <w:sz w:val="20"/>
                <w:szCs w:val="20"/>
              </w:rPr>
            </w:pPr>
            <w:r w:rsidRPr="0049499E">
              <w:rPr>
                <w:b/>
                <w:sz w:val="20"/>
                <w:szCs w:val="20"/>
              </w:rPr>
              <w:t>N (2018)</w:t>
            </w:r>
          </w:p>
        </w:tc>
        <w:tc>
          <w:tcPr>
            <w:tcW w:w="744" w:type="dxa"/>
            <w:shd w:val="clear" w:color="auto" w:fill="BFBFBF" w:themeFill="background1" w:themeFillShade="BF"/>
            <w:vAlign w:val="center"/>
          </w:tcPr>
          <w:p w14:paraId="66B2ED5E" w14:textId="77777777" w:rsidR="00C3312E" w:rsidRPr="0049499E" w:rsidRDefault="00C3312E" w:rsidP="000F5BEE">
            <w:pPr>
              <w:spacing w:after="0" w:line="240" w:lineRule="auto"/>
              <w:jc w:val="center"/>
              <w:rPr>
                <w:b/>
                <w:sz w:val="20"/>
                <w:szCs w:val="20"/>
              </w:rPr>
            </w:pPr>
            <w:r w:rsidRPr="0049499E">
              <w:rPr>
                <w:b/>
                <w:sz w:val="20"/>
                <w:szCs w:val="20"/>
              </w:rPr>
              <w:t>2017</w:t>
            </w:r>
          </w:p>
        </w:tc>
        <w:tc>
          <w:tcPr>
            <w:tcW w:w="744" w:type="dxa"/>
            <w:shd w:val="clear" w:color="auto" w:fill="BFBFBF" w:themeFill="background1" w:themeFillShade="BF"/>
            <w:vAlign w:val="center"/>
          </w:tcPr>
          <w:p w14:paraId="79490C35" w14:textId="77777777" w:rsidR="00C3312E" w:rsidRPr="0049499E" w:rsidRDefault="00C3312E" w:rsidP="000F5BEE">
            <w:pPr>
              <w:spacing w:after="0" w:line="240" w:lineRule="auto"/>
              <w:jc w:val="center"/>
              <w:rPr>
                <w:b/>
                <w:sz w:val="20"/>
                <w:szCs w:val="20"/>
              </w:rPr>
            </w:pPr>
            <w:r w:rsidRPr="0049499E">
              <w:rPr>
                <w:b/>
                <w:sz w:val="20"/>
                <w:szCs w:val="20"/>
              </w:rPr>
              <w:t>2018</w:t>
            </w:r>
          </w:p>
        </w:tc>
        <w:tc>
          <w:tcPr>
            <w:tcW w:w="841" w:type="dxa"/>
            <w:shd w:val="clear" w:color="auto" w:fill="BFBFBF" w:themeFill="background1" w:themeFillShade="BF"/>
            <w:vAlign w:val="center"/>
          </w:tcPr>
          <w:p w14:paraId="02663E06" w14:textId="77777777" w:rsidR="00C3312E" w:rsidRPr="0049499E" w:rsidRDefault="00C3312E" w:rsidP="000F5BEE">
            <w:pPr>
              <w:spacing w:after="0" w:line="240" w:lineRule="auto"/>
              <w:jc w:val="center"/>
              <w:rPr>
                <w:b/>
                <w:sz w:val="20"/>
                <w:szCs w:val="20"/>
              </w:rPr>
            </w:pPr>
            <w:r w:rsidRPr="0049499E">
              <w:rPr>
                <w:b/>
                <w:sz w:val="20"/>
                <w:szCs w:val="20"/>
              </w:rPr>
              <w:t>Change</w:t>
            </w:r>
          </w:p>
        </w:tc>
        <w:tc>
          <w:tcPr>
            <w:tcW w:w="804" w:type="dxa"/>
            <w:shd w:val="clear" w:color="auto" w:fill="BFBFBF" w:themeFill="background1" w:themeFillShade="BF"/>
            <w:vAlign w:val="center"/>
          </w:tcPr>
          <w:p w14:paraId="27662DE5" w14:textId="77777777" w:rsidR="00C3312E" w:rsidRPr="0049499E" w:rsidRDefault="00C3312E" w:rsidP="000F5BEE">
            <w:pPr>
              <w:spacing w:after="0" w:line="240" w:lineRule="auto"/>
              <w:jc w:val="center"/>
              <w:rPr>
                <w:b/>
                <w:sz w:val="20"/>
                <w:szCs w:val="20"/>
              </w:rPr>
            </w:pPr>
            <w:r w:rsidRPr="0049499E">
              <w:rPr>
                <w:b/>
                <w:sz w:val="20"/>
                <w:szCs w:val="20"/>
              </w:rPr>
              <w:t>Target</w:t>
            </w:r>
          </w:p>
        </w:tc>
      </w:tr>
      <w:tr w:rsidR="00C3312E" w:rsidRPr="0049499E" w14:paraId="4C29684E" w14:textId="77777777" w:rsidTr="000F5BEE">
        <w:trPr>
          <w:jc w:val="center"/>
        </w:trPr>
        <w:tc>
          <w:tcPr>
            <w:tcW w:w="1600" w:type="dxa"/>
            <w:shd w:val="clear" w:color="auto" w:fill="auto"/>
          </w:tcPr>
          <w:p w14:paraId="68FD1E02" w14:textId="77777777" w:rsidR="00C3312E" w:rsidRPr="0049499E" w:rsidRDefault="00C3312E" w:rsidP="00C3312E">
            <w:pPr>
              <w:spacing w:after="0" w:line="240" w:lineRule="auto"/>
              <w:rPr>
                <w:sz w:val="20"/>
                <w:szCs w:val="20"/>
              </w:rPr>
            </w:pPr>
            <w:r w:rsidRPr="0049499E">
              <w:rPr>
                <w:sz w:val="20"/>
                <w:szCs w:val="20"/>
              </w:rPr>
              <w:t>African American/Black</w:t>
            </w:r>
          </w:p>
        </w:tc>
        <w:tc>
          <w:tcPr>
            <w:tcW w:w="747" w:type="dxa"/>
            <w:shd w:val="clear" w:color="auto" w:fill="auto"/>
          </w:tcPr>
          <w:p w14:paraId="517518B4" w14:textId="77777777" w:rsidR="00C3312E" w:rsidRPr="0049499E" w:rsidRDefault="00C3312E" w:rsidP="00C3312E">
            <w:pPr>
              <w:spacing w:after="0" w:line="240" w:lineRule="auto"/>
              <w:jc w:val="center"/>
              <w:rPr>
                <w:rFonts w:eastAsia="Times New Roman" w:cs="Times New Roman"/>
                <w:sz w:val="20"/>
                <w:szCs w:val="20"/>
              </w:rPr>
            </w:pPr>
            <w:r w:rsidRPr="0049499E">
              <w:rPr>
                <w:rFonts w:eastAsia="Times New Roman" w:cs="Times New Roman"/>
                <w:sz w:val="20"/>
                <w:szCs w:val="20"/>
              </w:rPr>
              <w:t>425</w:t>
            </w:r>
          </w:p>
        </w:tc>
        <w:tc>
          <w:tcPr>
            <w:tcW w:w="744" w:type="dxa"/>
            <w:shd w:val="clear" w:color="auto" w:fill="auto"/>
          </w:tcPr>
          <w:p w14:paraId="14419366" w14:textId="77777777" w:rsidR="00C3312E" w:rsidRPr="0049499E" w:rsidRDefault="00C3312E" w:rsidP="00C3312E">
            <w:pPr>
              <w:spacing w:after="0" w:line="240" w:lineRule="auto"/>
              <w:jc w:val="center"/>
              <w:rPr>
                <w:sz w:val="20"/>
                <w:szCs w:val="20"/>
              </w:rPr>
            </w:pPr>
            <w:r w:rsidRPr="0049499E">
              <w:rPr>
                <w:sz w:val="20"/>
                <w:szCs w:val="20"/>
              </w:rPr>
              <w:t>10.6</w:t>
            </w:r>
          </w:p>
        </w:tc>
        <w:tc>
          <w:tcPr>
            <w:tcW w:w="744" w:type="dxa"/>
            <w:shd w:val="clear" w:color="auto" w:fill="auto"/>
          </w:tcPr>
          <w:p w14:paraId="32C07A03" w14:textId="77777777" w:rsidR="00C3312E" w:rsidRPr="0049499E" w:rsidRDefault="00C3312E" w:rsidP="00C3312E">
            <w:pPr>
              <w:spacing w:after="0" w:line="240" w:lineRule="auto"/>
              <w:jc w:val="center"/>
              <w:rPr>
                <w:sz w:val="20"/>
                <w:szCs w:val="20"/>
              </w:rPr>
            </w:pPr>
            <w:r w:rsidRPr="0049499E">
              <w:rPr>
                <w:sz w:val="20"/>
                <w:szCs w:val="20"/>
              </w:rPr>
              <w:t>8.9</w:t>
            </w:r>
          </w:p>
        </w:tc>
        <w:tc>
          <w:tcPr>
            <w:tcW w:w="841" w:type="dxa"/>
            <w:shd w:val="clear" w:color="auto" w:fill="auto"/>
          </w:tcPr>
          <w:p w14:paraId="1D158348" w14:textId="75E13458"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1.7</w:t>
            </w:r>
          </w:p>
        </w:tc>
        <w:tc>
          <w:tcPr>
            <w:tcW w:w="804" w:type="dxa"/>
            <w:tcBorders>
              <w:right w:val="single" w:sz="12" w:space="0" w:color="auto"/>
            </w:tcBorders>
            <w:shd w:val="clear" w:color="auto" w:fill="auto"/>
          </w:tcPr>
          <w:p w14:paraId="5D5A31DA" w14:textId="77777777" w:rsidR="00C3312E" w:rsidRPr="0049499E" w:rsidRDefault="00C3312E" w:rsidP="00C3312E">
            <w:pPr>
              <w:spacing w:after="0" w:line="240" w:lineRule="auto"/>
              <w:jc w:val="center"/>
              <w:rPr>
                <w:sz w:val="20"/>
                <w:szCs w:val="20"/>
              </w:rPr>
            </w:pPr>
            <w:r w:rsidRPr="0049499E">
              <w:rPr>
                <w:sz w:val="20"/>
                <w:szCs w:val="20"/>
              </w:rPr>
              <w:t>7.7</w:t>
            </w:r>
          </w:p>
        </w:tc>
        <w:tc>
          <w:tcPr>
            <w:tcW w:w="747" w:type="dxa"/>
            <w:tcBorders>
              <w:left w:val="single" w:sz="12" w:space="0" w:color="auto"/>
            </w:tcBorders>
            <w:shd w:val="clear" w:color="auto" w:fill="auto"/>
          </w:tcPr>
          <w:p w14:paraId="68376A16" w14:textId="77777777" w:rsidR="00C3312E" w:rsidRPr="0049499E" w:rsidRDefault="00C3312E" w:rsidP="00C3312E">
            <w:pPr>
              <w:spacing w:after="0" w:line="240" w:lineRule="auto"/>
              <w:jc w:val="center"/>
              <w:rPr>
                <w:sz w:val="20"/>
                <w:szCs w:val="20"/>
              </w:rPr>
            </w:pPr>
            <w:r w:rsidRPr="0049499E">
              <w:rPr>
                <w:sz w:val="20"/>
                <w:szCs w:val="20"/>
              </w:rPr>
              <w:t>184</w:t>
            </w:r>
          </w:p>
        </w:tc>
        <w:tc>
          <w:tcPr>
            <w:tcW w:w="744" w:type="dxa"/>
            <w:shd w:val="clear" w:color="auto" w:fill="auto"/>
          </w:tcPr>
          <w:p w14:paraId="30EDAB6E" w14:textId="77777777" w:rsidR="00C3312E" w:rsidRPr="0049499E" w:rsidRDefault="00C3312E" w:rsidP="00C3312E">
            <w:pPr>
              <w:spacing w:after="0" w:line="240" w:lineRule="auto"/>
              <w:jc w:val="center"/>
              <w:rPr>
                <w:sz w:val="20"/>
                <w:szCs w:val="20"/>
              </w:rPr>
            </w:pPr>
            <w:r w:rsidRPr="0049499E">
              <w:rPr>
                <w:sz w:val="20"/>
                <w:szCs w:val="20"/>
              </w:rPr>
              <w:t>27.1</w:t>
            </w:r>
          </w:p>
        </w:tc>
        <w:tc>
          <w:tcPr>
            <w:tcW w:w="744" w:type="dxa"/>
            <w:shd w:val="clear" w:color="auto" w:fill="auto"/>
          </w:tcPr>
          <w:p w14:paraId="28D661D8" w14:textId="77777777" w:rsidR="00C3312E" w:rsidRPr="0049499E" w:rsidRDefault="00C3312E" w:rsidP="00C3312E">
            <w:pPr>
              <w:spacing w:after="0" w:line="240" w:lineRule="auto"/>
              <w:jc w:val="center"/>
              <w:rPr>
                <w:sz w:val="20"/>
                <w:szCs w:val="20"/>
              </w:rPr>
            </w:pPr>
            <w:r w:rsidRPr="0049499E">
              <w:rPr>
                <w:sz w:val="20"/>
                <w:szCs w:val="20"/>
              </w:rPr>
              <w:t>21.7</w:t>
            </w:r>
          </w:p>
        </w:tc>
        <w:tc>
          <w:tcPr>
            <w:tcW w:w="841" w:type="dxa"/>
            <w:shd w:val="clear" w:color="auto" w:fill="auto"/>
          </w:tcPr>
          <w:p w14:paraId="43746EDD" w14:textId="6E631FD3"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5.4</w:t>
            </w:r>
          </w:p>
        </w:tc>
        <w:tc>
          <w:tcPr>
            <w:tcW w:w="804" w:type="dxa"/>
            <w:shd w:val="clear" w:color="auto" w:fill="auto"/>
          </w:tcPr>
          <w:p w14:paraId="64CDF47E" w14:textId="77777777" w:rsidR="00C3312E" w:rsidRPr="0049499E" w:rsidRDefault="00C3312E" w:rsidP="00C3312E">
            <w:pPr>
              <w:spacing w:after="0" w:line="240" w:lineRule="auto"/>
              <w:jc w:val="center"/>
              <w:rPr>
                <w:sz w:val="20"/>
                <w:szCs w:val="20"/>
              </w:rPr>
            </w:pPr>
            <w:r w:rsidRPr="0049499E">
              <w:rPr>
                <w:sz w:val="20"/>
                <w:szCs w:val="20"/>
              </w:rPr>
              <w:t>24.2</w:t>
            </w:r>
          </w:p>
        </w:tc>
      </w:tr>
      <w:tr w:rsidR="00C3312E" w:rsidRPr="0049499E" w14:paraId="7ACB3744" w14:textId="77777777" w:rsidTr="000F5BEE">
        <w:trPr>
          <w:jc w:val="center"/>
        </w:trPr>
        <w:tc>
          <w:tcPr>
            <w:tcW w:w="1600" w:type="dxa"/>
            <w:shd w:val="clear" w:color="auto" w:fill="BFBFBF" w:themeFill="background1" w:themeFillShade="BF"/>
          </w:tcPr>
          <w:p w14:paraId="6B934CB4" w14:textId="77777777" w:rsidR="00C3312E" w:rsidRPr="0049499E" w:rsidRDefault="00C3312E" w:rsidP="00C3312E">
            <w:pPr>
              <w:spacing w:after="0" w:line="240" w:lineRule="auto"/>
              <w:rPr>
                <w:sz w:val="20"/>
                <w:szCs w:val="20"/>
              </w:rPr>
            </w:pPr>
            <w:r w:rsidRPr="0049499E">
              <w:rPr>
                <w:sz w:val="20"/>
                <w:szCs w:val="20"/>
              </w:rPr>
              <w:t>Asian</w:t>
            </w:r>
          </w:p>
        </w:tc>
        <w:tc>
          <w:tcPr>
            <w:tcW w:w="747" w:type="dxa"/>
            <w:shd w:val="clear" w:color="auto" w:fill="BFBFBF" w:themeFill="background1" w:themeFillShade="BF"/>
          </w:tcPr>
          <w:p w14:paraId="0CF28377" w14:textId="77777777" w:rsidR="00C3312E" w:rsidRPr="0049499E" w:rsidRDefault="00C3312E" w:rsidP="00C3312E">
            <w:pPr>
              <w:spacing w:after="0" w:line="240" w:lineRule="auto"/>
              <w:jc w:val="center"/>
              <w:rPr>
                <w:sz w:val="20"/>
                <w:szCs w:val="20"/>
              </w:rPr>
            </w:pPr>
            <w:r w:rsidRPr="0049499E">
              <w:rPr>
                <w:sz w:val="20"/>
                <w:szCs w:val="20"/>
              </w:rPr>
              <w:t>272</w:t>
            </w:r>
          </w:p>
        </w:tc>
        <w:tc>
          <w:tcPr>
            <w:tcW w:w="744" w:type="dxa"/>
            <w:shd w:val="clear" w:color="auto" w:fill="BFBFBF" w:themeFill="background1" w:themeFillShade="BF"/>
          </w:tcPr>
          <w:p w14:paraId="4EAA1943" w14:textId="77777777" w:rsidR="00C3312E" w:rsidRPr="0049499E" w:rsidRDefault="00C3312E" w:rsidP="00C3312E">
            <w:pPr>
              <w:spacing w:after="0" w:line="240" w:lineRule="auto"/>
              <w:jc w:val="center"/>
              <w:rPr>
                <w:sz w:val="20"/>
                <w:szCs w:val="20"/>
              </w:rPr>
            </w:pPr>
            <w:r w:rsidRPr="0049499E">
              <w:rPr>
                <w:sz w:val="20"/>
                <w:szCs w:val="20"/>
              </w:rPr>
              <w:t>5.9</w:t>
            </w:r>
          </w:p>
        </w:tc>
        <w:tc>
          <w:tcPr>
            <w:tcW w:w="744" w:type="dxa"/>
            <w:shd w:val="clear" w:color="auto" w:fill="BFBFBF" w:themeFill="background1" w:themeFillShade="BF"/>
          </w:tcPr>
          <w:p w14:paraId="6E97FF8C" w14:textId="77777777" w:rsidR="00C3312E" w:rsidRPr="0049499E" w:rsidRDefault="00C3312E" w:rsidP="00C3312E">
            <w:pPr>
              <w:spacing w:after="0" w:line="240" w:lineRule="auto"/>
              <w:jc w:val="center"/>
              <w:rPr>
                <w:sz w:val="20"/>
                <w:szCs w:val="20"/>
              </w:rPr>
            </w:pPr>
            <w:r w:rsidRPr="0049499E">
              <w:rPr>
                <w:sz w:val="20"/>
                <w:szCs w:val="20"/>
              </w:rPr>
              <w:t>6.6</w:t>
            </w:r>
          </w:p>
        </w:tc>
        <w:tc>
          <w:tcPr>
            <w:tcW w:w="841" w:type="dxa"/>
            <w:shd w:val="clear" w:color="auto" w:fill="BFBFBF" w:themeFill="background1" w:themeFillShade="BF"/>
          </w:tcPr>
          <w:p w14:paraId="58338064" w14:textId="79F4D53D" w:rsidR="00C3312E" w:rsidRPr="00406A80" w:rsidRDefault="00C3312E" w:rsidP="00C3312E">
            <w:pPr>
              <w:spacing w:after="0" w:line="240" w:lineRule="auto"/>
              <w:jc w:val="center"/>
              <w:rPr>
                <w:sz w:val="20"/>
                <w:szCs w:val="20"/>
              </w:rPr>
            </w:pPr>
            <w:r w:rsidRPr="00406A80">
              <w:rPr>
                <w:sz w:val="20"/>
                <w:szCs w:val="20"/>
              </w:rPr>
              <w:t>0.7</w:t>
            </w:r>
          </w:p>
        </w:tc>
        <w:tc>
          <w:tcPr>
            <w:tcW w:w="804" w:type="dxa"/>
            <w:tcBorders>
              <w:right w:val="single" w:sz="12" w:space="0" w:color="auto"/>
            </w:tcBorders>
            <w:shd w:val="clear" w:color="auto" w:fill="BFBFBF" w:themeFill="background1" w:themeFillShade="BF"/>
          </w:tcPr>
          <w:p w14:paraId="4AD150C6" w14:textId="77777777" w:rsidR="00C3312E" w:rsidRPr="0049499E" w:rsidRDefault="00C3312E" w:rsidP="00C3312E">
            <w:pPr>
              <w:spacing w:after="0" w:line="240" w:lineRule="auto"/>
              <w:jc w:val="center"/>
              <w:rPr>
                <w:sz w:val="20"/>
                <w:szCs w:val="20"/>
              </w:rPr>
            </w:pPr>
            <w:r w:rsidRPr="0049499E">
              <w:rPr>
                <w:sz w:val="20"/>
                <w:szCs w:val="20"/>
              </w:rPr>
              <w:t>4.0</w:t>
            </w:r>
          </w:p>
        </w:tc>
        <w:tc>
          <w:tcPr>
            <w:tcW w:w="747" w:type="dxa"/>
            <w:tcBorders>
              <w:left w:val="single" w:sz="12" w:space="0" w:color="auto"/>
            </w:tcBorders>
            <w:shd w:val="clear" w:color="auto" w:fill="BFBFBF" w:themeFill="background1" w:themeFillShade="BF"/>
          </w:tcPr>
          <w:p w14:paraId="5B148A9A" w14:textId="77777777" w:rsidR="00C3312E" w:rsidRPr="0049499E" w:rsidRDefault="00C3312E" w:rsidP="00C3312E">
            <w:pPr>
              <w:spacing w:after="0" w:line="240" w:lineRule="auto"/>
              <w:jc w:val="center"/>
              <w:rPr>
                <w:sz w:val="20"/>
                <w:szCs w:val="20"/>
              </w:rPr>
            </w:pPr>
            <w:r w:rsidRPr="0049499E">
              <w:rPr>
                <w:sz w:val="20"/>
                <w:szCs w:val="20"/>
              </w:rPr>
              <w:t>137</w:t>
            </w:r>
          </w:p>
        </w:tc>
        <w:tc>
          <w:tcPr>
            <w:tcW w:w="744" w:type="dxa"/>
            <w:shd w:val="clear" w:color="auto" w:fill="BFBFBF" w:themeFill="background1" w:themeFillShade="BF"/>
          </w:tcPr>
          <w:p w14:paraId="3E162B82" w14:textId="77777777" w:rsidR="00C3312E" w:rsidRPr="0049499E" w:rsidRDefault="00C3312E" w:rsidP="00C3312E">
            <w:pPr>
              <w:spacing w:after="0" w:line="240" w:lineRule="auto"/>
              <w:jc w:val="center"/>
              <w:rPr>
                <w:sz w:val="20"/>
                <w:szCs w:val="20"/>
              </w:rPr>
            </w:pPr>
            <w:r w:rsidRPr="0049499E">
              <w:rPr>
                <w:sz w:val="20"/>
                <w:szCs w:val="20"/>
              </w:rPr>
              <w:t>9.6</w:t>
            </w:r>
          </w:p>
        </w:tc>
        <w:tc>
          <w:tcPr>
            <w:tcW w:w="744" w:type="dxa"/>
            <w:shd w:val="clear" w:color="auto" w:fill="BFBFBF" w:themeFill="background1" w:themeFillShade="BF"/>
          </w:tcPr>
          <w:p w14:paraId="738FF3D7" w14:textId="77777777" w:rsidR="00C3312E" w:rsidRPr="0049499E" w:rsidRDefault="00C3312E" w:rsidP="00C3312E">
            <w:pPr>
              <w:spacing w:after="0" w:line="240" w:lineRule="auto"/>
              <w:jc w:val="center"/>
              <w:rPr>
                <w:sz w:val="20"/>
                <w:szCs w:val="20"/>
              </w:rPr>
            </w:pPr>
            <w:r w:rsidRPr="0049499E">
              <w:rPr>
                <w:sz w:val="20"/>
                <w:szCs w:val="20"/>
              </w:rPr>
              <w:t>4.4</w:t>
            </w:r>
          </w:p>
        </w:tc>
        <w:tc>
          <w:tcPr>
            <w:tcW w:w="841" w:type="dxa"/>
            <w:shd w:val="clear" w:color="auto" w:fill="BFBFBF" w:themeFill="background1" w:themeFillShade="BF"/>
          </w:tcPr>
          <w:p w14:paraId="748A623C" w14:textId="54776BBF"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5.2</w:t>
            </w:r>
          </w:p>
        </w:tc>
        <w:tc>
          <w:tcPr>
            <w:tcW w:w="804" w:type="dxa"/>
            <w:shd w:val="clear" w:color="auto" w:fill="BFBFBF" w:themeFill="background1" w:themeFillShade="BF"/>
          </w:tcPr>
          <w:p w14:paraId="7BE77D9F" w14:textId="77777777" w:rsidR="00C3312E" w:rsidRPr="0049499E" w:rsidRDefault="00C3312E" w:rsidP="00C3312E">
            <w:pPr>
              <w:spacing w:after="0" w:line="240" w:lineRule="auto"/>
              <w:jc w:val="center"/>
              <w:rPr>
                <w:sz w:val="20"/>
                <w:szCs w:val="20"/>
              </w:rPr>
            </w:pPr>
            <w:r w:rsidRPr="0049499E">
              <w:rPr>
                <w:sz w:val="20"/>
                <w:szCs w:val="20"/>
              </w:rPr>
              <w:t>7.7</w:t>
            </w:r>
          </w:p>
        </w:tc>
      </w:tr>
      <w:tr w:rsidR="00C3312E" w:rsidRPr="0049499E" w14:paraId="43E5F542" w14:textId="77777777" w:rsidTr="000F5BEE">
        <w:trPr>
          <w:jc w:val="center"/>
        </w:trPr>
        <w:tc>
          <w:tcPr>
            <w:tcW w:w="1600" w:type="dxa"/>
          </w:tcPr>
          <w:p w14:paraId="61142B4E" w14:textId="77777777" w:rsidR="00C3312E" w:rsidRPr="0049499E" w:rsidRDefault="00C3312E" w:rsidP="00C3312E">
            <w:pPr>
              <w:spacing w:after="0" w:line="240" w:lineRule="auto"/>
              <w:rPr>
                <w:sz w:val="20"/>
                <w:szCs w:val="20"/>
              </w:rPr>
            </w:pPr>
            <w:r w:rsidRPr="0049499E">
              <w:rPr>
                <w:sz w:val="20"/>
                <w:szCs w:val="20"/>
              </w:rPr>
              <w:t>Hispanic or Latino</w:t>
            </w:r>
          </w:p>
        </w:tc>
        <w:tc>
          <w:tcPr>
            <w:tcW w:w="747" w:type="dxa"/>
          </w:tcPr>
          <w:p w14:paraId="5DCE3610" w14:textId="77777777" w:rsidR="00C3312E" w:rsidRPr="0049499E" w:rsidRDefault="00C3312E" w:rsidP="00C3312E">
            <w:pPr>
              <w:spacing w:after="0" w:line="240" w:lineRule="auto"/>
              <w:jc w:val="center"/>
              <w:rPr>
                <w:sz w:val="20"/>
                <w:szCs w:val="20"/>
              </w:rPr>
            </w:pPr>
            <w:r w:rsidRPr="0049499E">
              <w:rPr>
                <w:sz w:val="20"/>
                <w:szCs w:val="20"/>
              </w:rPr>
              <w:t>1,727</w:t>
            </w:r>
          </w:p>
        </w:tc>
        <w:tc>
          <w:tcPr>
            <w:tcW w:w="744" w:type="dxa"/>
          </w:tcPr>
          <w:p w14:paraId="4AFCDEC6" w14:textId="77777777" w:rsidR="00C3312E" w:rsidRPr="0049499E" w:rsidRDefault="00C3312E" w:rsidP="00C3312E">
            <w:pPr>
              <w:spacing w:after="0" w:line="240" w:lineRule="auto"/>
              <w:jc w:val="center"/>
              <w:rPr>
                <w:sz w:val="20"/>
                <w:szCs w:val="20"/>
              </w:rPr>
            </w:pPr>
            <w:r w:rsidRPr="0049499E">
              <w:rPr>
                <w:sz w:val="20"/>
                <w:szCs w:val="20"/>
              </w:rPr>
              <w:t>14.2</w:t>
            </w:r>
          </w:p>
        </w:tc>
        <w:tc>
          <w:tcPr>
            <w:tcW w:w="744" w:type="dxa"/>
          </w:tcPr>
          <w:p w14:paraId="61FB3F66" w14:textId="77777777" w:rsidR="00C3312E" w:rsidRPr="0049499E" w:rsidRDefault="00C3312E" w:rsidP="00C3312E">
            <w:pPr>
              <w:spacing w:after="0" w:line="240" w:lineRule="auto"/>
              <w:jc w:val="center"/>
              <w:rPr>
                <w:sz w:val="20"/>
                <w:szCs w:val="20"/>
              </w:rPr>
            </w:pPr>
            <w:r w:rsidRPr="0049499E">
              <w:rPr>
                <w:sz w:val="20"/>
                <w:szCs w:val="20"/>
              </w:rPr>
              <w:t>14.7</w:t>
            </w:r>
          </w:p>
        </w:tc>
        <w:tc>
          <w:tcPr>
            <w:tcW w:w="841" w:type="dxa"/>
          </w:tcPr>
          <w:p w14:paraId="7EBC145A" w14:textId="40A58D15" w:rsidR="00C3312E" w:rsidRPr="00406A80" w:rsidRDefault="00C3312E" w:rsidP="00C3312E">
            <w:pPr>
              <w:spacing w:after="0" w:line="240" w:lineRule="auto"/>
              <w:jc w:val="center"/>
              <w:rPr>
                <w:sz w:val="20"/>
                <w:szCs w:val="20"/>
              </w:rPr>
            </w:pPr>
            <w:r w:rsidRPr="00406A80">
              <w:rPr>
                <w:sz w:val="20"/>
                <w:szCs w:val="20"/>
              </w:rPr>
              <w:t>0.5</w:t>
            </w:r>
          </w:p>
        </w:tc>
        <w:tc>
          <w:tcPr>
            <w:tcW w:w="804" w:type="dxa"/>
            <w:tcBorders>
              <w:right w:val="single" w:sz="12" w:space="0" w:color="auto"/>
            </w:tcBorders>
          </w:tcPr>
          <w:p w14:paraId="1065BAE8" w14:textId="77777777" w:rsidR="00C3312E" w:rsidRPr="0049499E" w:rsidRDefault="00C3312E" w:rsidP="00C3312E">
            <w:pPr>
              <w:spacing w:after="0" w:line="240" w:lineRule="auto"/>
              <w:jc w:val="center"/>
              <w:rPr>
                <w:sz w:val="20"/>
                <w:szCs w:val="20"/>
              </w:rPr>
            </w:pPr>
            <w:r w:rsidRPr="0049499E">
              <w:rPr>
                <w:sz w:val="20"/>
                <w:szCs w:val="20"/>
              </w:rPr>
              <w:t>11.4</w:t>
            </w:r>
          </w:p>
        </w:tc>
        <w:tc>
          <w:tcPr>
            <w:tcW w:w="747" w:type="dxa"/>
            <w:tcBorders>
              <w:left w:val="single" w:sz="12" w:space="0" w:color="auto"/>
            </w:tcBorders>
          </w:tcPr>
          <w:p w14:paraId="29C013A6" w14:textId="77777777" w:rsidR="00C3312E" w:rsidRPr="0049499E" w:rsidRDefault="00C3312E" w:rsidP="00C3312E">
            <w:pPr>
              <w:spacing w:after="0" w:line="240" w:lineRule="auto"/>
              <w:jc w:val="center"/>
              <w:rPr>
                <w:sz w:val="20"/>
                <w:szCs w:val="20"/>
              </w:rPr>
            </w:pPr>
            <w:r w:rsidRPr="0049499E">
              <w:rPr>
                <w:sz w:val="20"/>
                <w:szCs w:val="20"/>
              </w:rPr>
              <w:t>555</w:t>
            </w:r>
          </w:p>
        </w:tc>
        <w:tc>
          <w:tcPr>
            <w:tcW w:w="744" w:type="dxa"/>
          </w:tcPr>
          <w:p w14:paraId="48BE9814" w14:textId="77777777" w:rsidR="00C3312E" w:rsidRPr="0049499E" w:rsidRDefault="00C3312E" w:rsidP="00C3312E">
            <w:pPr>
              <w:spacing w:after="0" w:line="240" w:lineRule="auto"/>
              <w:jc w:val="center"/>
              <w:rPr>
                <w:sz w:val="20"/>
                <w:szCs w:val="20"/>
              </w:rPr>
            </w:pPr>
            <w:r w:rsidRPr="0049499E">
              <w:rPr>
                <w:sz w:val="20"/>
                <w:szCs w:val="20"/>
              </w:rPr>
              <w:t>37.9</w:t>
            </w:r>
          </w:p>
        </w:tc>
        <w:tc>
          <w:tcPr>
            <w:tcW w:w="744" w:type="dxa"/>
          </w:tcPr>
          <w:p w14:paraId="52DD09C3" w14:textId="77777777" w:rsidR="00C3312E" w:rsidRPr="0049499E" w:rsidRDefault="00C3312E" w:rsidP="00C3312E">
            <w:pPr>
              <w:spacing w:after="0" w:line="240" w:lineRule="auto"/>
              <w:jc w:val="center"/>
              <w:rPr>
                <w:sz w:val="20"/>
                <w:szCs w:val="20"/>
              </w:rPr>
            </w:pPr>
            <w:r w:rsidRPr="0049499E">
              <w:rPr>
                <w:sz w:val="20"/>
                <w:szCs w:val="20"/>
              </w:rPr>
              <w:t>34.6</w:t>
            </w:r>
          </w:p>
        </w:tc>
        <w:tc>
          <w:tcPr>
            <w:tcW w:w="841" w:type="dxa"/>
          </w:tcPr>
          <w:p w14:paraId="04CC5729" w14:textId="0031FD48"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3.3</w:t>
            </w:r>
          </w:p>
        </w:tc>
        <w:tc>
          <w:tcPr>
            <w:tcW w:w="804" w:type="dxa"/>
          </w:tcPr>
          <w:p w14:paraId="2E3860CA" w14:textId="77777777" w:rsidR="00C3312E" w:rsidRPr="0049499E" w:rsidRDefault="00C3312E" w:rsidP="00C3312E">
            <w:pPr>
              <w:spacing w:after="0" w:line="240" w:lineRule="auto"/>
              <w:jc w:val="center"/>
              <w:rPr>
                <w:sz w:val="20"/>
                <w:szCs w:val="20"/>
              </w:rPr>
            </w:pPr>
            <w:r w:rsidRPr="0049499E">
              <w:rPr>
                <w:sz w:val="20"/>
                <w:szCs w:val="20"/>
              </w:rPr>
              <w:t>35.1</w:t>
            </w:r>
          </w:p>
        </w:tc>
      </w:tr>
      <w:tr w:rsidR="00C3312E" w:rsidRPr="0049499E" w14:paraId="25717F76" w14:textId="77777777" w:rsidTr="000F5BEE">
        <w:trPr>
          <w:jc w:val="center"/>
        </w:trPr>
        <w:tc>
          <w:tcPr>
            <w:tcW w:w="1600" w:type="dxa"/>
            <w:shd w:val="clear" w:color="auto" w:fill="BFBFBF" w:themeFill="background1" w:themeFillShade="BF"/>
          </w:tcPr>
          <w:p w14:paraId="67FEB094" w14:textId="77777777" w:rsidR="00C3312E" w:rsidRPr="0049499E" w:rsidRDefault="00C3312E" w:rsidP="00C3312E">
            <w:pPr>
              <w:spacing w:after="0" w:line="240" w:lineRule="auto"/>
              <w:rPr>
                <w:sz w:val="20"/>
                <w:szCs w:val="20"/>
              </w:rPr>
            </w:pPr>
            <w:r w:rsidRPr="0049499E">
              <w:rPr>
                <w:sz w:val="20"/>
                <w:szCs w:val="20"/>
              </w:rPr>
              <w:t>Multi-Race, non-</w:t>
            </w:r>
            <w:proofErr w:type="spellStart"/>
            <w:r w:rsidRPr="0049499E">
              <w:rPr>
                <w:sz w:val="20"/>
                <w:szCs w:val="20"/>
              </w:rPr>
              <w:t>Hisp</w:t>
            </w:r>
            <w:proofErr w:type="spellEnd"/>
            <w:r w:rsidRPr="0049499E">
              <w:rPr>
                <w:sz w:val="20"/>
                <w:szCs w:val="20"/>
              </w:rPr>
              <w:t>./Lat.</w:t>
            </w:r>
          </w:p>
        </w:tc>
        <w:tc>
          <w:tcPr>
            <w:tcW w:w="747" w:type="dxa"/>
            <w:shd w:val="clear" w:color="auto" w:fill="BFBFBF" w:themeFill="background1" w:themeFillShade="BF"/>
          </w:tcPr>
          <w:p w14:paraId="30C9022C" w14:textId="77777777" w:rsidR="00C3312E" w:rsidRPr="0049499E" w:rsidRDefault="00C3312E" w:rsidP="00C3312E">
            <w:pPr>
              <w:spacing w:after="0" w:line="240" w:lineRule="auto"/>
              <w:jc w:val="center"/>
              <w:rPr>
                <w:sz w:val="20"/>
                <w:szCs w:val="20"/>
              </w:rPr>
            </w:pPr>
            <w:r w:rsidRPr="0049499E">
              <w:rPr>
                <w:sz w:val="20"/>
                <w:szCs w:val="20"/>
              </w:rPr>
              <w:t>225</w:t>
            </w:r>
          </w:p>
        </w:tc>
        <w:tc>
          <w:tcPr>
            <w:tcW w:w="744" w:type="dxa"/>
            <w:shd w:val="clear" w:color="auto" w:fill="BFBFBF" w:themeFill="background1" w:themeFillShade="BF"/>
          </w:tcPr>
          <w:p w14:paraId="2A6514BF" w14:textId="77777777" w:rsidR="00C3312E" w:rsidRPr="0049499E" w:rsidRDefault="00C3312E" w:rsidP="00C3312E">
            <w:pPr>
              <w:spacing w:after="0" w:line="240" w:lineRule="auto"/>
              <w:jc w:val="center"/>
              <w:rPr>
                <w:sz w:val="20"/>
                <w:szCs w:val="20"/>
              </w:rPr>
            </w:pPr>
            <w:r w:rsidRPr="0049499E">
              <w:rPr>
                <w:sz w:val="20"/>
                <w:szCs w:val="20"/>
              </w:rPr>
              <w:t>--</w:t>
            </w:r>
          </w:p>
        </w:tc>
        <w:tc>
          <w:tcPr>
            <w:tcW w:w="744" w:type="dxa"/>
            <w:shd w:val="clear" w:color="auto" w:fill="BFBFBF" w:themeFill="background1" w:themeFillShade="BF"/>
          </w:tcPr>
          <w:p w14:paraId="02D9B729" w14:textId="77777777" w:rsidR="00C3312E" w:rsidRPr="0049499E" w:rsidRDefault="00C3312E" w:rsidP="00C3312E">
            <w:pPr>
              <w:spacing w:after="0" w:line="240" w:lineRule="auto"/>
              <w:jc w:val="center"/>
              <w:rPr>
                <w:sz w:val="20"/>
                <w:szCs w:val="20"/>
              </w:rPr>
            </w:pPr>
            <w:r w:rsidRPr="0049499E">
              <w:rPr>
                <w:sz w:val="20"/>
                <w:szCs w:val="20"/>
              </w:rPr>
              <w:t>--</w:t>
            </w:r>
          </w:p>
        </w:tc>
        <w:tc>
          <w:tcPr>
            <w:tcW w:w="841" w:type="dxa"/>
            <w:shd w:val="clear" w:color="auto" w:fill="BFBFBF" w:themeFill="background1" w:themeFillShade="BF"/>
          </w:tcPr>
          <w:p w14:paraId="75545637" w14:textId="77777777" w:rsidR="00C3312E" w:rsidRPr="00406A80" w:rsidRDefault="00C3312E" w:rsidP="00C3312E">
            <w:pPr>
              <w:spacing w:after="0" w:line="240" w:lineRule="auto"/>
              <w:jc w:val="center"/>
              <w:rPr>
                <w:sz w:val="20"/>
                <w:szCs w:val="20"/>
              </w:rPr>
            </w:pPr>
            <w:r w:rsidRPr="00406A80">
              <w:rPr>
                <w:sz w:val="20"/>
                <w:szCs w:val="20"/>
              </w:rPr>
              <w:t>--</w:t>
            </w:r>
          </w:p>
        </w:tc>
        <w:tc>
          <w:tcPr>
            <w:tcW w:w="804" w:type="dxa"/>
            <w:tcBorders>
              <w:right w:val="single" w:sz="12" w:space="0" w:color="auto"/>
            </w:tcBorders>
            <w:shd w:val="clear" w:color="auto" w:fill="BFBFBF" w:themeFill="background1" w:themeFillShade="BF"/>
          </w:tcPr>
          <w:p w14:paraId="3F7C7046" w14:textId="77777777" w:rsidR="00C3312E" w:rsidRPr="0049499E" w:rsidRDefault="00C3312E" w:rsidP="00C3312E">
            <w:pPr>
              <w:spacing w:after="0" w:line="240" w:lineRule="auto"/>
              <w:jc w:val="center"/>
              <w:rPr>
                <w:sz w:val="20"/>
                <w:szCs w:val="20"/>
              </w:rPr>
            </w:pPr>
            <w:r w:rsidRPr="0049499E">
              <w:rPr>
                <w:sz w:val="20"/>
                <w:szCs w:val="20"/>
              </w:rPr>
              <w:t>--</w:t>
            </w:r>
          </w:p>
        </w:tc>
        <w:tc>
          <w:tcPr>
            <w:tcW w:w="747" w:type="dxa"/>
            <w:tcBorders>
              <w:left w:val="single" w:sz="12" w:space="0" w:color="auto"/>
            </w:tcBorders>
            <w:shd w:val="clear" w:color="auto" w:fill="BFBFBF" w:themeFill="background1" w:themeFillShade="BF"/>
          </w:tcPr>
          <w:p w14:paraId="23EBF464" w14:textId="77777777" w:rsidR="00C3312E" w:rsidRPr="0049499E" w:rsidRDefault="00C3312E" w:rsidP="00C3312E">
            <w:pPr>
              <w:spacing w:after="0" w:line="240" w:lineRule="auto"/>
              <w:jc w:val="center"/>
              <w:rPr>
                <w:sz w:val="20"/>
                <w:szCs w:val="20"/>
              </w:rPr>
            </w:pPr>
            <w:r w:rsidRPr="0049499E">
              <w:rPr>
                <w:sz w:val="20"/>
                <w:szCs w:val="20"/>
              </w:rPr>
              <w:t>75</w:t>
            </w:r>
          </w:p>
        </w:tc>
        <w:tc>
          <w:tcPr>
            <w:tcW w:w="744" w:type="dxa"/>
            <w:shd w:val="clear" w:color="auto" w:fill="BFBFBF" w:themeFill="background1" w:themeFillShade="BF"/>
          </w:tcPr>
          <w:p w14:paraId="2E0B5454" w14:textId="77777777" w:rsidR="00C3312E" w:rsidRPr="0049499E" w:rsidRDefault="00C3312E" w:rsidP="00C3312E">
            <w:pPr>
              <w:spacing w:after="0" w:line="240" w:lineRule="auto"/>
              <w:jc w:val="center"/>
              <w:rPr>
                <w:sz w:val="20"/>
                <w:szCs w:val="20"/>
              </w:rPr>
            </w:pPr>
            <w:r w:rsidRPr="0049499E">
              <w:rPr>
                <w:sz w:val="20"/>
                <w:szCs w:val="20"/>
              </w:rPr>
              <w:t>--</w:t>
            </w:r>
          </w:p>
        </w:tc>
        <w:tc>
          <w:tcPr>
            <w:tcW w:w="744" w:type="dxa"/>
            <w:shd w:val="clear" w:color="auto" w:fill="BFBFBF" w:themeFill="background1" w:themeFillShade="BF"/>
          </w:tcPr>
          <w:p w14:paraId="03AEF69B" w14:textId="77777777" w:rsidR="00C3312E" w:rsidRPr="0049499E" w:rsidRDefault="00C3312E" w:rsidP="00C3312E">
            <w:pPr>
              <w:spacing w:after="0" w:line="240" w:lineRule="auto"/>
              <w:jc w:val="center"/>
              <w:rPr>
                <w:sz w:val="20"/>
                <w:szCs w:val="20"/>
              </w:rPr>
            </w:pPr>
            <w:r w:rsidRPr="0049499E">
              <w:rPr>
                <w:sz w:val="20"/>
                <w:szCs w:val="20"/>
              </w:rPr>
              <w:t>--</w:t>
            </w:r>
          </w:p>
        </w:tc>
        <w:tc>
          <w:tcPr>
            <w:tcW w:w="841" w:type="dxa"/>
            <w:shd w:val="clear" w:color="auto" w:fill="BFBFBF" w:themeFill="background1" w:themeFillShade="BF"/>
          </w:tcPr>
          <w:p w14:paraId="6A3754D9" w14:textId="77777777" w:rsidR="00C3312E" w:rsidRPr="00406A80" w:rsidRDefault="00C3312E" w:rsidP="00C3312E">
            <w:pPr>
              <w:spacing w:after="0" w:line="240" w:lineRule="auto"/>
              <w:jc w:val="center"/>
              <w:rPr>
                <w:sz w:val="20"/>
                <w:szCs w:val="20"/>
              </w:rPr>
            </w:pPr>
            <w:r w:rsidRPr="00406A80">
              <w:rPr>
                <w:sz w:val="20"/>
                <w:szCs w:val="20"/>
              </w:rPr>
              <w:t>--</w:t>
            </w:r>
          </w:p>
        </w:tc>
        <w:tc>
          <w:tcPr>
            <w:tcW w:w="804" w:type="dxa"/>
            <w:shd w:val="clear" w:color="auto" w:fill="BFBFBF" w:themeFill="background1" w:themeFillShade="BF"/>
          </w:tcPr>
          <w:p w14:paraId="67BF000A" w14:textId="77777777" w:rsidR="00C3312E" w:rsidRPr="0049499E" w:rsidRDefault="00C3312E" w:rsidP="00C3312E">
            <w:pPr>
              <w:spacing w:after="0" w:line="240" w:lineRule="auto"/>
              <w:jc w:val="center"/>
              <w:rPr>
                <w:sz w:val="20"/>
                <w:szCs w:val="20"/>
              </w:rPr>
            </w:pPr>
            <w:r w:rsidRPr="0049499E">
              <w:rPr>
                <w:sz w:val="20"/>
                <w:szCs w:val="20"/>
              </w:rPr>
              <w:t>--</w:t>
            </w:r>
          </w:p>
        </w:tc>
      </w:tr>
      <w:tr w:rsidR="00C3312E" w:rsidRPr="0049499E" w14:paraId="44865782" w14:textId="77777777" w:rsidTr="000F5BEE">
        <w:trPr>
          <w:jc w:val="center"/>
        </w:trPr>
        <w:tc>
          <w:tcPr>
            <w:tcW w:w="1600" w:type="dxa"/>
          </w:tcPr>
          <w:p w14:paraId="0E33A710" w14:textId="77777777" w:rsidR="00C3312E" w:rsidRPr="0049499E" w:rsidRDefault="00C3312E" w:rsidP="00C3312E">
            <w:pPr>
              <w:spacing w:after="0" w:line="240" w:lineRule="auto"/>
              <w:rPr>
                <w:sz w:val="20"/>
                <w:szCs w:val="20"/>
              </w:rPr>
            </w:pPr>
            <w:r w:rsidRPr="0049499E">
              <w:rPr>
                <w:sz w:val="20"/>
                <w:szCs w:val="20"/>
              </w:rPr>
              <w:t>White</w:t>
            </w:r>
          </w:p>
        </w:tc>
        <w:tc>
          <w:tcPr>
            <w:tcW w:w="747" w:type="dxa"/>
          </w:tcPr>
          <w:p w14:paraId="6E9CD871" w14:textId="77777777" w:rsidR="00C3312E" w:rsidRPr="0049499E" w:rsidRDefault="00C3312E" w:rsidP="00C3312E">
            <w:pPr>
              <w:spacing w:after="0" w:line="240" w:lineRule="auto"/>
              <w:jc w:val="center"/>
              <w:rPr>
                <w:sz w:val="20"/>
                <w:szCs w:val="20"/>
              </w:rPr>
            </w:pPr>
            <w:r w:rsidRPr="0049499E">
              <w:rPr>
                <w:sz w:val="20"/>
                <w:szCs w:val="20"/>
              </w:rPr>
              <w:t>3,290</w:t>
            </w:r>
          </w:p>
        </w:tc>
        <w:tc>
          <w:tcPr>
            <w:tcW w:w="744" w:type="dxa"/>
          </w:tcPr>
          <w:p w14:paraId="122859C5" w14:textId="77777777" w:rsidR="00C3312E" w:rsidRPr="0049499E" w:rsidRDefault="00C3312E" w:rsidP="00C3312E">
            <w:pPr>
              <w:spacing w:after="0" w:line="240" w:lineRule="auto"/>
              <w:jc w:val="center"/>
              <w:rPr>
                <w:sz w:val="20"/>
                <w:szCs w:val="20"/>
              </w:rPr>
            </w:pPr>
            <w:r w:rsidRPr="0049499E">
              <w:rPr>
                <w:sz w:val="20"/>
                <w:szCs w:val="20"/>
              </w:rPr>
              <w:t>7.8</w:t>
            </w:r>
          </w:p>
        </w:tc>
        <w:tc>
          <w:tcPr>
            <w:tcW w:w="744" w:type="dxa"/>
          </w:tcPr>
          <w:p w14:paraId="310891A4" w14:textId="77777777" w:rsidR="00C3312E" w:rsidRPr="0049499E" w:rsidRDefault="00C3312E" w:rsidP="00C3312E">
            <w:pPr>
              <w:spacing w:after="0" w:line="240" w:lineRule="auto"/>
              <w:jc w:val="center"/>
              <w:rPr>
                <w:sz w:val="20"/>
                <w:szCs w:val="20"/>
              </w:rPr>
            </w:pPr>
            <w:r w:rsidRPr="0049499E">
              <w:rPr>
                <w:sz w:val="20"/>
                <w:szCs w:val="20"/>
              </w:rPr>
              <w:t>7.6</w:t>
            </w:r>
          </w:p>
        </w:tc>
        <w:tc>
          <w:tcPr>
            <w:tcW w:w="841" w:type="dxa"/>
          </w:tcPr>
          <w:p w14:paraId="30C80776" w14:textId="7D461AAD"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0.2</w:t>
            </w:r>
          </w:p>
        </w:tc>
        <w:tc>
          <w:tcPr>
            <w:tcW w:w="804" w:type="dxa"/>
            <w:tcBorders>
              <w:right w:val="single" w:sz="12" w:space="0" w:color="auto"/>
            </w:tcBorders>
          </w:tcPr>
          <w:p w14:paraId="04D30D44" w14:textId="77777777" w:rsidR="00C3312E" w:rsidRPr="0049499E" w:rsidRDefault="00C3312E" w:rsidP="00C3312E">
            <w:pPr>
              <w:spacing w:after="0" w:line="240" w:lineRule="auto"/>
              <w:jc w:val="center"/>
              <w:rPr>
                <w:sz w:val="20"/>
                <w:szCs w:val="20"/>
              </w:rPr>
            </w:pPr>
            <w:r w:rsidRPr="0049499E">
              <w:rPr>
                <w:sz w:val="20"/>
                <w:szCs w:val="20"/>
              </w:rPr>
              <w:t>6.8</w:t>
            </w:r>
          </w:p>
        </w:tc>
        <w:tc>
          <w:tcPr>
            <w:tcW w:w="747" w:type="dxa"/>
            <w:tcBorders>
              <w:left w:val="single" w:sz="12" w:space="0" w:color="auto"/>
            </w:tcBorders>
          </w:tcPr>
          <w:p w14:paraId="2FB0A38D" w14:textId="77777777" w:rsidR="00C3312E" w:rsidRPr="0049499E" w:rsidRDefault="00C3312E" w:rsidP="00C3312E">
            <w:pPr>
              <w:spacing w:after="0" w:line="240" w:lineRule="auto"/>
              <w:jc w:val="center"/>
              <w:rPr>
                <w:sz w:val="20"/>
                <w:szCs w:val="20"/>
              </w:rPr>
            </w:pPr>
            <w:r w:rsidRPr="0049499E">
              <w:rPr>
                <w:sz w:val="20"/>
                <w:szCs w:val="20"/>
              </w:rPr>
              <w:t>1,422</w:t>
            </w:r>
          </w:p>
        </w:tc>
        <w:tc>
          <w:tcPr>
            <w:tcW w:w="744" w:type="dxa"/>
          </w:tcPr>
          <w:p w14:paraId="267F1464" w14:textId="77777777" w:rsidR="00C3312E" w:rsidRPr="0049499E" w:rsidRDefault="00C3312E" w:rsidP="00C3312E">
            <w:pPr>
              <w:spacing w:after="0" w:line="240" w:lineRule="auto"/>
              <w:jc w:val="center"/>
              <w:rPr>
                <w:sz w:val="20"/>
                <w:szCs w:val="20"/>
              </w:rPr>
            </w:pPr>
            <w:r w:rsidRPr="0049499E">
              <w:rPr>
                <w:sz w:val="20"/>
                <w:szCs w:val="20"/>
              </w:rPr>
              <w:t>15.2</w:t>
            </w:r>
          </w:p>
        </w:tc>
        <w:tc>
          <w:tcPr>
            <w:tcW w:w="744" w:type="dxa"/>
          </w:tcPr>
          <w:p w14:paraId="743E14B2" w14:textId="77777777" w:rsidR="00C3312E" w:rsidRPr="0049499E" w:rsidRDefault="00C3312E" w:rsidP="00C3312E">
            <w:pPr>
              <w:spacing w:after="0" w:line="240" w:lineRule="auto"/>
              <w:jc w:val="center"/>
              <w:rPr>
                <w:sz w:val="20"/>
                <w:szCs w:val="20"/>
              </w:rPr>
            </w:pPr>
            <w:r w:rsidRPr="0049499E">
              <w:rPr>
                <w:sz w:val="20"/>
                <w:szCs w:val="20"/>
              </w:rPr>
              <w:t>15.3</w:t>
            </w:r>
          </w:p>
        </w:tc>
        <w:tc>
          <w:tcPr>
            <w:tcW w:w="841" w:type="dxa"/>
          </w:tcPr>
          <w:p w14:paraId="0CACDEBD" w14:textId="2A22254A" w:rsidR="00C3312E" w:rsidRPr="00406A80" w:rsidRDefault="00C3312E" w:rsidP="00C3312E">
            <w:pPr>
              <w:spacing w:after="0" w:line="240" w:lineRule="auto"/>
              <w:jc w:val="center"/>
              <w:rPr>
                <w:sz w:val="20"/>
                <w:szCs w:val="20"/>
              </w:rPr>
            </w:pPr>
            <w:r w:rsidRPr="00406A80">
              <w:rPr>
                <w:sz w:val="20"/>
                <w:szCs w:val="20"/>
              </w:rPr>
              <w:t>0.1</w:t>
            </w:r>
          </w:p>
        </w:tc>
        <w:tc>
          <w:tcPr>
            <w:tcW w:w="804" w:type="dxa"/>
          </w:tcPr>
          <w:p w14:paraId="5EE9A5B1" w14:textId="77777777" w:rsidR="00C3312E" w:rsidRPr="0049499E" w:rsidRDefault="00C3312E" w:rsidP="00C3312E">
            <w:pPr>
              <w:spacing w:after="0" w:line="240" w:lineRule="auto"/>
              <w:jc w:val="center"/>
              <w:rPr>
                <w:sz w:val="20"/>
                <w:szCs w:val="20"/>
              </w:rPr>
            </w:pPr>
            <w:r w:rsidRPr="0049499E">
              <w:rPr>
                <w:sz w:val="20"/>
                <w:szCs w:val="20"/>
              </w:rPr>
              <w:t>14.2</w:t>
            </w:r>
          </w:p>
        </w:tc>
      </w:tr>
      <w:tr w:rsidR="00C3312E" w:rsidRPr="0049499E" w14:paraId="64702AA2" w14:textId="77777777" w:rsidTr="000F5BEE">
        <w:trPr>
          <w:jc w:val="center"/>
        </w:trPr>
        <w:tc>
          <w:tcPr>
            <w:tcW w:w="1600" w:type="dxa"/>
            <w:shd w:val="clear" w:color="auto" w:fill="BFBFBF" w:themeFill="background1" w:themeFillShade="BF"/>
          </w:tcPr>
          <w:p w14:paraId="70D7F8C1" w14:textId="77777777" w:rsidR="00C3312E" w:rsidRPr="0049499E" w:rsidRDefault="00C3312E" w:rsidP="00C3312E">
            <w:pPr>
              <w:spacing w:after="0" w:line="240" w:lineRule="auto"/>
              <w:rPr>
                <w:sz w:val="20"/>
                <w:szCs w:val="20"/>
              </w:rPr>
            </w:pPr>
            <w:r w:rsidRPr="0049499E">
              <w:rPr>
                <w:sz w:val="20"/>
                <w:szCs w:val="20"/>
              </w:rPr>
              <w:t>High needs</w:t>
            </w:r>
          </w:p>
        </w:tc>
        <w:tc>
          <w:tcPr>
            <w:tcW w:w="747" w:type="dxa"/>
            <w:shd w:val="clear" w:color="auto" w:fill="BFBFBF" w:themeFill="background1" w:themeFillShade="BF"/>
          </w:tcPr>
          <w:p w14:paraId="286EFED9" w14:textId="77777777" w:rsidR="00C3312E" w:rsidRPr="0049499E" w:rsidRDefault="00C3312E" w:rsidP="00C3312E">
            <w:pPr>
              <w:spacing w:after="0" w:line="240" w:lineRule="auto"/>
              <w:jc w:val="center"/>
              <w:rPr>
                <w:sz w:val="20"/>
                <w:szCs w:val="20"/>
              </w:rPr>
            </w:pPr>
            <w:r w:rsidRPr="0049499E">
              <w:rPr>
                <w:sz w:val="20"/>
                <w:szCs w:val="20"/>
              </w:rPr>
              <w:t>3,797</w:t>
            </w:r>
          </w:p>
        </w:tc>
        <w:tc>
          <w:tcPr>
            <w:tcW w:w="744" w:type="dxa"/>
            <w:shd w:val="clear" w:color="auto" w:fill="BFBFBF" w:themeFill="background1" w:themeFillShade="BF"/>
          </w:tcPr>
          <w:p w14:paraId="453392B0" w14:textId="77777777" w:rsidR="00C3312E" w:rsidRPr="0049499E" w:rsidRDefault="00C3312E" w:rsidP="00C3312E">
            <w:pPr>
              <w:spacing w:after="0" w:line="240" w:lineRule="auto"/>
              <w:jc w:val="center"/>
              <w:rPr>
                <w:sz w:val="20"/>
                <w:szCs w:val="20"/>
              </w:rPr>
            </w:pPr>
            <w:r w:rsidRPr="0049499E">
              <w:rPr>
                <w:sz w:val="20"/>
                <w:szCs w:val="20"/>
              </w:rPr>
              <w:t>13.2</w:t>
            </w:r>
          </w:p>
        </w:tc>
        <w:tc>
          <w:tcPr>
            <w:tcW w:w="744" w:type="dxa"/>
            <w:shd w:val="clear" w:color="auto" w:fill="BFBFBF" w:themeFill="background1" w:themeFillShade="BF"/>
          </w:tcPr>
          <w:p w14:paraId="668F4B31" w14:textId="77777777" w:rsidR="00C3312E" w:rsidRPr="0049499E" w:rsidRDefault="00C3312E" w:rsidP="00C3312E">
            <w:pPr>
              <w:spacing w:after="0" w:line="240" w:lineRule="auto"/>
              <w:jc w:val="center"/>
              <w:rPr>
                <w:sz w:val="20"/>
                <w:szCs w:val="20"/>
              </w:rPr>
            </w:pPr>
            <w:r w:rsidRPr="0049499E">
              <w:rPr>
                <w:sz w:val="20"/>
                <w:szCs w:val="20"/>
              </w:rPr>
              <w:t>13.2</w:t>
            </w:r>
          </w:p>
        </w:tc>
        <w:tc>
          <w:tcPr>
            <w:tcW w:w="841" w:type="dxa"/>
            <w:shd w:val="clear" w:color="auto" w:fill="BFBFBF" w:themeFill="background1" w:themeFillShade="BF"/>
          </w:tcPr>
          <w:p w14:paraId="22448E2A" w14:textId="77777777" w:rsidR="00C3312E" w:rsidRPr="00406A80" w:rsidRDefault="00C3312E" w:rsidP="00C3312E">
            <w:pPr>
              <w:spacing w:after="0" w:line="240" w:lineRule="auto"/>
              <w:jc w:val="center"/>
              <w:rPr>
                <w:sz w:val="20"/>
                <w:szCs w:val="20"/>
              </w:rPr>
            </w:pPr>
            <w:r w:rsidRPr="00406A80">
              <w:rPr>
                <w:sz w:val="20"/>
                <w:szCs w:val="20"/>
              </w:rPr>
              <w:t>0.0</w:t>
            </w:r>
          </w:p>
        </w:tc>
        <w:tc>
          <w:tcPr>
            <w:tcW w:w="804" w:type="dxa"/>
            <w:tcBorders>
              <w:right w:val="single" w:sz="12" w:space="0" w:color="auto"/>
            </w:tcBorders>
            <w:shd w:val="clear" w:color="auto" w:fill="BFBFBF" w:themeFill="background1" w:themeFillShade="BF"/>
          </w:tcPr>
          <w:p w14:paraId="3B0EA24C" w14:textId="77777777" w:rsidR="00C3312E" w:rsidRPr="0049499E" w:rsidRDefault="00C3312E" w:rsidP="00C3312E">
            <w:pPr>
              <w:spacing w:after="0" w:line="240" w:lineRule="auto"/>
              <w:jc w:val="center"/>
              <w:rPr>
                <w:sz w:val="20"/>
                <w:szCs w:val="20"/>
              </w:rPr>
            </w:pPr>
            <w:r w:rsidRPr="0049499E">
              <w:rPr>
                <w:sz w:val="20"/>
                <w:szCs w:val="20"/>
              </w:rPr>
              <w:t>11.3</w:t>
            </w:r>
          </w:p>
        </w:tc>
        <w:tc>
          <w:tcPr>
            <w:tcW w:w="747" w:type="dxa"/>
            <w:tcBorders>
              <w:left w:val="single" w:sz="12" w:space="0" w:color="auto"/>
            </w:tcBorders>
            <w:shd w:val="clear" w:color="auto" w:fill="BFBFBF" w:themeFill="background1" w:themeFillShade="BF"/>
          </w:tcPr>
          <w:p w14:paraId="3B750A90" w14:textId="77777777" w:rsidR="00C3312E" w:rsidRPr="0049499E" w:rsidRDefault="00C3312E" w:rsidP="00C3312E">
            <w:pPr>
              <w:spacing w:after="0" w:line="240" w:lineRule="auto"/>
              <w:jc w:val="center"/>
              <w:rPr>
                <w:sz w:val="20"/>
                <w:szCs w:val="20"/>
              </w:rPr>
            </w:pPr>
            <w:r w:rsidRPr="0049499E">
              <w:rPr>
                <w:sz w:val="20"/>
                <w:szCs w:val="20"/>
              </w:rPr>
              <w:t>1,200</w:t>
            </w:r>
          </w:p>
        </w:tc>
        <w:tc>
          <w:tcPr>
            <w:tcW w:w="744" w:type="dxa"/>
            <w:shd w:val="clear" w:color="auto" w:fill="BFBFBF" w:themeFill="background1" w:themeFillShade="BF"/>
          </w:tcPr>
          <w:p w14:paraId="1422FEB2" w14:textId="77777777" w:rsidR="00C3312E" w:rsidRPr="0049499E" w:rsidRDefault="00C3312E" w:rsidP="00C3312E">
            <w:pPr>
              <w:spacing w:after="0" w:line="240" w:lineRule="auto"/>
              <w:jc w:val="center"/>
              <w:rPr>
                <w:sz w:val="20"/>
                <w:szCs w:val="20"/>
              </w:rPr>
            </w:pPr>
            <w:r w:rsidRPr="0049499E">
              <w:rPr>
                <w:sz w:val="20"/>
                <w:szCs w:val="20"/>
              </w:rPr>
              <w:t>34.4</w:t>
            </w:r>
          </w:p>
        </w:tc>
        <w:tc>
          <w:tcPr>
            <w:tcW w:w="744" w:type="dxa"/>
            <w:shd w:val="clear" w:color="auto" w:fill="BFBFBF" w:themeFill="background1" w:themeFillShade="BF"/>
          </w:tcPr>
          <w:p w14:paraId="1D91B7FA" w14:textId="77777777" w:rsidR="00C3312E" w:rsidRPr="0049499E" w:rsidRDefault="00C3312E" w:rsidP="00C3312E">
            <w:pPr>
              <w:spacing w:after="0" w:line="240" w:lineRule="auto"/>
              <w:jc w:val="center"/>
              <w:rPr>
                <w:sz w:val="20"/>
                <w:szCs w:val="20"/>
              </w:rPr>
            </w:pPr>
            <w:r w:rsidRPr="0049499E">
              <w:rPr>
                <w:sz w:val="20"/>
                <w:szCs w:val="20"/>
              </w:rPr>
              <w:t>29.3</w:t>
            </w:r>
          </w:p>
        </w:tc>
        <w:tc>
          <w:tcPr>
            <w:tcW w:w="841" w:type="dxa"/>
            <w:shd w:val="clear" w:color="auto" w:fill="BFBFBF" w:themeFill="background1" w:themeFillShade="BF"/>
          </w:tcPr>
          <w:p w14:paraId="7A4BA5F8" w14:textId="32FDE2E4"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5.1</w:t>
            </w:r>
          </w:p>
        </w:tc>
        <w:tc>
          <w:tcPr>
            <w:tcW w:w="804" w:type="dxa"/>
            <w:shd w:val="clear" w:color="auto" w:fill="BFBFBF" w:themeFill="background1" w:themeFillShade="BF"/>
          </w:tcPr>
          <w:p w14:paraId="432B051E" w14:textId="77777777" w:rsidR="00C3312E" w:rsidRPr="0049499E" w:rsidRDefault="00C3312E" w:rsidP="00C3312E">
            <w:pPr>
              <w:spacing w:after="0" w:line="240" w:lineRule="auto"/>
              <w:jc w:val="center"/>
              <w:rPr>
                <w:sz w:val="20"/>
                <w:szCs w:val="20"/>
              </w:rPr>
            </w:pPr>
            <w:r w:rsidRPr="0049499E">
              <w:rPr>
                <w:sz w:val="20"/>
                <w:szCs w:val="20"/>
              </w:rPr>
              <w:t>32.5</w:t>
            </w:r>
          </w:p>
        </w:tc>
      </w:tr>
      <w:tr w:rsidR="00C3312E" w:rsidRPr="0049499E" w14:paraId="7DFA1087" w14:textId="77777777" w:rsidTr="000F5BEE">
        <w:trPr>
          <w:jc w:val="center"/>
        </w:trPr>
        <w:tc>
          <w:tcPr>
            <w:tcW w:w="1600" w:type="dxa"/>
          </w:tcPr>
          <w:p w14:paraId="3E2087C8" w14:textId="77777777" w:rsidR="00C3312E" w:rsidRPr="0049499E" w:rsidRDefault="00C3312E" w:rsidP="00C3312E">
            <w:pPr>
              <w:spacing w:after="0" w:line="240" w:lineRule="auto"/>
              <w:rPr>
                <w:sz w:val="20"/>
                <w:szCs w:val="20"/>
              </w:rPr>
            </w:pPr>
            <w:r w:rsidRPr="0049499E">
              <w:rPr>
                <w:sz w:val="20"/>
                <w:szCs w:val="20"/>
              </w:rPr>
              <w:t>Economically Disadvantaged</w:t>
            </w:r>
          </w:p>
        </w:tc>
        <w:tc>
          <w:tcPr>
            <w:tcW w:w="747" w:type="dxa"/>
          </w:tcPr>
          <w:p w14:paraId="0105D1F6" w14:textId="77777777" w:rsidR="00C3312E" w:rsidRPr="0049499E" w:rsidRDefault="00C3312E" w:rsidP="00C3312E">
            <w:pPr>
              <w:spacing w:after="0" w:line="240" w:lineRule="auto"/>
              <w:jc w:val="center"/>
              <w:rPr>
                <w:sz w:val="20"/>
                <w:szCs w:val="20"/>
              </w:rPr>
            </w:pPr>
            <w:r w:rsidRPr="0049499E">
              <w:rPr>
                <w:sz w:val="20"/>
                <w:szCs w:val="20"/>
              </w:rPr>
              <w:t>2,146</w:t>
            </w:r>
          </w:p>
        </w:tc>
        <w:tc>
          <w:tcPr>
            <w:tcW w:w="744" w:type="dxa"/>
          </w:tcPr>
          <w:p w14:paraId="575476B9" w14:textId="77777777" w:rsidR="00C3312E" w:rsidRPr="0049499E" w:rsidRDefault="00C3312E" w:rsidP="00C3312E">
            <w:pPr>
              <w:spacing w:after="0" w:line="240" w:lineRule="auto"/>
              <w:jc w:val="center"/>
              <w:rPr>
                <w:sz w:val="20"/>
                <w:szCs w:val="20"/>
              </w:rPr>
            </w:pPr>
            <w:r w:rsidRPr="0049499E">
              <w:rPr>
                <w:sz w:val="20"/>
                <w:szCs w:val="20"/>
              </w:rPr>
              <w:t>16.7</w:t>
            </w:r>
          </w:p>
        </w:tc>
        <w:tc>
          <w:tcPr>
            <w:tcW w:w="744" w:type="dxa"/>
          </w:tcPr>
          <w:p w14:paraId="5E5B856D" w14:textId="77777777" w:rsidR="00C3312E" w:rsidRPr="0049499E" w:rsidRDefault="00C3312E" w:rsidP="00C3312E">
            <w:pPr>
              <w:spacing w:after="0" w:line="240" w:lineRule="auto"/>
              <w:jc w:val="center"/>
              <w:rPr>
                <w:sz w:val="20"/>
                <w:szCs w:val="20"/>
              </w:rPr>
            </w:pPr>
            <w:r w:rsidRPr="0049499E">
              <w:rPr>
                <w:sz w:val="20"/>
                <w:szCs w:val="20"/>
              </w:rPr>
              <w:t>16.5</w:t>
            </w:r>
          </w:p>
        </w:tc>
        <w:tc>
          <w:tcPr>
            <w:tcW w:w="841" w:type="dxa"/>
          </w:tcPr>
          <w:p w14:paraId="781A9351" w14:textId="15D1C33F"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0.2</w:t>
            </w:r>
          </w:p>
        </w:tc>
        <w:tc>
          <w:tcPr>
            <w:tcW w:w="804" w:type="dxa"/>
            <w:tcBorders>
              <w:right w:val="single" w:sz="12" w:space="0" w:color="auto"/>
            </w:tcBorders>
          </w:tcPr>
          <w:p w14:paraId="2E9279C5" w14:textId="77777777" w:rsidR="00C3312E" w:rsidRPr="0049499E" w:rsidRDefault="00C3312E" w:rsidP="00C3312E">
            <w:pPr>
              <w:spacing w:after="0" w:line="240" w:lineRule="auto"/>
              <w:jc w:val="center"/>
              <w:rPr>
                <w:sz w:val="20"/>
                <w:szCs w:val="20"/>
              </w:rPr>
            </w:pPr>
            <w:r w:rsidRPr="0049499E">
              <w:rPr>
                <w:sz w:val="20"/>
                <w:szCs w:val="20"/>
              </w:rPr>
              <w:t>14.1</w:t>
            </w:r>
          </w:p>
        </w:tc>
        <w:tc>
          <w:tcPr>
            <w:tcW w:w="747" w:type="dxa"/>
            <w:tcBorders>
              <w:left w:val="single" w:sz="12" w:space="0" w:color="auto"/>
            </w:tcBorders>
          </w:tcPr>
          <w:p w14:paraId="44565169" w14:textId="77777777" w:rsidR="00C3312E" w:rsidRPr="0049499E" w:rsidRDefault="00C3312E" w:rsidP="00C3312E">
            <w:pPr>
              <w:spacing w:after="0" w:line="240" w:lineRule="auto"/>
              <w:jc w:val="center"/>
              <w:rPr>
                <w:sz w:val="20"/>
                <w:szCs w:val="20"/>
              </w:rPr>
            </w:pPr>
            <w:r w:rsidRPr="0049499E">
              <w:rPr>
                <w:sz w:val="20"/>
                <w:szCs w:val="20"/>
              </w:rPr>
              <w:t>625</w:t>
            </w:r>
          </w:p>
        </w:tc>
        <w:tc>
          <w:tcPr>
            <w:tcW w:w="744" w:type="dxa"/>
          </w:tcPr>
          <w:p w14:paraId="3E7DF0A0" w14:textId="77777777" w:rsidR="00C3312E" w:rsidRPr="0049499E" w:rsidRDefault="00C3312E" w:rsidP="00C3312E">
            <w:pPr>
              <w:spacing w:after="0" w:line="240" w:lineRule="auto"/>
              <w:jc w:val="center"/>
              <w:rPr>
                <w:sz w:val="20"/>
                <w:szCs w:val="20"/>
              </w:rPr>
            </w:pPr>
            <w:r w:rsidRPr="0049499E">
              <w:rPr>
                <w:sz w:val="20"/>
                <w:szCs w:val="20"/>
              </w:rPr>
              <w:t>36.9</w:t>
            </w:r>
          </w:p>
        </w:tc>
        <w:tc>
          <w:tcPr>
            <w:tcW w:w="744" w:type="dxa"/>
          </w:tcPr>
          <w:p w14:paraId="00850EE8" w14:textId="77777777" w:rsidR="00C3312E" w:rsidRPr="0049499E" w:rsidRDefault="00C3312E" w:rsidP="00C3312E">
            <w:pPr>
              <w:spacing w:after="0" w:line="240" w:lineRule="auto"/>
              <w:jc w:val="center"/>
              <w:rPr>
                <w:sz w:val="20"/>
                <w:szCs w:val="20"/>
              </w:rPr>
            </w:pPr>
            <w:r w:rsidRPr="0049499E">
              <w:rPr>
                <w:sz w:val="20"/>
                <w:szCs w:val="20"/>
              </w:rPr>
              <w:t>33.9</w:t>
            </w:r>
          </w:p>
        </w:tc>
        <w:tc>
          <w:tcPr>
            <w:tcW w:w="841" w:type="dxa"/>
          </w:tcPr>
          <w:p w14:paraId="0B999986" w14:textId="583FA21D"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3.0</w:t>
            </w:r>
          </w:p>
        </w:tc>
        <w:tc>
          <w:tcPr>
            <w:tcW w:w="804" w:type="dxa"/>
          </w:tcPr>
          <w:p w14:paraId="1EA368D9" w14:textId="77777777" w:rsidR="00C3312E" w:rsidRPr="0049499E" w:rsidRDefault="00C3312E" w:rsidP="00C3312E">
            <w:pPr>
              <w:spacing w:after="0" w:line="240" w:lineRule="auto"/>
              <w:jc w:val="center"/>
              <w:rPr>
                <w:sz w:val="20"/>
                <w:szCs w:val="20"/>
              </w:rPr>
            </w:pPr>
            <w:r w:rsidRPr="0049499E">
              <w:rPr>
                <w:sz w:val="20"/>
                <w:szCs w:val="20"/>
              </w:rPr>
              <w:t>34.3</w:t>
            </w:r>
          </w:p>
        </w:tc>
      </w:tr>
      <w:tr w:rsidR="00C3312E" w:rsidRPr="0049499E" w14:paraId="1CC2C4AD" w14:textId="77777777" w:rsidTr="000F5BEE">
        <w:trPr>
          <w:jc w:val="center"/>
        </w:trPr>
        <w:tc>
          <w:tcPr>
            <w:tcW w:w="1600" w:type="dxa"/>
            <w:tcBorders>
              <w:bottom w:val="single" w:sz="4" w:space="0" w:color="auto"/>
            </w:tcBorders>
          </w:tcPr>
          <w:p w14:paraId="6D0ACF6F" w14:textId="77777777" w:rsidR="00C3312E" w:rsidRPr="0049499E" w:rsidRDefault="00C3312E" w:rsidP="00C3312E">
            <w:pPr>
              <w:spacing w:after="0" w:line="240" w:lineRule="auto"/>
              <w:rPr>
                <w:sz w:val="20"/>
                <w:szCs w:val="20"/>
              </w:rPr>
            </w:pPr>
            <w:r w:rsidRPr="0049499E">
              <w:rPr>
                <w:sz w:val="20"/>
                <w:szCs w:val="20"/>
              </w:rPr>
              <w:t>SWD</w:t>
            </w:r>
          </w:p>
        </w:tc>
        <w:tc>
          <w:tcPr>
            <w:tcW w:w="747" w:type="dxa"/>
            <w:tcBorders>
              <w:bottom w:val="single" w:sz="4" w:space="0" w:color="auto"/>
            </w:tcBorders>
          </w:tcPr>
          <w:p w14:paraId="52C4CF02" w14:textId="77777777" w:rsidR="00C3312E" w:rsidRPr="0049499E" w:rsidRDefault="00C3312E" w:rsidP="00C3312E">
            <w:pPr>
              <w:spacing w:after="0" w:line="240" w:lineRule="auto"/>
              <w:jc w:val="center"/>
              <w:rPr>
                <w:sz w:val="20"/>
                <w:szCs w:val="20"/>
              </w:rPr>
            </w:pPr>
            <w:r w:rsidRPr="0049499E">
              <w:rPr>
                <w:sz w:val="20"/>
                <w:szCs w:val="20"/>
              </w:rPr>
              <w:t>1,529</w:t>
            </w:r>
          </w:p>
        </w:tc>
        <w:tc>
          <w:tcPr>
            <w:tcW w:w="744" w:type="dxa"/>
            <w:tcBorders>
              <w:bottom w:val="single" w:sz="4" w:space="0" w:color="auto"/>
            </w:tcBorders>
          </w:tcPr>
          <w:p w14:paraId="634658F7" w14:textId="77777777" w:rsidR="00C3312E" w:rsidRPr="0049499E" w:rsidRDefault="00C3312E" w:rsidP="00C3312E">
            <w:pPr>
              <w:spacing w:after="0" w:line="240" w:lineRule="auto"/>
              <w:jc w:val="center"/>
              <w:rPr>
                <w:sz w:val="20"/>
                <w:szCs w:val="20"/>
              </w:rPr>
            </w:pPr>
            <w:r w:rsidRPr="0049499E">
              <w:rPr>
                <w:sz w:val="20"/>
                <w:szCs w:val="20"/>
              </w:rPr>
              <w:t>14.8</w:t>
            </w:r>
          </w:p>
        </w:tc>
        <w:tc>
          <w:tcPr>
            <w:tcW w:w="744" w:type="dxa"/>
            <w:tcBorders>
              <w:bottom w:val="single" w:sz="4" w:space="0" w:color="auto"/>
            </w:tcBorders>
          </w:tcPr>
          <w:p w14:paraId="1CCFE262" w14:textId="77777777" w:rsidR="00C3312E" w:rsidRPr="0049499E" w:rsidRDefault="00C3312E" w:rsidP="00C3312E">
            <w:pPr>
              <w:spacing w:after="0" w:line="240" w:lineRule="auto"/>
              <w:jc w:val="center"/>
              <w:rPr>
                <w:sz w:val="20"/>
                <w:szCs w:val="20"/>
              </w:rPr>
            </w:pPr>
            <w:r w:rsidRPr="0049499E">
              <w:rPr>
                <w:sz w:val="20"/>
                <w:szCs w:val="20"/>
              </w:rPr>
              <w:t>15.1</w:t>
            </w:r>
          </w:p>
        </w:tc>
        <w:tc>
          <w:tcPr>
            <w:tcW w:w="841" w:type="dxa"/>
            <w:tcBorders>
              <w:bottom w:val="single" w:sz="4" w:space="0" w:color="auto"/>
            </w:tcBorders>
          </w:tcPr>
          <w:p w14:paraId="6E2C9D98" w14:textId="7AFD465F" w:rsidR="00C3312E" w:rsidRPr="00406A80" w:rsidRDefault="00C3312E" w:rsidP="00C3312E">
            <w:pPr>
              <w:spacing w:after="0" w:line="240" w:lineRule="auto"/>
              <w:jc w:val="center"/>
              <w:rPr>
                <w:sz w:val="20"/>
                <w:szCs w:val="20"/>
              </w:rPr>
            </w:pPr>
            <w:r w:rsidRPr="00406A80">
              <w:rPr>
                <w:sz w:val="20"/>
                <w:szCs w:val="20"/>
              </w:rPr>
              <w:t>0.3</w:t>
            </w:r>
          </w:p>
        </w:tc>
        <w:tc>
          <w:tcPr>
            <w:tcW w:w="804" w:type="dxa"/>
            <w:tcBorders>
              <w:bottom w:val="single" w:sz="4" w:space="0" w:color="auto"/>
              <w:right w:val="single" w:sz="12" w:space="0" w:color="auto"/>
            </w:tcBorders>
          </w:tcPr>
          <w:p w14:paraId="40A6C1CF" w14:textId="77777777" w:rsidR="00C3312E" w:rsidRPr="0049499E" w:rsidRDefault="00C3312E" w:rsidP="00C3312E">
            <w:pPr>
              <w:spacing w:after="0" w:line="240" w:lineRule="auto"/>
              <w:jc w:val="center"/>
              <w:rPr>
                <w:sz w:val="20"/>
                <w:szCs w:val="20"/>
              </w:rPr>
            </w:pPr>
            <w:r w:rsidRPr="0049499E">
              <w:rPr>
                <w:sz w:val="20"/>
                <w:szCs w:val="20"/>
              </w:rPr>
              <w:t>12.4</w:t>
            </w:r>
          </w:p>
        </w:tc>
        <w:tc>
          <w:tcPr>
            <w:tcW w:w="747" w:type="dxa"/>
            <w:tcBorders>
              <w:left w:val="single" w:sz="12" w:space="0" w:color="auto"/>
              <w:bottom w:val="single" w:sz="4" w:space="0" w:color="auto"/>
            </w:tcBorders>
          </w:tcPr>
          <w:p w14:paraId="58660A20" w14:textId="77777777" w:rsidR="00C3312E" w:rsidRPr="0049499E" w:rsidRDefault="00C3312E" w:rsidP="00C3312E">
            <w:pPr>
              <w:spacing w:after="0" w:line="240" w:lineRule="auto"/>
              <w:jc w:val="center"/>
              <w:rPr>
                <w:sz w:val="20"/>
                <w:szCs w:val="20"/>
              </w:rPr>
            </w:pPr>
            <w:r w:rsidRPr="0049499E">
              <w:rPr>
                <w:sz w:val="20"/>
                <w:szCs w:val="20"/>
              </w:rPr>
              <w:t>449</w:t>
            </w:r>
          </w:p>
        </w:tc>
        <w:tc>
          <w:tcPr>
            <w:tcW w:w="744" w:type="dxa"/>
            <w:tcBorders>
              <w:bottom w:val="single" w:sz="4" w:space="0" w:color="auto"/>
            </w:tcBorders>
          </w:tcPr>
          <w:p w14:paraId="5D9F44FD" w14:textId="77777777" w:rsidR="00C3312E" w:rsidRPr="0049499E" w:rsidRDefault="00C3312E" w:rsidP="00C3312E">
            <w:pPr>
              <w:spacing w:after="0" w:line="240" w:lineRule="auto"/>
              <w:jc w:val="center"/>
              <w:rPr>
                <w:sz w:val="20"/>
                <w:szCs w:val="20"/>
              </w:rPr>
            </w:pPr>
            <w:r w:rsidRPr="0049499E">
              <w:rPr>
                <w:sz w:val="20"/>
                <w:szCs w:val="20"/>
              </w:rPr>
              <w:t>35.0</w:t>
            </w:r>
          </w:p>
        </w:tc>
        <w:tc>
          <w:tcPr>
            <w:tcW w:w="744" w:type="dxa"/>
            <w:tcBorders>
              <w:bottom w:val="single" w:sz="4" w:space="0" w:color="auto"/>
            </w:tcBorders>
          </w:tcPr>
          <w:p w14:paraId="4226962C" w14:textId="77777777" w:rsidR="00C3312E" w:rsidRPr="0049499E" w:rsidRDefault="00C3312E" w:rsidP="00C3312E">
            <w:pPr>
              <w:spacing w:after="0" w:line="240" w:lineRule="auto"/>
              <w:jc w:val="center"/>
              <w:rPr>
                <w:sz w:val="20"/>
                <w:szCs w:val="20"/>
              </w:rPr>
            </w:pPr>
            <w:r w:rsidRPr="0049499E">
              <w:rPr>
                <w:sz w:val="20"/>
                <w:szCs w:val="20"/>
              </w:rPr>
              <w:t>31.2</w:t>
            </w:r>
          </w:p>
        </w:tc>
        <w:tc>
          <w:tcPr>
            <w:tcW w:w="841" w:type="dxa"/>
            <w:tcBorders>
              <w:bottom w:val="single" w:sz="4" w:space="0" w:color="auto"/>
            </w:tcBorders>
          </w:tcPr>
          <w:p w14:paraId="5D5BDDEA" w14:textId="4373C7C1"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3.8</w:t>
            </w:r>
          </w:p>
        </w:tc>
        <w:tc>
          <w:tcPr>
            <w:tcW w:w="804" w:type="dxa"/>
            <w:tcBorders>
              <w:bottom w:val="single" w:sz="4" w:space="0" w:color="auto"/>
            </w:tcBorders>
          </w:tcPr>
          <w:p w14:paraId="285D423C" w14:textId="77777777" w:rsidR="00C3312E" w:rsidRPr="0049499E" w:rsidRDefault="00C3312E" w:rsidP="00C3312E">
            <w:pPr>
              <w:spacing w:after="0" w:line="240" w:lineRule="auto"/>
              <w:jc w:val="center"/>
              <w:rPr>
                <w:sz w:val="20"/>
                <w:szCs w:val="20"/>
              </w:rPr>
            </w:pPr>
            <w:r w:rsidRPr="0049499E">
              <w:rPr>
                <w:sz w:val="20"/>
                <w:szCs w:val="20"/>
              </w:rPr>
              <w:t>32.6</w:t>
            </w:r>
          </w:p>
        </w:tc>
      </w:tr>
      <w:tr w:rsidR="00754040" w:rsidRPr="0049499E" w14:paraId="15919383" w14:textId="77777777" w:rsidTr="000F5BEE">
        <w:trPr>
          <w:jc w:val="center"/>
        </w:trPr>
        <w:tc>
          <w:tcPr>
            <w:tcW w:w="1600" w:type="dxa"/>
            <w:tcBorders>
              <w:bottom w:val="single" w:sz="4" w:space="0" w:color="auto"/>
            </w:tcBorders>
          </w:tcPr>
          <w:p w14:paraId="6CD8F8E8" w14:textId="04C664E8" w:rsidR="00754040" w:rsidRPr="0049499E" w:rsidRDefault="00754040" w:rsidP="00754040">
            <w:pPr>
              <w:spacing w:after="0" w:line="240" w:lineRule="auto"/>
              <w:rPr>
                <w:sz w:val="20"/>
                <w:szCs w:val="20"/>
              </w:rPr>
            </w:pPr>
            <w:r w:rsidRPr="0049499E">
              <w:rPr>
                <w:sz w:val="20"/>
                <w:szCs w:val="20"/>
              </w:rPr>
              <w:t>EL</w:t>
            </w:r>
          </w:p>
        </w:tc>
        <w:tc>
          <w:tcPr>
            <w:tcW w:w="747" w:type="dxa"/>
            <w:tcBorders>
              <w:bottom w:val="single" w:sz="4" w:space="0" w:color="auto"/>
            </w:tcBorders>
          </w:tcPr>
          <w:p w14:paraId="5AD1D00B" w14:textId="2F57378D" w:rsidR="00754040" w:rsidRPr="0049499E" w:rsidRDefault="00754040" w:rsidP="00754040">
            <w:pPr>
              <w:spacing w:after="0" w:line="240" w:lineRule="auto"/>
              <w:jc w:val="center"/>
              <w:rPr>
                <w:sz w:val="20"/>
                <w:szCs w:val="20"/>
              </w:rPr>
            </w:pPr>
            <w:r w:rsidRPr="0049499E">
              <w:rPr>
                <w:sz w:val="20"/>
                <w:szCs w:val="20"/>
              </w:rPr>
              <w:t>2,110</w:t>
            </w:r>
          </w:p>
        </w:tc>
        <w:tc>
          <w:tcPr>
            <w:tcW w:w="744" w:type="dxa"/>
            <w:tcBorders>
              <w:bottom w:val="single" w:sz="4" w:space="0" w:color="auto"/>
            </w:tcBorders>
          </w:tcPr>
          <w:p w14:paraId="3E272843" w14:textId="3FFAE115" w:rsidR="00754040" w:rsidRPr="0049499E" w:rsidRDefault="00754040" w:rsidP="00754040">
            <w:pPr>
              <w:spacing w:after="0" w:line="240" w:lineRule="auto"/>
              <w:jc w:val="center"/>
              <w:rPr>
                <w:sz w:val="20"/>
                <w:szCs w:val="20"/>
              </w:rPr>
            </w:pPr>
            <w:r w:rsidRPr="0049499E">
              <w:rPr>
                <w:sz w:val="20"/>
                <w:szCs w:val="20"/>
              </w:rPr>
              <w:t>11.3</w:t>
            </w:r>
          </w:p>
        </w:tc>
        <w:tc>
          <w:tcPr>
            <w:tcW w:w="744" w:type="dxa"/>
            <w:tcBorders>
              <w:bottom w:val="single" w:sz="4" w:space="0" w:color="auto"/>
            </w:tcBorders>
          </w:tcPr>
          <w:p w14:paraId="7F406C40" w14:textId="1699C786" w:rsidR="00754040" w:rsidRPr="0049499E" w:rsidRDefault="00754040" w:rsidP="00754040">
            <w:pPr>
              <w:spacing w:after="0" w:line="240" w:lineRule="auto"/>
              <w:jc w:val="center"/>
              <w:rPr>
                <w:sz w:val="20"/>
                <w:szCs w:val="20"/>
              </w:rPr>
            </w:pPr>
            <w:r w:rsidRPr="0049499E">
              <w:rPr>
                <w:sz w:val="20"/>
                <w:szCs w:val="20"/>
              </w:rPr>
              <w:t>11.8</w:t>
            </w:r>
          </w:p>
        </w:tc>
        <w:tc>
          <w:tcPr>
            <w:tcW w:w="841" w:type="dxa"/>
            <w:tcBorders>
              <w:bottom w:val="single" w:sz="4" w:space="0" w:color="auto"/>
            </w:tcBorders>
          </w:tcPr>
          <w:p w14:paraId="6585D240" w14:textId="61819715" w:rsidR="00754040" w:rsidRPr="00406A80" w:rsidRDefault="00754040" w:rsidP="00754040">
            <w:pPr>
              <w:spacing w:after="0" w:line="240" w:lineRule="auto"/>
              <w:jc w:val="center"/>
              <w:rPr>
                <w:sz w:val="20"/>
                <w:szCs w:val="20"/>
              </w:rPr>
            </w:pPr>
            <w:r w:rsidRPr="00406A80">
              <w:rPr>
                <w:sz w:val="20"/>
                <w:szCs w:val="20"/>
              </w:rPr>
              <w:t>0.5</w:t>
            </w:r>
          </w:p>
        </w:tc>
        <w:tc>
          <w:tcPr>
            <w:tcW w:w="804" w:type="dxa"/>
            <w:tcBorders>
              <w:bottom w:val="single" w:sz="4" w:space="0" w:color="auto"/>
              <w:right w:val="single" w:sz="12" w:space="0" w:color="auto"/>
            </w:tcBorders>
          </w:tcPr>
          <w:p w14:paraId="59DFDCF5" w14:textId="13C991E7" w:rsidR="00754040" w:rsidRPr="0049499E" w:rsidRDefault="00754040" w:rsidP="00754040">
            <w:pPr>
              <w:spacing w:after="0" w:line="240" w:lineRule="auto"/>
              <w:jc w:val="center"/>
              <w:rPr>
                <w:sz w:val="20"/>
                <w:szCs w:val="20"/>
              </w:rPr>
            </w:pPr>
            <w:r w:rsidRPr="0049499E">
              <w:rPr>
                <w:sz w:val="20"/>
                <w:szCs w:val="20"/>
              </w:rPr>
              <w:t>7.9</w:t>
            </w:r>
          </w:p>
        </w:tc>
        <w:tc>
          <w:tcPr>
            <w:tcW w:w="747" w:type="dxa"/>
            <w:tcBorders>
              <w:left w:val="single" w:sz="12" w:space="0" w:color="auto"/>
              <w:bottom w:val="single" w:sz="4" w:space="0" w:color="auto"/>
            </w:tcBorders>
          </w:tcPr>
          <w:p w14:paraId="7C2C7892" w14:textId="36EF14CC" w:rsidR="00754040" w:rsidRPr="0049499E" w:rsidRDefault="00754040" w:rsidP="00754040">
            <w:pPr>
              <w:spacing w:after="0" w:line="240" w:lineRule="auto"/>
              <w:jc w:val="center"/>
              <w:rPr>
                <w:sz w:val="20"/>
                <w:szCs w:val="20"/>
              </w:rPr>
            </w:pPr>
            <w:r w:rsidRPr="0049499E">
              <w:rPr>
                <w:sz w:val="20"/>
                <w:szCs w:val="20"/>
              </w:rPr>
              <w:t>511</w:t>
            </w:r>
          </w:p>
        </w:tc>
        <w:tc>
          <w:tcPr>
            <w:tcW w:w="744" w:type="dxa"/>
            <w:tcBorders>
              <w:bottom w:val="single" w:sz="4" w:space="0" w:color="auto"/>
            </w:tcBorders>
          </w:tcPr>
          <w:p w14:paraId="511A6383" w14:textId="0CFDB3B3" w:rsidR="00754040" w:rsidRPr="0049499E" w:rsidRDefault="00754040" w:rsidP="00754040">
            <w:pPr>
              <w:spacing w:after="0" w:line="240" w:lineRule="auto"/>
              <w:jc w:val="center"/>
              <w:rPr>
                <w:sz w:val="20"/>
                <w:szCs w:val="20"/>
              </w:rPr>
            </w:pPr>
            <w:r w:rsidRPr="0049499E">
              <w:rPr>
                <w:sz w:val="20"/>
                <w:szCs w:val="20"/>
              </w:rPr>
              <w:t>38.9</w:t>
            </w:r>
          </w:p>
        </w:tc>
        <w:tc>
          <w:tcPr>
            <w:tcW w:w="744" w:type="dxa"/>
            <w:tcBorders>
              <w:bottom w:val="single" w:sz="4" w:space="0" w:color="auto"/>
            </w:tcBorders>
          </w:tcPr>
          <w:p w14:paraId="7C6876C5" w14:textId="7BE3887B" w:rsidR="00754040" w:rsidRPr="0049499E" w:rsidRDefault="00754040" w:rsidP="00754040">
            <w:pPr>
              <w:spacing w:after="0" w:line="240" w:lineRule="auto"/>
              <w:jc w:val="center"/>
              <w:rPr>
                <w:sz w:val="20"/>
                <w:szCs w:val="20"/>
              </w:rPr>
            </w:pPr>
            <w:r w:rsidRPr="0049499E">
              <w:rPr>
                <w:sz w:val="20"/>
                <w:szCs w:val="20"/>
              </w:rPr>
              <w:t>33.9</w:t>
            </w:r>
          </w:p>
        </w:tc>
        <w:tc>
          <w:tcPr>
            <w:tcW w:w="841" w:type="dxa"/>
            <w:tcBorders>
              <w:bottom w:val="single" w:sz="4" w:space="0" w:color="auto"/>
            </w:tcBorders>
          </w:tcPr>
          <w:p w14:paraId="4EA17022" w14:textId="4518B247" w:rsidR="00754040" w:rsidRPr="00406A80" w:rsidRDefault="002E1754" w:rsidP="00754040">
            <w:pPr>
              <w:spacing w:after="0" w:line="240" w:lineRule="auto"/>
              <w:jc w:val="center"/>
              <w:rPr>
                <w:sz w:val="20"/>
                <w:szCs w:val="20"/>
              </w:rPr>
            </w:pPr>
            <w:r w:rsidRPr="00406A80">
              <w:rPr>
                <w:sz w:val="20"/>
                <w:szCs w:val="20"/>
              </w:rPr>
              <w:t>-</w:t>
            </w:r>
            <w:r w:rsidR="00754040" w:rsidRPr="00406A80">
              <w:rPr>
                <w:sz w:val="20"/>
                <w:szCs w:val="20"/>
              </w:rPr>
              <w:t>5.0</w:t>
            </w:r>
          </w:p>
        </w:tc>
        <w:tc>
          <w:tcPr>
            <w:tcW w:w="804" w:type="dxa"/>
            <w:tcBorders>
              <w:bottom w:val="single" w:sz="4" w:space="0" w:color="auto"/>
            </w:tcBorders>
          </w:tcPr>
          <w:p w14:paraId="225798E7" w14:textId="56C82D8F" w:rsidR="00754040" w:rsidRPr="0049499E" w:rsidRDefault="00754040" w:rsidP="00754040">
            <w:pPr>
              <w:spacing w:after="0" w:line="240" w:lineRule="auto"/>
              <w:jc w:val="center"/>
              <w:rPr>
                <w:sz w:val="20"/>
                <w:szCs w:val="20"/>
              </w:rPr>
            </w:pPr>
            <w:r w:rsidRPr="0049499E">
              <w:rPr>
                <w:sz w:val="20"/>
                <w:szCs w:val="20"/>
              </w:rPr>
              <w:t>35.5</w:t>
            </w:r>
          </w:p>
        </w:tc>
      </w:tr>
      <w:tr w:rsidR="00C3312E" w:rsidRPr="0049499E" w14:paraId="518557A4" w14:textId="77777777" w:rsidTr="000F5BEE">
        <w:trPr>
          <w:jc w:val="center"/>
        </w:trPr>
        <w:tc>
          <w:tcPr>
            <w:tcW w:w="1600" w:type="dxa"/>
            <w:tcBorders>
              <w:bottom w:val="single" w:sz="4" w:space="0" w:color="auto"/>
            </w:tcBorders>
            <w:shd w:val="clear" w:color="auto" w:fill="BFBFBF" w:themeFill="background1" w:themeFillShade="BF"/>
          </w:tcPr>
          <w:p w14:paraId="76FFE242" w14:textId="77777777" w:rsidR="00C3312E" w:rsidRPr="0049499E" w:rsidRDefault="00C3312E" w:rsidP="00C3312E">
            <w:pPr>
              <w:spacing w:after="0" w:line="240" w:lineRule="auto"/>
              <w:rPr>
                <w:sz w:val="20"/>
                <w:szCs w:val="20"/>
              </w:rPr>
            </w:pPr>
            <w:r w:rsidRPr="0049499E">
              <w:rPr>
                <w:sz w:val="20"/>
                <w:szCs w:val="20"/>
              </w:rPr>
              <w:t>All</w:t>
            </w:r>
          </w:p>
        </w:tc>
        <w:tc>
          <w:tcPr>
            <w:tcW w:w="747" w:type="dxa"/>
            <w:tcBorders>
              <w:bottom w:val="single" w:sz="4" w:space="0" w:color="auto"/>
            </w:tcBorders>
            <w:shd w:val="clear" w:color="auto" w:fill="BFBFBF" w:themeFill="background1" w:themeFillShade="BF"/>
          </w:tcPr>
          <w:p w14:paraId="5197EDC5" w14:textId="77777777" w:rsidR="00C3312E" w:rsidRPr="0049499E" w:rsidRDefault="00C3312E" w:rsidP="00C3312E">
            <w:pPr>
              <w:spacing w:after="0" w:line="240" w:lineRule="auto"/>
              <w:jc w:val="center"/>
              <w:rPr>
                <w:sz w:val="20"/>
                <w:szCs w:val="20"/>
              </w:rPr>
            </w:pPr>
            <w:r w:rsidRPr="0049499E">
              <w:rPr>
                <w:sz w:val="20"/>
                <w:szCs w:val="20"/>
              </w:rPr>
              <w:t>5,948</w:t>
            </w:r>
          </w:p>
        </w:tc>
        <w:tc>
          <w:tcPr>
            <w:tcW w:w="744" w:type="dxa"/>
            <w:tcBorders>
              <w:bottom w:val="single" w:sz="4" w:space="0" w:color="auto"/>
            </w:tcBorders>
            <w:shd w:val="clear" w:color="auto" w:fill="BFBFBF" w:themeFill="background1" w:themeFillShade="BF"/>
          </w:tcPr>
          <w:p w14:paraId="4C8978B4" w14:textId="77777777" w:rsidR="00C3312E" w:rsidRPr="0049499E" w:rsidRDefault="00C3312E" w:rsidP="00C3312E">
            <w:pPr>
              <w:spacing w:after="0" w:line="240" w:lineRule="auto"/>
              <w:jc w:val="center"/>
              <w:rPr>
                <w:sz w:val="20"/>
                <w:szCs w:val="20"/>
              </w:rPr>
            </w:pPr>
            <w:r w:rsidRPr="0049499E">
              <w:rPr>
                <w:sz w:val="20"/>
                <w:szCs w:val="20"/>
              </w:rPr>
              <w:t>9.8</w:t>
            </w:r>
          </w:p>
        </w:tc>
        <w:tc>
          <w:tcPr>
            <w:tcW w:w="744" w:type="dxa"/>
            <w:tcBorders>
              <w:bottom w:val="single" w:sz="4" w:space="0" w:color="auto"/>
            </w:tcBorders>
            <w:shd w:val="clear" w:color="auto" w:fill="BFBFBF" w:themeFill="background1" w:themeFillShade="BF"/>
          </w:tcPr>
          <w:p w14:paraId="50E87EEF" w14:textId="77777777" w:rsidR="00C3312E" w:rsidRPr="0049499E" w:rsidRDefault="00C3312E" w:rsidP="00C3312E">
            <w:pPr>
              <w:spacing w:after="0" w:line="240" w:lineRule="auto"/>
              <w:jc w:val="center"/>
              <w:rPr>
                <w:sz w:val="20"/>
                <w:szCs w:val="20"/>
              </w:rPr>
            </w:pPr>
            <w:r w:rsidRPr="0049499E">
              <w:rPr>
                <w:sz w:val="20"/>
                <w:szCs w:val="20"/>
              </w:rPr>
              <w:t>9.7</w:t>
            </w:r>
          </w:p>
        </w:tc>
        <w:tc>
          <w:tcPr>
            <w:tcW w:w="841" w:type="dxa"/>
            <w:tcBorders>
              <w:bottom w:val="single" w:sz="4" w:space="0" w:color="auto"/>
            </w:tcBorders>
            <w:shd w:val="clear" w:color="auto" w:fill="BFBFBF" w:themeFill="background1" w:themeFillShade="BF"/>
          </w:tcPr>
          <w:p w14:paraId="025A8619" w14:textId="412DB9A6" w:rsidR="00C3312E" w:rsidRPr="00406A80" w:rsidRDefault="006C1A81" w:rsidP="00C3312E">
            <w:pPr>
              <w:spacing w:after="0" w:line="240" w:lineRule="auto"/>
              <w:jc w:val="center"/>
              <w:rPr>
                <w:sz w:val="20"/>
                <w:szCs w:val="20"/>
              </w:rPr>
            </w:pPr>
            <w:r w:rsidRPr="00406A80">
              <w:rPr>
                <w:sz w:val="20"/>
                <w:szCs w:val="20"/>
              </w:rPr>
              <w:t>-</w:t>
            </w:r>
            <w:r w:rsidR="00C3312E" w:rsidRPr="00406A80">
              <w:rPr>
                <w:sz w:val="20"/>
                <w:szCs w:val="20"/>
              </w:rPr>
              <w:t>0.1</w:t>
            </w:r>
          </w:p>
        </w:tc>
        <w:tc>
          <w:tcPr>
            <w:tcW w:w="804" w:type="dxa"/>
            <w:tcBorders>
              <w:bottom w:val="single" w:sz="4" w:space="0" w:color="auto"/>
              <w:right w:val="single" w:sz="12" w:space="0" w:color="auto"/>
            </w:tcBorders>
            <w:shd w:val="clear" w:color="auto" w:fill="BFBFBF" w:themeFill="background1" w:themeFillShade="BF"/>
          </w:tcPr>
          <w:p w14:paraId="65D71671" w14:textId="77777777" w:rsidR="00C3312E" w:rsidRPr="0049499E" w:rsidRDefault="00C3312E" w:rsidP="00C3312E">
            <w:pPr>
              <w:spacing w:after="0" w:line="240" w:lineRule="auto"/>
              <w:jc w:val="center"/>
              <w:rPr>
                <w:sz w:val="20"/>
                <w:szCs w:val="20"/>
              </w:rPr>
            </w:pPr>
            <w:r w:rsidRPr="0049499E">
              <w:rPr>
                <w:sz w:val="20"/>
                <w:szCs w:val="20"/>
              </w:rPr>
              <w:t>8.7</w:t>
            </w:r>
          </w:p>
        </w:tc>
        <w:tc>
          <w:tcPr>
            <w:tcW w:w="747" w:type="dxa"/>
            <w:tcBorders>
              <w:left w:val="single" w:sz="12" w:space="0" w:color="auto"/>
              <w:bottom w:val="single" w:sz="4" w:space="0" w:color="auto"/>
            </w:tcBorders>
            <w:shd w:val="clear" w:color="auto" w:fill="BFBFBF" w:themeFill="background1" w:themeFillShade="BF"/>
          </w:tcPr>
          <w:p w14:paraId="0784D116" w14:textId="77777777" w:rsidR="00C3312E" w:rsidRPr="0049499E" w:rsidRDefault="00C3312E" w:rsidP="00C3312E">
            <w:pPr>
              <w:spacing w:after="0" w:line="240" w:lineRule="auto"/>
              <w:jc w:val="center"/>
              <w:rPr>
                <w:sz w:val="20"/>
                <w:szCs w:val="20"/>
              </w:rPr>
            </w:pPr>
            <w:r w:rsidRPr="0049499E">
              <w:rPr>
                <w:sz w:val="20"/>
                <w:szCs w:val="20"/>
              </w:rPr>
              <w:t>2,376</w:t>
            </w:r>
          </w:p>
        </w:tc>
        <w:tc>
          <w:tcPr>
            <w:tcW w:w="744" w:type="dxa"/>
            <w:tcBorders>
              <w:bottom w:val="single" w:sz="4" w:space="0" w:color="auto"/>
            </w:tcBorders>
            <w:shd w:val="clear" w:color="auto" w:fill="BFBFBF" w:themeFill="background1" w:themeFillShade="BF"/>
          </w:tcPr>
          <w:p w14:paraId="0D55EFEB" w14:textId="77777777" w:rsidR="00C3312E" w:rsidRPr="0049499E" w:rsidRDefault="00C3312E" w:rsidP="00C3312E">
            <w:pPr>
              <w:spacing w:after="0" w:line="240" w:lineRule="auto"/>
              <w:jc w:val="center"/>
              <w:rPr>
                <w:sz w:val="20"/>
                <w:szCs w:val="20"/>
              </w:rPr>
            </w:pPr>
            <w:r w:rsidRPr="0049499E">
              <w:rPr>
                <w:sz w:val="20"/>
                <w:szCs w:val="20"/>
              </w:rPr>
              <w:t>21.1</w:t>
            </w:r>
          </w:p>
        </w:tc>
        <w:tc>
          <w:tcPr>
            <w:tcW w:w="744" w:type="dxa"/>
            <w:tcBorders>
              <w:bottom w:val="single" w:sz="4" w:space="0" w:color="auto"/>
            </w:tcBorders>
            <w:shd w:val="clear" w:color="auto" w:fill="BFBFBF" w:themeFill="background1" w:themeFillShade="BF"/>
          </w:tcPr>
          <w:p w14:paraId="34E1C351" w14:textId="77777777" w:rsidR="00C3312E" w:rsidRPr="0049499E" w:rsidRDefault="00C3312E" w:rsidP="00C3312E">
            <w:pPr>
              <w:spacing w:after="0" w:line="240" w:lineRule="auto"/>
              <w:jc w:val="center"/>
              <w:rPr>
                <w:sz w:val="20"/>
                <w:szCs w:val="20"/>
              </w:rPr>
            </w:pPr>
            <w:r w:rsidRPr="0049499E">
              <w:rPr>
                <w:sz w:val="20"/>
                <w:szCs w:val="20"/>
              </w:rPr>
              <w:t>19.9</w:t>
            </w:r>
          </w:p>
        </w:tc>
        <w:tc>
          <w:tcPr>
            <w:tcW w:w="841" w:type="dxa"/>
            <w:tcBorders>
              <w:bottom w:val="single" w:sz="4" w:space="0" w:color="auto"/>
            </w:tcBorders>
            <w:shd w:val="clear" w:color="auto" w:fill="BFBFBF" w:themeFill="background1" w:themeFillShade="BF"/>
          </w:tcPr>
          <w:p w14:paraId="540ED610" w14:textId="4FA87BF0" w:rsidR="00C3312E" w:rsidRPr="00406A80" w:rsidRDefault="002E1754" w:rsidP="00C3312E">
            <w:pPr>
              <w:spacing w:after="0" w:line="240" w:lineRule="auto"/>
              <w:jc w:val="center"/>
              <w:rPr>
                <w:sz w:val="20"/>
                <w:szCs w:val="20"/>
              </w:rPr>
            </w:pPr>
            <w:r w:rsidRPr="00406A80">
              <w:rPr>
                <w:sz w:val="20"/>
                <w:szCs w:val="20"/>
              </w:rPr>
              <w:t>-</w:t>
            </w:r>
            <w:r w:rsidR="00C3312E" w:rsidRPr="00406A80">
              <w:rPr>
                <w:sz w:val="20"/>
                <w:szCs w:val="20"/>
              </w:rPr>
              <w:t>1.2</w:t>
            </w:r>
          </w:p>
        </w:tc>
        <w:tc>
          <w:tcPr>
            <w:tcW w:w="804" w:type="dxa"/>
            <w:tcBorders>
              <w:bottom w:val="single" w:sz="4" w:space="0" w:color="auto"/>
            </w:tcBorders>
            <w:shd w:val="clear" w:color="auto" w:fill="BFBFBF" w:themeFill="background1" w:themeFillShade="BF"/>
          </w:tcPr>
          <w:p w14:paraId="58370345" w14:textId="77777777" w:rsidR="00C3312E" w:rsidRPr="0049499E" w:rsidRDefault="00C3312E" w:rsidP="00C3312E">
            <w:pPr>
              <w:spacing w:after="0" w:line="240" w:lineRule="auto"/>
              <w:jc w:val="center"/>
              <w:rPr>
                <w:sz w:val="20"/>
                <w:szCs w:val="20"/>
              </w:rPr>
            </w:pPr>
            <w:r w:rsidRPr="0049499E">
              <w:rPr>
                <w:sz w:val="20"/>
                <w:szCs w:val="20"/>
              </w:rPr>
              <w:t>20.0</w:t>
            </w:r>
          </w:p>
        </w:tc>
      </w:tr>
      <w:tr w:rsidR="00C3312E" w:rsidRPr="00C3312E" w14:paraId="616B2711" w14:textId="77777777" w:rsidTr="000F5BEE">
        <w:trPr>
          <w:jc w:val="center"/>
        </w:trPr>
        <w:tc>
          <w:tcPr>
            <w:tcW w:w="9360" w:type="dxa"/>
            <w:gridSpan w:val="11"/>
            <w:tcBorders>
              <w:left w:val="nil"/>
              <w:bottom w:val="nil"/>
              <w:right w:val="nil"/>
            </w:tcBorders>
          </w:tcPr>
          <w:p w14:paraId="038005CC" w14:textId="4F9B8D77" w:rsidR="00C3312E" w:rsidRPr="00C3312E" w:rsidRDefault="00C3312E" w:rsidP="00EC5B5A">
            <w:pPr>
              <w:spacing w:before="60" w:after="0" w:line="240" w:lineRule="auto"/>
              <w:rPr>
                <w:sz w:val="18"/>
                <w:szCs w:val="18"/>
              </w:rPr>
            </w:pPr>
            <w:r w:rsidRPr="0049499E">
              <w:rPr>
                <w:sz w:val="18"/>
                <w:szCs w:val="18"/>
              </w:rPr>
              <w:t xml:space="preserve">* </w:t>
            </w:r>
            <w:r w:rsidR="00057B42">
              <w:rPr>
                <w:sz w:val="18"/>
                <w:szCs w:val="18"/>
              </w:rPr>
              <w:t>Chronic absence is defined as t</w:t>
            </w:r>
            <w:r w:rsidR="00057B42" w:rsidRPr="0049499E">
              <w:rPr>
                <w:sz w:val="18"/>
                <w:szCs w:val="18"/>
              </w:rPr>
              <w:t xml:space="preserve">he </w:t>
            </w:r>
            <w:r w:rsidRPr="0049499E">
              <w:rPr>
                <w:sz w:val="18"/>
                <w:szCs w:val="18"/>
              </w:rPr>
              <w:t>percentage of students absent 10</w:t>
            </w:r>
            <w:r w:rsidR="00754040" w:rsidRPr="0049499E">
              <w:rPr>
                <w:sz w:val="18"/>
                <w:szCs w:val="18"/>
              </w:rPr>
              <w:t xml:space="preserve"> percent</w:t>
            </w:r>
            <w:r w:rsidRPr="0049499E">
              <w:rPr>
                <w:sz w:val="18"/>
                <w:szCs w:val="18"/>
              </w:rPr>
              <w:t xml:space="preserve"> or more of their total number of student days of membership in a school</w:t>
            </w:r>
            <w:r w:rsidR="00057B42">
              <w:rPr>
                <w:sz w:val="18"/>
                <w:szCs w:val="18"/>
              </w:rPr>
              <w:t>.</w:t>
            </w:r>
          </w:p>
        </w:tc>
      </w:tr>
      <w:bookmarkEnd w:id="9"/>
    </w:tbl>
    <w:p w14:paraId="66C6ADB6" w14:textId="77777777" w:rsidR="00C3312E" w:rsidRPr="00C3312E" w:rsidRDefault="00C3312E" w:rsidP="00C3312E">
      <w:pPr>
        <w:spacing w:after="0" w:line="240" w:lineRule="auto"/>
        <w:rPr>
          <w:rFonts w:eastAsia="Times New Roman" w:cs="Times New Roman"/>
        </w:rPr>
      </w:pPr>
    </w:p>
    <w:p w14:paraId="7ED7D2BB" w14:textId="77777777" w:rsidR="00C3312E" w:rsidRPr="00C3312E" w:rsidRDefault="00C3312E" w:rsidP="00C3312E"/>
    <w:p w14:paraId="3682277D" w14:textId="77777777" w:rsidR="00C3312E" w:rsidRPr="00C3312E" w:rsidRDefault="00C3312E" w:rsidP="00C3312E"/>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36687549"/>
      <w:bookmarkStart w:id="11" w:name="_Toc350870261"/>
      <w:r>
        <w:lastRenderedPageBreak/>
        <w:t>Leadership and Governance</w:t>
      </w:r>
      <w:bookmarkEnd w:id="10"/>
    </w:p>
    <w:p w14:paraId="68DAABB0" w14:textId="4C6D1A16" w:rsidR="00083AA1" w:rsidRDefault="0023695F" w:rsidP="007C01ED">
      <w:pPr>
        <w:rPr>
          <w:b/>
          <w:i/>
          <w:sz w:val="28"/>
          <w:szCs w:val="28"/>
        </w:rPr>
      </w:pPr>
      <w:r w:rsidRPr="0023695F">
        <w:rPr>
          <w:b/>
          <w:i/>
          <w:sz w:val="28"/>
          <w:szCs w:val="28"/>
        </w:rPr>
        <w:t>Contextual Background</w:t>
      </w:r>
    </w:p>
    <w:p w14:paraId="087E2D5D" w14:textId="1642C81E" w:rsidR="00720791" w:rsidRPr="004C786E" w:rsidRDefault="005619AE" w:rsidP="009E73FA">
      <w:pPr>
        <w:rPr>
          <w:rFonts w:cstheme="minorHAnsi"/>
        </w:rPr>
      </w:pPr>
      <w:r>
        <w:rPr>
          <w:rFonts w:cstheme="minorHAnsi"/>
        </w:rPr>
        <w:t xml:space="preserve">The </w:t>
      </w:r>
      <w:r w:rsidRPr="004C786E">
        <w:rPr>
          <w:rFonts w:cstheme="minorHAnsi"/>
        </w:rPr>
        <w:t>Framingham</w:t>
      </w:r>
      <w:r>
        <w:rPr>
          <w:rFonts w:cstheme="minorHAnsi"/>
        </w:rPr>
        <w:t xml:space="preserve"> Public Schools are </w:t>
      </w:r>
      <w:r w:rsidRPr="004C786E">
        <w:rPr>
          <w:rFonts w:cstheme="minorHAnsi"/>
        </w:rPr>
        <w:t>changing, growing</w:t>
      </w:r>
      <w:r w:rsidR="002B4FFB">
        <w:rPr>
          <w:rFonts w:cstheme="minorHAnsi"/>
        </w:rPr>
        <w:t>,</w:t>
      </w:r>
      <w:r w:rsidRPr="004C786E">
        <w:rPr>
          <w:rFonts w:cstheme="minorHAnsi"/>
        </w:rPr>
        <w:t xml:space="preserve"> and improving as they carry out a series of </w:t>
      </w:r>
      <w:r>
        <w:rPr>
          <w:rFonts w:cstheme="minorHAnsi"/>
        </w:rPr>
        <w:t xml:space="preserve">equity-focused, </w:t>
      </w:r>
      <w:r w:rsidRPr="004C786E">
        <w:rPr>
          <w:rFonts w:cstheme="minorHAnsi"/>
        </w:rPr>
        <w:t>strategically</w:t>
      </w:r>
      <w:r w:rsidR="002B4FFB">
        <w:rPr>
          <w:rFonts w:cstheme="minorHAnsi"/>
        </w:rPr>
        <w:t xml:space="preserve"> </w:t>
      </w:r>
      <w:r w:rsidRPr="004C786E">
        <w:rPr>
          <w:rFonts w:cstheme="minorHAnsi"/>
        </w:rPr>
        <w:t>planned</w:t>
      </w:r>
      <w:r w:rsidR="002B4FFB">
        <w:rPr>
          <w:rFonts w:cstheme="minorHAnsi"/>
        </w:rPr>
        <w:t>,</w:t>
      </w:r>
      <w:r w:rsidRPr="004C786E">
        <w:rPr>
          <w:rFonts w:cstheme="minorHAnsi"/>
        </w:rPr>
        <w:t xml:space="preserve"> and aligned activities </w:t>
      </w:r>
      <w:r>
        <w:rPr>
          <w:rFonts w:cstheme="minorHAnsi"/>
        </w:rPr>
        <w:t xml:space="preserve">that </w:t>
      </w:r>
      <w:r w:rsidRPr="004C786E">
        <w:rPr>
          <w:rFonts w:cstheme="minorHAnsi"/>
        </w:rPr>
        <w:t>benefit</w:t>
      </w:r>
      <w:r>
        <w:rPr>
          <w:rFonts w:cstheme="minorHAnsi"/>
        </w:rPr>
        <w:t xml:space="preserve"> </w:t>
      </w:r>
      <w:r w:rsidRPr="004C786E">
        <w:rPr>
          <w:rFonts w:cstheme="minorHAnsi"/>
        </w:rPr>
        <w:t>students</w:t>
      </w:r>
      <w:r>
        <w:rPr>
          <w:rFonts w:cstheme="minorHAnsi"/>
        </w:rPr>
        <w:t>, staff</w:t>
      </w:r>
      <w:r w:rsidR="006C1A81">
        <w:rPr>
          <w:rFonts w:cstheme="minorHAnsi"/>
        </w:rPr>
        <w:t>,</w:t>
      </w:r>
      <w:r w:rsidRPr="004C786E">
        <w:rPr>
          <w:rFonts w:cstheme="minorHAnsi"/>
        </w:rPr>
        <w:t xml:space="preserve"> and families.</w:t>
      </w:r>
      <w:r w:rsidR="006C1A81" w:rsidDel="005619AE">
        <w:rPr>
          <w:b/>
          <w:i/>
          <w:sz w:val="28"/>
          <w:szCs w:val="28"/>
        </w:rPr>
        <w:t xml:space="preserve"> </w:t>
      </w:r>
      <w:r w:rsidR="00C62594">
        <w:rPr>
          <w:rFonts w:cstheme="minorHAnsi"/>
        </w:rPr>
        <w:t>D</w:t>
      </w:r>
      <w:r w:rsidR="00720791" w:rsidRPr="004C786E">
        <w:rPr>
          <w:rFonts w:cstheme="minorHAnsi"/>
        </w:rPr>
        <w:t>uring the two years</w:t>
      </w:r>
      <w:r w:rsidR="002B4FFB">
        <w:rPr>
          <w:rFonts w:cstheme="minorHAnsi"/>
        </w:rPr>
        <w:t xml:space="preserve"> before the onsite in February 2019</w:t>
      </w:r>
      <w:r w:rsidR="00720791" w:rsidRPr="004C786E">
        <w:rPr>
          <w:rFonts w:cstheme="minorHAnsi"/>
        </w:rPr>
        <w:t xml:space="preserve">, district leaders and staff </w:t>
      </w:r>
      <w:r w:rsidR="00720791">
        <w:rPr>
          <w:rFonts w:cstheme="minorHAnsi"/>
        </w:rPr>
        <w:t xml:space="preserve">put into action multiple </w:t>
      </w:r>
      <w:r w:rsidR="00720791" w:rsidRPr="004C786E">
        <w:rPr>
          <w:rFonts w:cstheme="minorHAnsi"/>
        </w:rPr>
        <w:t>processes for transforming the district’s structures, systems, strategies</w:t>
      </w:r>
      <w:r w:rsidR="00A62EB1">
        <w:rPr>
          <w:rFonts w:cstheme="minorHAnsi"/>
        </w:rPr>
        <w:t>,</w:t>
      </w:r>
      <w:r w:rsidR="00720791" w:rsidRPr="004C786E">
        <w:rPr>
          <w:rFonts w:cstheme="minorHAnsi"/>
        </w:rPr>
        <w:t xml:space="preserve"> and culture. </w:t>
      </w:r>
    </w:p>
    <w:p w14:paraId="6B9F0F37" w14:textId="5EC110DC" w:rsidR="00720791" w:rsidRDefault="001550E4" w:rsidP="009E73FA">
      <w:pPr>
        <w:ind w:left="-5" w:right="13"/>
        <w:rPr>
          <w:rFonts w:cstheme="minorHAnsi"/>
          <w:color w:val="000000"/>
        </w:rPr>
      </w:pPr>
      <w:r>
        <w:rPr>
          <w:rFonts w:cstheme="minorHAnsi"/>
        </w:rPr>
        <w:t>Enrollment</w:t>
      </w:r>
      <w:r w:rsidR="00610761">
        <w:rPr>
          <w:rFonts w:cstheme="minorHAnsi"/>
        </w:rPr>
        <w:t xml:space="preserve"> increased by </w:t>
      </w:r>
      <w:r w:rsidR="00E724C1">
        <w:rPr>
          <w:rFonts w:cstheme="minorHAnsi"/>
        </w:rPr>
        <w:t>8.2</w:t>
      </w:r>
      <w:r w:rsidR="00610761">
        <w:rPr>
          <w:rFonts w:cstheme="minorHAnsi"/>
        </w:rPr>
        <w:t xml:space="preserve"> percent in Framingham</w:t>
      </w:r>
      <w:r>
        <w:rPr>
          <w:rFonts w:cstheme="minorHAnsi"/>
        </w:rPr>
        <w:t xml:space="preserve"> during the five-year interval from 2015 to 2019</w:t>
      </w:r>
      <w:r w:rsidR="00A55ADB">
        <w:rPr>
          <w:rFonts w:cstheme="minorHAnsi"/>
        </w:rPr>
        <w:t>,</w:t>
      </w:r>
      <w:r w:rsidR="00A55ADB" w:rsidRPr="00A55ADB">
        <w:t xml:space="preserve"> </w:t>
      </w:r>
      <w:r w:rsidR="00A55ADB" w:rsidRPr="00D11DA0">
        <w:t xml:space="preserve">from </w:t>
      </w:r>
      <w:r w:rsidR="00A55ADB">
        <w:t>8,153</w:t>
      </w:r>
      <w:r w:rsidR="00A55ADB" w:rsidRPr="00D11DA0">
        <w:t xml:space="preserve"> in 201</w:t>
      </w:r>
      <w:r w:rsidR="00A55ADB">
        <w:t>5</w:t>
      </w:r>
      <w:r w:rsidR="00A55ADB" w:rsidRPr="00D11DA0">
        <w:t xml:space="preserve"> to 8,</w:t>
      </w:r>
      <w:r w:rsidR="00A55ADB">
        <w:t>822</w:t>
      </w:r>
      <w:r w:rsidR="00A55ADB" w:rsidRPr="00D11DA0">
        <w:t xml:space="preserve"> in 201</w:t>
      </w:r>
      <w:r w:rsidR="00A55ADB">
        <w:t>9</w:t>
      </w:r>
      <w:r>
        <w:rPr>
          <w:rFonts w:cstheme="minorHAnsi"/>
        </w:rPr>
        <w:t>.</w:t>
      </w:r>
      <w:r w:rsidR="00610761">
        <w:rPr>
          <w:rFonts w:cstheme="minorHAnsi"/>
        </w:rPr>
        <w:t xml:space="preserve"> </w:t>
      </w:r>
      <w:r w:rsidR="00720791" w:rsidRPr="004C786E">
        <w:rPr>
          <w:rFonts w:cstheme="minorHAnsi"/>
        </w:rPr>
        <w:t xml:space="preserve">  A recently completed demographic study forecasts </w:t>
      </w:r>
      <w:r w:rsidR="00610761">
        <w:rPr>
          <w:rFonts w:cstheme="minorHAnsi"/>
        </w:rPr>
        <w:t>continu</w:t>
      </w:r>
      <w:r w:rsidR="00D862CB">
        <w:rPr>
          <w:rFonts w:cstheme="minorHAnsi"/>
        </w:rPr>
        <w:t>ing</w:t>
      </w:r>
      <w:r w:rsidR="00610761">
        <w:rPr>
          <w:rFonts w:cstheme="minorHAnsi"/>
        </w:rPr>
        <w:t xml:space="preserve"> </w:t>
      </w:r>
      <w:r w:rsidR="00720791" w:rsidRPr="004C786E">
        <w:rPr>
          <w:rFonts w:cstheme="minorHAnsi"/>
        </w:rPr>
        <w:t>enrollment growth</w:t>
      </w:r>
      <w:r w:rsidR="00D862CB">
        <w:rPr>
          <w:rFonts w:cstheme="minorHAnsi"/>
        </w:rPr>
        <w:t>,</w:t>
      </w:r>
      <w:r w:rsidR="00720791" w:rsidRPr="004C786E">
        <w:rPr>
          <w:rFonts w:cstheme="minorHAnsi"/>
        </w:rPr>
        <w:t xml:space="preserve"> </w:t>
      </w:r>
      <w:r w:rsidR="00D862CB">
        <w:rPr>
          <w:rFonts w:cstheme="minorHAnsi"/>
        </w:rPr>
        <w:t>particularly</w:t>
      </w:r>
      <w:r w:rsidR="00D862CB" w:rsidRPr="004C786E">
        <w:rPr>
          <w:rFonts w:cstheme="minorHAnsi"/>
        </w:rPr>
        <w:t xml:space="preserve"> </w:t>
      </w:r>
      <w:r w:rsidR="00720791" w:rsidRPr="004C786E">
        <w:rPr>
          <w:rFonts w:cstheme="minorHAnsi"/>
        </w:rPr>
        <w:t xml:space="preserve">at the </w:t>
      </w:r>
      <w:r w:rsidR="00A62EB1" w:rsidRPr="004C786E">
        <w:rPr>
          <w:rFonts w:cstheme="minorHAnsi"/>
        </w:rPr>
        <w:t>high</w:t>
      </w:r>
      <w:r w:rsidR="00A62EB1">
        <w:rPr>
          <w:rFonts w:cstheme="minorHAnsi"/>
        </w:rPr>
        <w:t>-</w:t>
      </w:r>
      <w:r w:rsidR="00720791" w:rsidRPr="004C786E">
        <w:rPr>
          <w:rFonts w:cstheme="minorHAnsi"/>
        </w:rPr>
        <w:t>school</w:t>
      </w:r>
      <w:r>
        <w:rPr>
          <w:rFonts w:cstheme="minorHAnsi"/>
        </w:rPr>
        <w:t xml:space="preserve"> level</w:t>
      </w:r>
      <w:r w:rsidR="00720791" w:rsidRPr="004C786E">
        <w:rPr>
          <w:rFonts w:cstheme="minorHAnsi"/>
        </w:rPr>
        <w:t xml:space="preserve">.  </w:t>
      </w:r>
    </w:p>
    <w:p w14:paraId="6FCB3CDD" w14:textId="3345FA28" w:rsidR="00CD1238" w:rsidRPr="00EC5B5A" w:rsidRDefault="00CD1238" w:rsidP="009E73FA">
      <w:pPr>
        <w:pStyle w:val="CommentText"/>
        <w:spacing w:line="276" w:lineRule="auto"/>
        <w:rPr>
          <w:sz w:val="22"/>
          <w:szCs w:val="22"/>
        </w:rPr>
      </w:pPr>
      <w:r w:rsidRPr="00EC5B5A">
        <w:rPr>
          <w:sz w:val="22"/>
          <w:szCs w:val="22"/>
        </w:rPr>
        <w:t>The seven-member school committee that hired the superintendent in April 2017 was succeeded by a nine-member committee elected in November 2017 under the terms of the new charter. Since all members serve a two-year term, the November 2019 election could change the composition of the committee for the third time</w:t>
      </w:r>
      <w:r w:rsidR="00D862CB">
        <w:rPr>
          <w:sz w:val="22"/>
          <w:szCs w:val="22"/>
        </w:rPr>
        <w:t xml:space="preserve"> in fewer than three years</w:t>
      </w:r>
      <w:r w:rsidR="00CF43E5" w:rsidRPr="00EC5B5A">
        <w:rPr>
          <w:sz w:val="22"/>
          <w:szCs w:val="22"/>
        </w:rPr>
        <w:t>.</w:t>
      </w:r>
    </w:p>
    <w:p w14:paraId="47B6BC36" w14:textId="1A3A58D4" w:rsidR="00ED6962" w:rsidRPr="00376A96" w:rsidRDefault="001550E4">
      <w:pPr>
        <w:ind w:left="-5" w:right="13"/>
        <w:rPr>
          <w:rFonts w:cstheme="minorHAnsi"/>
          <w:color w:val="000000"/>
        </w:rPr>
      </w:pPr>
      <w:r>
        <w:rPr>
          <w:rFonts w:cstheme="minorHAnsi"/>
          <w:color w:val="000000"/>
        </w:rPr>
        <w:t>S</w:t>
      </w:r>
      <w:r w:rsidR="001A4130">
        <w:rPr>
          <w:rFonts w:cstheme="minorHAnsi"/>
          <w:color w:val="000000"/>
        </w:rPr>
        <w:t xml:space="preserve">chool committee members </w:t>
      </w:r>
      <w:r w:rsidR="00B63280">
        <w:rPr>
          <w:rFonts w:cstheme="minorHAnsi"/>
          <w:color w:val="000000"/>
        </w:rPr>
        <w:t>set</w:t>
      </w:r>
      <w:r w:rsidR="001A4130">
        <w:rPr>
          <w:rFonts w:cstheme="minorHAnsi"/>
          <w:color w:val="000000"/>
        </w:rPr>
        <w:t xml:space="preserve"> policies, </w:t>
      </w:r>
      <w:proofErr w:type="gramStart"/>
      <w:r w:rsidR="001A4130">
        <w:rPr>
          <w:rFonts w:cstheme="minorHAnsi"/>
          <w:color w:val="000000"/>
        </w:rPr>
        <w:t>develop</w:t>
      </w:r>
      <w:proofErr w:type="gramEnd"/>
      <w:r w:rsidR="001A4130">
        <w:rPr>
          <w:rFonts w:cstheme="minorHAnsi"/>
          <w:color w:val="000000"/>
        </w:rPr>
        <w:t xml:space="preserve"> and monitor the budget</w:t>
      </w:r>
      <w:r w:rsidR="002B4FFB">
        <w:rPr>
          <w:rFonts w:cstheme="minorHAnsi"/>
          <w:color w:val="000000"/>
        </w:rPr>
        <w:t>,</w:t>
      </w:r>
      <w:r w:rsidR="00D862CB">
        <w:rPr>
          <w:rFonts w:cstheme="minorHAnsi"/>
          <w:color w:val="000000"/>
        </w:rPr>
        <w:t xml:space="preserve"> </w:t>
      </w:r>
      <w:r w:rsidR="001A4130">
        <w:rPr>
          <w:rFonts w:cstheme="minorHAnsi"/>
          <w:color w:val="000000"/>
        </w:rPr>
        <w:t>and evaluat</w:t>
      </w:r>
      <w:r w:rsidR="00EE6EEB">
        <w:rPr>
          <w:rFonts w:cstheme="minorHAnsi"/>
          <w:color w:val="000000"/>
        </w:rPr>
        <w:t>e</w:t>
      </w:r>
      <w:r w:rsidR="001A4130">
        <w:rPr>
          <w:rFonts w:cstheme="minorHAnsi"/>
          <w:color w:val="000000"/>
        </w:rPr>
        <w:t xml:space="preserve"> the superintendent.  </w:t>
      </w:r>
      <w:r w:rsidR="002E3BA0">
        <w:rPr>
          <w:rFonts w:cstheme="minorHAnsi"/>
          <w:color w:val="000000"/>
        </w:rPr>
        <w:t xml:space="preserve">Members </w:t>
      </w:r>
      <w:r w:rsidR="001A4130">
        <w:rPr>
          <w:rFonts w:cstheme="minorHAnsi"/>
          <w:color w:val="000000"/>
        </w:rPr>
        <w:t xml:space="preserve">also serve on subcommittees for policy, finance and operations, accountability and student achievement, communications, racial equity, and digital infrastructure. </w:t>
      </w:r>
    </w:p>
    <w:p w14:paraId="5694C1E8" w14:textId="68F22B85" w:rsidR="00720791" w:rsidRPr="004C786E" w:rsidRDefault="00720791" w:rsidP="00406A80">
      <w:pPr>
        <w:ind w:left="-5" w:right="13"/>
        <w:rPr>
          <w:rFonts w:cstheme="minorHAnsi"/>
          <w:color w:val="000000"/>
          <w:u w:val="single"/>
        </w:rPr>
      </w:pPr>
      <w:proofErr w:type="gramStart"/>
      <w:r w:rsidRPr="00281533">
        <w:rPr>
          <w:rFonts w:cstheme="minorHAnsi"/>
        </w:rPr>
        <w:t>In order to</w:t>
      </w:r>
      <w:proofErr w:type="gramEnd"/>
      <w:r w:rsidRPr="00281533">
        <w:rPr>
          <w:rFonts w:cstheme="minorHAnsi"/>
        </w:rPr>
        <w:t xml:space="preserve"> improve communications and support the implementation of the </w:t>
      </w:r>
      <w:r w:rsidRPr="00713B03">
        <w:rPr>
          <w:rFonts w:cstheme="minorHAnsi"/>
        </w:rPr>
        <w:t xml:space="preserve">strategic plan, the superintendent reorganized the central office from 12 positions to </w:t>
      </w:r>
      <w:r w:rsidR="00CF43E5" w:rsidRPr="00713B03">
        <w:rPr>
          <w:rFonts w:cstheme="minorHAnsi"/>
        </w:rPr>
        <w:t xml:space="preserve">9 </w:t>
      </w:r>
      <w:r w:rsidR="00184D5C" w:rsidRPr="00713B03">
        <w:rPr>
          <w:rFonts w:cstheme="minorHAnsi"/>
        </w:rPr>
        <w:t>positions. The nine positions are</w:t>
      </w:r>
      <w:r w:rsidR="00F507BC" w:rsidRPr="00713B03">
        <w:rPr>
          <w:rFonts w:cstheme="minorHAnsi"/>
        </w:rPr>
        <w:t xml:space="preserve"> </w:t>
      </w:r>
      <w:r w:rsidR="00184D5C" w:rsidRPr="00713B03">
        <w:rPr>
          <w:rFonts w:cstheme="minorHAnsi"/>
        </w:rPr>
        <w:t xml:space="preserve">four </w:t>
      </w:r>
      <w:r w:rsidR="00376A96" w:rsidRPr="00713B03">
        <w:rPr>
          <w:rFonts w:cstheme="minorHAnsi"/>
        </w:rPr>
        <w:t>a</w:t>
      </w:r>
      <w:r w:rsidRPr="00713B03">
        <w:rPr>
          <w:rFonts w:cstheme="minorHAnsi"/>
        </w:rPr>
        <w:t xml:space="preserve">ssistant </w:t>
      </w:r>
      <w:r w:rsidR="00376A96" w:rsidRPr="00713B03">
        <w:rPr>
          <w:rFonts w:cstheme="minorHAnsi"/>
        </w:rPr>
        <w:t>s</w:t>
      </w:r>
      <w:r w:rsidRPr="00713B03">
        <w:rPr>
          <w:rFonts w:cstheme="minorHAnsi"/>
        </w:rPr>
        <w:t>uperintendents (</w:t>
      </w:r>
      <w:r w:rsidR="00376A96" w:rsidRPr="00713B03">
        <w:rPr>
          <w:rFonts w:cstheme="minorHAnsi"/>
        </w:rPr>
        <w:t>e</w:t>
      </w:r>
      <w:r w:rsidRPr="00713B03">
        <w:rPr>
          <w:rFonts w:cstheme="minorHAnsi"/>
        </w:rPr>
        <w:t xml:space="preserve">lementary </w:t>
      </w:r>
      <w:r w:rsidR="00376A96" w:rsidRPr="00713B03">
        <w:rPr>
          <w:rFonts w:cstheme="minorHAnsi"/>
        </w:rPr>
        <w:t>e</w:t>
      </w:r>
      <w:r w:rsidRPr="00713B03">
        <w:rPr>
          <w:rFonts w:cstheme="minorHAnsi"/>
        </w:rPr>
        <w:t>ducation</w:t>
      </w:r>
      <w:r w:rsidR="00B63280" w:rsidRPr="00713B03">
        <w:rPr>
          <w:rFonts w:cstheme="minorHAnsi"/>
        </w:rPr>
        <w:t>;</w:t>
      </w:r>
      <w:r w:rsidRPr="00713B03">
        <w:rPr>
          <w:rFonts w:cstheme="minorHAnsi"/>
        </w:rPr>
        <w:t xml:space="preserve"> </w:t>
      </w:r>
      <w:r w:rsidR="00376A96" w:rsidRPr="00713B03">
        <w:rPr>
          <w:rFonts w:cstheme="minorHAnsi"/>
        </w:rPr>
        <w:t>s</w:t>
      </w:r>
      <w:r w:rsidRPr="00713B03">
        <w:rPr>
          <w:rFonts w:cstheme="minorHAnsi"/>
        </w:rPr>
        <w:t xml:space="preserve">econdary </w:t>
      </w:r>
      <w:r w:rsidR="00376A96" w:rsidRPr="00713B03">
        <w:rPr>
          <w:rFonts w:cstheme="minorHAnsi"/>
        </w:rPr>
        <w:t>e</w:t>
      </w:r>
      <w:r w:rsidRPr="00713B03">
        <w:rPr>
          <w:rFonts w:cstheme="minorHAnsi"/>
        </w:rPr>
        <w:t>ducation</w:t>
      </w:r>
      <w:r w:rsidR="00B63280" w:rsidRPr="00713B03">
        <w:rPr>
          <w:rFonts w:cstheme="minorHAnsi"/>
        </w:rPr>
        <w:t>;</w:t>
      </w:r>
      <w:r w:rsidRPr="00713B03">
        <w:rPr>
          <w:rFonts w:cstheme="minorHAnsi"/>
        </w:rPr>
        <w:t xml:space="preserve"> </w:t>
      </w:r>
      <w:r w:rsidR="00376A96" w:rsidRPr="00713B03">
        <w:rPr>
          <w:rFonts w:cstheme="minorHAnsi"/>
        </w:rPr>
        <w:t>h</w:t>
      </w:r>
      <w:r w:rsidRPr="00713B03">
        <w:rPr>
          <w:rFonts w:cstheme="minorHAnsi"/>
        </w:rPr>
        <w:t xml:space="preserve">uman </w:t>
      </w:r>
      <w:r w:rsidR="00376A96" w:rsidRPr="00713B03">
        <w:rPr>
          <w:rFonts w:cstheme="minorHAnsi"/>
        </w:rPr>
        <w:t>r</w:t>
      </w:r>
      <w:r w:rsidRPr="00713B03">
        <w:rPr>
          <w:rFonts w:cstheme="minorHAnsi"/>
        </w:rPr>
        <w:t>esources</w:t>
      </w:r>
      <w:r w:rsidR="00B63280" w:rsidRPr="00713B03">
        <w:rPr>
          <w:rFonts w:cstheme="minorHAnsi"/>
        </w:rPr>
        <w:t>;</w:t>
      </w:r>
      <w:r w:rsidRPr="00713B03">
        <w:rPr>
          <w:rFonts w:cstheme="minorHAnsi"/>
        </w:rPr>
        <w:t xml:space="preserve"> and </w:t>
      </w:r>
      <w:r w:rsidR="00376A96" w:rsidRPr="00713B03">
        <w:rPr>
          <w:rFonts w:cstheme="minorHAnsi"/>
        </w:rPr>
        <w:t>e</w:t>
      </w:r>
      <w:r w:rsidRPr="00713B03">
        <w:rPr>
          <w:rFonts w:cstheme="minorHAnsi"/>
        </w:rPr>
        <w:t>quity</w:t>
      </w:r>
      <w:r w:rsidR="00376A96" w:rsidRPr="00713B03">
        <w:rPr>
          <w:rFonts w:cstheme="minorHAnsi"/>
        </w:rPr>
        <w:t>, d</w:t>
      </w:r>
      <w:r w:rsidRPr="00713B03">
        <w:rPr>
          <w:rFonts w:cstheme="minorHAnsi"/>
        </w:rPr>
        <w:t>iversity</w:t>
      </w:r>
      <w:r w:rsidR="003067D5" w:rsidRPr="00713B03">
        <w:rPr>
          <w:rFonts w:cstheme="minorHAnsi"/>
        </w:rPr>
        <w:t>,</w:t>
      </w:r>
      <w:r w:rsidR="00376A96" w:rsidRPr="00713B03">
        <w:rPr>
          <w:rFonts w:cstheme="minorHAnsi"/>
        </w:rPr>
        <w:t xml:space="preserve"> and c</w:t>
      </w:r>
      <w:r w:rsidRPr="00713B03">
        <w:rPr>
          <w:rFonts w:cstheme="minorHAnsi"/>
        </w:rPr>
        <w:t xml:space="preserve">ommunity </w:t>
      </w:r>
      <w:r w:rsidR="00376A96" w:rsidRPr="00713B03">
        <w:rPr>
          <w:rFonts w:cstheme="minorHAnsi"/>
        </w:rPr>
        <w:t>d</w:t>
      </w:r>
      <w:r w:rsidRPr="00713B03">
        <w:rPr>
          <w:rFonts w:cstheme="minorHAnsi"/>
        </w:rPr>
        <w:t>evelopment</w:t>
      </w:r>
      <w:r w:rsidR="00F507BC" w:rsidRPr="00713B03">
        <w:rPr>
          <w:rFonts w:cstheme="minorHAnsi"/>
        </w:rPr>
        <w:t xml:space="preserve">); </w:t>
      </w:r>
      <w:r w:rsidR="00184D5C" w:rsidRPr="00713B03">
        <w:rPr>
          <w:rFonts w:cstheme="minorHAnsi"/>
        </w:rPr>
        <w:t>two</w:t>
      </w:r>
      <w:r w:rsidR="002B4FFB" w:rsidRPr="00713B03">
        <w:rPr>
          <w:rFonts w:cstheme="minorHAnsi"/>
        </w:rPr>
        <w:t xml:space="preserve"> </w:t>
      </w:r>
      <w:r w:rsidR="00376A96" w:rsidRPr="00713B03">
        <w:rPr>
          <w:rFonts w:cstheme="minorHAnsi"/>
        </w:rPr>
        <w:t>a</w:t>
      </w:r>
      <w:r w:rsidRPr="00713B03">
        <w:rPr>
          <w:rFonts w:cstheme="minorHAnsi"/>
        </w:rPr>
        <w:t xml:space="preserve">ssistant </w:t>
      </w:r>
      <w:r w:rsidR="00376A96" w:rsidRPr="00713B03">
        <w:rPr>
          <w:rFonts w:cstheme="minorHAnsi"/>
        </w:rPr>
        <w:t>d</w:t>
      </w:r>
      <w:r w:rsidRPr="00713B03">
        <w:rPr>
          <w:rFonts w:cstheme="minorHAnsi"/>
        </w:rPr>
        <w:t>irectors (</w:t>
      </w:r>
      <w:r w:rsidR="00376A96" w:rsidRPr="00713B03">
        <w:rPr>
          <w:rFonts w:cstheme="minorHAnsi"/>
        </w:rPr>
        <w:t>e</w:t>
      </w:r>
      <w:r w:rsidRPr="00713B03">
        <w:rPr>
          <w:rFonts w:cstheme="minorHAnsi"/>
        </w:rPr>
        <w:t xml:space="preserve">lementary </w:t>
      </w:r>
      <w:r w:rsidR="00376A96" w:rsidRPr="00713B03">
        <w:rPr>
          <w:rFonts w:cstheme="minorHAnsi"/>
        </w:rPr>
        <w:t>e</w:t>
      </w:r>
      <w:r w:rsidRPr="00713B03">
        <w:rPr>
          <w:rFonts w:cstheme="minorHAnsi"/>
        </w:rPr>
        <w:t xml:space="preserve">ducation and </w:t>
      </w:r>
      <w:r w:rsidR="00376A96" w:rsidRPr="00713B03">
        <w:rPr>
          <w:rFonts w:cstheme="minorHAnsi"/>
        </w:rPr>
        <w:t>s</w:t>
      </w:r>
      <w:r w:rsidRPr="00713B03">
        <w:rPr>
          <w:rFonts w:cstheme="minorHAnsi"/>
        </w:rPr>
        <w:t xml:space="preserve">econdary </w:t>
      </w:r>
      <w:r w:rsidR="00376A96" w:rsidRPr="00713B03">
        <w:rPr>
          <w:rFonts w:cstheme="minorHAnsi"/>
        </w:rPr>
        <w:t>e</w:t>
      </w:r>
      <w:r w:rsidRPr="00713B03">
        <w:rPr>
          <w:rFonts w:cstheme="minorHAnsi"/>
        </w:rPr>
        <w:t>ducation</w:t>
      </w:r>
      <w:r w:rsidR="00F507BC" w:rsidRPr="00713B03">
        <w:rPr>
          <w:rFonts w:cstheme="minorHAnsi"/>
        </w:rPr>
        <w:t xml:space="preserve">); </w:t>
      </w:r>
      <w:r w:rsidR="00D956F9" w:rsidRPr="00713B03">
        <w:rPr>
          <w:rFonts w:cstheme="minorHAnsi"/>
        </w:rPr>
        <w:t xml:space="preserve">an </w:t>
      </w:r>
      <w:r w:rsidR="00376A96" w:rsidRPr="00713B03">
        <w:rPr>
          <w:rFonts w:cstheme="minorHAnsi"/>
        </w:rPr>
        <w:t>e</w:t>
      </w:r>
      <w:r w:rsidRPr="00713B03">
        <w:rPr>
          <w:rFonts w:cstheme="minorHAnsi"/>
        </w:rPr>
        <w:t xml:space="preserve">xecutive </w:t>
      </w:r>
      <w:r w:rsidR="00376A96" w:rsidRPr="00713B03">
        <w:rPr>
          <w:rFonts w:cstheme="minorHAnsi"/>
        </w:rPr>
        <w:t>d</w:t>
      </w:r>
      <w:r w:rsidRPr="00713B03">
        <w:rPr>
          <w:rFonts w:cstheme="minorHAnsi"/>
        </w:rPr>
        <w:t xml:space="preserve">irector of </w:t>
      </w:r>
      <w:r w:rsidR="00376A96" w:rsidRPr="00713B03">
        <w:rPr>
          <w:rFonts w:cstheme="minorHAnsi"/>
        </w:rPr>
        <w:t>f</w:t>
      </w:r>
      <w:r w:rsidRPr="00713B03">
        <w:rPr>
          <w:rFonts w:cstheme="minorHAnsi"/>
        </w:rPr>
        <w:t xml:space="preserve">inance and </w:t>
      </w:r>
      <w:r w:rsidR="00376A96" w:rsidRPr="00713B03">
        <w:rPr>
          <w:rFonts w:cstheme="minorHAnsi"/>
        </w:rPr>
        <w:t>o</w:t>
      </w:r>
      <w:r w:rsidRPr="00713B03">
        <w:rPr>
          <w:rFonts w:cstheme="minorHAnsi"/>
        </w:rPr>
        <w:t>perations</w:t>
      </w:r>
      <w:r w:rsidR="00F507BC" w:rsidRPr="00713B03">
        <w:rPr>
          <w:rFonts w:cstheme="minorHAnsi"/>
        </w:rPr>
        <w:t xml:space="preserve">; </w:t>
      </w:r>
      <w:r w:rsidR="00D956F9" w:rsidRPr="00713B03">
        <w:rPr>
          <w:rFonts w:cstheme="minorHAnsi"/>
        </w:rPr>
        <w:t xml:space="preserve">a </w:t>
      </w:r>
      <w:r w:rsidR="00376A96" w:rsidRPr="00713B03">
        <w:rPr>
          <w:rFonts w:cstheme="minorHAnsi"/>
        </w:rPr>
        <w:t>d</w:t>
      </w:r>
      <w:r w:rsidRPr="00713B03">
        <w:rPr>
          <w:rFonts w:cstheme="minorHAnsi"/>
        </w:rPr>
        <w:t xml:space="preserve">irector of </w:t>
      </w:r>
      <w:r w:rsidR="00376A96" w:rsidRPr="00713B03">
        <w:rPr>
          <w:rFonts w:cstheme="minorHAnsi"/>
        </w:rPr>
        <w:t>s</w:t>
      </w:r>
      <w:r w:rsidRPr="00713B03">
        <w:rPr>
          <w:rFonts w:cstheme="minorHAnsi"/>
        </w:rPr>
        <w:t>afety and security</w:t>
      </w:r>
      <w:r w:rsidR="00F507BC" w:rsidRPr="00713B03">
        <w:rPr>
          <w:rFonts w:cstheme="minorHAnsi"/>
        </w:rPr>
        <w:t xml:space="preserve">; </w:t>
      </w:r>
      <w:r w:rsidRPr="00713B03">
        <w:rPr>
          <w:rFonts w:cstheme="minorHAnsi"/>
        </w:rPr>
        <w:t xml:space="preserve">and </w:t>
      </w:r>
      <w:r w:rsidR="00D956F9" w:rsidRPr="00713B03">
        <w:rPr>
          <w:rFonts w:cstheme="minorHAnsi"/>
        </w:rPr>
        <w:t xml:space="preserve">a </w:t>
      </w:r>
      <w:r w:rsidR="00376A96" w:rsidRPr="00713B03">
        <w:rPr>
          <w:rFonts w:cstheme="minorHAnsi"/>
        </w:rPr>
        <w:t>m</w:t>
      </w:r>
      <w:r w:rsidRPr="00713B03">
        <w:rPr>
          <w:rFonts w:cstheme="minorHAnsi"/>
        </w:rPr>
        <w:t xml:space="preserve">edia and </w:t>
      </w:r>
      <w:r w:rsidR="00376A96" w:rsidRPr="00713B03">
        <w:rPr>
          <w:rFonts w:cstheme="minorHAnsi"/>
        </w:rPr>
        <w:t>c</w:t>
      </w:r>
      <w:r w:rsidRPr="00713B03">
        <w:rPr>
          <w:rFonts w:cstheme="minorHAnsi"/>
        </w:rPr>
        <w:t xml:space="preserve">ommunications </w:t>
      </w:r>
      <w:r w:rsidR="00376A96" w:rsidRPr="00713B03">
        <w:rPr>
          <w:rFonts w:cstheme="minorHAnsi"/>
        </w:rPr>
        <w:t>m</w:t>
      </w:r>
      <w:r w:rsidRPr="00713B03">
        <w:rPr>
          <w:rFonts w:cstheme="minorHAnsi"/>
        </w:rPr>
        <w:t>anager.  The superintend</w:t>
      </w:r>
      <w:r w:rsidR="00376A96" w:rsidRPr="00713B03">
        <w:rPr>
          <w:rFonts w:cstheme="minorHAnsi"/>
        </w:rPr>
        <w:t>e</w:t>
      </w:r>
      <w:r w:rsidRPr="00713B03">
        <w:rPr>
          <w:rFonts w:cstheme="minorHAnsi"/>
        </w:rPr>
        <w:t xml:space="preserve">nt promoted internal staff members to fill </w:t>
      </w:r>
      <w:r w:rsidR="00713B03">
        <w:rPr>
          <w:rFonts w:cstheme="minorHAnsi"/>
        </w:rPr>
        <w:t>several</w:t>
      </w:r>
      <w:r w:rsidRPr="00713B03">
        <w:rPr>
          <w:rFonts w:cstheme="minorHAnsi"/>
        </w:rPr>
        <w:t xml:space="preserve"> of these central office positions. </w:t>
      </w:r>
      <w:r w:rsidR="00A62EB1" w:rsidRPr="00713B03">
        <w:rPr>
          <w:rFonts w:cstheme="minorHAnsi"/>
        </w:rPr>
        <w:t>In addition</w:t>
      </w:r>
      <w:r w:rsidRPr="00713B03">
        <w:rPr>
          <w:rFonts w:cstheme="minorHAnsi"/>
        </w:rPr>
        <w:t xml:space="preserve">, the superintendent has hired new principals at </w:t>
      </w:r>
      <w:r w:rsidR="00376A96" w:rsidRPr="00713B03">
        <w:rPr>
          <w:rFonts w:cstheme="minorHAnsi"/>
        </w:rPr>
        <w:t>5</w:t>
      </w:r>
      <w:r w:rsidRPr="00713B03">
        <w:rPr>
          <w:rFonts w:cstheme="minorHAnsi"/>
        </w:rPr>
        <w:t xml:space="preserve"> of the districts’ 14 schools.</w:t>
      </w:r>
      <w:r w:rsidRPr="004C786E">
        <w:rPr>
          <w:rFonts w:cstheme="minorHAnsi"/>
        </w:rPr>
        <w:t xml:space="preserve"> </w:t>
      </w:r>
    </w:p>
    <w:p w14:paraId="17F3A426" w14:textId="4E40F16D" w:rsidR="00720791" w:rsidRPr="004C786E" w:rsidRDefault="00AE157A" w:rsidP="009E73FA">
      <w:pPr>
        <w:rPr>
          <w:rFonts w:cstheme="minorHAnsi"/>
          <w:color w:val="303336"/>
          <w:spacing w:val="3"/>
          <w:shd w:val="clear" w:color="auto" w:fill="FFFFFF"/>
        </w:rPr>
      </w:pPr>
      <w:r>
        <w:rPr>
          <w:rFonts w:cstheme="minorHAnsi"/>
          <w:color w:val="303336"/>
          <w:spacing w:val="3"/>
          <w:shd w:val="clear" w:color="auto" w:fill="FFFFFF"/>
        </w:rPr>
        <w:t>The</w:t>
      </w:r>
      <w:r w:rsidR="00720791" w:rsidRPr="004C786E">
        <w:rPr>
          <w:rFonts w:cstheme="minorHAnsi"/>
          <w:color w:val="303336"/>
          <w:spacing w:val="3"/>
          <w:shd w:val="clear" w:color="auto" w:fill="FFFFFF"/>
        </w:rPr>
        <w:t xml:space="preserve"> superintendent </w:t>
      </w:r>
      <w:r w:rsidR="00BB32F6" w:rsidRPr="00F52BD5">
        <w:rPr>
          <w:rFonts w:cstheme="minorHAnsi"/>
          <w:color w:val="303336"/>
          <w:spacing w:val="3"/>
          <w:shd w:val="clear" w:color="auto" w:fill="FFFFFF"/>
        </w:rPr>
        <w:t>told the review team that the district was “building everything on an equity model.” He explained his equity-minded leadership orientation by stating that a district was only as good as its lowest performing students and that paying attention to who students were as human beings was as important as paying attention to how well they were progressing academically.</w:t>
      </w:r>
    </w:p>
    <w:p w14:paraId="6D140D5C" w14:textId="3A504788" w:rsidR="00720791" w:rsidRDefault="00720791" w:rsidP="00720791">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35516DF3" w14:textId="7EA6E34F" w:rsidR="00720791" w:rsidRPr="00D34770" w:rsidRDefault="00720791" w:rsidP="00720791">
      <w:pPr>
        <w:tabs>
          <w:tab w:val="left" w:pos="360"/>
          <w:tab w:val="left" w:pos="720"/>
          <w:tab w:val="left" w:pos="1080"/>
          <w:tab w:val="left" w:pos="1440"/>
          <w:tab w:val="left" w:pos="1800"/>
          <w:tab w:val="left" w:pos="2160"/>
        </w:tabs>
        <w:ind w:left="360" w:hanging="360"/>
        <w:rPr>
          <w:b/>
          <w:i/>
        </w:rPr>
      </w:pPr>
      <w:r>
        <w:rPr>
          <w:b/>
        </w:rPr>
        <w:t xml:space="preserve">1. </w:t>
      </w:r>
      <w:r>
        <w:rPr>
          <w:b/>
        </w:rPr>
        <w:tab/>
        <w:t>During the two years</w:t>
      </w:r>
      <w:r w:rsidR="00A62EB1">
        <w:rPr>
          <w:b/>
        </w:rPr>
        <w:t xml:space="preserve"> before the onsite review</w:t>
      </w:r>
      <w:r w:rsidR="00644BB2">
        <w:rPr>
          <w:b/>
        </w:rPr>
        <w:t>,</w:t>
      </w:r>
      <w:r>
        <w:rPr>
          <w:b/>
        </w:rPr>
        <w:t xml:space="preserve"> the superintendent and school committee worked </w:t>
      </w:r>
      <w:r w:rsidRPr="00E20E3D">
        <w:rPr>
          <w:b/>
        </w:rPr>
        <w:t>collaboratively and strategically</w:t>
      </w:r>
      <w:r>
        <w:rPr>
          <w:b/>
        </w:rPr>
        <w:t xml:space="preserve"> to implement organizational structures</w:t>
      </w:r>
      <w:r w:rsidR="003B7523">
        <w:rPr>
          <w:b/>
        </w:rPr>
        <w:t xml:space="preserve">, </w:t>
      </w:r>
      <w:r>
        <w:rPr>
          <w:b/>
        </w:rPr>
        <w:t xml:space="preserve">systems, </w:t>
      </w:r>
      <w:r w:rsidR="003B7523">
        <w:rPr>
          <w:b/>
        </w:rPr>
        <w:t xml:space="preserve">and </w:t>
      </w:r>
      <w:r>
        <w:rPr>
          <w:b/>
        </w:rPr>
        <w:t>policies that increase equity throughout the school district.</w:t>
      </w:r>
    </w:p>
    <w:p w14:paraId="0FF3C07F" w14:textId="3A2CE8DA" w:rsidR="00720791" w:rsidRPr="00E20E3D" w:rsidRDefault="00720791" w:rsidP="00720791">
      <w:pPr>
        <w:pStyle w:val="ListParagraph"/>
        <w:numPr>
          <w:ilvl w:val="1"/>
          <w:numId w:val="3"/>
        </w:numPr>
        <w:tabs>
          <w:tab w:val="left" w:pos="360"/>
          <w:tab w:val="left" w:pos="720"/>
          <w:tab w:val="left" w:pos="1080"/>
          <w:tab w:val="left" w:pos="1440"/>
          <w:tab w:val="left" w:pos="1800"/>
          <w:tab w:val="left" w:pos="2160"/>
        </w:tabs>
        <w:ind w:left="720"/>
        <w:contextualSpacing w:val="0"/>
      </w:pPr>
      <w:r w:rsidRPr="00E20E3D">
        <w:t xml:space="preserve">The new city charter has resulted in </w:t>
      </w:r>
      <w:r>
        <w:t xml:space="preserve">a </w:t>
      </w:r>
      <w:r w:rsidRPr="00E20E3D">
        <w:t xml:space="preserve">school committee that </w:t>
      </w:r>
      <w:r w:rsidR="00644BB2">
        <w:t xml:space="preserve">is more representative </w:t>
      </w:r>
      <w:r w:rsidRPr="00E20E3D">
        <w:t xml:space="preserve">of Framingham’s families and students. </w:t>
      </w:r>
    </w:p>
    <w:p w14:paraId="152C8AFA" w14:textId="5618644C" w:rsidR="00720791" w:rsidRPr="001549B0" w:rsidRDefault="00720791" w:rsidP="00376A96">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lastRenderedPageBreak/>
        <w:t>On January 1</w:t>
      </w:r>
      <w:r w:rsidR="00AA5352">
        <w:t>,</w:t>
      </w:r>
      <w:r>
        <w:t xml:space="preserve"> 2018, Framingham began </w:t>
      </w:r>
      <w:r w:rsidR="00AE157A">
        <w:t xml:space="preserve">the </w:t>
      </w:r>
      <w:r>
        <w:t xml:space="preserve">transition from a town to a city form of government </w:t>
      </w:r>
      <w:r w:rsidR="005D1436">
        <w:t>under</w:t>
      </w:r>
      <w:r>
        <w:t xml:space="preserve"> </w:t>
      </w:r>
      <w:r w:rsidR="00AA5352">
        <w:t>the</w:t>
      </w:r>
      <w:r>
        <w:t xml:space="preserve"> </w:t>
      </w:r>
      <w:r w:rsidR="005D1436">
        <w:t xml:space="preserve">terms of </w:t>
      </w:r>
      <w:r w:rsidR="0052565A">
        <w:t>a</w:t>
      </w:r>
      <w:r w:rsidR="005D1436">
        <w:t xml:space="preserve"> </w:t>
      </w:r>
      <w:r>
        <w:t>new city charter.</w:t>
      </w:r>
      <w:r w:rsidR="00AA5352">
        <w:t xml:space="preserve"> </w:t>
      </w:r>
      <w:r>
        <w:t xml:space="preserve">One of </w:t>
      </w:r>
      <w:r w:rsidR="00AA5352">
        <w:t xml:space="preserve">the </w:t>
      </w:r>
      <w:r>
        <w:t xml:space="preserve">many structural changes was </w:t>
      </w:r>
      <w:r w:rsidR="0052565A">
        <w:t xml:space="preserve">the </w:t>
      </w:r>
      <w:r w:rsidR="007C52BD">
        <w:t>institution</w:t>
      </w:r>
      <w:r w:rsidR="0052565A">
        <w:t xml:space="preserve"> of </w:t>
      </w:r>
      <w:r>
        <w:t>a</w:t>
      </w:r>
      <w:r w:rsidR="00AA5352">
        <w:t xml:space="preserve"> nine-member</w:t>
      </w:r>
      <w:r>
        <w:t xml:space="preserve"> school committee elected </w:t>
      </w:r>
      <w:r w:rsidR="0052565A">
        <w:t xml:space="preserve">by district </w:t>
      </w:r>
      <w:r>
        <w:t xml:space="preserve">to </w:t>
      </w:r>
      <w:r w:rsidR="00AA5352">
        <w:t xml:space="preserve">concurrent </w:t>
      </w:r>
      <w:r w:rsidR="0052565A">
        <w:t xml:space="preserve">two-year </w:t>
      </w:r>
      <w:r>
        <w:t>terms</w:t>
      </w:r>
      <w:r w:rsidR="0052565A">
        <w:t xml:space="preserve">. </w:t>
      </w:r>
      <w:r>
        <w:t xml:space="preserve">Previous school committees </w:t>
      </w:r>
      <w:r w:rsidR="007C52BD">
        <w:t>were comp</w:t>
      </w:r>
      <w:r w:rsidR="00A62EB1">
        <w:t>o</w:t>
      </w:r>
      <w:r w:rsidR="007C52BD">
        <w:t xml:space="preserve">sed of </w:t>
      </w:r>
      <w:r>
        <w:t>seven members elected at</w:t>
      </w:r>
      <w:r w:rsidR="00A62EB1">
        <w:t>–</w:t>
      </w:r>
      <w:r>
        <w:t>large.</w:t>
      </w:r>
      <w:r w:rsidR="00AA5352">
        <w:t xml:space="preserve"> </w:t>
      </w:r>
      <w:r>
        <w:t>The mayor</w:t>
      </w:r>
      <w:r w:rsidR="007C52BD">
        <w:t xml:space="preserve"> serves as </w:t>
      </w:r>
      <w:r>
        <w:t xml:space="preserve">an </w:t>
      </w:r>
      <w:r w:rsidRPr="00AA5352">
        <w:rPr>
          <w:i/>
        </w:rPr>
        <w:t>ex-</w:t>
      </w:r>
      <w:r w:rsidR="00504BF6" w:rsidRPr="00AA5352">
        <w:rPr>
          <w:i/>
        </w:rPr>
        <w:t>offic</w:t>
      </w:r>
      <w:r w:rsidR="00504BF6">
        <w:rPr>
          <w:i/>
        </w:rPr>
        <w:t>i</w:t>
      </w:r>
      <w:r w:rsidR="00504BF6" w:rsidRPr="00AA5352">
        <w:rPr>
          <w:i/>
        </w:rPr>
        <w:t>o</w:t>
      </w:r>
      <w:r>
        <w:t xml:space="preserve"> member of the committee, votes </w:t>
      </w:r>
      <w:r w:rsidR="007C52BD">
        <w:t xml:space="preserve">only </w:t>
      </w:r>
      <w:r>
        <w:t>to break a tie vote</w:t>
      </w:r>
      <w:r w:rsidR="007C52BD">
        <w:t>,</w:t>
      </w:r>
      <w:r w:rsidR="005D1436">
        <w:t xml:space="preserve"> and cannot </w:t>
      </w:r>
      <w:r w:rsidR="00AE157A">
        <w:t>be the</w:t>
      </w:r>
      <w:r w:rsidR="005D1436">
        <w:t xml:space="preserve"> chair, vice chair, or clerk</w:t>
      </w:r>
      <w:r>
        <w:t xml:space="preserve">. </w:t>
      </w:r>
    </w:p>
    <w:p w14:paraId="68DC4D31" w14:textId="7DC040C0" w:rsidR="00720791" w:rsidRDefault="00533F76" w:rsidP="00376A96">
      <w:pPr>
        <w:pStyle w:val="ListParagraph"/>
        <w:numPr>
          <w:ilvl w:val="2"/>
          <w:numId w:val="3"/>
        </w:numPr>
        <w:tabs>
          <w:tab w:val="left" w:pos="360"/>
          <w:tab w:val="left" w:pos="720"/>
          <w:tab w:val="left" w:pos="1080"/>
          <w:tab w:val="left" w:pos="1440"/>
          <w:tab w:val="left" w:pos="1800"/>
          <w:tab w:val="left" w:pos="2160"/>
        </w:tabs>
        <w:ind w:left="1080"/>
        <w:contextualSpacing w:val="0"/>
      </w:pPr>
      <w:r>
        <w:t>A school committee member</w:t>
      </w:r>
      <w:r w:rsidR="0049099E">
        <w:t xml:space="preserve"> </w:t>
      </w:r>
      <w:r>
        <w:t>described the charter as opening the door for residents to run for office and allowing more voices at the table.</w:t>
      </w:r>
      <w:r w:rsidRPr="00AF499C">
        <w:rPr>
          <w:b/>
          <w:i/>
        </w:rPr>
        <w:t xml:space="preserve"> </w:t>
      </w:r>
    </w:p>
    <w:p w14:paraId="6321873B" w14:textId="20722E4D" w:rsidR="00720791" w:rsidRPr="006618C4" w:rsidRDefault="00720791" w:rsidP="00406A80">
      <w:pPr>
        <w:pStyle w:val="ListParagraph"/>
        <w:numPr>
          <w:ilvl w:val="1"/>
          <w:numId w:val="3"/>
        </w:numPr>
        <w:tabs>
          <w:tab w:val="left" w:pos="360"/>
          <w:tab w:val="left" w:pos="720"/>
          <w:tab w:val="left" w:pos="1080"/>
          <w:tab w:val="left" w:pos="1440"/>
          <w:tab w:val="left" w:pos="1800"/>
          <w:tab w:val="left" w:pos="2160"/>
        </w:tabs>
        <w:ind w:left="720"/>
        <w:contextualSpacing w:val="0"/>
      </w:pPr>
      <w:r w:rsidRPr="006618C4">
        <w:t xml:space="preserve">The Framingham </w:t>
      </w:r>
      <w:r w:rsidR="00AA5352">
        <w:t>s</w:t>
      </w:r>
      <w:r w:rsidRPr="006618C4">
        <w:t xml:space="preserve">chool </w:t>
      </w:r>
      <w:r w:rsidR="00AA5352">
        <w:t>c</w:t>
      </w:r>
      <w:r w:rsidRPr="006618C4">
        <w:t xml:space="preserve">ommittee has established a subcommittee for </w:t>
      </w:r>
      <w:r w:rsidR="00AA5352">
        <w:t>r</w:t>
      </w:r>
      <w:r w:rsidRPr="006618C4">
        <w:t xml:space="preserve">acial </w:t>
      </w:r>
      <w:r w:rsidR="00AA5352">
        <w:t>e</w:t>
      </w:r>
      <w:r w:rsidRPr="006618C4">
        <w:t xml:space="preserve">quity. </w:t>
      </w:r>
    </w:p>
    <w:p w14:paraId="15F3FE04" w14:textId="391266A6" w:rsidR="00AA5352" w:rsidRDefault="007C52BD" w:rsidP="00EC5B5A">
      <w:pPr>
        <w:pStyle w:val="ListParagraph"/>
        <w:numPr>
          <w:ilvl w:val="2"/>
          <w:numId w:val="3"/>
        </w:numPr>
        <w:tabs>
          <w:tab w:val="left" w:pos="360"/>
          <w:tab w:val="left" w:pos="720"/>
          <w:tab w:val="left" w:pos="1080"/>
          <w:tab w:val="left" w:pos="1440"/>
          <w:tab w:val="left" w:pos="1800"/>
          <w:tab w:val="left" w:pos="2160"/>
          <w:tab w:val="left" w:pos="6660"/>
        </w:tabs>
        <w:ind w:left="1080"/>
        <w:contextualSpacing w:val="0"/>
      </w:pPr>
      <w:r>
        <w:t xml:space="preserve">According to agendas reviewed by the team,  </w:t>
      </w:r>
      <w:r w:rsidR="00720791" w:rsidRPr="00BA0ACC">
        <w:t xml:space="preserve">the </w:t>
      </w:r>
      <w:r w:rsidR="00720791">
        <w:t xml:space="preserve">active </w:t>
      </w:r>
      <w:r w:rsidR="00AA5352">
        <w:t>r</w:t>
      </w:r>
      <w:r w:rsidR="00720791" w:rsidRPr="00BA0ACC">
        <w:t xml:space="preserve">acial </w:t>
      </w:r>
      <w:r w:rsidR="00AA5352">
        <w:t>e</w:t>
      </w:r>
      <w:r w:rsidR="00720791" w:rsidRPr="00BA0ACC">
        <w:t xml:space="preserve">quity subcommittee held </w:t>
      </w:r>
      <w:r w:rsidR="00720791">
        <w:t>nine</w:t>
      </w:r>
      <w:r w:rsidR="00720791" w:rsidRPr="00BA0ACC">
        <w:t xml:space="preserve"> meetings</w:t>
      </w:r>
      <w:r w:rsidR="00720791">
        <w:t xml:space="preserve"> </w:t>
      </w:r>
      <w:r>
        <w:t>during the interval from</w:t>
      </w:r>
      <w:r w:rsidRPr="00BA0ACC">
        <w:t xml:space="preserve"> March 15, 2018</w:t>
      </w:r>
      <w:r w:rsidR="006D406E">
        <w:t>,</w:t>
      </w:r>
      <w:r w:rsidRPr="00BA0ACC">
        <w:t xml:space="preserve"> </w:t>
      </w:r>
      <w:r>
        <w:t xml:space="preserve">to </w:t>
      </w:r>
      <w:r w:rsidRPr="00BA0ACC">
        <w:t>Februar</w:t>
      </w:r>
      <w:r>
        <w:t>y</w:t>
      </w:r>
      <w:r w:rsidRPr="00BA0ACC">
        <w:t xml:space="preserve"> 11, 2019,</w:t>
      </w:r>
      <w:r w:rsidR="00644BB2">
        <w:t xml:space="preserve"> </w:t>
      </w:r>
      <w:r w:rsidR="00A30BF6">
        <w:t xml:space="preserve">during </w:t>
      </w:r>
      <w:r w:rsidR="00720791">
        <w:t xml:space="preserve">which members and participants addressed the following </w:t>
      </w:r>
      <w:r>
        <w:t>topics</w:t>
      </w:r>
      <w:r w:rsidR="00720791">
        <w:t>:</w:t>
      </w:r>
      <w:r w:rsidR="00720791" w:rsidRPr="00BA0ACC">
        <w:t xml:space="preserve"> </w:t>
      </w:r>
      <w:r w:rsidR="00AA5352">
        <w:t>a</w:t>
      </w:r>
      <w:r w:rsidR="00720791" w:rsidRPr="0031261C">
        <w:t xml:space="preserve">cademic achievement data for students of </w:t>
      </w:r>
      <w:r w:rsidR="00720791">
        <w:t>c</w:t>
      </w:r>
      <w:r w:rsidR="00720791" w:rsidRPr="0031261C">
        <w:t>olor</w:t>
      </w:r>
      <w:r w:rsidR="00AA5352">
        <w:t>;</w:t>
      </w:r>
      <w:r w:rsidR="00720791" w:rsidRPr="0031261C">
        <w:t xml:space="preserve"> </w:t>
      </w:r>
      <w:r w:rsidR="00720791">
        <w:t>s</w:t>
      </w:r>
      <w:r w:rsidR="00720791" w:rsidRPr="0031261C">
        <w:t>chool discipline polices</w:t>
      </w:r>
      <w:r w:rsidR="00AA5352">
        <w:t>;</w:t>
      </w:r>
      <w:r w:rsidR="00720791">
        <w:t xml:space="preserve"> hiring diversity</w:t>
      </w:r>
      <w:r w:rsidR="00AA5352">
        <w:t>;</w:t>
      </w:r>
      <w:r w:rsidR="00720791">
        <w:t xml:space="preserve"> </w:t>
      </w:r>
      <w:r w:rsidR="00AA5352">
        <w:t>i</w:t>
      </w:r>
      <w:r w:rsidR="00720791">
        <w:t xml:space="preserve">ndigenous </w:t>
      </w:r>
      <w:r w:rsidR="00AA5352">
        <w:t>p</w:t>
      </w:r>
      <w:r w:rsidR="00720791">
        <w:t xml:space="preserve">eople’s </w:t>
      </w:r>
      <w:r w:rsidR="00AA5352">
        <w:t>d</w:t>
      </w:r>
      <w:r w:rsidR="00720791">
        <w:t>ay</w:t>
      </w:r>
      <w:r w:rsidR="003265D8">
        <w:t>;</w:t>
      </w:r>
      <w:r w:rsidR="00720791">
        <w:t xml:space="preserve"> and the </w:t>
      </w:r>
      <w:r w:rsidR="003265D8">
        <w:t xml:space="preserve">district’s </w:t>
      </w:r>
      <w:r w:rsidR="00AA5352">
        <w:t>r</w:t>
      </w:r>
      <w:r w:rsidR="00720791">
        <w:t xml:space="preserve">acial </w:t>
      </w:r>
      <w:r w:rsidR="00AA5352">
        <w:t>e</w:t>
      </w:r>
      <w:r w:rsidR="00720791">
        <w:t xml:space="preserve">quity </w:t>
      </w:r>
      <w:r w:rsidR="00AA5352">
        <w:t>a</w:t>
      </w:r>
      <w:r w:rsidR="00720791">
        <w:t>udit</w:t>
      </w:r>
      <w:r w:rsidR="000C1A71">
        <w:t>.</w:t>
      </w:r>
    </w:p>
    <w:p w14:paraId="5FC93DAB" w14:textId="10932013" w:rsidR="00720791" w:rsidRDefault="00720791" w:rsidP="006D406E">
      <w:pPr>
        <w:pStyle w:val="ListParagraph"/>
        <w:numPr>
          <w:ilvl w:val="2"/>
          <w:numId w:val="3"/>
        </w:numPr>
        <w:tabs>
          <w:tab w:val="left" w:pos="360"/>
          <w:tab w:val="left" w:pos="720"/>
          <w:tab w:val="left" w:pos="1080"/>
          <w:tab w:val="left" w:pos="1440"/>
          <w:tab w:val="left" w:pos="1800"/>
          <w:tab w:val="left" w:pos="2160"/>
          <w:tab w:val="left" w:pos="6660"/>
        </w:tabs>
        <w:ind w:left="1080"/>
        <w:contextualSpacing w:val="0"/>
      </w:pPr>
      <w:r>
        <w:t xml:space="preserve">On November 5, 2018, the </w:t>
      </w:r>
      <w:r w:rsidR="00644BB2">
        <w:t>district</w:t>
      </w:r>
      <w:r>
        <w:t xml:space="preserve"> issued a request for proposal</w:t>
      </w:r>
      <w:r w:rsidR="000C1A71">
        <w:t>s</w:t>
      </w:r>
      <w:r>
        <w:t xml:space="preserve"> seeking a consultant to conduct a comprehensive audit t</w:t>
      </w:r>
      <w:r w:rsidR="00AA5352">
        <w:t>o assess</w:t>
      </w:r>
      <w:r w:rsidR="000F78AC">
        <w:t xml:space="preserve"> </w:t>
      </w:r>
      <w:r>
        <w:t xml:space="preserve">“student access to high quality programs, high quality teaching, just discipline procedures, equitable resources and root cause analysis of persistent achievement gaps for </w:t>
      </w:r>
      <w:r w:rsidR="00644BB2">
        <w:t xml:space="preserve">students </w:t>
      </w:r>
      <w:r>
        <w:t xml:space="preserve">of </w:t>
      </w:r>
      <w:r w:rsidR="00644BB2">
        <w:t>color</w:t>
      </w:r>
      <w:r w:rsidR="00AA5352">
        <w:t>.</w:t>
      </w:r>
      <w:r>
        <w:t xml:space="preserve">” </w:t>
      </w:r>
      <w:r w:rsidR="00584CE3">
        <w:t>The</w:t>
      </w:r>
      <w:r w:rsidR="006D406E">
        <w:t xml:space="preserve"> </w:t>
      </w:r>
      <w:r w:rsidR="00AA5352">
        <w:t>r</w:t>
      </w:r>
      <w:r>
        <w:t xml:space="preserve">acial </w:t>
      </w:r>
      <w:r w:rsidR="00AA5352">
        <w:t>e</w:t>
      </w:r>
      <w:r>
        <w:t xml:space="preserve">quity </w:t>
      </w:r>
      <w:r w:rsidR="00AA5352">
        <w:t>a</w:t>
      </w:r>
      <w:r>
        <w:t xml:space="preserve">udit will also review </w:t>
      </w:r>
      <w:r w:rsidR="000C1A71">
        <w:t xml:space="preserve">the district’s </w:t>
      </w:r>
      <w:r>
        <w:t>policies and practices</w:t>
      </w:r>
      <w:r w:rsidR="00016D36">
        <w:t>,</w:t>
      </w:r>
      <w:r>
        <w:t xml:space="preserve"> disaggregated student data</w:t>
      </w:r>
      <w:r w:rsidR="00016D36">
        <w:t>,</w:t>
      </w:r>
      <w:r>
        <w:t xml:space="preserve"> efforts to recruit and retain staff of color</w:t>
      </w:r>
      <w:r w:rsidR="00BC22CA">
        <w:t>,</w:t>
      </w:r>
      <w:r>
        <w:t xml:space="preserve"> and the </w:t>
      </w:r>
      <w:r w:rsidR="002212BD">
        <w:t xml:space="preserve">cultural responsiveness </w:t>
      </w:r>
      <w:r>
        <w:t>of curricula</w:t>
      </w:r>
      <w:r w:rsidR="00016D36">
        <w:t>.</w:t>
      </w:r>
      <w:r>
        <w:t xml:space="preserve">                                       </w:t>
      </w:r>
    </w:p>
    <w:p w14:paraId="464FBE75" w14:textId="6E3B7B8D" w:rsidR="00720791" w:rsidRPr="00584FF6" w:rsidRDefault="00720791" w:rsidP="00406A80">
      <w:pPr>
        <w:pStyle w:val="ListParagraph"/>
        <w:numPr>
          <w:ilvl w:val="1"/>
          <w:numId w:val="3"/>
        </w:numPr>
        <w:tabs>
          <w:tab w:val="left" w:pos="360"/>
          <w:tab w:val="left" w:pos="720"/>
          <w:tab w:val="left" w:pos="1080"/>
          <w:tab w:val="left" w:pos="1440"/>
          <w:tab w:val="left" w:pos="1800"/>
          <w:tab w:val="left" w:pos="2160"/>
        </w:tabs>
        <w:ind w:left="720"/>
        <w:contextualSpacing w:val="0"/>
        <w:rPr>
          <w:b/>
        </w:rPr>
      </w:pPr>
      <w:r>
        <w:t xml:space="preserve">When </w:t>
      </w:r>
      <w:r w:rsidRPr="0074266B">
        <w:t>reorganiz</w:t>
      </w:r>
      <w:r>
        <w:t>ing</w:t>
      </w:r>
      <w:r w:rsidRPr="0074266B">
        <w:t xml:space="preserve"> the central office, the superintendent created </w:t>
      </w:r>
      <w:r w:rsidR="00584CE3">
        <w:t xml:space="preserve">a </w:t>
      </w:r>
      <w:r w:rsidRPr="0074266B">
        <w:t xml:space="preserve">new </w:t>
      </w:r>
      <w:r w:rsidR="00584CE3">
        <w:t>central</w:t>
      </w:r>
      <w:r w:rsidR="00584CE3" w:rsidRPr="0074266B">
        <w:t xml:space="preserve"> </w:t>
      </w:r>
      <w:r w:rsidRPr="0074266B">
        <w:t>leadership position</w:t>
      </w:r>
      <w:r w:rsidR="00016D36">
        <w:t xml:space="preserve"> of </w:t>
      </w:r>
      <w:r w:rsidRPr="0074266B">
        <w:t>assistant superintendent for equity, diversity</w:t>
      </w:r>
      <w:r w:rsidR="000C1A71">
        <w:t>,</w:t>
      </w:r>
      <w:r w:rsidRPr="0074266B">
        <w:t xml:space="preserve"> and community</w:t>
      </w:r>
      <w:r w:rsidRPr="00584FF6">
        <w:rPr>
          <w:b/>
        </w:rPr>
        <w:t xml:space="preserve"> </w:t>
      </w:r>
      <w:r w:rsidRPr="0074266B">
        <w:t>engagement</w:t>
      </w:r>
      <w:r w:rsidRPr="00584FF6">
        <w:rPr>
          <w:b/>
        </w:rPr>
        <w:t xml:space="preserve"> </w:t>
      </w:r>
      <w:r w:rsidR="000F78AC">
        <w:t>with</w:t>
      </w:r>
      <w:r w:rsidR="00D85ADE">
        <w:t xml:space="preserve"> </w:t>
      </w:r>
      <w:r w:rsidRPr="00584FF6">
        <w:t>responsib</w:t>
      </w:r>
      <w:r w:rsidR="000F78AC">
        <w:t>ility</w:t>
      </w:r>
      <w:r w:rsidRPr="00584FF6">
        <w:t xml:space="preserve"> for “guiding efforts and guiding opportunities to define, assess, and promote diversity, equity and inclusion, educational and employment opportunities and cultural fluency.”</w:t>
      </w:r>
    </w:p>
    <w:p w14:paraId="7C4A7993" w14:textId="774224A8" w:rsidR="00720791" w:rsidRPr="0074266B" w:rsidRDefault="00720791" w:rsidP="00406A80">
      <w:pPr>
        <w:pStyle w:val="ListParagraph"/>
        <w:numPr>
          <w:ilvl w:val="1"/>
          <w:numId w:val="3"/>
        </w:numPr>
        <w:tabs>
          <w:tab w:val="left" w:pos="360"/>
          <w:tab w:val="left" w:pos="720"/>
          <w:tab w:val="left" w:pos="1080"/>
          <w:tab w:val="left" w:pos="1440"/>
          <w:tab w:val="left" w:pos="1800"/>
          <w:tab w:val="left" w:pos="2160"/>
        </w:tabs>
        <w:ind w:left="720"/>
        <w:contextualSpacing w:val="0"/>
      </w:pPr>
      <w:r>
        <w:rPr>
          <w:b/>
        </w:rPr>
        <w:t xml:space="preserve"> </w:t>
      </w:r>
      <w:r w:rsidRPr="0074266B">
        <w:t>The district’s 2017</w:t>
      </w:r>
      <w:r w:rsidR="000C1A71">
        <w:t>–</w:t>
      </w:r>
      <w:r w:rsidRPr="0074266B">
        <w:t xml:space="preserve">2020 </w:t>
      </w:r>
      <w:r w:rsidR="00C32F7F">
        <w:t xml:space="preserve">Annotated </w:t>
      </w:r>
      <w:r w:rsidRPr="0074266B">
        <w:t>Strategic Plan is equity</w:t>
      </w:r>
      <w:r w:rsidR="008C409F">
        <w:t>-</w:t>
      </w:r>
      <w:r w:rsidRPr="0074266B">
        <w:t>focused.</w:t>
      </w:r>
      <w:r w:rsidR="00F13EDA">
        <w:t xml:space="preserve"> The fiscal year 2019 budget is closely aligned to the plan.</w:t>
      </w:r>
    </w:p>
    <w:p w14:paraId="003494D3" w14:textId="1382C7AE" w:rsidR="00720791" w:rsidRPr="00B45F54" w:rsidRDefault="00A93178" w:rsidP="00406A80">
      <w:pPr>
        <w:pStyle w:val="ListParagraph"/>
        <w:numPr>
          <w:ilvl w:val="2"/>
          <w:numId w:val="73"/>
        </w:numPr>
        <w:tabs>
          <w:tab w:val="left" w:pos="0"/>
          <w:tab w:val="left" w:pos="360"/>
          <w:tab w:val="left" w:pos="720"/>
          <w:tab w:val="left" w:pos="1080"/>
          <w:tab w:val="left" w:pos="1440"/>
          <w:tab w:val="left" w:pos="1800"/>
          <w:tab w:val="left" w:pos="2160"/>
        </w:tabs>
        <w:ind w:left="1080"/>
        <w:contextualSpacing w:val="0"/>
      </w:pPr>
      <w:r>
        <w:t xml:space="preserve">The </w:t>
      </w:r>
      <w:r w:rsidR="005E3E2A">
        <w:t>plan</w:t>
      </w:r>
      <w:r w:rsidR="00720791" w:rsidRPr="00B45F54">
        <w:t xml:space="preserve"> </w:t>
      </w:r>
      <w:r w:rsidR="00325CB2">
        <w:t>includes</w:t>
      </w:r>
      <w:r>
        <w:t xml:space="preserve"> goals </w:t>
      </w:r>
      <w:r w:rsidR="00720791" w:rsidRPr="00B45F54">
        <w:t xml:space="preserve">to develop </w:t>
      </w:r>
      <w:r w:rsidR="006E7D3A">
        <w:t xml:space="preserve">students into </w:t>
      </w:r>
      <w:r w:rsidR="00325CB2">
        <w:t>“</w:t>
      </w:r>
      <w:r w:rsidR="000F78AC">
        <w:t xml:space="preserve">value-centered </w:t>
      </w:r>
      <w:r w:rsidR="006E7D3A">
        <w:t>citizens</w:t>
      </w:r>
      <w:r w:rsidR="006E7D3A" w:rsidRPr="00B45F54">
        <w:t xml:space="preserve"> </w:t>
      </w:r>
      <w:r w:rsidR="00720791" w:rsidRPr="00B45F54">
        <w:t>who are able to navigate a complex and inequitable world</w:t>
      </w:r>
      <w:r w:rsidR="000C1A71">
        <w:t>”</w:t>
      </w:r>
      <w:r w:rsidR="007921BE">
        <w:t xml:space="preserve"> and </w:t>
      </w:r>
      <w:r w:rsidR="00720791" w:rsidRPr="00B45F54">
        <w:t xml:space="preserve">to </w:t>
      </w:r>
      <w:r w:rsidR="00325CB2">
        <w:t>“</w:t>
      </w:r>
      <w:r w:rsidR="00720791" w:rsidRPr="00B45F54">
        <w:t>create an environment in which every child can succeed</w:t>
      </w:r>
      <w:r w:rsidR="007921BE" w:rsidRPr="00B45F54" w:rsidDel="00BE7F4A">
        <w:t xml:space="preserve"> </w:t>
      </w:r>
      <w:r w:rsidR="007921BE">
        <w:t xml:space="preserve">by addressing </w:t>
      </w:r>
      <w:r w:rsidR="006E7D3A">
        <w:t xml:space="preserve">inequities, including </w:t>
      </w:r>
      <w:r w:rsidR="007921BE">
        <w:t>raci</w:t>
      </w:r>
      <w:r w:rsidR="006E7D3A">
        <w:t>sm</w:t>
      </w:r>
      <w:r w:rsidR="007921BE">
        <w:t xml:space="preserve">, </w:t>
      </w:r>
      <w:r w:rsidR="007921BE" w:rsidRPr="00B45F54">
        <w:t>socio-economi</w:t>
      </w:r>
      <w:r w:rsidR="00AE4C02">
        <w:t>c</w:t>
      </w:r>
      <w:r w:rsidR="007921BE" w:rsidRPr="00B45F54">
        <w:t xml:space="preserve"> </w:t>
      </w:r>
      <w:r w:rsidR="006E7D3A">
        <w:t xml:space="preserve">status, </w:t>
      </w:r>
      <w:r w:rsidR="007921BE" w:rsidRPr="00B45F54">
        <w:t>and language barrier</w:t>
      </w:r>
      <w:r w:rsidR="007921BE">
        <w:t>s</w:t>
      </w:r>
      <w:r w:rsidR="000C1A71">
        <w:t>.</w:t>
      </w:r>
      <w:r w:rsidR="005E3E2A">
        <w:t>”</w:t>
      </w:r>
      <w:r w:rsidR="00720791" w:rsidRPr="00B45F54">
        <w:rPr>
          <w:rStyle w:val="FootnoteReference"/>
        </w:rPr>
        <w:footnoteReference w:id="6"/>
      </w:r>
    </w:p>
    <w:p w14:paraId="74906569" w14:textId="131B7518" w:rsidR="00720791" w:rsidRDefault="004253AD" w:rsidP="00406A80">
      <w:pPr>
        <w:pStyle w:val="ListParagraph"/>
        <w:numPr>
          <w:ilvl w:val="2"/>
          <w:numId w:val="73"/>
        </w:numPr>
        <w:tabs>
          <w:tab w:val="left" w:pos="0"/>
          <w:tab w:val="left" w:pos="360"/>
          <w:tab w:val="left" w:pos="720"/>
          <w:tab w:val="left" w:pos="1080"/>
          <w:tab w:val="left" w:pos="1440"/>
          <w:tab w:val="left" w:pos="1800"/>
          <w:tab w:val="left" w:pos="2160"/>
        </w:tabs>
        <w:ind w:left="1080"/>
        <w:contextualSpacing w:val="0"/>
      </w:pPr>
      <w:r>
        <w:t xml:space="preserve">The strategic plan </w:t>
      </w:r>
      <w:r w:rsidR="00A93178">
        <w:t xml:space="preserve">also </w:t>
      </w:r>
      <w:r w:rsidR="00540721">
        <w:t xml:space="preserve">contains </w:t>
      </w:r>
      <w:r w:rsidR="00584CE3">
        <w:t>a</w:t>
      </w:r>
      <w:r w:rsidR="007921BE">
        <w:t xml:space="preserve"> </w:t>
      </w:r>
      <w:r w:rsidR="00A93178">
        <w:t xml:space="preserve">goal </w:t>
      </w:r>
      <w:r>
        <w:t xml:space="preserve">to </w:t>
      </w:r>
      <w:r w:rsidRPr="00B45F54">
        <w:t>“nurture equitable and inclusive learning environments</w:t>
      </w:r>
      <w:r>
        <w:t>”</w:t>
      </w:r>
      <w:r w:rsidRPr="00B45F54">
        <w:t xml:space="preserve"> </w:t>
      </w:r>
      <w:r>
        <w:t>b</w:t>
      </w:r>
      <w:r w:rsidR="00720791" w:rsidRPr="00B45F54">
        <w:t xml:space="preserve">y </w:t>
      </w:r>
      <w:r w:rsidR="00325CB2">
        <w:t>implementing</w:t>
      </w:r>
      <w:r w:rsidR="00720791" w:rsidRPr="00B45F54">
        <w:t xml:space="preserve"> </w:t>
      </w:r>
      <w:r>
        <w:t xml:space="preserve">24 </w:t>
      </w:r>
      <w:r w:rsidR="00720791" w:rsidRPr="00B45F54">
        <w:t>high-leverage goals</w:t>
      </w:r>
      <w:r w:rsidR="000E2726">
        <w:t xml:space="preserve"> </w:t>
      </w:r>
      <w:r w:rsidR="00325CB2">
        <w:t>categorized under</w:t>
      </w:r>
      <w:r w:rsidR="00325CB2" w:rsidRPr="00B45F54">
        <w:t xml:space="preserve"> </w:t>
      </w:r>
      <w:r w:rsidR="00325CB2">
        <w:t xml:space="preserve">the following </w:t>
      </w:r>
      <w:r w:rsidR="000F78AC">
        <w:t>four</w:t>
      </w:r>
      <w:r w:rsidR="00720791" w:rsidRPr="00B45F54">
        <w:t xml:space="preserve"> key standards</w:t>
      </w:r>
      <w:r>
        <w:t xml:space="preserve">: </w:t>
      </w:r>
      <w:r w:rsidR="00AE4C02">
        <w:t>c</w:t>
      </w:r>
      <w:r w:rsidR="00720791" w:rsidRPr="00B45F54">
        <w:t xml:space="preserve">urriculum and </w:t>
      </w:r>
      <w:r w:rsidR="00AE4C02">
        <w:t>p</w:t>
      </w:r>
      <w:r w:rsidR="00AE4C02" w:rsidRPr="00B45F54">
        <w:t>lannin</w:t>
      </w:r>
      <w:r w:rsidR="00AE4C02">
        <w:t>g</w:t>
      </w:r>
      <w:r>
        <w:t>,</w:t>
      </w:r>
      <w:r w:rsidR="00720791" w:rsidRPr="00B45F54">
        <w:t xml:space="preserve"> </w:t>
      </w:r>
      <w:r w:rsidR="00AE4C02">
        <w:t>t</w:t>
      </w:r>
      <w:r w:rsidR="00720791" w:rsidRPr="00B45F54">
        <w:t xml:space="preserve">eaching </w:t>
      </w:r>
      <w:r w:rsidR="00AE4C02">
        <w:t>a</w:t>
      </w:r>
      <w:r w:rsidR="00AE4C02" w:rsidRPr="00B45F54">
        <w:t xml:space="preserve">ll </w:t>
      </w:r>
      <w:r w:rsidR="00AE4C02">
        <w:t>s</w:t>
      </w:r>
      <w:r w:rsidR="00AE4C02" w:rsidRPr="00B45F54">
        <w:t>tudents</w:t>
      </w:r>
      <w:r>
        <w:t>,</w:t>
      </w:r>
      <w:r w:rsidR="00720791" w:rsidRPr="00B45F54">
        <w:t xml:space="preserve"> </w:t>
      </w:r>
      <w:r w:rsidR="00AE4C02">
        <w:t>f</w:t>
      </w:r>
      <w:r w:rsidR="00720791" w:rsidRPr="00B45F54">
        <w:t xml:space="preserve">amily and </w:t>
      </w:r>
      <w:r w:rsidR="00AE4C02">
        <w:t>c</w:t>
      </w:r>
      <w:r w:rsidR="00AE4C02" w:rsidRPr="00B45F54">
        <w:t xml:space="preserve">ommunity </w:t>
      </w:r>
      <w:r w:rsidR="00AE4C02">
        <w:t>e</w:t>
      </w:r>
      <w:r w:rsidR="00AE4C02" w:rsidRPr="00B45F54">
        <w:t>ngagement</w:t>
      </w:r>
      <w:r w:rsidR="009D21BE">
        <w:t>,</w:t>
      </w:r>
      <w:r w:rsidR="00720791" w:rsidRPr="00B45F54">
        <w:t xml:space="preserve"> </w:t>
      </w:r>
      <w:r w:rsidR="00775458">
        <w:t>and</w:t>
      </w:r>
      <w:r w:rsidR="00720791" w:rsidRPr="00B45F54">
        <w:t xml:space="preserve"> </w:t>
      </w:r>
      <w:r w:rsidR="00AE4C02">
        <w:t>p</w:t>
      </w:r>
      <w:r w:rsidR="00AE4C02" w:rsidRPr="00B45F54">
        <w:t xml:space="preserve">rofessional </w:t>
      </w:r>
      <w:r w:rsidR="00AE4C02">
        <w:t>c</w:t>
      </w:r>
      <w:r w:rsidR="00AE4C02" w:rsidRPr="00B45F54">
        <w:t>ulture</w:t>
      </w:r>
      <w:r>
        <w:t>.</w:t>
      </w:r>
      <w:r w:rsidR="00EC5B5A">
        <w:t xml:space="preserve"> </w:t>
      </w:r>
      <w:r w:rsidR="00F119B7">
        <w:t>A review of</w:t>
      </w:r>
      <w:r w:rsidR="00775458">
        <w:t xml:space="preserve"> the </w:t>
      </w:r>
      <w:r w:rsidR="007921BE">
        <w:t>fiscal year 2019</w:t>
      </w:r>
      <w:r w:rsidR="00775458">
        <w:t xml:space="preserve"> budget </w:t>
      </w:r>
      <w:r w:rsidR="007921BE">
        <w:t>narrative</w:t>
      </w:r>
      <w:r w:rsidR="00775458">
        <w:t xml:space="preserve"> </w:t>
      </w:r>
      <w:r w:rsidR="00F119B7">
        <w:lastRenderedPageBreak/>
        <w:t xml:space="preserve">indicated that </w:t>
      </w:r>
      <w:r w:rsidR="007921BE">
        <w:t xml:space="preserve">the district budget </w:t>
      </w:r>
      <w:r w:rsidR="00F119B7">
        <w:t>was</w:t>
      </w:r>
      <w:r w:rsidR="00720791">
        <w:t xml:space="preserve"> built upon on “an equity-based model that restructures how monies have been allocated to the schools in the past.” </w:t>
      </w:r>
    </w:p>
    <w:p w14:paraId="3066237B" w14:textId="3BB5F96B" w:rsidR="00720791" w:rsidRDefault="00720791" w:rsidP="00406A80">
      <w:pPr>
        <w:pStyle w:val="ListParagraph"/>
        <w:numPr>
          <w:ilvl w:val="2"/>
          <w:numId w:val="73"/>
        </w:numPr>
        <w:tabs>
          <w:tab w:val="left" w:pos="0"/>
          <w:tab w:val="left" w:pos="360"/>
          <w:tab w:val="left" w:pos="720"/>
          <w:tab w:val="left" w:pos="1080"/>
          <w:tab w:val="left" w:pos="1440"/>
          <w:tab w:val="left" w:pos="1800"/>
          <w:tab w:val="left" w:pos="2160"/>
        </w:tabs>
        <w:ind w:left="1080"/>
        <w:contextualSpacing w:val="0"/>
      </w:pPr>
      <w:r>
        <w:t xml:space="preserve">The following examples </w:t>
      </w:r>
      <w:r w:rsidR="007921BE">
        <w:t xml:space="preserve">demonstrate </w:t>
      </w:r>
      <w:r>
        <w:t>the equity focus</w:t>
      </w:r>
      <w:r w:rsidR="007921BE">
        <w:t xml:space="preserve"> of the fiscal year 2019 budget</w:t>
      </w:r>
      <w:r>
        <w:t>:</w:t>
      </w:r>
    </w:p>
    <w:p w14:paraId="596BF5B5" w14:textId="3F90F1FE" w:rsidR="00720791" w:rsidRDefault="0011472B" w:rsidP="00406A80">
      <w:pPr>
        <w:pStyle w:val="ListParagraph"/>
        <w:numPr>
          <w:ilvl w:val="3"/>
          <w:numId w:val="73"/>
        </w:numPr>
        <w:tabs>
          <w:tab w:val="left" w:pos="0"/>
          <w:tab w:val="left" w:pos="360"/>
          <w:tab w:val="left" w:pos="720"/>
          <w:tab w:val="left" w:pos="1080"/>
          <w:tab w:val="left" w:pos="1440"/>
          <w:tab w:val="left" w:pos="1800"/>
          <w:tab w:val="left" w:pos="2160"/>
        </w:tabs>
        <w:ind w:left="1440"/>
        <w:contextualSpacing w:val="0"/>
      </w:pPr>
      <w:r>
        <w:t>i</w:t>
      </w:r>
      <w:r w:rsidR="007921BE">
        <w:t xml:space="preserve">ncreased </w:t>
      </w:r>
      <w:r w:rsidR="00D156CF">
        <w:t>support</w:t>
      </w:r>
      <w:r w:rsidR="00F13EDA" w:rsidDel="00F13EDA">
        <w:t xml:space="preserve"> </w:t>
      </w:r>
      <w:r w:rsidR="00F13EDA">
        <w:t>f</w:t>
      </w:r>
      <w:r w:rsidR="00720791">
        <w:t xml:space="preserve">or bilingual </w:t>
      </w:r>
      <w:proofErr w:type="gramStart"/>
      <w:r w:rsidR="00720791">
        <w:t>education</w:t>
      </w:r>
      <w:r w:rsidR="00D44B8F">
        <w:t>;</w:t>
      </w:r>
      <w:proofErr w:type="gramEnd"/>
      <w:r w:rsidR="00D44B8F">
        <w:t xml:space="preserve"> </w:t>
      </w:r>
    </w:p>
    <w:p w14:paraId="1DBDFA4C" w14:textId="598E1097" w:rsidR="00720791" w:rsidRDefault="0011472B" w:rsidP="00406A80">
      <w:pPr>
        <w:pStyle w:val="ListParagraph"/>
        <w:numPr>
          <w:ilvl w:val="3"/>
          <w:numId w:val="73"/>
        </w:numPr>
        <w:tabs>
          <w:tab w:val="left" w:pos="0"/>
          <w:tab w:val="left" w:pos="360"/>
          <w:tab w:val="left" w:pos="720"/>
          <w:tab w:val="left" w:pos="1080"/>
          <w:tab w:val="left" w:pos="1440"/>
          <w:tab w:val="left" w:pos="1800"/>
          <w:tab w:val="left" w:pos="2160"/>
        </w:tabs>
        <w:ind w:left="1440"/>
        <w:contextualSpacing w:val="0"/>
      </w:pPr>
      <w:r>
        <w:t>i</w:t>
      </w:r>
      <w:r w:rsidR="007921BE">
        <w:t xml:space="preserve">mplementation of </w:t>
      </w:r>
      <w:r w:rsidR="00720791">
        <w:t xml:space="preserve">a new Portuguese </w:t>
      </w:r>
      <w:r w:rsidR="000C1A71">
        <w:t>dual-</w:t>
      </w:r>
      <w:r w:rsidR="00D85ADE">
        <w:t>l</w:t>
      </w:r>
      <w:r w:rsidR="00720791">
        <w:t xml:space="preserve">anguage program at Potter Road </w:t>
      </w:r>
      <w:r w:rsidR="00D156CF">
        <w:t>E</w:t>
      </w:r>
      <w:r w:rsidR="00720791">
        <w:t xml:space="preserve">lementary </w:t>
      </w:r>
      <w:proofErr w:type="gramStart"/>
      <w:r w:rsidR="000C1A71">
        <w:t>School</w:t>
      </w:r>
      <w:r w:rsidR="00D44B8F">
        <w:t>;</w:t>
      </w:r>
      <w:proofErr w:type="gramEnd"/>
    </w:p>
    <w:p w14:paraId="1C37EB69" w14:textId="675B0D16" w:rsidR="00720791" w:rsidRDefault="0011472B" w:rsidP="00406A80">
      <w:pPr>
        <w:pStyle w:val="ListParagraph"/>
        <w:numPr>
          <w:ilvl w:val="3"/>
          <w:numId w:val="73"/>
        </w:numPr>
        <w:tabs>
          <w:tab w:val="left" w:pos="0"/>
          <w:tab w:val="left" w:pos="360"/>
          <w:tab w:val="left" w:pos="720"/>
          <w:tab w:val="left" w:pos="1080"/>
          <w:tab w:val="left" w:pos="1440"/>
          <w:tab w:val="left" w:pos="1800"/>
          <w:tab w:val="left" w:pos="2160"/>
        </w:tabs>
        <w:ind w:left="1440"/>
        <w:contextualSpacing w:val="0"/>
      </w:pPr>
      <w:r>
        <w:t>d</w:t>
      </w:r>
      <w:r w:rsidR="007921BE">
        <w:t xml:space="preserve">evelopment </w:t>
      </w:r>
      <w:r w:rsidR="00720791">
        <w:t xml:space="preserve">and </w:t>
      </w:r>
      <w:r w:rsidR="007921BE">
        <w:t xml:space="preserve">application of </w:t>
      </w:r>
      <w:r w:rsidR="00720791">
        <w:t xml:space="preserve">a student-based formula for allocating instructional materials to </w:t>
      </w:r>
      <w:proofErr w:type="gramStart"/>
      <w:r w:rsidR="00720791">
        <w:t>schools</w:t>
      </w:r>
      <w:r w:rsidR="00D44B8F">
        <w:t>;</w:t>
      </w:r>
      <w:proofErr w:type="gramEnd"/>
      <w:r w:rsidR="00720791">
        <w:t xml:space="preserve"> </w:t>
      </w:r>
    </w:p>
    <w:p w14:paraId="5FF3A455" w14:textId="260F044D" w:rsidR="00D44B8F" w:rsidRPr="00B45F54" w:rsidRDefault="00D44B8F" w:rsidP="00EC5B5A">
      <w:pPr>
        <w:tabs>
          <w:tab w:val="left" w:pos="360"/>
          <w:tab w:val="left" w:pos="720"/>
          <w:tab w:val="left" w:pos="1080"/>
          <w:tab w:val="left" w:pos="1440"/>
          <w:tab w:val="left" w:pos="1800"/>
          <w:tab w:val="left" w:pos="2160"/>
        </w:tabs>
        <w:ind w:left="1440" w:hanging="360"/>
      </w:pPr>
      <w:r>
        <w:t xml:space="preserve">d. </w:t>
      </w:r>
      <w:r w:rsidR="00A7129B">
        <w:tab/>
      </w:r>
      <w:r w:rsidR="0011472B">
        <w:t>e</w:t>
      </w:r>
      <w:r w:rsidR="004E516A">
        <w:t xml:space="preserve">limination of </w:t>
      </w:r>
      <w:r w:rsidR="00720791">
        <w:t xml:space="preserve">athletic fees </w:t>
      </w:r>
      <w:proofErr w:type="gramStart"/>
      <w:r w:rsidR="00720791">
        <w:t>in order to</w:t>
      </w:r>
      <w:proofErr w:type="gramEnd"/>
      <w:r w:rsidR="00720791">
        <w:t xml:space="preserve"> increase students’ access to and participati</w:t>
      </w:r>
      <w:r w:rsidR="00D156CF">
        <w:t>on</w:t>
      </w:r>
      <w:r w:rsidR="00720791">
        <w:t xml:space="preserve"> in athletic programs</w:t>
      </w:r>
      <w:r w:rsidR="00F13EDA">
        <w:t>;</w:t>
      </w:r>
      <w:r w:rsidR="00BF78C0">
        <w:rPr>
          <w:rStyle w:val="FootnoteReference"/>
        </w:rPr>
        <w:footnoteReference w:id="7"/>
      </w:r>
      <w:r w:rsidR="00720791">
        <w:t xml:space="preserve"> </w:t>
      </w:r>
      <w:r w:rsidR="00F13EDA">
        <w:t>and</w:t>
      </w:r>
      <w:r>
        <w:t xml:space="preserve">                                                                                                                                                                                                                                                                                                    </w:t>
      </w:r>
    </w:p>
    <w:p w14:paraId="33FB882C" w14:textId="42D2A6B1" w:rsidR="00720791" w:rsidRDefault="00D44B8F" w:rsidP="00406A80">
      <w:pPr>
        <w:tabs>
          <w:tab w:val="left" w:pos="0"/>
          <w:tab w:val="left" w:pos="360"/>
          <w:tab w:val="left" w:pos="720"/>
          <w:tab w:val="left" w:pos="1080"/>
          <w:tab w:val="left" w:pos="1440"/>
          <w:tab w:val="left" w:pos="1800"/>
          <w:tab w:val="left" w:pos="2160"/>
        </w:tabs>
        <w:ind w:left="1440" w:hanging="360"/>
      </w:pPr>
      <w:r>
        <w:t>e.</w:t>
      </w:r>
      <w:r w:rsidR="00720791">
        <w:t xml:space="preserve"> </w:t>
      </w:r>
      <w:r w:rsidR="00A7129B">
        <w:tab/>
      </w:r>
      <w:r>
        <w:t>addressing achievement gaps by adding instructional coaches at all elementary schools and core</w:t>
      </w:r>
      <w:r w:rsidR="00F119B7">
        <w:t>-</w:t>
      </w:r>
      <w:r>
        <w:t>content department heads at the secondary level.</w:t>
      </w:r>
    </w:p>
    <w:p w14:paraId="53A3E057" w14:textId="780322B5" w:rsidR="00720791" w:rsidRPr="00DF0CB5" w:rsidRDefault="00720791" w:rsidP="00406A80">
      <w:pPr>
        <w:pStyle w:val="ListParagraph"/>
        <w:numPr>
          <w:ilvl w:val="0"/>
          <w:numId w:val="73"/>
        </w:numPr>
        <w:tabs>
          <w:tab w:val="left" w:pos="0"/>
          <w:tab w:val="left" w:pos="360"/>
          <w:tab w:val="left" w:pos="1080"/>
          <w:tab w:val="left" w:pos="1800"/>
          <w:tab w:val="left" w:pos="2160"/>
        </w:tabs>
        <w:ind w:left="720"/>
        <w:contextualSpacing w:val="0"/>
      </w:pPr>
      <w:r w:rsidRPr="00DF0CB5">
        <w:t>The district has identified persistently low-performing or struggling schools for intervention and improvement planning with responsibility shared between district and school leaders for making measurable and sustained improvements.</w:t>
      </w:r>
    </w:p>
    <w:p w14:paraId="50E25A12" w14:textId="5412F232" w:rsidR="00720791" w:rsidRPr="00B53034" w:rsidRDefault="008D0B6D" w:rsidP="00406A80">
      <w:pPr>
        <w:pStyle w:val="ListParagraph"/>
        <w:numPr>
          <w:ilvl w:val="2"/>
          <w:numId w:val="73"/>
        </w:numPr>
        <w:tabs>
          <w:tab w:val="left" w:pos="0"/>
          <w:tab w:val="left" w:pos="360"/>
          <w:tab w:val="left" w:pos="1080"/>
          <w:tab w:val="left" w:pos="1800"/>
          <w:tab w:val="left" w:pos="2160"/>
        </w:tabs>
        <w:ind w:left="1080"/>
        <w:contextualSpacing w:val="0"/>
      </w:pPr>
      <w:r>
        <w:t>T</w:t>
      </w:r>
      <w:r w:rsidR="00720791" w:rsidRPr="00B53034">
        <w:t xml:space="preserve">he district has </w:t>
      </w:r>
      <w:r w:rsidR="008A3807">
        <w:t xml:space="preserve">categorized </w:t>
      </w:r>
      <w:r w:rsidR="00720791" w:rsidRPr="00B53034">
        <w:t>its school</w:t>
      </w:r>
      <w:r w:rsidR="008A3807">
        <w:t>s</w:t>
      </w:r>
      <w:r w:rsidR="00720791" w:rsidRPr="00B53034">
        <w:t xml:space="preserve"> </w:t>
      </w:r>
      <w:r w:rsidR="008A3807">
        <w:t>in</w:t>
      </w:r>
      <w:r>
        <w:t>to</w:t>
      </w:r>
      <w:r w:rsidR="00720791" w:rsidRPr="00B53034">
        <w:t xml:space="preserve"> tiers</w:t>
      </w:r>
      <w:r w:rsidR="004E516A">
        <w:t xml:space="preserve"> b</w:t>
      </w:r>
      <w:r w:rsidR="004E516A" w:rsidRPr="00B53034">
        <w:t>ased on student performance</w:t>
      </w:r>
      <w:r w:rsidR="005E2768">
        <w:t xml:space="preserve"> data</w:t>
      </w:r>
      <w:r w:rsidR="00720791" w:rsidRPr="00B53034">
        <w:t>.</w:t>
      </w:r>
      <w:r w:rsidR="00FE285C">
        <w:t xml:space="preserve"> </w:t>
      </w:r>
      <w:r w:rsidR="00720791" w:rsidRPr="00B53034">
        <w:t xml:space="preserve">Schools receive </w:t>
      </w:r>
      <w:r w:rsidR="00720791">
        <w:t xml:space="preserve">equitable </w:t>
      </w:r>
      <w:r w:rsidR="00720791" w:rsidRPr="00B53034">
        <w:t>support</w:t>
      </w:r>
      <w:r w:rsidR="00720791">
        <w:t>s</w:t>
      </w:r>
      <w:r w:rsidR="00720791" w:rsidRPr="00B53034">
        <w:t xml:space="preserve"> and assistance based on data </w:t>
      </w:r>
      <w:r w:rsidR="005E2768">
        <w:t xml:space="preserve">that identifies </w:t>
      </w:r>
      <w:r w:rsidR="00C45AC0">
        <w:t>students’</w:t>
      </w:r>
      <w:r w:rsidR="00720791" w:rsidRPr="00B53034">
        <w:t xml:space="preserve"> academic and social-emotional needs. </w:t>
      </w:r>
      <w:r w:rsidR="00720791">
        <w:t>S</w:t>
      </w:r>
      <w:r w:rsidR="00720791" w:rsidRPr="00B53034">
        <w:t xml:space="preserve">chools with </w:t>
      </w:r>
      <w:r w:rsidR="004E516A">
        <w:t xml:space="preserve">higher levels of student needs </w:t>
      </w:r>
      <w:r w:rsidR="00720791">
        <w:t>(</w:t>
      </w:r>
      <w:r w:rsidR="00540721">
        <w:t xml:space="preserve">Tiers </w:t>
      </w:r>
      <w:r w:rsidR="009D21BE">
        <w:t xml:space="preserve">2 </w:t>
      </w:r>
      <w:r w:rsidR="00720791">
        <w:t xml:space="preserve">and </w:t>
      </w:r>
      <w:r w:rsidR="009D21BE">
        <w:t>3</w:t>
      </w:r>
      <w:r w:rsidR="00720791">
        <w:t xml:space="preserve">) </w:t>
      </w:r>
      <w:r w:rsidR="00720791" w:rsidRPr="00B53034">
        <w:t xml:space="preserve">receive more </w:t>
      </w:r>
      <w:r w:rsidR="00720791">
        <w:t xml:space="preserve">technical assistance </w:t>
      </w:r>
      <w:r w:rsidR="00720791" w:rsidRPr="00B53034">
        <w:t>and supports.</w:t>
      </w:r>
    </w:p>
    <w:p w14:paraId="16A65708" w14:textId="33156759" w:rsidR="00720791" w:rsidRPr="00B53034" w:rsidRDefault="004E516A" w:rsidP="00406A80">
      <w:pPr>
        <w:pStyle w:val="ListParagraph"/>
        <w:numPr>
          <w:ilvl w:val="3"/>
          <w:numId w:val="73"/>
        </w:numPr>
        <w:tabs>
          <w:tab w:val="left" w:pos="0"/>
          <w:tab w:val="left" w:pos="360"/>
          <w:tab w:val="left" w:pos="1080"/>
          <w:tab w:val="left" w:pos="1800"/>
          <w:tab w:val="left" w:pos="2160"/>
        </w:tabs>
        <w:ind w:left="1440"/>
        <w:contextualSpacing w:val="0"/>
      </w:pPr>
      <w:r>
        <w:t>D</w:t>
      </w:r>
      <w:r w:rsidRPr="00B53034">
        <w:t xml:space="preserve">istrict </w:t>
      </w:r>
      <w:r w:rsidR="00720791">
        <w:t xml:space="preserve">staff </w:t>
      </w:r>
      <w:r w:rsidR="00720791" w:rsidRPr="00B53034">
        <w:t xml:space="preserve">monitor the </w:t>
      </w:r>
      <w:r>
        <w:t xml:space="preserve">progress of </w:t>
      </w:r>
      <w:r w:rsidR="005E2768">
        <w:t xml:space="preserve">the district’s </w:t>
      </w:r>
      <w:r w:rsidR="00540721">
        <w:t>T</w:t>
      </w:r>
      <w:r>
        <w:t xml:space="preserve">ier </w:t>
      </w:r>
      <w:r w:rsidR="009D21BE">
        <w:t>1</w:t>
      </w:r>
      <w:r>
        <w:t xml:space="preserve"> schools </w:t>
      </w:r>
      <w:r w:rsidR="00C45AC0">
        <w:t>(</w:t>
      </w:r>
      <w:r>
        <w:t>Dunning</w:t>
      </w:r>
      <w:r w:rsidR="00C45AC0">
        <w:t xml:space="preserve"> Elementary School</w:t>
      </w:r>
      <w:r>
        <w:t>, Hemenway</w:t>
      </w:r>
      <w:r w:rsidR="00C45AC0">
        <w:t xml:space="preserve"> Elementary School</w:t>
      </w:r>
      <w:r>
        <w:t>, Juniper Hill</w:t>
      </w:r>
      <w:r w:rsidR="00C45AC0">
        <w:t xml:space="preserve"> Elementary School</w:t>
      </w:r>
      <w:r>
        <w:t>, King</w:t>
      </w:r>
      <w:r w:rsidR="00C45AC0">
        <w:t xml:space="preserve"> Elementary School</w:t>
      </w:r>
      <w:r>
        <w:t>, Potter Road</w:t>
      </w:r>
      <w:r w:rsidR="00C45AC0">
        <w:t xml:space="preserve"> Elementary School</w:t>
      </w:r>
      <w:r>
        <w:t>, Stapleton</w:t>
      </w:r>
      <w:r w:rsidR="00C45AC0">
        <w:t xml:space="preserve"> Elementary School, </w:t>
      </w:r>
      <w:r>
        <w:t>Walsh Middle</w:t>
      </w:r>
      <w:r w:rsidR="00C45AC0">
        <w:t xml:space="preserve"> School, Cameron Middle School, and Framingham High School</w:t>
      </w:r>
      <w:r>
        <w:t>)</w:t>
      </w:r>
      <w:r w:rsidRPr="00B53034">
        <w:t xml:space="preserve"> </w:t>
      </w:r>
      <w:r>
        <w:t>every 60 day</w:t>
      </w:r>
      <w:r w:rsidR="005F51DF">
        <w:t>s.</w:t>
      </w:r>
      <w:r>
        <w:t xml:space="preserve"> </w:t>
      </w:r>
      <w:r w:rsidR="005F51DF">
        <w:t xml:space="preserve">Tier </w:t>
      </w:r>
      <w:r w:rsidR="009D21BE">
        <w:t>1</w:t>
      </w:r>
      <w:r w:rsidR="005F51DF">
        <w:t xml:space="preserve"> schools are expected to </w:t>
      </w:r>
      <w:r w:rsidR="00720791" w:rsidRPr="00B53034">
        <w:t xml:space="preserve">focus on </w:t>
      </w:r>
      <w:r w:rsidR="005E2768">
        <w:t xml:space="preserve">the </w:t>
      </w:r>
      <w:r w:rsidR="005E2768" w:rsidRPr="00B53034">
        <w:t>implement</w:t>
      </w:r>
      <w:r w:rsidR="005E2768">
        <w:t>at</w:t>
      </w:r>
      <w:r w:rsidR="005E2768" w:rsidRPr="00B53034">
        <w:t>i</w:t>
      </w:r>
      <w:r w:rsidR="005E2768">
        <w:t xml:space="preserve">on of </w:t>
      </w:r>
      <w:r w:rsidR="00720791" w:rsidRPr="00B53034">
        <w:t>their 2017</w:t>
      </w:r>
      <w:r w:rsidR="00FE285C">
        <w:t>–</w:t>
      </w:r>
      <w:r w:rsidR="00720791" w:rsidRPr="00B53034">
        <w:t xml:space="preserve">2020 </w:t>
      </w:r>
      <w:r w:rsidR="00F119B7">
        <w:t>S</w:t>
      </w:r>
      <w:r w:rsidR="00F119B7" w:rsidRPr="00B53034">
        <w:t xml:space="preserve">chool </w:t>
      </w:r>
      <w:r w:rsidR="00F119B7">
        <w:t>I</w:t>
      </w:r>
      <w:r w:rsidR="00F119B7" w:rsidRPr="00B53034">
        <w:t xml:space="preserve">mprovement </w:t>
      </w:r>
      <w:r w:rsidR="00F119B7">
        <w:t>P</w:t>
      </w:r>
      <w:r w:rsidR="00F119B7" w:rsidRPr="00B53034">
        <w:t>lans</w:t>
      </w:r>
      <w:r w:rsidR="005F51DF">
        <w:t xml:space="preserve"> (SIPs)</w:t>
      </w:r>
      <w:r w:rsidR="00720791" w:rsidRPr="00B53034">
        <w:t xml:space="preserve">. </w:t>
      </w:r>
    </w:p>
    <w:p w14:paraId="0665965E" w14:textId="3961629E" w:rsidR="00720791" w:rsidRPr="00B53034" w:rsidRDefault="00720791" w:rsidP="00406A80">
      <w:pPr>
        <w:pStyle w:val="ListParagraph"/>
        <w:numPr>
          <w:ilvl w:val="3"/>
          <w:numId w:val="73"/>
        </w:numPr>
        <w:tabs>
          <w:tab w:val="left" w:pos="0"/>
          <w:tab w:val="left" w:pos="360"/>
          <w:tab w:val="left" w:pos="1080"/>
          <w:tab w:val="left" w:pos="1800"/>
          <w:tab w:val="left" w:pos="2160"/>
        </w:tabs>
        <w:ind w:left="1440"/>
        <w:contextualSpacing w:val="0"/>
      </w:pPr>
      <w:r w:rsidRPr="00B53034">
        <w:t xml:space="preserve">District staff </w:t>
      </w:r>
      <w:r w:rsidR="005F51DF">
        <w:t xml:space="preserve">monitor </w:t>
      </w:r>
      <w:r w:rsidR="00540721">
        <w:t>T</w:t>
      </w:r>
      <w:r w:rsidR="005F51DF">
        <w:t xml:space="preserve">ier </w:t>
      </w:r>
      <w:r w:rsidR="009D21BE">
        <w:t>2</w:t>
      </w:r>
      <w:r w:rsidR="005F51DF">
        <w:t xml:space="preserve"> schools (</w:t>
      </w:r>
      <w:r w:rsidR="005F51DF" w:rsidRPr="00B53034">
        <w:t xml:space="preserve">Barbieri </w:t>
      </w:r>
      <w:r w:rsidR="00C45AC0">
        <w:t xml:space="preserve">Elementary School </w:t>
      </w:r>
      <w:r w:rsidR="005F51DF" w:rsidRPr="00B53034">
        <w:t>and Fuller</w:t>
      </w:r>
      <w:r w:rsidR="00C45AC0">
        <w:t xml:space="preserve"> Elementary School</w:t>
      </w:r>
      <w:r w:rsidR="005F51DF">
        <w:t>)</w:t>
      </w:r>
      <w:r w:rsidR="005F51DF" w:rsidRPr="00B53034">
        <w:t xml:space="preserve"> </w:t>
      </w:r>
      <w:r w:rsidRPr="00B53034">
        <w:t>every 30 days</w:t>
      </w:r>
      <w:r w:rsidR="005F51DF">
        <w:t>. These</w:t>
      </w:r>
      <w:r w:rsidR="00A2512D">
        <w:t xml:space="preserve"> </w:t>
      </w:r>
      <w:r w:rsidR="005F51DF">
        <w:t>s</w:t>
      </w:r>
      <w:r w:rsidR="005F51DF" w:rsidRPr="00B53034">
        <w:t xml:space="preserve">chools </w:t>
      </w:r>
      <w:r w:rsidRPr="00B53034">
        <w:t xml:space="preserve">receive additional funding from the </w:t>
      </w:r>
      <w:r w:rsidR="005F51DF">
        <w:t>Department</w:t>
      </w:r>
      <w:r w:rsidR="00FE285C">
        <w:t xml:space="preserve"> of Elementary and Secondary Education (DESE)</w:t>
      </w:r>
      <w:r w:rsidRPr="00B53034">
        <w:t xml:space="preserve">. School staff </w:t>
      </w:r>
      <w:r w:rsidR="005F51DF">
        <w:t xml:space="preserve">are expected to </w:t>
      </w:r>
      <w:r w:rsidR="00DE1A98">
        <w:t>strength</w:t>
      </w:r>
      <w:r w:rsidR="003B7523">
        <w:t>e</w:t>
      </w:r>
      <w:r w:rsidR="00DE1A98">
        <w:t>n</w:t>
      </w:r>
      <w:r w:rsidR="00DE1A98" w:rsidRPr="00B53034">
        <w:t xml:space="preserve"> </w:t>
      </w:r>
      <w:r w:rsidR="005E2768">
        <w:t>the</w:t>
      </w:r>
      <w:r w:rsidR="00540721">
        <w:t>ir</w:t>
      </w:r>
      <w:r w:rsidR="005E2768" w:rsidRPr="00B53034">
        <w:t xml:space="preserve"> </w:t>
      </w:r>
      <w:r w:rsidRPr="00B53034">
        <w:t>collaborative learning culture and</w:t>
      </w:r>
      <w:r w:rsidR="00416360">
        <w:t xml:space="preserve"> </w:t>
      </w:r>
      <w:r w:rsidRPr="00B53034">
        <w:t xml:space="preserve">monitor </w:t>
      </w:r>
      <w:r w:rsidR="00540721">
        <w:t xml:space="preserve">their </w:t>
      </w:r>
      <w:r w:rsidRPr="00B53034">
        <w:t>instructional practices.</w:t>
      </w:r>
      <w:r>
        <w:t xml:space="preserve"> </w:t>
      </w:r>
      <w:r w:rsidR="005E2768">
        <w:t xml:space="preserve">The </w:t>
      </w:r>
      <w:r>
        <w:t xml:space="preserve">SIPs </w:t>
      </w:r>
      <w:r w:rsidR="005E2768">
        <w:t xml:space="preserve">for </w:t>
      </w:r>
      <w:r w:rsidR="00540721">
        <w:t>T</w:t>
      </w:r>
      <w:r w:rsidR="005E2768">
        <w:t xml:space="preserve">ier </w:t>
      </w:r>
      <w:r w:rsidR="009D21BE">
        <w:t>2</w:t>
      </w:r>
      <w:r w:rsidR="005E2768">
        <w:t xml:space="preserve"> schools </w:t>
      </w:r>
      <w:r>
        <w:t xml:space="preserve">have a two-year </w:t>
      </w:r>
      <w:r w:rsidR="005F51DF">
        <w:t xml:space="preserve">rather than a three-year cycle </w:t>
      </w:r>
      <w:r>
        <w:t>(2017</w:t>
      </w:r>
      <w:r w:rsidR="00FE285C">
        <w:t>–</w:t>
      </w:r>
      <w:r>
        <w:t>2019)</w:t>
      </w:r>
      <w:r w:rsidR="00790C59">
        <w:t xml:space="preserve"> </w:t>
      </w:r>
      <w:r w:rsidR="00790C59" w:rsidRPr="00790C59">
        <w:t>or use the individualized Turnaround Plan as the School Improvement Plan</w:t>
      </w:r>
      <w:r>
        <w:t>.</w:t>
      </w:r>
      <w:r w:rsidRPr="00B53034">
        <w:t xml:space="preserve"> </w:t>
      </w:r>
    </w:p>
    <w:p w14:paraId="32D367B2" w14:textId="640EE6A8" w:rsidR="008A3807" w:rsidRPr="004E7B5A" w:rsidRDefault="00720791" w:rsidP="00406A80">
      <w:pPr>
        <w:pStyle w:val="ListParagraph"/>
        <w:numPr>
          <w:ilvl w:val="3"/>
          <w:numId w:val="73"/>
        </w:numPr>
        <w:tabs>
          <w:tab w:val="left" w:pos="0"/>
          <w:tab w:val="left" w:pos="360"/>
          <w:tab w:val="left" w:pos="1080"/>
          <w:tab w:val="left" w:pos="1800"/>
          <w:tab w:val="left" w:pos="2160"/>
        </w:tabs>
        <w:ind w:left="1440"/>
        <w:contextualSpacing w:val="0"/>
      </w:pPr>
      <w:r w:rsidRPr="00E0187B">
        <w:lastRenderedPageBreak/>
        <w:t xml:space="preserve">Tier </w:t>
      </w:r>
      <w:r w:rsidR="009D21BE" w:rsidRPr="00E0187B">
        <w:t xml:space="preserve">3 </w:t>
      </w:r>
      <w:r w:rsidRPr="00E0187B">
        <w:t>schools</w:t>
      </w:r>
      <w:r w:rsidR="009D21BE" w:rsidRPr="00E0187B">
        <w:t xml:space="preserve"> </w:t>
      </w:r>
      <w:r w:rsidRPr="00E0187B">
        <w:t>(Brophy</w:t>
      </w:r>
      <w:r w:rsidR="00C45AC0" w:rsidRPr="00E0187B">
        <w:t xml:space="preserve"> Elementary School</w:t>
      </w:r>
      <w:r w:rsidRPr="00E0187B">
        <w:t>, McCarthy</w:t>
      </w:r>
      <w:r w:rsidR="00C45AC0" w:rsidRPr="00E0187B">
        <w:t xml:space="preserve"> Elementary School</w:t>
      </w:r>
      <w:r w:rsidR="00F119B7" w:rsidRPr="00E0187B">
        <w:t>,</w:t>
      </w:r>
      <w:r w:rsidRPr="00E0187B">
        <w:t xml:space="preserve"> and Wilson</w:t>
      </w:r>
      <w:r w:rsidR="00C45AC0" w:rsidRPr="00E0187B">
        <w:t xml:space="preserve"> Elementary School</w:t>
      </w:r>
      <w:r w:rsidRPr="00E0187B">
        <w:t xml:space="preserve">) continue to collaborate closely with </w:t>
      </w:r>
      <w:r w:rsidR="005E2768" w:rsidRPr="00E0187B">
        <w:t>D</w:t>
      </w:r>
      <w:r w:rsidR="00FE285C" w:rsidRPr="00E0187B">
        <w:t>ESE</w:t>
      </w:r>
      <w:r w:rsidR="005E2768" w:rsidRPr="00E0187B">
        <w:t xml:space="preserve">’s </w:t>
      </w:r>
      <w:r w:rsidR="00416360" w:rsidRPr="00E0187B">
        <w:t>Statewide System of Support (</w:t>
      </w:r>
      <w:proofErr w:type="spellStart"/>
      <w:r w:rsidR="00416360" w:rsidRPr="00E0187B">
        <w:t>SSoS</w:t>
      </w:r>
      <w:proofErr w:type="spellEnd"/>
      <w:r w:rsidR="00416360" w:rsidRPr="00E0187B">
        <w:t>)</w:t>
      </w:r>
      <w:r w:rsidRPr="00E0187B">
        <w:t xml:space="preserve">. </w:t>
      </w:r>
      <w:r w:rsidRPr="004E7B5A">
        <w:t>The</w:t>
      </w:r>
      <w:r w:rsidR="005E2768" w:rsidRPr="00E0187B">
        <w:t>se</w:t>
      </w:r>
      <w:r w:rsidRPr="00E0187B">
        <w:t xml:space="preserve"> schools </w:t>
      </w:r>
      <w:r w:rsidR="005E2768" w:rsidRPr="00E0187B">
        <w:t xml:space="preserve">have </w:t>
      </w:r>
      <w:r w:rsidRPr="00E0187B">
        <w:t>developed and are implementing an annual Collective Turnaround Plan</w:t>
      </w:r>
      <w:r w:rsidR="00416360" w:rsidRPr="00E0187B">
        <w:t xml:space="preserve"> (CTAP)</w:t>
      </w:r>
      <w:r w:rsidRPr="00E0187B">
        <w:t xml:space="preserve"> with direct coaching and co-planning support from </w:t>
      </w:r>
      <w:proofErr w:type="spellStart"/>
      <w:r w:rsidR="00416360" w:rsidRPr="00E0187B">
        <w:t>SSoS</w:t>
      </w:r>
      <w:proofErr w:type="spellEnd"/>
      <w:r w:rsidR="00416360" w:rsidRPr="00E0187B">
        <w:t xml:space="preserve"> staff</w:t>
      </w:r>
      <w:r w:rsidRPr="00E0187B">
        <w:t>.</w:t>
      </w:r>
      <w:r w:rsidR="00EC5B5A" w:rsidRPr="004E7B5A">
        <w:t xml:space="preserve"> </w:t>
      </w:r>
    </w:p>
    <w:p w14:paraId="02463A11" w14:textId="708FEB3E" w:rsidR="00720791" w:rsidRDefault="00720791" w:rsidP="00406A80">
      <w:pPr>
        <w:pStyle w:val="ListParagraph"/>
        <w:numPr>
          <w:ilvl w:val="3"/>
          <w:numId w:val="73"/>
        </w:numPr>
        <w:tabs>
          <w:tab w:val="left" w:pos="0"/>
          <w:tab w:val="left" w:pos="360"/>
          <w:tab w:val="left" w:pos="1080"/>
          <w:tab w:val="left" w:pos="1800"/>
          <w:tab w:val="left" w:pos="2160"/>
        </w:tabs>
        <w:ind w:left="1440"/>
        <w:contextualSpacing w:val="0"/>
      </w:pPr>
      <w:r>
        <w:t xml:space="preserve">The CTAP addresses </w:t>
      </w:r>
      <w:r w:rsidR="00FE285C">
        <w:t>DESE</w:t>
      </w:r>
      <w:r w:rsidR="0052565A">
        <w:t xml:space="preserve">’s </w:t>
      </w:r>
      <w:r>
        <w:t xml:space="preserve">four turnaround practices: </w:t>
      </w:r>
      <w:r w:rsidR="00C45AC0">
        <w:t>l</w:t>
      </w:r>
      <w:r>
        <w:t xml:space="preserve">eadership, </w:t>
      </w:r>
      <w:r w:rsidR="00C45AC0">
        <w:t xml:space="preserve">shared </w:t>
      </w:r>
      <w:proofErr w:type="gramStart"/>
      <w:r w:rsidR="00C45AC0">
        <w:t>responsibility</w:t>
      </w:r>
      <w:proofErr w:type="gramEnd"/>
      <w:r w:rsidR="00C45AC0">
        <w:t xml:space="preserve"> </w:t>
      </w:r>
      <w:r>
        <w:t xml:space="preserve">and </w:t>
      </w:r>
      <w:r w:rsidR="00C45AC0">
        <w:t>professional collaboration</w:t>
      </w:r>
      <w:r>
        <w:t xml:space="preserve">; </w:t>
      </w:r>
      <w:r w:rsidR="00C45AC0">
        <w:t>i</w:t>
      </w:r>
      <w:r>
        <w:t xml:space="preserve">ntentional </w:t>
      </w:r>
      <w:r w:rsidR="00C45AC0">
        <w:t xml:space="preserve">practices </w:t>
      </w:r>
      <w:r>
        <w:t xml:space="preserve">for </w:t>
      </w:r>
      <w:r w:rsidR="00C45AC0">
        <w:t>improving instruction</w:t>
      </w:r>
      <w:r>
        <w:t xml:space="preserve">; </w:t>
      </w:r>
      <w:r w:rsidR="00C45AC0">
        <w:t>s</w:t>
      </w:r>
      <w:r>
        <w:t xml:space="preserve">tudent-specific </w:t>
      </w:r>
      <w:r w:rsidR="00C45AC0">
        <w:t>supports;</w:t>
      </w:r>
      <w:r>
        <w:t xml:space="preserve"> and </w:t>
      </w:r>
      <w:r w:rsidR="00C45AC0">
        <w:t>s</w:t>
      </w:r>
      <w:r>
        <w:t xml:space="preserve">chool </w:t>
      </w:r>
      <w:r w:rsidR="00C45AC0">
        <w:t xml:space="preserve">culture </w:t>
      </w:r>
      <w:r>
        <w:t xml:space="preserve">and </w:t>
      </w:r>
      <w:r w:rsidR="00C45AC0">
        <w:t>climate</w:t>
      </w:r>
      <w:r>
        <w:t xml:space="preserve">. </w:t>
      </w:r>
    </w:p>
    <w:p w14:paraId="1A7B0B4B" w14:textId="39AD04EB" w:rsidR="00720791" w:rsidRDefault="00720791" w:rsidP="00720791">
      <w:pPr>
        <w:tabs>
          <w:tab w:val="left" w:pos="360"/>
          <w:tab w:val="left" w:pos="1080"/>
          <w:tab w:val="left" w:pos="1440"/>
          <w:tab w:val="left" w:pos="1800"/>
          <w:tab w:val="left" w:pos="2160"/>
        </w:tabs>
      </w:pPr>
      <w:r w:rsidRPr="007A0CC7">
        <w:rPr>
          <w:b/>
        </w:rPr>
        <w:t>Impact</w:t>
      </w:r>
      <w:r w:rsidRPr="007A0CC7">
        <w:t>:</w:t>
      </w:r>
      <w:r>
        <w:t xml:space="preserve"> The convergence of </w:t>
      </w:r>
      <w:r w:rsidR="002966C3">
        <w:t xml:space="preserve">the district’s </w:t>
      </w:r>
      <w:r>
        <w:t xml:space="preserve">vision with compatible budgetary actions </w:t>
      </w:r>
      <w:r w:rsidR="00D53617">
        <w:t xml:space="preserve">and differentiated support for schools </w:t>
      </w:r>
      <w:r>
        <w:t xml:space="preserve">has mobilized new resources that </w:t>
      </w:r>
      <w:r w:rsidR="00346B8D">
        <w:t>provide</w:t>
      </w:r>
      <w:r>
        <w:t xml:space="preserve"> students </w:t>
      </w:r>
      <w:r w:rsidR="00D53617">
        <w:t xml:space="preserve">with </w:t>
      </w:r>
      <w:r>
        <w:t xml:space="preserve">more </w:t>
      </w:r>
      <w:r w:rsidR="00D53617">
        <w:t xml:space="preserve">equitable </w:t>
      </w:r>
      <w:r>
        <w:t>education</w:t>
      </w:r>
      <w:r w:rsidR="00D53617">
        <w:t>al</w:t>
      </w:r>
      <w:r>
        <w:t xml:space="preserve"> opportunities.  </w:t>
      </w:r>
      <w:r w:rsidRPr="007A0CC7">
        <w:t xml:space="preserve"> </w:t>
      </w:r>
    </w:p>
    <w:p w14:paraId="7D6D0406" w14:textId="74AAEE61" w:rsidR="00720791" w:rsidRDefault="00720791" w:rsidP="00720791">
      <w:pPr>
        <w:tabs>
          <w:tab w:val="left" w:pos="360"/>
          <w:tab w:val="left" w:pos="1080"/>
          <w:tab w:val="left" w:pos="1440"/>
          <w:tab w:val="left" w:pos="1800"/>
          <w:tab w:val="left" w:pos="2160"/>
        </w:tabs>
        <w:ind w:left="360" w:hanging="360"/>
        <w:rPr>
          <w:rFonts w:asciiTheme="majorHAnsi" w:hAnsiTheme="majorHAnsi" w:cstheme="minorHAnsi"/>
          <w:b/>
          <w:color w:val="000000"/>
        </w:rPr>
      </w:pPr>
      <w:r w:rsidRPr="00416360">
        <w:rPr>
          <w:rFonts w:cstheme="minorHAnsi"/>
          <w:b/>
        </w:rPr>
        <w:t xml:space="preserve">2.  </w:t>
      </w:r>
      <w:r w:rsidR="00FE285C">
        <w:rPr>
          <w:rFonts w:cstheme="minorHAnsi"/>
          <w:b/>
        </w:rPr>
        <w:tab/>
      </w:r>
      <w:r w:rsidRPr="00416360">
        <w:rPr>
          <w:rFonts w:cstheme="minorHAnsi"/>
          <w:b/>
          <w:color w:val="000000"/>
        </w:rPr>
        <w:t xml:space="preserve">The superintendent promotes a culture of collaboration and communication among school committee members, district staff members, </w:t>
      </w:r>
      <w:r w:rsidR="00E7382E">
        <w:rPr>
          <w:rFonts w:cstheme="minorHAnsi"/>
          <w:b/>
          <w:color w:val="000000"/>
        </w:rPr>
        <w:t>families</w:t>
      </w:r>
      <w:r w:rsidRPr="00416360">
        <w:rPr>
          <w:rFonts w:cstheme="minorHAnsi"/>
          <w:b/>
          <w:color w:val="000000"/>
        </w:rPr>
        <w:t>, students</w:t>
      </w:r>
      <w:r w:rsidR="00C477FB">
        <w:rPr>
          <w:rFonts w:cstheme="minorHAnsi"/>
          <w:b/>
          <w:color w:val="000000"/>
        </w:rPr>
        <w:t>,</w:t>
      </w:r>
      <w:r w:rsidRPr="00416360">
        <w:rPr>
          <w:rFonts w:cstheme="minorHAnsi"/>
          <w:b/>
          <w:color w:val="000000"/>
        </w:rPr>
        <w:t xml:space="preserve"> and </w:t>
      </w:r>
      <w:r w:rsidR="00E7382E">
        <w:rPr>
          <w:rFonts w:cstheme="minorHAnsi"/>
          <w:b/>
          <w:color w:val="000000"/>
        </w:rPr>
        <w:t xml:space="preserve">other </w:t>
      </w:r>
      <w:r w:rsidRPr="00416360">
        <w:rPr>
          <w:rFonts w:cstheme="minorHAnsi"/>
          <w:b/>
          <w:color w:val="000000"/>
        </w:rPr>
        <w:t>stakeholders</w:t>
      </w:r>
      <w:r>
        <w:rPr>
          <w:rFonts w:asciiTheme="majorHAnsi" w:hAnsiTheme="majorHAnsi" w:cstheme="minorHAnsi"/>
          <w:b/>
          <w:color w:val="000000"/>
        </w:rPr>
        <w:t>.</w:t>
      </w:r>
      <w:r w:rsidRPr="009C2597">
        <w:rPr>
          <w:rFonts w:asciiTheme="majorHAnsi" w:hAnsiTheme="majorHAnsi" w:cstheme="minorHAnsi"/>
          <w:b/>
          <w:color w:val="000000"/>
        </w:rPr>
        <w:t xml:space="preserve"> </w:t>
      </w:r>
    </w:p>
    <w:p w14:paraId="5A405AD5" w14:textId="3DA270FB" w:rsidR="00720791" w:rsidRPr="00FF3A75" w:rsidRDefault="00720791" w:rsidP="00B63280">
      <w:pPr>
        <w:tabs>
          <w:tab w:val="left" w:pos="360"/>
          <w:tab w:val="left" w:pos="1080"/>
          <w:tab w:val="left" w:pos="1440"/>
          <w:tab w:val="left" w:pos="1800"/>
          <w:tab w:val="left" w:pos="2160"/>
        </w:tabs>
        <w:ind w:left="720" w:hanging="360"/>
        <w:rPr>
          <w:rFonts w:cstheme="minorHAnsi"/>
          <w:color w:val="000000"/>
        </w:rPr>
      </w:pPr>
      <w:r w:rsidRPr="00FF3A75">
        <w:rPr>
          <w:rFonts w:cstheme="minorHAnsi"/>
          <w:b/>
          <w:color w:val="000000"/>
        </w:rPr>
        <w:t xml:space="preserve">A. </w:t>
      </w:r>
      <w:r w:rsidR="00B46741">
        <w:rPr>
          <w:rFonts w:cstheme="minorHAnsi"/>
          <w:color w:val="000000"/>
        </w:rPr>
        <w:t xml:space="preserve"> </w:t>
      </w:r>
      <w:r w:rsidR="00086F6F">
        <w:rPr>
          <w:rFonts w:cstheme="minorHAnsi"/>
          <w:color w:val="000000"/>
        </w:rPr>
        <w:tab/>
      </w:r>
      <w:r w:rsidR="00B46741">
        <w:rPr>
          <w:rFonts w:cstheme="minorHAnsi"/>
          <w:color w:val="000000"/>
        </w:rPr>
        <w:t xml:space="preserve">School </w:t>
      </w:r>
      <w:r>
        <w:rPr>
          <w:rFonts w:cstheme="minorHAnsi"/>
          <w:color w:val="000000"/>
        </w:rPr>
        <w:t xml:space="preserve">committee members, the </w:t>
      </w:r>
      <w:r w:rsidRPr="00FF3A75">
        <w:rPr>
          <w:rFonts w:cstheme="minorHAnsi"/>
          <w:color w:val="000000"/>
        </w:rPr>
        <w:t>superintendent</w:t>
      </w:r>
      <w:r w:rsidR="00E7382E">
        <w:rPr>
          <w:rFonts w:cstheme="minorHAnsi"/>
          <w:color w:val="000000"/>
        </w:rPr>
        <w:t>,</w:t>
      </w:r>
      <w:r w:rsidRPr="00FF3A75">
        <w:rPr>
          <w:rFonts w:cstheme="minorHAnsi"/>
          <w:color w:val="000000"/>
        </w:rPr>
        <w:t xml:space="preserve"> and </w:t>
      </w:r>
      <w:r>
        <w:rPr>
          <w:rFonts w:cstheme="minorHAnsi"/>
          <w:color w:val="000000"/>
        </w:rPr>
        <w:t xml:space="preserve">the </w:t>
      </w:r>
      <w:r w:rsidR="00D86B5A">
        <w:rPr>
          <w:rFonts w:cstheme="minorHAnsi"/>
          <w:color w:val="000000"/>
        </w:rPr>
        <w:t xml:space="preserve">district </w:t>
      </w:r>
      <w:r>
        <w:rPr>
          <w:rFonts w:cstheme="minorHAnsi"/>
          <w:color w:val="000000"/>
        </w:rPr>
        <w:t>leadership team</w:t>
      </w:r>
      <w:r w:rsidRPr="00FF3A75">
        <w:rPr>
          <w:rFonts w:cstheme="minorHAnsi"/>
          <w:color w:val="000000"/>
        </w:rPr>
        <w:t xml:space="preserve"> have a collaborative working relationship. </w:t>
      </w:r>
    </w:p>
    <w:p w14:paraId="71E97292" w14:textId="5F603C25" w:rsidR="00720791" w:rsidRPr="00FF3A75" w:rsidRDefault="00720791" w:rsidP="00720791">
      <w:pPr>
        <w:tabs>
          <w:tab w:val="left" w:pos="360"/>
          <w:tab w:val="left" w:pos="1080"/>
          <w:tab w:val="left" w:pos="1440"/>
          <w:tab w:val="left" w:pos="1800"/>
          <w:tab w:val="left" w:pos="2160"/>
        </w:tabs>
        <w:ind w:left="1080" w:hanging="360"/>
        <w:rPr>
          <w:rFonts w:cstheme="minorHAnsi"/>
          <w:color w:val="000000"/>
        </w:rPr>
      </w:pPr>
      <w:r w:rsidRPr="00FF3A75">
        <w:rPr>
          <w:rFonts w:cstheme="minorHAnsi"/>
          <w:color w:val="000000"/>
        </w:rPr>
        <w:t xml:space="preserve">1. </w:t>
      </w:r>
      <w:r>
        <w:rPr>
          <w:rFonts w:cstheme="minorHAnsi"/>
          <w:color w:val="000000"/>
        </w:rPr>
        <w:t xml:space="preserve">   </w:t>
      </w:r>
      <w:r w:rsidRPr="00FF3A75">
        <w:rPr>
          <w:rFonts w:cstheme="minorHAnsi"/>
          <w:color w:val="000000"/>
        </w:rPr>
        <w:t xml:space="preserve">The </w:t>
      </w:r>
      <w:r w:rsidR="008A3807">
        <w:rPr>
          <w:rFonts w:cstheme="minorHAnsi"/>
          <w:color w:val="000000"/>
        </w:rPr>
        <w:t>s</w:t>
      </w:r>
      <w:r w:rsidR="008A3807" w:rsidRPr="00FF3A75">
        <w:rPr>
          <w:rFonts w:cstheme="minorHAnsi"/>
          <w:color w:val="000000"/>
        </w:rPr>
        <w:t xml:space="preserve">chool </w:t>
      </w:r>
      <w:r w:rsidR="008A3807">
        <w:rPr>
          <w:rFonts w:cstheme="minorHAnsi"/>
          <w:color w:val="000000"/>
        </w:rPr>
        <w:t>c</w:t>
      </w:r>
      <w:r w:rsidR="008A3807" w:rsidRPr="00FF3A75">
        <w:rPr>
          <w:rFonts w:cstheme="minorHAnsi"/>
          <w:color w:val="000000"/>
        </w:rPr>
        <w:t xml:space="preserve">ommittee’s </w:t>
      </w:r>
      <w:r w:rsidRPr="00FF3A75">
        <w:rPr>
          <w:rFonts w:cstheme="minorHAnsi"/>
          <w:color w:val="000000"/>
        </w:rPr>
        <w:t xml:space="preserve">2018 </w:t>
      </w:r>
      <w:r w:rsidR="008A3807">
        <w:rPr>
          <w:rFonts w:cstheme="minorHAnsi"/>
          <w:color w:val="000000"/>
        </w:rPr>
        <w:t xml:space="preserve">evaluation of the </w:t>
      </w:r>
      <w:r w:rsidR="005E11F6">
        <w:rPr>
          <w:rFonts w:cstheme="minorHAnsi"/>
          <w:color w:val="000000"/>
        </w:rPr>
        <w:t>s</w:t>
      </w:r>
      <w:r w:rsidRPr="00FF3A75">
        <w:rPr>
          <w:rFonts w:cstheme="minorHAnsi"/>
          <w:color w:val="000000"/>
        </w:rPr>
        <w:t xml:space="preserve">uperintendent noted that the superintendent </w:t>
      </w:r>
      <w:r w:rsidR="00B46741">
        <w:rPr>
          <w:rFonts w:cstheme="minorHAnsi"/>
          <w:color w:val="000000"/>
        </w:rPr>
        <w:t>ha</w:t>
      </w:r>
      <w:r w:rsidR="00C477FB">
        <w:rPr>
          <w:rFonts w:cstheme="minorHAnsi"/>
          <w:color w:val="000000"/>
        </w:rPr>
        <w:t>d</w:t>
      </w:r>
      <w:r w:rsidR="00B46741">
        <w:rPr>
          <w:rFonts w:cstheme="minorHAnsi"/>
          <w:color w:val="000000"/>
        </w:rPr>
        <w:t xml:space="preserve"> </w:t>
      </w:r>
      <w:r w:rsidRPr="00FF3A75">
        <w:rPr>
          <w:rFonts w:cstheme="minorHAnsi"/>
          <w:color w:val="000000"/>
        </w:rPr>
        <w:t>“an open</w:t>
      </w:r>
      <w:r w:rsidR="00B63280">
        <w:rPr>
          <w:rFonts w:cstheme="minorHAnsi"/>
          <w:color w:val="000000"/>
        </w:rPr>
        <w:t>-</w:t>
      </w:r>
      <w:r w:rsidRPr="00FF3A75">
        <w:rPr>
          <w:rFonts w:cstheme="minorHAnsi"/>
          <w:color w:val="000000"/>
        </w:rPr>
        <w:t>door</w:t>
      </w:r>
      <w:r>
        <w:rPr>
          <w:rFonts w:cstheme="minorHAnsi"/>
          <w:color w:val="000000"/>
        </w:rPr>
        <w:t xml:space="preserve"> </w:t>
      </w:r>
      <w:r w:rsidRPr="00FF3A75">
        <w:rPr>
          <w:rFonts w:cstheme="minorHAnsi"/>
          <w:color w:val="000000"/>
        </w:rPr>
        <w:t xml:space="preserve">policy so we can email, phone and he </w:t>
      </w:r>
      <w:proofErr w:type="gramStart"/>
      <w:r w:rsidRPr="00FF3A75">
        <w:rPr>
          <w:rFonts w:cstheme="minorHAnsi"/>
          <w:color w:val="000000"/>
        </w:rPr>
        <w:t>gets</w:t>
      </w:r>
      <w:proofErr w:type="gramEnd"/>
      <w:r w:rsidRPr="00FF3A75">
        <w:rPr>
          <w:rFonts w:cstheme="minorHAnsi"/>
          <w:color w:val="000000"/>
        </w:rPr>
        <w:t xml:space="preserve"> back to us immediately.</w:t>
      </w:r>
      <w:r>
        <w:rPr>
          <w:rFonts w:cstheme="minorHAnsi"/>
          <w:color w:val="000000"/>
        </w:rPr>
        <w:t>”</w:t>
      </w:r>
      <w:r w:rsidRPr="00FF3A75">
        <w:rPr>
          <w:rFonts w:cstheme="minorHAnsi"/>
          <w:color w:val="000000"/>
        </w:rPr>
        <w:t xml:space="preserve"> </w:t>
      </w:r>
    </w:p>
    <w:p w14:paraId="23DD3909" w14:textId="3B663BFD" w:rsidR="00720791" w:rsidRDefault="00720791" w:rsidP="00720791">
      <w:pPr>
        <w:tabs>
          <w:tab w:val="left" w:pos="360"/>
          <w:tab w:val="left" w:pos="1080"/>
          <w:tab w:val="left" w:pos="1440"/>
          <w:tab w:val="left" w:pos="1800"/>
          <w:tab w:val="left" w:pos="2160"/>
        </w:tabs>
        <w:ind w:left="1080" w:hanging="360"/>
        <w:rPr>
          <w:rFonts w:cstheme="minorHAnsi"/>
          <w:color w:val="000000"/>
        </w:rPr>
      </w:pPr>
      <w:r>
        <w:rPr>
          <w:rFonts w:cstheme="minorHAnsi"/>
          <w:color w:val="000000"/>
        </w:rPr>
        <w:t xml:space="preserve">2. </w:t>
      </w:r>
      <w:r w:rsidRPr="00FF3A75">
        <w:rPr>
          <w:rFonts w:cstheme="minorHAnsi"/>
          <w:color w:val="000000"/>
        </w:rPr>
        <w:t xml:space="preserve"> </w:t>
      </w:r>
      <w:r>
        <w:rPr>
          <w:rFonts w:cstheme="minorHAnsi"/>
          <w:color w:val="000000"/>
        </w:rPr>
        <w:t xml:space="preserve">  </w:t>
      </w:r>
      <w:r w:rsidRPr="00FF3A75">
        <w:rPr>
          <w:rFonts w:cstheme="minorHAnsi"/>
          <w:color w:val="000000"/>
        </w:rPr>
        <w:t xml:space="preserve">In </w:t>
      </w:r>
      <w:r w:rsidR="00FE285C">
        <w:rPr>
          <w:rFonts w:cstheme="minorHAnsi"/>
          <w:color w:val="000000"/>
        </w:rPr>
        <w:t>its</w:t>
      </w:r>
      <w:r w:rsidR="00FE285C" w:rsidRPr="00FF3A75">
        <w:rPr>
          <w:rFonts w:cstheme="minorHAnsi"/>
          <w:color w:val="000000"/>
        </w:rPr>
        <w:t xml:space="preserve"> </w:t>
      </w:r>
      <w:r w:rsidRPr="00FF3A75">
        <w:rPr>
          <w:rFonts w:cstheme="minorHAnsi"/>
          <w:color w:val="000000"/>
        </w:rPr>
        <w:t xml:space="preserve">self-assessment </w:t>
      </w:r>
      <w:r w:rsidR="00FE285C">
        <w:rPr>
          <w:rFonts w:cstheme="minorHAnsi"/>
          <w:color w:val="000000"/>
        </w:rPr>
        <w:t>submitted in advance of the onsite</w:t>
      </w:r>
      <w:r w:rsidRPr="00FF3A75">
        <w:rPr>
          <w:rFonts w:cstheme="minorHAnsi"/>
          <w:color w:val="000000"/>
        </w:rPr>
        <w:t xml:space="preserve">, district </w:t>
      </w:r>
      <w:r w:rsidR="00FE285C">
        <w:rPr>
          <w:rFonts w:cstheme="minorHAnsi"/>
          <w:color w:val="000000"/>
        </w:rPr>
        <w:t>leaders stated</w:t>
      </w:r>
      <w:r w:rsidR="00D86B5A">
        <w:rPr>
          <w:rFonts w:cstheme="minorHAnsi"/>
          <w:color w:val="000000"/>
        </w:rPr>
        <w:t>,</w:t>
      </w:r>
      <w:r w:rsidRPr="00FF3A75">
        <w:rPr>
          <w:rFonts w:cstheme="minorHAnsi"/>
          <w:color w:val="000000"/>
        </w:rPr>
        <w:t xml:space="preserve"> “</w:t>
      </w:r>
      <w:r w:rsidR="00C477FB">
        <w:rPr>
          <w:rFonts w:cstheme="minorHAnsi"/>
          <w:color w:val="000000"/>
        </w:rPr>
        <w:t>T</w:t>
      </w:r>
      <w:r w:rsidR="00C477FB" w:rsidRPr="00FF3A75">
        <w:rPr>
          <w:rFonts w:cstheme="minorHAnsi"/>
          <w:color w:val="000000"/>
        </w:rPr>
        <w:t xml:space="preserve">here </w:t>
      </w:r>
      <w:r w:rsidRPr="00FF3A75">
        <w:rPr>
          <w:rFonts w:cstheme="minorHAnsi"/>
          <w:color w:val="000000"/>
        </w:rPr>
        <w:t xml:space="preserve">exists a strong collaborative working relationship between the </w:t>
      </w:r>
      <w:r w:rsidR="005E11F6">
        <w:rPr>
          <w:rFonts w:cstheme="minorHAnsi"/>
          <w:color w:val="000000"/>
        </w:rPr>
        <w:t>s</w:t>
      </w:r>
      <w:r w:rsidRPr="00FF3A75">
        <w:rPr>
          <w:rFonts w:cstheme="minorHAnsi"/>
          <w:color w:val="000000"/>
        </w:rPr>
        <w:t xml:space="preserve">chool </w:t>
      </w:r>
      <w:r w:rsidR="005E11F6">
        <w:rPr>
          <w:rFonts w:cstheme="minorHAnsi"/>
          <w:color w:val="000000"/>
        </w:rPr>
        <w:t>c</w:t>
      </w:r>
      <w:r w:rsidRPr="00FF3A75">
        <w:rPr>
          <w:rFonts w:cstheme="minorHAnsi"/>
          <w:color w:val="000000"/>
        </w:rPr>
        <w:t xml:space="preserve">ommittee and the </w:t>
      </w:r>
      <w:r w:rsidR="005E11F6">
        <w:rPr>
          <w:rFonts w:cstheme="minorHAnsi"/>
          <w:color w:val="000000"/>
        </w:rPr>
        <w:t>s</w:t>
      </w:r>
      <w:r w:rsidRPr="00FF3A75">
        <w:rPr>
          <w:rFonts w:cstheme="minorHAnsi"/>
          <w:color w:val="000000"/>
        </w:rPr>
        <w:t xml:space="preserve">uperintendent and the </w:t>
      </w:r>
      <w:r w:rsidR="005E11F6">
        <w:rPr>
          <w:rFonts w:cstheme="minorHAnsi"/>
          <w:color w:val="000000"/>
        </w:rPr>
        <w:t>s</w:t>
      </w:r>
      <w:r w:rsidRPr="00FF3A75">
        <w:rPr>
          <w:rFonts w:cstheme="minorHAnsi"/>
          <w:color w:val="000000"/>
        </w:rPr>
        <w:t xml:space="preserve">chool </w:t>
      </w:r>
      <w:r w:rsidR="005E11F6">
        <w:rPr>
          <w:rFonts w:cstheme="minorHAnsi"/>
          <w:color w:val="000000"/>
        </w:rPr>
        <w:t>c</w:t>
      </w:r>
      <w:r w:rsidRPr="00FF3A75">
        <w:rPr>
          <w:rFonts w:cstheme="minorHAnsi"/>
          <w:color w:val="000000"/>
        </w:rPr>
        <w:t xml:space="preserve">ommittee and the </w:t>
      </w:r>
      <w:r w:rsidR="005E11F6">
        <w:rPr>
          <w:rFonts w:cstheme="minorHAnsi"/>
          <w:color w:val="000000"/>
        </w:rPr>
        <w:t>d</w:t>
      </w:r>
      <w:r w:rsidRPr="00FF3A75">
        <w:rPr>
          <w:rFonts w:cstheme="minorHAnsi"/>
          <w:color w:val="000000"/>
        </w:rPr>
        <w:t xml:space="preserve">istrict </w:t>
      </w:r>
      <w:r w:rsidR="005E11F6">
        <w:rPr>
          <w:rFonts w:cstheme="minorHAnsi"/>
          <w:color w:val="000000"/>
        </w:rPr>
        <w:t>l</w:t>
      </w:r>
      <w:r w:rsidRPr="00FF3A75">
        <w:rPr>
          <w:rFonts w:cstheme="minorHAnsi"/>
          <w:color w:val="000000"/>
        </w:rPr>
        <w:t xml:space="preserve">eadership </w:t>
      </w:r>
      <w:r w:rsidR="005E11F6">
        <w:rPr>
          <w:rFonts w:cstheme="minorHAnsi"/>
          <w:color w:val="000000"/>
        </w:rPr>
        <w:t>t</w:t>
      </w:r>
      <w:r w:rsidRPr="00FF3A75">
        <w:rPr>
          <w:rFonts w:cstheme="minorHAnsi"/>
          <w:color w:val="000000"/>
        </w:rPr>
        <w:t>eam.”</w:t>
      </w:r>
    </w:p>
    <w:p w14:paraId="78E1DA9E" w14:textId="64182B2D" w:rsidR="00720791" w:rsidRDefault="00720791" w:rsidP="00720791">
      <w:pPr>
        <w:tabs>
          <w:tab w:val="left" w:pos="360"/>
          <w:tab w:val="left" w:pos="1080"/>
          <w:tab w:val="left" w:pos="1440"/>
          <w:tab w:val="left" w:pos="1800"/>
          <w:tab w:val="left" w:pos="2160"/>
        </w:tabs>
        <w:ind w:left="1080" w:hanging="360"/>
        <w:rPr>
          <w:rFonts w:cstheme="minorHAnsi"/>
          <w:color w:val="000000"/>
        </w:rPr>
      </w:pPr>
      <w:r>
        <w:rPr>
          <w:rFonts w:cstheme="minorHAnsi"/>
          <w:color w:val="000000"/>
        </w:rPr>
        <w:t xml:space="preserve">3.    In </w:t>
      </w:r>
      <w:r w:rsidR="008A3807">
        <w:rPr>
          <w:rFonts w:cstheme="minorHAnsi"/>
          <w:color w:val="000000"/>
        </w:rPr>
        <w:t xml:space="preserve">a </w:t>
      </w:r>
      <w:r>
        <w:rPr>
          <w:rFonts w:cstheme="minorHAnsi"/>
          <w:color w:val="000000"/>
        </w:rPr>
        <w:t>letter to all staff, the superintendent explained why he reorganized central office positions</w:t>
      </w:r>
      <w:r w:rsidR="008A3807">
        <w:rPr>
          <w:rFonts w:cstheme="minorHAnsi"/>
          <w:color w:val="000000"/>
        </w:rPr>
        <w:t xml:space="preserve">: </w:t>
      </w:r>
      <w:r>
        <w:rPr>
          <w:rFonts w:cstheme="minorHAnsi"/>
          <w:color w:val="000000"/>
        </w:rPr>
        <w:t>“Through a significant overhaul of Central Office, I have been able to right-size the leadership team and provide a more precise, coordinated, and collaborative model of district leadership with high expectations for equity of opportunity for students, expert teaching and improved outcomes for students across the district.”</w:t>
      </w:r>
    </w:p>
    <w:p w14:paraId="0B8CE320" w14:textId="1BD51D36" w:rsidR="00720791" w:rsidRPr="00FF3A75" w:rsidRDefault="00720791" w:rsidP="00720791">
      <w:pPr>
        <w:tabs>
          <w:tab w:val="left" w:pos="360"/>
          <w:tab w:val="left" w:pos="1080"/>
          <w:tab w:val="left" w:pos="1440"/>
          <w:tab w:val="left" w:pos="1800"/>
          <w:tab w:val="left" w:pos="2160"/>
        </w:tabs>
        <w:ind w:left="1440" w:hanging="360"/>
        <w:rPr>
          <w:rFonts w:cstheme="minorHAnsi"/>
          <w:color w:val="000000"/>
        </w:rPr>
      </w:pPr>
      <w:r>
        <w:rPr>
          <w:rFonts w:cstheme="minorHAnsi"/>
          <w:color w:val="000000"/>
        </w:rPr>
        <w:t xml:space="preserve">a.   </w:t>
      </w:r>
      <w:r w:rsidR="00256406">
        <w:rPr>
          <w:rFonts w:cstheme="minorHAnsi"/>
          <w:color w:val="000000"/>
        </w:rPr>
        <w:t xml:space="preserve">In his 2018 evaluation, school </w:t>
      </w:r>
      <w:r w:rsidR="005E11F6">
        <w:rPr>
          <w:rFonts w:cstheme="minorHAnsi"/>
          <w:color w:val="000000"/>
        </w:rPr>
        <w:t>c</w:t>
      </w:r>
      <w:r>
        <w:rPr>
          <w:rFonts w:cstheme="minorHAnsi"/>
          <w:color w:val="000000"/>
        </w:rPr>
        <w:t xml:space="preserve">ommittee members </w:t>
      </w:r>
      <w:r w:rsidR="00A90FA5">
        <w:rPr>
          <w:rFonts w:cstheme="minorHAnsi"/>
          <w:color w:val="000000"/>
        </w:rPr>
        <w:t xml:space="preserve">spoke </w:t>
      </w:r>
      <w:r w:rsidR="00256406">
        <w:rPr>
          <w:rFonts w:cstheme="minorHAnsi"/>
          <w:color w:val="000000"/>
        </w:rPr>
        <w:t xml:space="preserve">positively </w:t>
      </w:r>
      <w:r w:rsidR="007E22AC">
        <w:rPr>
          <w:rFonts w:cstheme="minorHAnsi"/>
          <w:color w:val="000000"/>
        </w:rPr>
        <w:t xml:space="preserve">about </w:t>
      </w:r>
      <w:r>
        <w:rPr>
          <w:rFonts w:cstheme="minorHAnsi"/>
          <w:color w:val="000000"/>
        </w:rPr>
        <w:t xml:space="preserve">how the superintendent effectively </w:t>
      </w:r>
      <w:r w:rsidR="00C477FB">
        <w:rPr>
          <w:rFonts w:cstheme="minorHAnsi"/>
          <w:color w:val="000000"/>
        </w:rPr>
        <w:t xml:space="preserve">used </w:t>
      </w:r>
      <w:r>
        <w:rPr>
          <w:rFonts w:cstheme="minorHAnsi"/>
          <w:color w:val="000000"/>
        </w:rPr>
        <w:t>the skills and talents of central office</w:t>
      </w:r>
      <w:r w:rsidR="005E11F6">
        <w:rPr>
          <w:rFonts w:cstheme="minorHAnsi"/>
          <w:color w:val="000000"/>
        </w:rPr>
        <w:t xml:space="preserve"> </w:t>
      </w:r>
      <w:r>
        <w:rPr>
          <w:rFonts w:cstheme="minorHAnsi"/>
          <w:color w:val="000000"/>
        </w:rPr>
        <w:t>administrators.</w:t>
      </w:r>
    </w:p>
    <w:p w14:paraId="1A1B76EC" w14:textId="2A1940D1" w:rsidR="00720791" w:rsidRPr="005E11F6" w:rsidRDefault="00720791" w:rsidP="005E11F6">
      <w:pPr>
        <w:ind w:left="720" w:hanging="360"/>
        <w:rPr>
          <w:rFonts w:cstheme="minorHAnsi"/>
          <w:color w:val="000000"/>
        </w:rPr>
      </w:pPr>
      <w:r w:rsidRPr="00FF3A75">
        <w:rPr>
          <w:rFonts w:eastAsia="Arial" w:cstheme="minorHAnsi"/>
        </w:rPr>
        <w:t xml:space="preserve"> </w:t>
      </w:r>
      <w:r w:rsidRPr="00A14341">
        <w:rPr>
          <w:rFonts w:eastAsia="Arial" w:cstheme="minorHAnsi"/>
          <w:b/>
        </w:rPr>
        <w:t>B</w:t>
      </w:r>
      <w:r w:rsidRPr="00FF3A75">
        <w:rPr>
          <w:rFonts w:cstheme="minorHAnsi"/>
          <w:color w:val="000000"/>
        </w:rPr>
        <w:t xml:space="preserve">. </w:t>
      </w:r>
      <w:r w:rsidR="005E11F6">
        <w:rPr>
          <w:rFonts w:cstheme="minorHAnsi"/>
          <w:color w:val="000000"/>
        </w:rPr>
        <w:tab/>
      </w:r>
      <w:r w:rsidRPr="00FF3A75">
        <w:rPr>
          <w:rFonts w:cstheme="minorHAnsi"/>
          <w:color w:val="000000"/>
        </w:rPr>
        <w:t xml:space="preserve">In order to engage stakeholders to work together to improve student outcomes, </w:t>
      </w:r>
      <w:r w:rsidR="005E11F6">
        <w:rPr>
          <w:rFonts w:cstheme="minorHAnsi"/>
          <w:color w:val="000000"/>
        </w:rPr>
        <w:t>the superintendent</w:t>
      </w:r>
      <w:r w:rsidR="005E11F6" w:rsidRPr="00FF3A75">
        <w:rPr>
          <w:rFonts w:cstheme="minorHAnsi"/>
          <w:color w:val="000000"/>
        </w:rPr>
        <w:t xml:space="preserve"> has completed several outreach activities with various </w:t>
      </w:r>
      <w:r w:rsidR="002D2A3D">
        <w:rPr>
          <w:rFonts w:cstheme="minorHAnsi"/>
          <w:color w:val="000000"/>
        </w:rPr>
        <w:t xml:space="preserve">groups—including </w:t>
      </w:r>
      <w:r w:rsidR="005E11F6" w:rsidRPr="00FF3A75">
        <w:rPr>
          <w:rFonts w:cstheme="minorHAnsi"/>
          <w:color w:val="000000"/>
        </w:rPr>
        <w:t xml:space="preserve">school personnel, </w:t>
      </w:r>
      <w:r w:rsidR="00E7382E">
        <w:rPr>
          <w:rFonts w:cstheme="minorHAnsi"/>
          <w:color w:val="000000"/>
        </w:rPr>
        <w:t>families</w:t>
      </w:r>
      <w:r w:rsidR="005E11F6">
        <w:rPr>
          <w:rFonts w:cstheme="minorHAnsi"/>
          <w:color w:val="000000"/>
        </w:rPr>
        <w:t xml:space="preserve">, and </w:t>
      </w:r>
      <w:r w:rsidR="005E11F6" w:rsidRPr="00FF3A75">
        <w:rPr>
          <w:rFonts w:cstheme="minorHAnsi"/>
          <w:color w:val="000000"/>
        </w:rPr>
        <w:t>students</w:t>
      </w:r>
      <w:r w:rsidR="002D2A3D">
        <w:rPr>
          <w:rFonts w:cstheme="minorHAnsi"/>
          <w:color w:val="000000"/>
        </w:rPr>
        <w:t xml:space="preserve">—in </w:t>
      </w:r>
      <w:r w:rsidR="00B46741">
        <w:rPr>
          <w:rFonts w:cstheme="minorHAnsi"/>
          <w:color w:val="000000"/>
        </w:rPr>
        <w:t>an open and transparent manner</w:t>
      </w:r>
      <w:r w:rsidR="005E11F6">
        <w:rPr>
          <w:rFonts w:cstheme="minorHAnsi"/>
          <w:color w:val="000000"/>
        </w:rPr>
        <w:t>.</w:t>
      </w:r>
      <w:r w:rsidR="005E11F6" w:rsidRPr="00FF3A75">
        <w:rPr>
          <w:rFonts w:cstheme="minorHAnsi"/>
          <w:color w:val="000000"/>
        </w:rPr>
        <w:t xml:space="preserve"> </w:t>
      </w:r>
    </w:p>
    <w:p w14:paraId="0DB881F4" w14:textId="1EEE20AF" w:rsidR="005E11F6"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t xml:space="preserve">1.    </w:t>
      </w:r>
      <w:r w:rsidR="00720791" w:rsidRPr="005E11F6">
        <w:rPr>
          <w:rFonts w:cstheme="minorHAnsi"/>
          <w:color w:val="000000"/>
        </w:rPr>
        <w:t>In his central office reorganization, the superintendent added the position of a manager of media and communications</w:t>
      </w:r>
      <w:r>
        <w:rPr>
          <w:rFonts w:cstheme="minorHAnsi"/>
          <w:color w:val="000000"/>
        </w:rPr>
        <w:t xml:space="preserve"> who is </w:t>
      </w:r>
      <w:r w:rsidR="00720791" w:rsidRPr="005E11F6">
        <w:rPr>
          <w:rFonts w:cstheme="minorHAnsi"/>
          <w:color w:val="000000"/>
        </w:rPr>
        <w:t xml:space="preserve">responsible for informing the community about “school department policies, practices and commitment to improve teaching and learning for all students.”     </w:t>
      </w:r>
    </w:p>
    <w:p w14:paraId="2CED58F0" w14:textId="0E45EB5E" w:rsidR="005E11F6"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lastRenderedPageBreak/>
        <w:t>2.</w:t>
      </w:r>
      <w:r>
        <w:rPr>
          <w:rFonts w:cstheme="minorHAnsi"/>
          <w:color w:val="000000"/>
        </w:rPr>
        <w:tab/>
      </w:r>
      <w:r w:rsidR="00720791">
        <w:rPr>
          <w:rFonts w:cstheme="minorHAnsi"/>
          <w:color w:val="000000"/>
        </w:rPr>
        <w:t>As part of the process for developing the strategic plan</w:t>
      </w:r>
      <w:r w:rsidR="002902AE">
        <w:rPr>
          <w:rFonts w:cstheme="minorHAnsi"/>
          <w:color w:val="000000"/>
        </w:rPr>
        <w:t xml:space="preserve">, </w:t>
      </w:r>
      <w:r w:rsidR="00720791">
        <w:rPr>
          <w:rFonts w:cstheme="minorHAnsi"/>
          <w:color w:val="000000"/>
        </w:rPr>
        <w:t xml:space="preserve">the superintendent </w:t>
      </w:r>
      <w:r w:rsidR="001311D9">
        <w:rPr>
          <w:rFonts w:cstheme="minorHAnsi"/>
          <w:color w:val="000000"/>
        </w:rPr>
        <w:t xml:space="preserve">invited and obtained stakeholder participation by </w:t>
      </w:r>
      <w:r w:rsidR="002902AE">
        <w:rPr>
          <w:rFonts w:cstheme="minorHAnsi"/>
          <w:color w:val="000000"/>
        </w:rPr>
        <w:t>h</w:t>
      </w:r>
      <w:r w:rsidR="001311D9">
        <w:rPr>
          <w:rFonts w:cstheme="minorHAnsi"/>
          <w:color w:val="000000"/>
        </w:rPr>
        <w:t xml:space="preserve">olding </w:t>
      </w:r>
      <w:r w:rsidR="00D85ADE">
        <w:rPr>
          <w:rFonts w:cstheme="minorHAnsi"/>
          <w:color w:val="000000"/>
        </w:rPr>
        <w:t>e</w:t>
      </w:r>
      <w:r w:rsidR="00720791">
        <w:rPr>
          <w:rFonts w:cstheme="minorHAnsi"/>
          <w:color w:val="000000"/>
        </w:rPr>
        <w:t xml:space="preserve">ducational </w:t>
      </w:r>
      <w:r w:rsidR="00D85ADE">
        <w:rPr>
          <w:rFonts w:cstheme="minorHAnsi"/>
          <w:color w:val="000000"/>
        </w:rPr>
        <w:t>v</w:t>
      </w:r>
      <w:r w:rsidR="00720791">
        <w:rPr>
          <w:rFonts w:cstheme="minorHAnsi"/>
          <w:color w:val="000000"/>
        </w:rPr>
        <w:t xml:space="preserve">isioning </w:t>
      </w:r>
      <w:r w:rsidR="00D85ADE">
        <w:rPr>
          <w:rFonts w:cstheme="minorHAnsi"/>
          <w:color w:val="000000"/>
        </w:rPr>
        <w:t>c</w:t>
      </w:r>
      <w:r w:rsidR="00720791">
        <w:rPr>
          <w:rFonts w:cstheme="minorHAnsi"/>
          <w:color w:val="000000"/>
        </w:rPr>
        <w:t xml:space="preserve">ommunity </w:t>
      </w:r>
      <w:r w:rsidR="00D85ADE">
        <w:rPr>
          <w:rFonts w:cstheme="minorHAnsi"/>
          <w:color w:val="000000"/>
        </w:rPr>
        <w:t>f</w:t>
      </w:r>
      <w:r w:rsidR="00720791">
        <w:rPr>
          <w:rFonts w:cstheme="minorHAnsi"/>
          <w:color w:val="000000"/>
        </w:rPr>
        <w:t>orums</w:t>
      </w:r>
      <w:r>
        <w:rPr>
          <w:rFonts w:cstheme="minorHAnsi"/>
          <w:color w:val="000000"/>
        </w:rPr>
        <w:t xml:space="preserve"> in three different city location</w:t>
      </w:r>
      <w:r w:rsidR="001311D9">
        <w:rPr>
          <w:rFonts w:cstheme="minorHAnsi"/>
          <w:color w:val="000000"/>
        </w:rPr>
        <w:t>s.</w:t>
      </w:r>
      <w:r>
        <w:rPr>
          <w:rFonts w:cstheme="minorHAnsi"/>
          <w:color w:val="000000"/>
        </w:rPr>
        <w:t xml:space="preserve"> </w:t>
      </w:r>
      <w:r w:rsidR="001311D9">
        <w:rPr>
          <w:rFonts w:cstheme="minorHAnsi"/>
          <w:color w:val="000000"/>
        </w:rPr>
        <w:t xml:space="preserve">In addition, he </w:t>
      </w:r>
      <w:r w:rsidR="00720791">
        <w:rPr>
          <w:rFonts w:cstheme="minorHAnsi"/>
          <w:color w:val="000000"/>
        </w:rPr>
        <w:t>email</w:t>
      </w:r>
      <w:r w:rsidR="001311D9">
        <w:rPr>
          <w:rFonts w:cstheme="minorHAnsi"/>
          <w:color w:val="000000"/>
        </w:rPr>
        <w:t>ed</w:t>
      </w:r>
      <w:r w:rsidR="00256406">
        <w:rPr>
          <w:rFonts w:cstheme="minorHAnsi"/>
          <w:color w:val="000000"/>
        </w:rPr>
        <w:t xml:space="preserve"> </w:t>
      </w:r>
      <w:r>
        <w:rPr>
          <w:rFonts w:cstheme="minorHAnsi"/>
          <w:color w:val="000000"/>
        </w:rPr>
        <w:t>a draft of the strategic plan to</w:t>
      </w:r>
      <w:r w:rsidR="00720791">
        <w:rPr>
          <w:rFonts w:cstheme="minorHAnsi"/>
          <w:color w:val="000000"/>
        </w:rPr>
        <w:t xml:space="preserve"> all </w:t>
      </w:r>
      <w:r w:rsidR="00E7382E">
        <w:rPr>
          <w:rFonts w:cstheme="minorHAnsi"/>
          <w:color w:val="000000"/>
        </w:rPr>
        <w:t xml:space="preserve">families </w:t>
      </w:r>
      <w:r w:rsidR="00720791">
        <w:rPr>
          <w:rFonts w:cstheme="minorHAnsi"/>
          <w:color w:val="000000"/>
        </w:rPr>
        <w:t xml:space="preserve">and staff </w:t>
      </w:r>
      <w:r w:rsidR="00CD4FAA">
        <w:rPr>
          <w:rFonts w:cstheme="minorHAnsi"/>
          <w:color w:val="000000"/>
        </w:rPr>
        <w:t>and invit</w:t>
      </w:r>
      <w:r w:rsidR="001311D9">
        <w:rPr>
          <w:rFonts w:cstheme="minorHAnsi"/>
          <w:color w:val="000000"/>
        </w:rPr>
        <w:t>ed</w:t>
      </w:r>
      <w:r>
        <w:rPr>
          <w:rFonts w:cstheme="minorHAnsi"/>
          <w:color w:val="000000"/>
        </w:rPr>
        <w:t xml:space="preserve"> </w:t>
      </w:r>
      <w:r w:rsidR="00CD4FAA">
        <w:rPr>
          <w:rFonts w:cstheme="minorHAnsi"/>
          <w:color w:val="000000"/>
        </w:rPr>
        <w:t xml:space="preserve">them to </w:t>
      </w:r>
      <w:r>
        <w:rPr>
          <w:rFonts w:cstheme="minorHAnsi"/>
          <w:color w:val="000000"/>
        </w:rPr>
        <w:t>comment.</w:t>
      </w:r>
    </w:p>
    <w:p w14:paraId="3D263540" w14:textId="0E2D817D" w:rsidR="00720791"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t>3.</w:t>
      </w:r>
      <w:r>
        <w:rPr>
          <w:rFonts w:cstheme="minorHAnsi"/>
          <w:color w:val="000000"/>
        </w:rPr>
        <w:tab/>
      </w:r>
      <w:r w:rsidR="00720791">
        <w:rPr>
          <w:rFonts w:cstheme="minorHAnsi"/>
          <w:color w:val="000000"/>
        </w:rPr>
        <w:t>The superintendent meets monthly with the</w:t>
      </w:r>
      <w:r>
        <w:rPr>
          <w:rFonts w:cstheme="minorHAnsi"/>
          <w:color w:val="000000"/>
        </w:rPr>
        <w:t xml:space="preserve"> presidents of the schools’</w:t>
      </w:r>
      <w:r w:rsidR="00720791">
        <w:rPr>
          <w:rFonts w:cstheme="minorHAnsi"/>
          <w:color w:val="000000"/>
        </w:rPr>
        <w:t xml:space="preserve"> </w:t>
      </w:r>
      <w:r w:rsidR="00CD4FAA">
        <w:rPr>
          <w:rFonts w:cstheme="minorHAnsi"/>
          <w:color w:val="000000"/>
        </w:rPr>
        <w:t>parent teacher organizations.</w:t>
      </w:r>
    </w:p>
    <w:p w14:paraId="7DD59B02" w14:textId="02CD5601" w:rsidR="00720791" w:rsidRDefault="005E11F6" w:rsidP="005E11F6">
      <w:pPr>
        <w:tabs>
          <w:tab w:val="left" w:pos="360"/>
          <w:tab w:val="left" w:pos="1080"/>
          <w:tab w:val="left" w:pos="1440"/>
          <w:tab w:val="left" w:pos="1800"/>
          <w:tab w:val="left" w:pos="2160"/>
        </w:tabs>
        <w:ind w:left="720" w:hanging="360"/>
        <w:rPr>
          <w:rFonts w:cstheme="minorHAnsi"/>
          <w:color w:val="000000"/>
        </w:rPr>
      </w:pPr>
      <w:r>
        <w:rPr>
          <w:rFonts w:cstheme="minorHAnsi"/>
          <w:b/>
          <w:color w:val="000000"/>
        </w:rPr>
        <w:t xml:space="preserve">C.    </w:t>
      </w:r>
      <w:r w:rsidR="00720791">
        <w:rPr>
          <w:rFonts w:cstheme="minorHAnsi"/>
          <w:color w:val="000000"/>
        </w:rPr>
        <w:t>The superintendent consistently interacts with school personnel.</w:t>
      </w:r>
    </w:p>
    <w:p w14:paraId="24A245BA" w14:textId="0917CA3C" w:rsidR="005E11F6"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t xml:space="preserve">1.    </w:t>
      </w:r>
      <w:r w:rsidR="00720791" w:rsidRPr="005E11F6">
        <w:rPr>
          <w:rFonts w:cstheme="minorHAnsi"/>
          <w:color w:val="000000"/>
        </w:rPr>
        <w:t xml:space="preserve">During </w:t>
      </w:r>
      <w:r w:rsidR="00CD4FAA">
        <w:rPr>
          <w:rFonts w:cstheme="minorHAnsi"/>
          <w:color w:val="000000"/>
        </w:rPr>
        <w:t>the</w:t>
      </w:r>
      <w:r w:rsidR="00CD4FAA" w:rsidRPr="005E11F6">
        <w:rPr>
          <w:rFonts w:cstheme="minorHAnsi"/>
          <w:color w:val="000000"/>
        </w:rPr>
        <w:t xml:space="preserve"> </w:t>
      </w:r>
      <w:r w:rsidR="00720791" w:rsidRPr="005E11F6">
        <w:rPr>
          <w:rFonts w:cstheme="minorHAnsi"/>
          <w:color w:val="000000"/>
        </w:rPr>
        <w:t>first six months</w:t>
      </w:r>
      <w:r w:rsidR="00197C5E">
        <w:rPr>
          <w:rFonts w:cstheme="minorHAnsi"/>
          <w:color w:val="000000"/>
        </w:rPr>
        <w:t xml:space="preserve"> of his term of service,</w:t>
      </w:r>
      <w:r w:rsidR="00720791" w:rsidRPr="005E11F6">
        <w:rPr>
          <w:rFonts w:cstheme="minorHAnsi"/>
          <w:color w:val="000000"/>
        </w:rPr>
        <w:t xml:space="preserve"> the superintendent completed </w:t>
      </w:r>
      <w:r w:rsidR="00197C5E">
        <w:rPr>
          <w:rFonts w:cstheme="minorHAnsi"/>
          <w:color w:val="000000"/>
        </w:rPr>
        <w:t xml:space="preserve">a </w:t>
      </w:r>
      <w:r w:rsidR="00720791" w:rsidRPr="005E11F6">
        <w:rPr>
          <w:rFonts w:cstheme="minorHAnsi"/>
          <w:color w:val="000000"/>
        </w:rPr>
        <w:t>one-week residenc</w:t>
      </w:r>
      <w:r w:rsidR="001311D9">
        <w:rPr>
          <w:rFonts w:cstheme="minorHAnsi"/>
          <w:color w:val="000000"/>
        </w:rPr>
        <w:t>y</w:t>
      </w:r>
      <w:r w:rsidR="00720791" w:rsidRPr="005E11F6">
        <w:rPr>
          <w:rFonts w:cstheme="minorHAnsi"/>
          <w:color w:val="000000"/>
        </w:rPr>
        <w:t xml:space="preserve"> </w:t>
      </w:r>
      <w:r w:rsidR="00197C5E">
        <w:rPr>
          <w:rFonts w:cstheme="minorHAnsi"/>
          <w:color w:val="000000"/>
        </w:rPr>
        <w:t xml:space="preserve">in </w:t>
      </w:r>
      <w:r w:rsidR="00720791" w:rsidRPr="005E11F6">
        <w:rPr>
          <w:rFonts w:cstheme="minorHAnsi"/>
          <w:color w:val="000000"/>
        </w:rPr>
        <w:t xml:space="preserve">each of the district’s 14 schools to learn </w:t>
      </w:r>
      <w:r w:rsidR="00197C5E">
        <w:rPr>
          <w:rFonts w:cstheme="minorHAnsi"/>
          <w:color w:val="000000"/>
        </w:rPr>
        <w:t>about the</w:t>
      </w:r>
      <w:r w:rsidR="00197C5E" w:rsidRPr="005E11F6">
        <w:rPr>
          <w:rFonts w:cstheme="minorHAnsi"/>
          <w:color w:val="000000"/>
        </w:rPr>
        <w:t xml:space="preserve"> </w:t>
      </w:r>
      <w:r w:rsidR="00720791" w:rsidRPr="005E11F6">
        <w:rPr>
          <w:rFonts w:cstheme="minorHAnsi"/>
          <w:color w:val="000000"/>
        </w:rPr>
        <w:t>school’s programs, strengths</w:t>
      </w:r>
      <w:r w:rsidR="00C477FB">
        <w:rPr>
          <w:rFonts w:cstheme="minorHAnsi"/>
          <w:color w:val="000000"/>
        </w:rPr>
        <w:t>,</w:t>
      </w:r>
      <w:r w:rsidR="00720791" w:rsidRPr="005E11F6">
        <w:rPr>
          <w:rFonts w:cstheme="minorHAnsi"/>
          <w:color w:val="000000"/>
        </w:rPr>
        <w:t xml:space="preserve"> and challenges</w:t>
      </w:r>
      <w:r w:rsidR="00197C5E">
        <w:rPr>
          <w:rFonts w:cstheme="minorHAnsi"/>
          <w:color w:val="000000"/>
        </w:rPr>
        <w:t xml:space="preserve"> from staff, </w:t>
      </w:r>
      <w:proofErr w:type="gramStart"/>
      <w:r w:rsidR="00197C5E">
        <w:rPr>
          <w:rFonts w:cstheme="minorHAnsi"/>
          <w:color w:val="000000"/>
        </w:rPr>
        <w:t>students</w:t>
      </w:r>
      <w:proofErr w:type="gramEnd"/>
      <w:r w:rsidR="00197C5E">
        <w:rPr>
          <w:rFonts w:cstheme="minorHAnsi"/>
          <w:color w:val="000000"/>
        </w:rPr>
        <w:t xml:space="preserve"> and </w:t>
      </w:r>
      <w:r w:rsidR="00E7382E">
        <w:rPr>
          <w:rFonts w:cstheme="minorHAnsi"/>
          <w:color w:val="000000"/>
        </w:rPr>
        <w:t>families</w:t>
      </w:r>
      <w:r w:rsidR="00720791" w:rsidRPr="005E11F6">
        <w:rPr>
          <w:rFonts w:cstheme="minorHAnsi"/>
          <w:color w:val="000000"/>
        </w:rPr>
        <w:t xml:space="preserve">. </w:t>
      </w:r>
    </w:p>
    <w:p w14:paraId="500B080B" w14:textId="2B6320FC" w:rsidR="005E11F6"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t>2.</w:t>
      </w:r>
      <w:r>
        <w:rPr>
          <w:rFonts w:cstheme="minorHAnsi"/>
          <w:color w:val="000000"/>
        </w:rPr>
        <w:tab/>
      </w:r>
      <w:r w:rsidR="00720791" w:rsidRPr="005E11F6">
        <w:rPr>
          <w:rFonts w:cstheme="minorHAnsi"/>
          <w:color w:val="000000"/>
        </w:rPr>
        <w:t>The superintendent completed a</w:t>
      </w:r>
      <w:r w:rsidR="00790AFE">
        <w:rPr>
          <w:rFonts w:cstheme="minorHAnsi"/>
          <w:color w:val="000000"/>
        </w:rPr>
        <w:t xml:space="preserve"> </w:t>
      </w:r>
      <w:r w:rsidR="00720791" w:rsidRPr="005E11F6">
        <w:rPr>
          <w:rFonts w:cstheme="minorHAnsi"/>
          <w:color w:val="000000"/>
        </w:rPr>
        <w:t>Framingham Teachers Association</w:t>
      </w:r>
      <w:r w:rsidR="00790AFE">
        <w:rPr>
          <w:rFonts w:cstheme="minorHAnsi"/>
          <w:color w:val="000000"/>
        </w:rPr>
        <w:t xml:space="preserve"> (FTA</w:t>
      </w:r>
      <w:r w:rsidR="00720791" w:rsidRPr="005E11F6">
        <w:rPr>
          <w:rFonts w:cstheme="minorHAnsi"/>
          <w:color w:val="000000"/>
        </w:rPr>
        <w:t xml:space="preserve">) </w:t>
      </w:r>
      <w:r w:rsidR="00197C5E">
        <w:rPr>
          <w:rFonts w:cstheme="minorHAnsi"/>
          <w:color w:val="000000"/>
        </w:rPr>
        <w:t>l</w:t>
      </w:r>
      <w:r w:rsidR="00197C5E" w:rsidRPr="005E11F6">
        <w:rPr>
          <w:rFonts w:cstheme="minorHAnsi"/>
          <w:color w:val="000000"/>
        </w:rPr>
        <w:t xml:space="preserve">istening </w:t>
      </w:r>
      <w:r w:rsidR="00197C5E">
        <w:rPr>
          <w:rFonts w:cstheme="minorHAnsi"/>
          <w:color w:val="000000"/>
        </w:rPr>
        <w:t>t</w:t>
      </w:r>
      <w:r w:rsidR="00197C5E" w:rsidRPr="005E11F6">
        <w:rPr>
          <w:rFonts w:cstheme="minorHAnsi"/>
          <w:color w:val="000000"/>
        </w:rPr>
        <w:t xml:space="preserve">our </w:t>
      </w:r>
      <w:r w:rsidR="00197C5E">
        <w:rPr>
          <w:rFonts w:cstheme="minorHAnsi"/>
          <w:color w:val="000000"/>
        </w:rPr>
        <w:t xml:space="preserve">during </w:t>
      </w:r>
      <w:r w:rsidR="00720791" w:rsidRPr="005E11F6">
        <w:rPr>
          <w:rFonts w:cstheme="minorHAnsi"/>
          <w:color w:val="000000"/>
        </w:rPr>
        <w:t xml:space="preserve">which </w:t>
      </w:r>
      <w:r w:rsidR="00CD4FAA">
        <w:rPr>
          <w:rFonts w:cstheme="minorHAnsi"/>
          <w:color w:val="000000"/>
        </w:rPr>
        <w:t xml:space="preserve">association </w:t>
      </w:r>
      <w:r w:rsidR="00720791" w:rsidRPr="005E11F6">
        <w:rPr>
          <w:rFonts w:cstheme="minorHAnsi"/>
          <w:color w:val="000000"/>
        </w:rPr>
        <w:t xml:space="preserve">members shared their ideas and concerns with </w:t>
      </w:r>
      <w:r w:rsidR="00CD4FAA">
        <w:rPr>
          <w:rFonts w:cstheme="minorHAnsi"/>
          <w:color w:val="000000"/>
        </w:rPr>
        <w:t>him.</w:t>
      </w:r>
      <w:r w:rsidR="00CD4FAA" w:rsidRPr="005E11F6">
        <w:rPr>
          <w:rFonts w:cstheme="minorHAnsi"/>
          <w:color w:val="000000"/>
        </w:rPr>
        <w:t xml:space="preserve"> </w:t>
      </w:r>
      <w:r w:rsidR="00720791" w:rsidRPr="005E11F6">
        <w:rPr>
          <w:rFonts w:cstheme="minorHAnsi"/>
          <w:color w:val="000000"/>
        </w:rPr>
        <w:t xml:space="preserve">After completing the </w:t>
      </w:r>
      <w:r w:rsidR="00197C5E">
        <w:rPr>
          <w:rFonts w:cstheme="minorHAnsi"/>
          <w:color w:val="000000"/>
        </w:rPr>
        <w:t>l</w:t>
      </w:r>
      <w:r w:rsidR="00197C5E" w:rsidRPr="005E11F6">
        <w:rPr>
          <w:rFonts w:cstheme="minorHAnsi"/>
          <w:color w:val="000000"/>
        </w:rPr>
        <w:t xml:space="preserve">istening </w:t>
      </w:r>
      <w:r w:rsidR="00197C5E">
        <w:rPr>
          <w:rFonts w:cstheme="minorHAnsi"/>
          <w:color w:val="000000"/>
        </w:rPr>
        <w:t>t</w:t>
      </w:r>
      <w:r w:rsidR="00197C5E" w:rsidRPr="005E11F6">
        <w:rPr>
          <w:rFonts w:cstheme="minorHAnsi"/>
          <w:color w:val="000000"/>
        </w:rPr>
        <w:t>ours</w:t>
      </w:r>
      <w:r w:rsidR="00720791" w:rsidRPr="005E11F6">
        <w:rPr>
          <w:rFonts w:cstheme="minorHAnsi"/>
          <w:color w:val="000000"/>
        </w:rPr>
        <w:t xml:space="preserve">, the superintendent </w:t>
      </w:r>
      <w:r w:rsidR="00CD4FAA">
        <w:rPr>
          <w:rFonts w:cstheme="minorHAnsi"/>
          <w:color w:val="000000"/>
        </w:rPr>
        <w:t xml:space="preserve">issued </w:t>
      </w:r>
      <w:r w:rsidR="002761CE">
        <w:rPr>
          <w:rFonts w:cstheme="minorHAnsi"/>
          <w:color w:val="000000"/>
        </w:rPr>
        <w:t>a</w:t>
      </w:r>
      <w:r w:rsidR="00720791" w:rsidRPr="005E11F6">
        <w:rPr>
          <w:rFonts w:cstheme="minorHAnsi"/>
          <w:color w:val="000000"/>
        </w:rPr>
        <w:t xml:space="preserve"> </w:t>
      </w:r>
      <w:r w:rsidR="00197C5E">
        <w:rPr>
          <w:rFonts w:cstheme="minorHAnsi"/>
          <w:color w:val="000000"/>
        </w:rPr>
        <w:t>nine-</w:t>
      </w:r>
      <w:r w:rsidR="00720791" w:rsidRPr="005E11F6">
        <w:rPr>
          <w:rFonts w:cstheme="minorHAnsi"/>
          <w:color w:val="000000"/>
        </w:rPr>
        <w:t>page document</w:t>
      </w:r>
      <w:r w:rsidR="00CD4FAA">
        <w:rPr>
          <w:rFonts w:cstheme="minorHAnsi"/>
          <w:color w:val="000000"/>
        </w:rPr>
        <w:t xml:space="preserve"> to all staff</w:t>
      </w:r>
      <w:r w:rsidR="00720791" w:rsidRPr="005E11F6">
        <w:rPr>
          <w:rFonts w:cstheme="minorHAnsi"/>
          <w:color w:val="000000"/>
        </w:rPr>
        <w:t xml:space="preserve"> in question-and-answer format</w:t>
      </w:r>
      <w:r w:rsidR="00CD4FAA">
        <w:rPr>
          <w:rFonts w:cstheme="minorHAnsi"/>
          <w:color w:val="000000"/>
        </w:rPr>
        <w:t xml:space="preserve"> addressing the following seven topics: </w:t>
      </w:r>
      <w:r w:rsidR="00720791" w:rsidRPr="005E11F6">
        <w:rPr>
          <w:rFonts w:cstheme="minorHAnsi"/>
          <w:color w:val="000000"/>
        </w:rPr>
        <w:t xml:space="preserve">the </w:t>
      </w:r>
      <w:r w:rsidR="001311D9">
        <w:rPr>
          <w:rFonts w:cstheme="minorHAnsi"/>
          <w:color w:val="000000"/>
        </w:rPr>
        <w:t>h</w:t>
      </w:r>
      <w:r w:rsidR="001311D9" w:rsidRPr="005E11F6">
        <w:rPr>
          <w:rFonts w:cstheme="minorHAnsi"/>
          <w:color w:val="000000"/>
        </w:rPr>
        <w:t xml:space="preserve">uman </w:t>
      </w:r>
      <w:r w:rsidR="001311D9">
        <w:rPr>
          <w:rFonts w:cstheme="minorHAnsi"/>
          <w:color w:val="000000"/>
        </w:rPr>
        <w:t>r</w:t>
      </w:r>
      <w:r w:rsidR="001311D9" w:rsidRPr="005E11F6">
        <w:rPr>
          <w:rFonts w:cstheme="minorHAnsi"/>
          <w:color w:val="000000"/>
        </w:rPr>
        <w:t>esource</w:t>
      </w:r>
      <w:r w:rsidR="001311D9">
        <w:rPr>
          <w:rFonts w:cstheme="minorHAnsi"/>
          <w:color w:val="000000"/>
        </w:rPr>
        <w:t>s</w:t>
      </w:r>
      <w:r w:rsidR="001311D9" w:rsidRPr="005E11F6">
        <w:rPr>
          <w:rFonts w:cstheme="minorHAnsi"/>
          <w:color w:val="000000"/>
        </w:rPr>
        <w:t xml:space="preserve"> </w:t>
      </w:r>
      <w:r w:rsidR="001311D9">
        <w:rPr>
          <w:rFonts w:cstheme="minorHAnsi"/>
          <w:color w:val="000000"/>
        </w:rPr>
        <w:t>d</w:t>
      </w:r>
      <w:r w:rsidR="00CD4FAA" w:rsidRPr="005E11F6">
        <w:rPr>
          <w:rFonts w:cstheme="minorHAnsi"/>
          <w:color w:val="000000"/>
        </w:rPr>
        <w:t>epartment</w:t>
      </w:r>
      <w:r w:rsidR="001311D9">
        <w:rPr>
          <w:rFonts w:cstheme="minorHAnsi"/>
          <w:color w:val="000000"/>
        </w:rPr>
        <w:t>;</w:t>
      </w:r>
      <w:r w:rsidR="001311D9" w:rsidRPr="005E11F6">
        <w:rPr>
          <w:rFonts w:cstheme="minorHAnsi"/>
          <w:color w:val="000000"/>
        </w:rPr>
        <w:t xml:space="preserve"> </w:t>
      </w:r>
      <w:proofErr w:type="spellStart"/>
      <w:r w:rsidR="00720791" w:rsidRPr="005E11F6">
        <w:rPr>
          <w:rFonts w:cstheme="minorHAnsi"/>
          <w:color w:val="000000"/>
        </w:rPr>
        <w:t>i</w:t>
      </w:r>
      <w:proofErr w:type="spellEnd"/>
      <w:r w:rsidR="00B63280" w:rsidRPr="005E11F6">
        <w:rPr>
          <w:rFonts w:cstheme="minorHAnsi"/>
          <w:color w:val="000000"/>
        </w:rPr>
        <w:t>-</w:t>
      </w:r>
      <w:r w:rsidR="00720791" w:rsidRPr="005E11F6">
        <w:rPr>
          <w:rFonts w:cstheme="minorHAnsi"/>
          <w:color w:val="000000"/>
        </w:rPr>
        <w:t>Ready purposes and implementation</w:t>
      </w:r>
      <w:r w:rsidR="001311D9">
        <w:rPr>
          <w:rFonts w:cstheme="minorHAnsi"/>
          <w:color w:val="000000"/>
        </w:rPr>
        <w:t>;</w:t>
      </w:r>
      <w:r w:rsidR="001311D9" w:rsidRPr="005E11F6">
        <w:rPr>
          <w:rFonts w:cstheme="minorHAnsi"/>
          <w:color w:val="000000"/>
        </w:rPr>
        <w:t xml:space="preserve"> </w:t>
      </w:r>
      <w:r w:rsidR="00720791" w:rsidRPr="005E11F6">
        <w:rPr>
          <w:rFonts w:cstheme="minorHAnsi"/>
          <w:color w:val="000000"/>
        </w:rPr>
        <w:t>addressing students’ behaviors</w:t>
      </w:r>
      <w:r w:rsidR="00C477FB">
        <w:rPr>
          <w:rFonts w:cstheme="minorHAnsi"/>
          <w:color w:val="000000"/>
        </w:rPr>
        <w:t>;</w:t>
      </w:r>
      <w:r w:rsidR="00C477FB" w:rsidRPr="005E11F6">
        <w:rPr>
          <w:rFonts w:cstheme="minorHAnsi"/>
          <w:color w:val="000000"/>
        </w:rPr>
        <w:t xml:space="preserve"> </w:t>
      </w:r>
      <w:r w:rsidR="00D85ADE">
        <w:rPr>
          <w:rFonts w:cstheme="minorHAnsi"/>
          <w:color w:val="000000"/>
        </w:rPr>
        <w:t>m</w:t>
      </w:r>
      <w:r w:rsidR="00720791" w:rsidRPr="005E11F6">
        <w:rPr>
          <w:rFonts w:cstheme="minorHAnsi"/>
          <w:color w:val="000000"/>
        </w:rPr>
        <w:t>u</w:t>
      </w:r>
      <w:r w:rsidR="00B63280" w:rsidRPr="005E11F6">
        <w:rPr>
          <w:rFonts w:cstheme="minorHAnsi"/>
          <w:color w:val="000000"/>
        </w:rPr>
        <w:t>l</w:t>
      </w:r>
      <w:r w:rsidR="00720791" w:rsidRPr="005E11F6">
        <w:rPr>
          <w:rFonts w:cstheme="minorHAnsi"/>
          <w:color w:val="000000"/>
        </w:rPr>
        <w:t>ti-</w:t>
      </w:r>
      <w:r w:rsidR="00D85ADE">
        <w:rPr>
          <w:rFonts w:cstheme="minorHAnsi"/>
          <w:color w:val="000000"/>
        </w:rPr>
        <w:t>t</w:t>
      </w:r>
      <w:r w:rsidR="00720791" w:rsidRPr="005E11F6">
        <w:rPr>
          <w:rFonts w:cstheme="minorHAnsi"/>
          <w:color w:val="000000"/>
        </w:rPr>
        <w:t xml:space="preserve">iered </w:t>
      </w:r>
      <w:r w:rsidR="00D85ADE">
        <w:rPr>
          <w:rFonts w:cstheme="minorHAnsi"/>
          <w:color w:val="000000"/>
        </w:rPr>
        <w:t>s</w:t>
      </w:r>
      <w:r w:rsidR="00720791" w:rsidRPr="005E11F6">
        <w:rPr>
          <w:rFonts w:cstheme="minorHAnsi"/>
          <w:color w:val="000000"/>
        </w:rPr>
        <w:t xml:space="preserve">ystem of </w:t>
      </w:r>
      <w:r w:rsidR="00D85ADE">
        <w:rPr>
          <w:rFonts w:cstheme="minorHAnsi"/>
          <w:color w:val="000000"/>
        </w:rPr>
        <w:t>s</w:t>
      </w:r>
      <w:r w:rsidR="00720791" w:rsidRPr="005E11F6">
        <w:rPr>
          <w:rFonts w:cstheme="minorHAnsi"/>
          <w:color w:val="000000"/>
        </w:rPr>
        <w:t xml:space="preserve">upport </w:t>
      </w:r>
      <w:r w:rsidR="00D85ADE">
        <w:rPr>
          <w:rFonts w:cstheme="minorHAnsi"/>
          <w:color w:val="000000"/>
        </w:rPr>
        <w:t>m</w:t>
      </w:r>
      <w:r w:rsidR="00720791" w:rsidRPr="005E11F6">
        <w:rPr>
          <w:rFonts w:cstheme="minorHAnsi"/>
          <w:color w:val="000000"/>
        </w:rPr>
        <w:t>odel</w:t>
      </w:r>
      <w:r w:rsidR="001311D9">
        <w:rPr>
          <w:rFonts w:cstheme="minorHAnsi"/>
          <w:color w:val="000000"/>
        </w:rPr>
        <w:t>;</w:t>
      </w:r>
      <w:r w:rsidR="001311D9" w:rsidRPr="005E11F6">
        <w:rPr>
          <w:rFonts w:cstheme="minorHAnsi"/>
          <w:color w:val="000000"/>
        </w:rPr>
        <w:t xml:space="preserve"> </w:t>
      </w:r>
      <w:r w:rsidR="00D85ADE">
        <w:rPr>
          <w:rFonts w:cstheme="minorHAnsi"/>
          <w:color w:val="000000"/>
        </w:rPr>
        <w:t>s</w:t>
      </w:r>
      <w:r w:rsidR="00720791" w:rsidRPr="005E11F6">
        <w:rPr>
          <w:rFonts w:cstheme="minorHAnsi"/>
          <w:color w:val="000000"/>
        </w:rPr>
        <w:t xml:space="preserve">pecial </w:t>
      </w:r>
      <w:r w:rsidR="00D85ADE">
        <w:rPr>
          <w:rFonts w:cstheme="minorHAnsi"/>
          <w:color w:val="000000"/>
        </w:rPr>
        <w:t>e</w:t>
      </w:r>
      <w:r w:rsidR="00720791" w:rsidRPr="005E11F6">
        <w:rPr>
          <w:rFonts w:cstheme="minorHAnsi"/>
          <w:color w:val="000000"/>
        </w:rPr>
        <w:t>ducation inclusion</w:t>
      </w:r>
      <w:r w:rsidR="001311D9">
        <w:rPr>
          <w:rFonts w:cstheme="minorHAnsi"/>
          <w:color w:val="000000"/>
        </w:rPr>
        <w:t>;</w:t>
      </w:r>
      <w:r w:rsidR="001311D9" w:rsidRPr="005E11F6">
        <w:rPr>
          <w:rFonts w:cstheme="minorHAnsi"/>
          <w:color w:val="000000"/>
        </w:rPr>
        <w:t xml:space="preserve"> </w:t>
      </w:r>
      <w:r w:rsidR="00720791" w:rsidRPr="005E11F6">
        <w:rPr>
          <w:rFonts w:cstheme="minorHAnsi"/>
          <w:color w:val="000000"/>
        </w:rPr>
        <w:t xml:space="preserve">new </w:t>
      </w:r>
      <w:r w:rsidR="00D85ADE">
        <w:rPr>
          <w:rFonts w:cstheme="minorHAnsi"/>
          <w:color w:val="000000"/>
        </w:rPr>
        <w:t>D</w:t>
      </w:r>
      <w:r w:rsidR="00720791" w:rsidRPr="005E11F6">
        <w:rPr>
          <w:rFonts w:cstheme="minorHAnsi"/>
          <w:color w:val="000000"/>
        </w:rPr>
        <w:t>ESE online courses on inclusive practices</w:t>
      </w:r>
      <w:r w:rsidR="00C477FB">
        <w:rPr>
          <w:rFonts w:cstheme="minorHAnsi"/>
          <w:color w:val="000000"/>
        </w:rPr>
        <w:t>;</w:t>
      </w:r>
      <w:r w:rsidR="00C477FB" w:rsidRPr="005E11F6">
        <w:rPr>
          <w:rFonts w:cstheme="minorHAnsi"/>
          <w:color w:val="000000"/>
        </w:rPr>
        <w:t xml:space="preserve"> </w:t>
      </w:r>
      <w:r w:rsidR="00720791" w:rsidRPr="005E11F6">
        <w:rPr>
          <w:rFonts w:cstheme="minorHAnsi"/>
          <w:color w:val="000000"/>
        </w:rPr>
        <w:t xml:space="preserve">and central office reorganization.    </w:t>
      </w:r>
    </w:p>
    <w:p w14:paraId="1584F5C8" w14:textId="29DF0CF5" w:rsidR="005E11F6" w:rsidRDefault="005E11F6" w:rsidP="005E11F6">
      <w:pPr>
        <w:tabs>
          <w:tab w:val="left" w:pos="360"/>
          <w:tab w:val="left" w:pos="1080"/>
          <w:tab w:val="left" w:pos="1440"/>
          <w:tab w:val="left" w:pos="1800"/>
          <w:tab w:val="left" w:pos="2160"/>
        </w:tabs>
        <w:ind w:left="1080" w:hanging="360"/>
        <w:rPr>
          <w:rFonts w:cstheme="minorHAnsi"/>
          <w:color w:val="000000"/>
        </w:rPr>
      </w:pPr>
      <w:r>
        <w:rPr>
          <w:rFonts w:cstheme="minorHAnsi"/>
          <w:color w:val="000000"/>
        </w:rPr>
        <w:t>3.</w:t>
      </w:r>
      <w:r>
        <w:rPr>
          <w:rFonts w:cstheme="minorHAnsi"/>
          <w:color w:val="000000"/>
        </w:rPr>
        <w:tab/>
      </w:r>
      <w:r w:rsidR="00720791" w:rsidRPr="005E11F6">
        <w:rPr>
          <w:rFonts w:cstheme="minorHAnsi"/>
          <w:color w:val="000000"/>
        </w:rPr>
        <w:t xml:space="preserve">The superintendent </w:t>
      </w:r>
      <w:r w:rsidR="00114375">
        <w:rPr>
          <w:rFonts w:cstheme="minorHAnsi"/>
          <w:color w:val="000000"/>
        </w:rPr>
        <w:t>conducts</w:t>
      </w:r>
      <w:r w:rsidR="00114375" w:rsidRPr="005E11F6">
        <w:rPr>
          <w:rFonts w:cstheme="minorHAnsi"/>
          <w:color w:val="000000"/>
        </w:rPr>
        <w:t xml:space="preserve"> </w:t>
      </w:r>
      <w:r w:rsidR="001311D9">
        <w:rPr>
          <w:rFonts w:cstheme="minorHAnsi"/>
          <w:color w:val="000000"/>
        </w:rPr>
        <w:t xml:space="preserve">daily school </w:t>
      </w:r>
      <w:r w:rsidR="00114375">
        <w:rPr>
          <w:rFonts w:cstheme="minorHAnsi"/>
          <w:color w:val="000000"/>
        </w:rPr>
        <w:t>visits</w:t>
      </w:r>
      <w:r w:rsidR="00790AFE">
        <w:rPr>
          <w:rFonts w:cstheme="minorHAnsi"/>
          <w:color w:val="000000"/>
        </w:rPr>
        <w:t xml:space="preserve"> </w:t>
      </w:r>
      <w:r w:rsidR="00197C5E" w:rsidRPr="005E11F6">
        <w:rPr>
          <w:rFonts w:cstheme="minorHAnsi"/>
          <w:color w:val="000000"/>
        </w:rPr>
        <w:t>with central office staff</w:t>
      </w:r>
      <w:r w:rsidR="00114375">
        <w:rPr>
          <w:rFonts w:cstheme="minorHAnsi"/>
          <w:color w:val="000000"/>
        </w:rPr>
        <w:t>. During three-hour school improvement visits</w:t>
      </w:r>
      <w:r w:rsidR="00E7382E">
        <w:rPr>
          <w:rFonts w:cstheme="minorHAnsi"/>
          <w:color w:val="000000"/>
        </w:rPr>
        <w:t>,</w:t>
      </w:r>
      <w:r w:rsidR="00114375">
        <w:rPr>
          <w:rFonts w:cstheme="minorHAnsi"/>
          <w:color w:val="000000"/>
        </w:rPr>
        <w:t xml:space="preserve"> he </w:t>
      </w:r>
      <w:r w:rsidR="00720791" w:rsidRPr="005E11F6">
        <w:rPr>
          <w:rFonts w:cstheme="minorHAnsi"/>
          <w:color w:val="000000"/>
        </w:rPr>
        <w:t xml:space="preserve">observes </w:t>
      </w:r>
      <w:r w:rsidR="001311D9">
        <w:rPr>
          <w:rFonts w:cstheme="minorHAnsi"/>
          <w:color w:val="000000"/>
        </w:rPr>
        <w:t>each</w:t>
      </w:r>
      <w:r w:rsidR="001311D9" w:rsidRPr="005E11F6">
        <w:rPr>
          <w:rFonts w:cstheme="minorHAnsi"/>
          <w:color w:val="000000"/>
        </w:rPr>
        <w:t xml:space="preserve"> </w:t>
      </w:r>
      <w:r w:rsidR="00720791" w:rsidRPr="005E11F6">
        <w:rPr>
          <w:rFonts w:cstheme="minorHAnsi"/>
          <w:color w:val="000000"/>
        </w:rPr>
        <w:t>school’s activities and needs, reviews current student achievement and performance data</w:t>
      </w:r>
      <w:r w:rsidR="00E7382E">
        <w:rPr>
          <w:rFonts w:cstheme="minorHAnsi"/>
          <w:color w:val="000000"/>
        </w:rPr>
        <w:t>,</w:t>
      </w:r>
      <w:r w:rsidR="00720791" w:rsidRPr="005E11F6">
        <w:rPr>
          <w:rFonts w:cstheme="minorHAnsi"/>
          <w:color w:val="000000"/>
        </w:rPr>
        <w:t xml:space="preserve"> and </w:t>
      </w:r>
      <w:r w:rsidR="00CD4FAA">
        <w:rPr>
          <w:rFonts w:cstheme="minorHAnsi"/>
          <w:color w:val="000000"/>
        </w:rPr>
        <w:t>conducts</w:t>
      </w:r>
      <w:r w:rsidR="00CD4FAA" w:rsidRPr="005E11F6">
        <w:rPr>
          <w:rFonts w:cstheme="minorHAnsi"/>
          <w:color w:val="000000"/>
        </w:rPr>
        <w:t xml:space="preserve"> </w:t>
      </w:r>
      <w:r w:rsidR="00720791" w:rsidRPr="005E11F6">
        <w:rPr>
          <w:rFonts w:cstheme="minorHAnsi"/>
          <w:color w:val="000000"/>
        </w:rPr>
        <w:t xml:space="preserve">classroom walkthroughs. </w:t>
      </w:r>
    </w:p>
    <w:p w14:paraId="1ADD5BCB" w14:textId="48312ADF" w:rsidR="00720791" w:rsidRPr="005E11F6" w:rsidRDefault="005E11F6" w:rsidP="005E11F6">
      <w:pPr>
        <w:tabs>
          <w:tab w:val="left" w:pos="360"/>
          <w:tab w:val="left" w:pos="1080"/>
          <w:tab w:val="left" w:pos="1440"/>
          <w:tab w:val="left" w:pos="1800"/>
          <w:tab w:val="left" w:pos="2160"/>
        </w:tabs>
        <w:ind w:left="720" w:hanging="360"/>
        <w:rPr>
          <w:rFonts w:cstheme="minorHAnsi"/>
          <w:color w:val="000000"/>
        </w:rPr>
      </w:pPr>
      <w:r>
        <w:rPr>
          <w:rFonts w:cstheme="minorHAnsi"/>
          <w:b/>
          <w:color w:val="000000"/>
        </w:rPr>
        <w:t xml:space="preserve">D.   </w:t>
      </w:r>
      <w:r w:rsidR="00720791" w:rsidRPr="005E11F6">
        <w:rPr>
          <w:rFonts w:cstheme="minorHAnsi"/>
          <w:color w:val="000000"/>
        </w:rPr>
        <w:t xml:space="preserve">The superintendent </w:t>
      </w:r>
      <w:r w:rsidR="00114375">
        <w:rPr>
          <w:rFonts w:cstheme="minorHAnsi"/>
          <w:color w:val="000000"/>
        </w:rPr>
        <w:t xml:space="preserve">encourages students to provide </w:t>
      </w:r>
      <w:r w:rsidR="006D548A">
        <w:rPr>
          <w:rFonts w:cstheme="minorHAnsi"/>
          <w:color w:val="000000"/>
        </w:rPr>
        <w:t xml:space="preserve">direct </w:t>
      </w:r>
      <w:r w:rsidR="00114375">
        <w:rPr>
          <w:rFonts w:cstheme="minorHAnsi"/>
          <w:color w:val="000000"/>
        </w:rPr>
        <w:t>feedback</w:t>
      </w:r>
      <w:r w:rsidR="00720791" w:rsidRPr="005E11F6">
        <w:rPr>
          <w:rFonts w:cstheme="minorHAnsi"/>
          <w:color w:val="000000"/>
        </w:rPr>
        <w:t xml:space="preserve"> on their educational experiences</w:t>
      </w:r>
      <w:r w:rsidR="001311D9">
        <w:rPr>
          <w:rFonts w:cstheme="minorHAnsi"/>
          <w:color w:val="000000"/>
        </w:rPr>
        <w:t>,</w:t>
      </w:r>
      <w:r w:rsidR="00114375">
        <w:rPr>
          <w:rFonts w:cstheme="minorHAnsi"/>
          <w:color w:val="000000"/>
        </w:rPr>
        <w:t xml:space="preserve"> which helps </w:t>
      </w:r>
      <w:proofErr w:type="gramStart"/>
      <w:r w:rsidR="00114375">
        <w:rPr>
          <w:rFonts w:cstheme="minorHAnsi"/>
          <w:color w:val="000000"/>
        </w:rPr>
        <w:t>him</w:t>
      </w:r>
      <w:proofErr w:type="gramEnd"/>
      <w:r w:rsidR="00114375">
        <w:rPr>
          <w:rFonts w:cstheme="minorHAnsi"/>
          <w:color w:val="000000"/>
        </w:rPr>
        <w:t xml:space="preserve"> and the school committee be </w:t>
      </w:r>
      <w:r w:rsidR="00CD4FAA">
        <w:rPr>
          <w:rFonts w:cstheme="minorHAnsi"/>
          <w:color w:val="000000"/>
        </w:rPr>
        <w:t xml:space="preserve">informed and </w:t>
      </w:r>
      <w:r w:rsidR="00114375">
        <w:rPr>
          <w:rFonts w:cstheme="minorHAnsi"/>
          <w:color w:val="000000"/>
        </w:rPr>
        <w:t>proactive</w:t>
      </w:r>
      <w:r w:rsidR="00720791" w:rsidRPr="005E11F6">
        <w:rPr>
          <w:rFonts w:cstheme="minorHAnsi"/>
          <w:color w:val="000000"/>
        </w:rPr>
        <w:t>.</w:t>
      </w:r>
    </w:p>
    <w:p w14:paraId="388F48DC" w14:textId="139ECCFF" w:rsidR="001E3F82" w:rsidRDefault="00720791" w:rsidP="00EC5B5A">
      <w:pPr>
        <w:pStyle w:val="ListParagraph"/>
        <w:numPr>
          <w:ilvl w:val="3"/>
          <w:numId w:val="36"/>
        </w:numPr>
        <w:tabs>
          <w:tab w:val="left" w:pos="360"/>
          <w:tab w:val="left" w:pos="1080"/>
          <w:tab w:val="left" w:pos="1440"/>
          <w:tab w:val="left" w:pos="1800"/>
          <w:tab w:val="left" w:pos="2160"/>
        </w:tabs>
        <w:ind w:left="1080"/>
        <w:contextualSpacing w:val="0"/>
        <w:rPr>
          <w:rFonts w:cstheme="minorHAnsi"/>
          <w:color w:val="000000"/>
        </w:rPr>
      </w:pPr>
      <w:r w:rsidRPr="005E11F6">
        <w:rPr>
          <w:rFonts w:cstheme="minorHAnsi"/>
          <w:color w:val="000000"/>
        </w:rPr>
        <w:t xml:space="preserve">A district leader who participated in </w:t>
      </w:r>
      <w:r w:rsidR="00790AFE">
        <w:rPr>
          <w:rFonts w:cstheme="minorHAnsi"/>
          <w:color w:val="000000"/>
        </w:rPr>
        <w:t xml:space="preserve">the </w:t>
      </w:r>
      <w:r w:rsidRPr="005E11F6">
        <w:rPr>
          <w:rFonts w:cstheme="minorHAnsi"/>
          <w:color w:val="000000"/>
        </w:rPr>
        <w:t xml:space="preserve">school improvement visits </w:t>
      </w:r>
      <w:r w:rsidR="00E7382E">
        <w:rPr>
          <w:rFonts w:cstheme="minorHAnsi"/>
          <w:color w:val="000000"/>
        </w:rPr>
        <w:t>said that</w:t>
      </w:r>
      <w:r w:rsidRPr="005E11F6">
        <w:rPr>
          <w:rFonts w:cstheme="minorHAnsi"/>
          <w:color w:val="000000"/>
        </w:rPr>
        <w:t xml:space="preserve"> the superintendent often </w:t>
      </w:r>
      <w:r w:rsidR="00E7382E">
        <w:rPr>
          <w:rFonts w:cstheme="minorHAnsi"/>
          <w:color w:val="000000"/>
        </w:rPr>
        <w:t>fell</w:t>
      </w:r>
      <w:r w:rsidR="00E7382E" w:rsidRPr="005E11F6">
        <w:rPr>
          <w:rFonts w:cstheme="minorHAnsi"/>
          <w:color w:val="000000"/>
        </w:rPr>
        <w:t xml:space="preserve"> </w:t>
      </w:r>
      <w:r w:rsidRPr="005E11F6">
        <w:rPr>
          <w:rFonts w:cstheme="minorHAnsi"/>
          <w:color w:val="000000"/>
        </w:rPr>
        <w:t xml:space="preserve">behind the rest of the group because he stopped to talk with students. </w:t>
      </w:r>
    </w:p>
    <w:p w14:paraId="0A654567" w14:textId="1FC06AC7" w:rsidR="00790AFE" w:rsidRPr="001E3F82" w:rsidRDefault="00720791" w:rsidP="00EC5B5A">
      <w:pPr>
        <w:pStyle w:val="ListParagraph"/>
        <w:numPr>
          <w:ilvl w:val="3"/>
          <w:numId w:val="36"/>
        </w:numPr>
        <w:tabs>
          <w:tab w:val="left" w:pos="360"/>
          <w:tab w:val="left" w:pos="1080"/>
          <w:tab w:val="left" w:pos="1440"/>
          <w:tab w:val="left" w:pos="1800"/>
          <w:tab w:val="left" w:pos="2160"/>
        </w:tabs>
        <w:ind w:left="1080"/>
        <w:contextualSpacing w:val="0"/>
        <w:rPr>
          <w:rFonts w:cstheme="minorHAnsi"/>
          <w:color w:val="000000"/>
        </w:rPr>
      </w:pPr>
      <w:r w:rsidRPr="001E3F82">
        <w:rPr>
          <w:rFonts w:cstheme="minorHAnsi"/>
          <w:color w:val="000000"/>
        </w:rPr>
        <w:t xml:space="preserve">The superintendent organized </w:t>
      </w:r>
      <w:r w:rsidR="001311D9">
        <w:rPr>
          <w:rFonts w:cstheme="minorHAnsi"/>
          <w:color w:val="000000"/>
        </w:rPr>
        <w:t xml:space="preserve">an </w:t>
      </w:r>
      <w:r w:rsidR="001311D9">
        <w:rPr>
          <w:rFonts w:cstheme="minorHAnsi"/>
          <w:bCs/>
          <w:color w:val="000000"/>
        </w:rPr>
        <w:t>a</w:t>
      </w:r>
      <w:r w:rsidR="001311D9" w:rsidRPr="00EC5B5A">
        <w:rPr>
          <w:rFonts w:cstheme="minorHAnsi"/>
          <w:bCs/>
          <w:color w:val="000000"/>
        </w:rPr>
        <w:t xml:space="preserve">ction </w:t>
      </w:r>
      <w:r w:rsidR="001311D9">
        <w:rPr>
          <w:rFonts w:cstheme="minorHAnsi"/>
          <w:bCs/>
          <w:color w:val="000000"/>
        </w:rPr>
        <w:t>c</w:t>
      </w:r>
      <w:r w:rsidR="001311D9" w:rsidRPr="00EC5B5A">
        <w:rPr>
          <w:rFonts w:cstheme="minorHAnsi"/>
          <w:bCs/>
          <w:color w:val="000000"/>
        </w:rPr>
        <w:t xml:space="preserve">ivics </w:t>
      </w:r>
      <w:r w:rsidR="001311D9">
        <w:rPr>
          <w:rFonts w:cstheme="minorHAnsi"/>
          <w:bCs/>
          <w:color w:val="000000"/>
        </w:rPr>
        <w:t>c</w:t>
      </w:r>
      <w:r w:rsidR="001311D9" w:rsidRPr="00EC5B5A">
        <w:rPr>
          <w:rFonts w:cstheme="minorHAnsi"/>
          <w:bCs/>
          <w:color w:val="000000"/>
        </w:rPr>
        <w:t>ommission</w:t>
      </w:r>
      <w:r w:rsidR="001311D9" w:rsidRPr="001E3F82">
        <w:rPr>
          <w:rFonts w:cstheme="minorHAnsi"/>
          <w:color w:val="000000"/>
        </w:rPr>
        <w:t xml:space="preserve"> </w:t>
      </w:r>
      <w:r w:rsidR="00CD4FAA" w:rsidRPr="001E3F82">
        <w:rPr>
          <w:rFonts w:cstheme="minorHAnsi"/>
          <w:color w:val="000000"/>
        </w:rPr>
        <w:t>comp</w:t>
      </w:r>
      <w:r w:rsidR="00CD4FAA">
        <w:rPr>
          <w:rFonts w:cstheme="minorHAnsi"/>
          <w:color w:val="000000"/>
        </w:rPr>
        <w:t>osed</w:t>
      </w:r>
      <w:r w:rsidR="00CD4FAA" w:rsidRPr="001E3F82">
        <w:rPr>
          <w:rFonts w:cstheme="minorHAnsi"/>
          <w:color w:val="000000"/>
        </w:rPr>
        <w:t xml:space="preserve"> </w:t>
      </w:r>
      <w:r w:rsidRPr="001E3F82">
        <w:rPr>
          <w:rFonts w:cstheme="minorHAnsi"/>
          <w:color w:val="000000"/>
        </w:rPr>
        <w:t xml:space="preserve">of students from </w:t>
      </w:r>
      <w:proofErr w:type="gramStart"/>
      <w:r w:rsidRPr="001E3F82">
        <w:rPr>
          <w:rFonts w:cstheme="minorHAnsi"/>
          <w:color w:val="000000"/>
        </w:rPr>
        <w:t xml:space="preserve">all </w:t>
      </w:r>
      <w:r w:rsidR="001311D9">
        <w:rPr>
          <w:rFonts w:cstheme="minorHAnsi"/>
          <w:color w:val="000000"/>
        </w:rPr>
        <w:t>of</w:t>
      </w:r>
      <w:proofErr w:type="gramEnd"/>
      <w:r w:rsidR="001311D9">
        <w:rPr>
          <w:rFonts w:cstheme="minorHAnsi"/>
          <w:color w:val="000000"/>
        </w:rPr>
        <w:t xml:space="preserve"> the </w:t>
      </w:r>
      <w:r w:rsidRPr="001E3F82">
        <w:rPr>
          <w:rFonts w:cstheme="minorHAnsi"/>
          <w:color w:val="000000"/>
        </w:rPr>
        <w:t>schools</w:t>
      </w:r>
      <w:r w:rsidR="00790AFE" w:rsidRPr="001E3F82">
        <w:rPr>
          <w:rFonts w:cstheme="minorHAnsi"/>
          <w:color w:val="000000"/>
        </w:rPr>
        <w:t xml:space="preserve"> to represent student voices in the district.  One of their first </w:t>
      </w:r>
      <w:r w:rsidR="006D548A">
        <w:rPr>
          <w:rFonts w:cstheme="minorHAnsi"/>
          <w:color w:val="000000"/>
        </w:rPr>
        <w:t>charges</w:t>
      </w:r>
      <w:r w:rsidR="006D548A" w:rsidRPr="001E3F82">
        <w:rPr>
          <w:rFonts w:cstheme="minorHAnsi"/>
          <w:color w:val="000000"/>
        </w:rPr>
        <w:t xml:space="preserve"> </w:t>
      </w:r>
      <w:r w:rsidR="00790AFE" w:rsidRPr="001E3F82">
        <w:rPr>
          <w:rFonts w:cstheme="minorHAnsi"/>
          <w:color w:val="000000"/>
        </w:rPr>
        <w:t xml:space="preserve">is to </w:t>
      </w:r>
      <w:r w:rsidRPr="001E3F82">
        <w:rPr>
          <w:rFonts w:cstheme="minorHAnsi"/>
          <w:color w:val="000000"/>
        </w:rPr>
        <w:t>discuss, research, debate</w:t>
      </w:r>
      <w:r w:rsidR="00E7382E">
        <w:rPr>
          <w:rFonts w:cstheme="minorHAnsi"/>
          <w:color w:val="000000"/>
        </w:rPr>
        <w:t>,</w:t>
      </w:r>
      <w:r w:rsidRPr="001E3F82">
        <w:rPr>
          <w:rFonts w:cstheme="minorHAnsi"/>
          <w:color w:val="000000"/>
        </w:rPr>
        <w:t xml:space="preserve"> and develop a petition on homework as a matter of school policy.</w:t>
      </w:r>
      <w:r w:rsidR="00790AFE" w:rsidRPr="001E3F82">
        <w:rPr>
          <w:rFonts w:cstheme="minorHAnsi"/>
          <w:color w:val="000000"/>
        </w:rPr>
        <w:t xml:space="preserve"> </w:t>
      </w:r>
      <w:r w:rsidRPr="001E3F82">
        <w:rPr>
          <w:rFonts w:cstheme="minorHAnsi"/>
          <w:color w:val="000000"/>
        </w:rPr>
        <w:t xml:space="preserve"> Students will present their </w:t>
      </w:r>
      <w:r w:rsidR="00790AFE" w:rsidRPr="001E3F82">
        <w:rPr>
          <w:rFonts w:cstheme="minorHAnsi"/>
          <w:color w:val="000000"/>
        </w:rPr>
        <w:t xml:space="preserve">draft </w:t>
      </w:r>
      <w:r w:rsidR="006D548A">
        <w:rPr>
          <w:rFonts w:cstheme="minorHAnsi"/>
          <w:color w:val="000000"/>
        </w:rPr>
        <w:t xml:space="preserve">of </w:t>
      </w:r>
      <w:r w:rsidR="00790AFE" w:rsidRPr="001E3F82">
        <w:rPr>
          <w:rFonts w:cstheme="minorHAnsi"/>
          <w:color w:val="000000"/>
        </w:rPr>
        <w:t xml:space="preserve">a </w:t>
      </w:r>
      <w:r w:rsidRPr="001E3F82">
        <w:rPr>
          <w:rFonts w:cstheme="minorHAnsi"/>
          <w:color w:val="000000"/>
        </w:rPr>
        <w:t xml:space="preserve">homework policy to the </w:t>
      </w:r>
      <w:r w:rsidR="006D548A">
        <w:rPr>
          <w:rFonts w:cstheme="minorHAnsi"/>
          <w:color w:val="000000"/>
        </w:rPr>
        <w:t>s</w:t>
      </w:r>
      <w:r w:rsidR="006D548A" w:rsidRPr="001E3F82">
        <w:rPr>
          <w:rFonts w:cstheme="minorHAnsi"/>
          <w:color w:val="000000"/>
        </w:rPr>
        <w:t xml:space="preserve">chool </w:t>
      </w:r>
      <w:r w:rsidR="006D548A">
        <w:rPr>
          <w:rFonts w:cstheme="minorHAnsi"/>
          <w:color w:val="000000"/>
        </w:rPr>
        <w:t>c</w:t>
      </w:r>
      <w:r w:rsidR="006D548A" w:rsidRPr="001E3F82">
        <w:rPr>
          <w:rFonts w:cstheme="minorHAnsi"/>
          <w:color w:val="000000"/>
        </w:rPr>
        <w:t>ommittee</w:t>
      </w:r>
      <w:r w:rsidRPr="001E3F82">
        <w:rPr>
          <w:rFonts w:cstheme="minorHAnsi"/>
          <w:color w:val="000000"/>
        </w:rPr>
        <w:t>.</w:t>
      </w:r>
    </w:p>
    <w:p w14:paraId="6D77E739" w14:textId="1AFF61A7" w:rsidR="00720791" w:rsidRPr="00451DDF" w:rsidRDefault="00720791" w:rsidP="00720791">
      <w:pPr>
        <w:tabs>
          <w:tab w:val="left" w:pos="360"/>
          <w:tab w:val="left" w:pos="1080"/>
          <w:tab w:val="left" w:pos="1440"/>
          <w:tab w:val="left" w:pos="1800"/>
          <w:tab w:val="left" w:pos="2160"/>
        </w:tabs>
        <w:rPr>
          <w:b/>
        </w:rPr>
      </w:pPr>
      <w:r w:rsidRPr="000803F0">
        <w:rPr>
          <w:b/>
        </w:rPr>
        <w:t>Impact:</w:t>
      </w:r>
      <w:r w:rsidRPr="004026C9">
        <w:t xml:space="preserve"> </w:t>
      </w:r>
      <w:r>
        <w:t xml:space="preserve">When </w:t>
      </w:r>
      <w:r w:rsidR="00111ADB">
        <w:t xml:space="preserve">district </w:t>
      </w:r>
      <w:r w:rsidRPr="004026C9">
        <w:t xml:space="preserve">leaders </w:t>
      </w:r>
      <w:r w:rsidR="002431DB">
        <w:t xml:space="preserve">demonstrate </w:t>
      </w:r>
      <w:r>
        <w:t>collaboration and</w:t>
      </w:r>
      <w:r w:rsidR="0057358C">
        <w:t xml:space="preserve"> </w:t>
      </w:r>
      <w:r w:rsidR="00790AFE">
        <w:t xml:space="preserve">open </w:t>
      </w:r>
      <w:r>
        <w:t>communication</w:t>
      </w:r>
      <w:r w:rsidR="00790AFE">
        <w:t xml:space="preserve"> for</w:t>
      </w:r>
      <w:r>
        <w:t xml:space="preserve"> staff, </w:t>
      </w:r>
      <w:r w:rsidR="00E7382E">
        <w:t>families</w:t>
      </w:r>
      <w:r>
        <w:t>, students</w:t>
      </w:r>
      <w:r w:rsidR="00E7382E">
        <w:t>,</w:t>
      </w:r>
      <w:r>
        <w:t xml:space="preserve"> and community members</w:t>
      </w:r>
      <w:r w:rsidR="00E7382E">
        <w:t>,</w:t>
      </w:r>
      <w:r w:rsidR="00790AFE">
        <w:t xml:space="preserve"> they model</w:t>
      </w:r>
      <w:r>
        <w:t xml:space="preserve"> the relationships and behaviors th</w:t>
      </w:r>
      <w:r w:rsidR="00790AFE">
        <w:t xml:space="preserve">at can </w:t>
      </w:r>
      <w:r w:rsidR="002431DB">
        <w:t xml:space="preserve">contribute </w:t>
      </w:r>
      <w:r w:rsidR="0057358C">
        <w:t>to a positive cultural shift in the district.</w:t>
      </w:r>
    </w:p>
    <w:p w14:paraId="1559C855" w14:textId="77777777" w:rsidR="004F0348" w:rsidRDefault="004F0348" w:rsidP="00720791">
      <w:pPr>
        <w:tabs>
          <w:tab w:val="left" w:pos="360"/>
          <w:tab w:val="left" w:pos="720"/>
          <w:tab w:val="left" w:pos="1080"/>
          <w:tab w:val="left" w:pos="1440"/>
          <w:tab w:val="left" w:pos="1800"/>
          <w:tab w:val="left" w:pos="2160"/>
        </w:tabs>
        <w:rPr>
          <w:b/>
          <w:sz w:val="28"/>
          <w:szCs w:val="28"/>
        </w:rPr>
      </w:pPr>
    </w:p>
    <w:p w14:paraId="011DAA34" w14:textId="77777777" w:rsidR="004F0348" w:rsidRDefault="004F0348" w:rsidP="00720791">
      <w:pPr>
        <w:tabs>
          <w:tab w:val="left" w:pos="360"/>
          <w:tab w:val="left" w:pos="720"/>
          <w:tab w:val="left" w:pos="1080"/>
          <w:tab w:val="left" w:pos="1440"/>
          <w:tab w:val="left" w:pos="1800"/>
          <w:tab w:val="left" w:pos="2160"/>
        </w:tabs>
        <w:rPr>
          <w:b/>
          <w:sz w:val="28"/>
          <w:szCs w:val="28"/>
        </w:rPr>
      </w:pPr>
    </w:p>
    <w:p w14:paraId="2BEE66A0" w14:textId="30672C5D" w:rsidR="00720791" w:rsidRDefault="00720791" w:rsidP="00720791">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20D0FAB8" w14:textId="4788D1A5" w:rsidR="00DD0BA1" w:rsidRPr="00EC5B5A" w:rsidRDefault="00B01C0C" w:rsidP="00EC5B5A">
      <w:pPr>
        <w:tabs>
          <w:tab w:val="left" w:pos="360"/>
          <w:tab w:val="left" w:pos="720"/>
          <w:tab w:val="left" w:pos="1080"/>
          <w:tab w:val="left" w:pos="1440"/>
          <w:tab w:val="left" w:pos="1800"/>
          <w:tab w:val="left" w:pos="2160"/>
        </w:tabs>
        <w:ind w:left="360" w:hanging="360"/>
        <w:rPr>
          <w:b/>
        </w:rPr>
      </w:pPr>
      <w:r>
        <w:rPr>
          <w:b/>
        </w:rPr>
        <w:t>3.</w:t>
      </w:r>
      <w:r>
        <w:rPr>
          <w:b/>
        </w:rPr>
        <w:tab/>
      </w:r>
      <w:r w:rsidR="007B1859" w:rsidRPr="00EC5B5A">
        <w:rPr>
          <w:b/>
        </w:rPr>
        <w:t>T</w:t>
      </w:r>
      <w:r w:rsidR="00720791" w:rsidRPr="00EC5B5A">
        <w:rPr>
          <w:b/>
        </w:rPr>
        <w:t xml:space="preserve">he district has not developed and implemented comprehensive and consistent procedures for analyzing and using disaggregated data </w:t>
      </w:r>
      <w:r w:rsidR="007B1859" w:rsidRPr="00EC5B5A">
        <w:rPr>
          <w:b/>
        </w:rPr>
        <w:t>in its</w:t>
      </w:r>
      <w:r w:rsidR="00720791" w:rsidRPr="00EC5B5A">
        <w:rPr>
          <w:b/>
        </w:rPr>
        <w:t xml:space="preserve"> strategic and </w:t>
      </w:r>
      <w:r w:rsidR="0089285B">
        <w:rPr>
          <w:b/>
        </w:rPr>
        <w:t>S</w:t>
      </w:r>
      <w:r w:rsidR="0089285B" w:rsidRPr="00EC5B5A">
        <w:rPr>
          <w:b/>
        </w:rPr>
        <w:t xml:space="preserve">chool </w:t>
      </w:r>
      <w:r w:rsidR="0089285B">
        <w:rPr>
          <w:b/>
        </w:rPr>
        <w:t>I</w:t>
      </w:r>
      <w:r w:rsidR="0089285B" w:rsidRPr="00EC5B5A">
        <w:rPr>
          <w:b/>
        </w:rPr>
        <w:t xml:space="preserve">mprovement </w:t>
      </w:r>
      <w:r w:rsidR="0089285B">
        <w:rPr>
          <w:b/>
        </w:rPr>
        <w:t>P</w:t>
      </w:r>
      <w:r w:rsidR="0089285B" w:rsidRPr="00EC5B5A">
        <w:rPr>
          <w:b/>
        </w:rPr>
        <w:t>lans</w:t>
      </w:r>
      <w:r w:rsidR="006D548A" w:rsidRPr="00EC5B5A">
        <w:rPr>
          <w:b/>
        </w:rPr>
        <w:t xml:space="preserve">. </w:t>
      </w:r>
    </w:p>
    <w:p w14:paraId="667511D3" w14:textId="643C56B8" w:rsidR="00720791" w:rsidRDefault="007A5EAF" w:rsidP="00EC5B5A">
      <w:pPr>
        <w:tabs>
          <w:tab w:val="left" w:pos="360"/>
          <w:tab w:val="left" w:pos="720"/>
          <w:tab w:val="left" w:pos="1080"/>
          <w:tab w:val="left" w:pos="1440"/>
          <w:tab w:val="left" w:pos="1800"/>
          <w:tab w:val="left" w:pos="2160"/>
        </w:tabs>
        <w:ind w:left="720" w:hanging="720"/>
      </w:pPr>
      <w:r>
        <w:tab/>
      </w:r>
      <w:r w:rsidR="00834082">
        <w:rPr>
          <w:b/>
        </w:rPr>
        <w:t>A</w:t>
      </w:r>
      <w:r w:rsidR="00DD0BA1" w:rsidRPr="00EC5B5A">
        <w:rPr>
          <w:b/>
        </w:rPr>
        <w:t>.</w:t>
      </w:r>
      <w:r>
        <w:tab/>
      </w:r>
      <w:r w:rsidR="0089285B">
        <w:t xml:space="preserve">Missing </w:t>
      </w:r>
      <w:r w:rsidR="00720791">
        <w:t>some baseline data</w:t>
      </w:r>
      <w:r w:rsidR="0057358C">
        <w:t>,</w:t>
      </w:r>
      <w:r w:rsidR="00720791">
        <w:t xml:space="preserve"> the district did not use historical, longitudinal</w:t>
      </w:r>
      <w:r w:rsidR="002143A6">
        <w:t>,</w:t>
      </w:r>
      <w:r w:rsidR="00720791">
        <w:t xml:space="preserve"> and current disaggregated data to plan improvement strategies and student </w:t>
      </w:r>
      <w:r w:rsidR="006D548A">
        <w:t>goals</w:t>
      </w:r>
      <w:r w:rsidR="00720791">
        <w:t xml:space="preserve">. </w:t>
      </w:r>
    </w:p>
    <w:p w14:paraId="10724519" w14:textId="24FD5339" w:rsidR="006D548A" w:rsidRPr="00834082" w:rsidRDefault="006D548A" w:rsidP="006D548A">
      <w:pPr>
        <w:pStyle w:val="ListParagraph"/>
        <w:numPr>
          <w:ilvl w:val="1"/>
          <w:numId w:val="50"/>
        </w:numPr>
        <w:tabs>
          <w:tab w:val="left" w:pos="360"/>
          <w:tab w:val="left" w:pos="720"/>
          <w:tab w:val="left" w:pos="1080"/>
          <w:tab w:val="left" w:pos="1440"/>
          <w:tab w:val="left" w:pos="1800"/>
          <w:tab w:val="left" w:pos="2160"/>
        </w:tabs>
        <w:ind w:left="1080"/>
        <w:contextualSpacing w:val="0"/>
      </w:pPr>
      <w:r w:rsidRPr="00C423B1">
        <w:t xml:space="preserve">District </w:t>
      </w:r>
      <w:r w:rsidR="00720791" w:rsidRPr="00C423B1">
        <w:t>staff developed the</w:t>
      </w:r>
      <w:r w:rsidR="002143A6" w:rsidRPr="00C423B1">
        <w:t xml:space="preserve"> </w:t>
      </w:r>
      <w:r w:rsidR="00720791" w:rsidRPr="00C423B1">
        <w:t xml:space="preserve">strategic plan and </w:t>
      </w:r>
      <w:r w:rsidR="00B01C0C" w:rsidRPr="00C423B1">
        <w:t>School Improvement P</w:t>
      </w:r>
      <w:r w:rsidR="00720791" w:rsidRPr="00C423B1">
        <w:t>lans</w:t>
      </w:r>
      <w:r w:rsidR="000A0DBC" w:rsidRPr="00C423B1">
        <w:t xml:space="preserve"> </w:t>
      </w:r>
      <w:r w:rsidR="002143A6" w:rsidRPr="00834082">
        <w:t xml:space="preserve">(SIPs) </w:t>
      </w:r>
      <w:r w:rsidR="000A0DBC" w:rsidRPr="00834082">
        <w:t>in 2018</w:t>
      </w:r>
      <w:r w:rsidR="00720791" w:rsidRPr="00834082">
        <w:t xml:space="preserve"> </w:t>
      </w:r>
      <w:r w:rsidRPr="00834082">
        <w:t>based on</w:t>
      </w:r>
      <w:r w:rsidR="00720791" w:rsidRPr="00834082">
        <w:t xml:space="preserve"> one year of Next Generation MCAS </w:t>
      </w:r>
      <w:r w:rsidR="002143A6" w:rsidRPr="00834082">
        <w:t xml:space="preserve">assessment </w:t>
      </w:r>
      <w:r w:rsidR="000A0DBC" w:rsidRPr="00834082">
        <w:t xml:space="preserve">results </w:t>
      </w:r>
      <w:r w:rsidR="00720791" w:rsidRPr="00834082">
        <w:t>and no</w:t>
      </w:r>
      <w:r w:rsidR="00B01C0C" w:rsidRPr="00834082">
        <w:t>t on</w:t>
      </w:r>
      <w:r w:rsidR="00720791" w:rsidRPr="00834082">
        <w:t xml:space="preserve"> current state accountability data</w:t>
      </w:r>
      <w:r w:rsidR="00D15E33" w:rsidRPr="00834082">
        <w:t>.</w:t>
      </w:r>
      <w:r w:rsidRPr="00834082">
        <w:t xml:space="preserve"> </w:t>
      </w:r>
      <w:r w:rsidR="000A0DBC" w:rsidRPr="00834082">
        <w:t xml:space="preserve">At that time, </w:t>
      </w:r>
      <w:r w:rsidRPr="00834082">
        <w:t xml:space="preserve">the district had not implemented </w:t>
      </w:r>
      <w:proofErr w:type="spellStart"/>
      <w:r w:rsidRPr="00834082">
        <w:t>i</w:t>
      </w:r>
      <w:proofErr w:type="spellEnd"/>
      <w:r w:rsidRPr="00834082">
        <w:t xml:space="preserve">-Ready formative assessments in all its </w:t>
      </w:r>
      <w:r w:rsidR="00FF5920" w:rsidRPr="00834082">
        <w:t xml:space="preserve">elementary and </w:t>
      </w:r>
      <w:r w:rsidRPr="00834082">
        <w:t>middle and schools.</w:t>
      </w:r>
    </w:p>
    <w:p w14:paraId="043F6AB5" w14:textId="0937AD0C" w:rsidR="007A5EAF" w:rsidRDefault="007A5EAF" w:rsidP="00EC5B5A">
      <w:pPr>
        <w:tabs>
          <w:tab w:val="left" w:pos="360"/>
          <w:tab w:val="left" w:pos="720"/>
          <w:tab w:val="left" w:pos="1080"/>
          <w:tab w:val="left" w:pos="1440"/>
          <w:tab w:val="left" w:pos="1800"/>
          <w:tab w:val="left" w:pos="2160"/>
        </w:tabs>
        <w:ind w:left="720" w:hanging="720"/>
      </w:pPr>
      <w:r>
        <w:tab/>
      </w:r>
      <w:r w:rsidR="00834082">
        <w:rPr>
          <w:b/>
        </w:rPr>
        <w:t>B</w:t>
      </w:r>
      <w:r w:rsidR="00DD0BA1" w:rsidRPr="00EC5B5A">
        <w:rPr>
          <w:b/>
        </w:rPr>
        <w:t>.</w:t>
      </w:r>
      <w:r>
        <w:rPr>
          <w:b/>
        </w:rPr>
        <w:tab/>
      </w:r>
      <w:r w:rsidR="00720791">
        <w:t>The district’s 2017</w:t>
      </w:r>
      <w:r w:rsidR="002143A6">
        <w:t>–</w:t>
      </w:r>
      <w:r w:rsidR="00720791">
        <w:t xml:space="preserve">2020 </w:t>
      </w:r>
      <w:r w:rsidR="0089285B">
        <w:t xml:space="preserve">Annotated Strategic Plan </w:t>
      </w:r>
      <w:r w:rsidR="002143A6">
        <w:t xml:space="preserve">is missing </w:t>
      </w:r>
      <w:r w:rsidR="00720791">
        <w:t xml:space="preserve">empirical, disaggregated data and measurable </w:t>
      </w:r>
      <w:r w:rsidR="000A0DBC">
        <w:t xml:space="preserve">goals </w:t>
      </w:r>
      <w:r w:rsidR="00720791">
        <w:t xml:space="preserve">for </w:t>
      </w:r>
      <w:r w:rsidR="002143A6">
        <w:t xml:space="preserve">groups of </w:t>
      </w:r>
      <w:r w:rsidR="00720791">
        <w:t>student</w:t>
      </w:r>
      <w:r w:rsidR="002143A6">
        <w:t>s</w:t>
      </w:r>
      <w:r w:rsidR="00720791">
        <w:t xml:space="preserve">.  </w:t>
      </w:r>
    </w:p>
    <w:p w14:paraId="083B631A" w14:textId="567221D3" w:rsidR="00720791" w:rsidRDefault="007A5EAF" w:rsidP="00C423B1">
      <w:pPr>
        <w:tabs>
          <w:tab w:val="left" w:pos="360"/>
          <w:tab w:val="left" w:pos="720"/>
          <w:tab w:val="left" w:pos="1080"/>
          <w:tab w:val="left" w:pos="1440"/>
          <w:tab w:val="left" w:pos="1800"/>
          <w:tab w:val="left" w:pos="2160"/>
        </w:tabs>
        <w:ind w:left="1080" w:hanging="1080"/>
      </w:pPr>
      <w:r>
        <w:tab/>
      </w:r>
      <w:r>
        <w:tab/>
        <w:t>1.</w:t>
      </w:r>
      <w:r>
        <w:tab/>
      </w:r>
      <w:r w:rsidR="00720791">
        <w:t>In developing the district’s strategic plan</w:t>
      </w:r>
      <w:r w:rsidR="00B778D4">
        <w:t>,</w:t>
      </w:r>
      <w:r w:rsidR="00720791">
        <w:t xml:space="preserve"> the superintendent </w:t>
      </w:r>
      <w:r w:rsidR="00FF5920">
        <w:t xml:space="preserve">reported </w:t>
      </w:r>
      <w:r w:rsidR="00720791">
        <w:t xml:space="preserve">that he relied more on </w:t>
      </w:r>
      <w:r w:rsidR="000A0DBC">
        <w:t xml:space="preserve">anecdotal </w:t>
      </w:r>
      <w:r w:rsidR="00720791">
        <w:t xml:space="preserve">data </w:t>
      </w:r>
      <w:r w:rsidR="000A0DBC">
        <w:t>from</w:t>
      </w:r>
      <w:r w:rsidR="00720791">
        <w:t xml:space="preserve"> surveys </w:t>
      </w:r>
      <w:r w:rsidR="000A0DBC">
        <w:t xml:space="preserve">and </w:t>
      </w:r>
      <w:r w:rsidR="00E51B53">
        <w:t>stakeholder input th</w:t>
      </w:r>
      <w:r w:rsidR="00720791">
        <w:t xml:space="preserve">an </w:t>
      </w:r>
      <w:r w:rsidR="00E51B53">
        <w:t xml:space="preserve">on </w:t>
      </w:r>
      <w:r w:rsidR="000A0DBC">
        <w:t xml:space="preserve">student </w:t>
      </w:r>
      <w:r w:rsidR="00A24E57">
        <w:t>performance</w:t>
      </w:r>
      <w:r w:rsidR="000A0DBC">
        <w:t xml:space="preserve"> </w:t>
      </w:r>
      <w:r w:rsidR="00720791">
        <w:t>data</w:t>
      </w:r>
      <w:r w:rsidR="000A0DBC">
        <w:t>.</w:t>
      </w:r>
    </w:p>
    <w:p w14:paraId="695597F0" w14:textId="71DDA99A" w:rsidR="00720791" w:rsidRDefault="00B778D4" w:rsidP="00720791">
      <w:pPr>
        <w:pStyle w:val="ListParagraph"/>
        <w:tabs>
          <w:tab w:val="left" w:pos="360"/>
          <w:tab w:val="left" w:pos="720"/>
          <w:tab w:val="left" w:pos="1080"/>
          <w:tab w:val="left" w:pos="1440"/>
          <w:tab w:val="left" w:pos="1800"/>
          <w:tab w:val="left" w:pos="2160"/>
        </w:tabs>
        <w:ind w:left="1440" w:hanging="360"/>
        <w:contextualSpacing w:val="0"/>
      </w:pPr>
      <w:r>
        <w:t>a</w:t>
      </w:r>
      <w:r w:rsidR="00720791">
        <w:t xml:space="preserve">.    </w:t>
      </w:r>
      <w:r w:rsidR="003819DA">
        <w:t>F</w:t>
      </w:r>
      <w:r w:rsidR="00720791">
        <w:t xml:space="preserve">ew of the plan’s </w:t>
      </w:r>
      <w:r w:rsidR="000A0DBC">
        <w:t>goals are stated in measurable terms.</w:t>
      </w:r>
      <w:r w:rsidR="00720791">
        <w:t xml:space="preserve"> </w:t>
      </w:r>
      <w:r w:rsidR="00A24E57">
        <w:t>The team found that the e</w:t>
      </w:r>
      <w:r w:rsidR="00514F43">
        <w:t xml:space="preserve">xpected </w:t>
      </w:r>
      <w:r w:rsidR="0057358C">
        <w:t>o</w:t>
      </w:r>
      <w:r w:rsidR="00720791">
        <w:t xml:space="preserve">utcomes </w:t>
      </w:r>
      <w:r w:rsidR="00A24E57">
        <w:t>were often</w:t>
      </w:r>
      <w:r w:rsidR="00514F43">
        <w:t xml:space="preserve"> expressed as</w:t>
      </w:r>
      <w:r w:rsidR="00720791">
        <w:t xml:space="preserve"> increases </w:t>
      </w:r>
      <w:r w:rsidR="00514F43">
        <w:t>in</w:t>
      </w:r>
      <w:r w:rsidR="000A0DBC">
        <w:t xml:space="preserve"> </w:t>
      </w:r>
      <w:r w:rsidR="00720791">
        <w:t>staff</w:t>
      </w:r>
      <w:r w:rsidR="00A24E57">
        <w:t>ing</w:t>
      </w:r>
      <w:r w:rsidR="00720791">
        <w:t>, resources</w:t>
      </w:r>
      <w:r w:rsidR="002143A6">
        <w:t>,</w:t>
      </w:r>
      <w:r w:rsidR="00720791">
        <w:t xml:space="preserve"> and opportunities. For example, </w:t>
      </w:r>
      <w:r w:rsidR="00605E05">
        <w:t xml:space="preserve">expected outcomes included </w:t>
      </w:r>
      <w:r w:rsidR="00EF0B53">
        <w:t>“</w:t>
      </w:r>
      <w:r w:rsidR="00A24E57">
        <w:t xml:space="preserve">adding the </w:t>
      </w:r>
      <w:r w:rsidR="00EF0B53">
        <w:t>c</w:t>
      </w:r>
      <w:r w:rsidR="00720791">
        <w:t xml:space="preserve">urriculum </w:t>
      </w:r>
      <w:r w:rsidR="00EF0B53">
        <w:t>c</w:t>
      </w:r>
      <w:r w:rsidR="00720791">
        <w:t xml:space="preserve">oordinator of English </w:t>
      </w:r>
      <w:r w:rsidR="00EF0B53">
        <w:t>l</w:t>
      </w:r>
      <w:r w:rsidR="00720791">
        <w:t>earner</w:t>
      </w:r>
      <w:r w:rsidR="00EF0B53">
        <w:t>s</w:t>
      </w:r>
      <w:r w:rsidR="00720791">
        <w:t xml:space="preserve"> and </w:t>
      </w:r>
      <w:r w:rsidR="00EF0B53">
        <w:t>b</w:t>
      </w:r>
      <w:r w:rsidR="00720791">
        <w:t xml:space="preserve">ilingual </w:t>
      </w:r>
      <w:r w:rsidR="00EF0B53">
        <w:t>p</w:t>
      </w:r>
      <w:r w:rsidR="00720791">
        <w:t>rograms position</w:t>
      </w:r>
      <w:r w:rsidR="0057358C">
        <w:t>,</w:t>
      </w:r>
      <w:r w:rsidR="00EF0B53">
        <w:t>”</w:t>
      </w:r>
      <w:r w:rsidR="00720791">
        <w:t xml:space="preserve"> “</w:t>
      </w:r>
      <w:r w:rsidR="00A24E57">
        <w:t xml:space="preserve">purchasing </w:t>
      </w:r>
      <w:r w:rsidR="00720791">
        <w:t>tiered math intervention</w:t>
      </w:r>
      <w:r w:rsidR="00A24E57">
        <w:t xml:space="preserve"> materials</w:t>
      </w:r>
      <w:r w:rsidR="00720791">
        <w:t xml:space="preserve"> for </w:t>
      </w:r>
      <w:r w:rsidR="00A24E57">
        <w:t xml:space="preserve">the </w:t>
      </w:r>
      <w:r w:rsidR="00720791">
        <w:t>elementary schools</w:t>
      </w:r>
      <w:r w:rsidR="00D85ADE">
        <w:t>,</w:t>
      </w:r>
      <w:r w:rsidR="00720791">
        <w:t>”</w:t>
      </w:r>
      <w:r w:rsidR="0057358C">
        <w:t xml:space="preserve"> and</w:t>
      </w:r>
      <w:r w:rsidR="00720791">
        <w:t xml:space="preserve"> “</w:t>
      </w:r>
      <w:r w:rsidR="00A24E57">
        <w:t xml:space="preserve">increasing </w:t>
      </w:r>
      <w:r w:rsidR="00720791">
        <w:t xml:space="preserve">staff capacity to be responsive to students affected by trauma and other adversities.”                             </w:t>
      </w:r>
    </w:p>
    <w:p w14:paraId="13B2B492" w14:textId="58772D42" w:rsidR="00720791" w:rsidRDefault="00B778D4" w:rsidP="00720791">
      <w:pPr>
        <w:pStyle w:val="ListParagraph"/>
        <w:tabs>
          <w:tab w:val="left" w:pos="360"/>
          <w:tab w:val="left" w:pos="720"/>
          <w:tab w:val="left" w:pos="1080"/>
          <w:tab w:val="left" w:pos="1440"/>
          <w:tab w:val="left" w:pos="1800"/>
          <w:tab w:val="left" w:pos="2160"/>
        </w:tabs>
        <w:ind w:left="1440" w:hanging="360"/>
        <w:contextualSpacing w:val="0"/>
      </w:pPr>
      <w:r>
        <w:t>b</w:t>
      </w:r>
      <w:r w:rsidR="00720791">
        <w:t xml:space="preserve">.    </w:t>
      </w:r>
      <w:r w:rsidR="00514F43">
        <w:t xml:space="preserve">The team found that few </w:t>
      </w:r>
      <w:r w:rsidR="00720791">
        <w:t>of the sections for</w:t>
      </w:r>
      <w:r w:rsidR="00E27925">
        <w:t xml:space="preserve"> listing goals and</w:t>
      </w:r>
      <w:r w:rsidR="00514F43">
        <w:t xml:space="preserve"> reporting</w:t>
      </w:r>
      <w:r w:rsidR="00720791">
        <w:t xml:space="preserve"> progress</w:t>
      </w:r>
      <w:r w:rsidR="0029648D">
        <w:t xml:space="preserve"> </w:t>
      </w:r>
      <w:r w:rsidR="00514F43">
        <w:t xml:space="preserve">in the strategic plan </w:t>
      </w:r>
      <w:r w:rsidR="00720791">
        <w:t xml:space="preserve">contained disaggregated data. </w:t>
      </w:r>
    </w:p>
    <w:p w14:paraId="49C60B79" w14:textId="12A33440" w:rsidR="00720791" w:rsidRDefault="00DD0BA1" w:rsidP="00720791">
      <w:pPr>
        <w:tabs>
          <w:tab w:val="left" w:pos="360"/>
          <w:tab w:val="left" w:pos="720"/>
          <w:tab w:val="left" w:pos="1080"/>
          <w:tab w:val="left" w:pos="1440"/>
          <w:tab w:val="left" w:pos="1800"/>
          <w:tab w:val="left" w:pos="2160"/>
        </w:tabs>
        <w:ind w:left="1080" w:hanging="360"/>
      </w:pPr>
      <w:r>
        <w:t>3</w:t>
      </w:r>
      <w:r w:rsidR="00720791">
        <w:t xml:space="preserve">.   </w:t>
      </w:r>
      <w:r w:rsidR="00A24E57">
        <w:t>The team found that</w:t>
      </w:r>
      <w:r w:rsidR="00720791">
        <w:t xml:space="preserve"> </w:t>
      </w:r>
      <w:r w:rsidR="00A24E57">
        <w:t>m</w:t>
      </w:r>
      <w:r w:rsidR="00514F43">
        <w:t xml:space="preserve">ost of </w:t>
      </w:r>
      <w:r w:rsidR="00720791">
        <w:t xml:space="preserve">the </w:t>
      </w:r>
      <w:r w:rsidR="00665F04">
        <w:t>SIPs</w:t>
      </w:r>
      <w:r w:rsidR="00720791">
        <w:t xml:space="preserve"> for </w:t>
      </w:r>
      <w:r w:rsidR="006160BB">
        <w:t>T</w:t>
      </w:r>
      <w:r w:rsidR="00514F43">
        <w:t xml:space="preserve">ier </w:t>
      </w:r>
      <w:r w:rsidR="00440DFC">
        <w:t xml:space="preserve">1 </w:t>
      </w:r>
      <w:r w:rsidR="00720791">
        <w:t xml:space="preserve">and </w:t>
      </w:r>
      <w:r w:rsidR="006160BB">
        <w:t>T</w:t>
      </w:r>
      <w:r w:rsidR="00514F43">
        <w:t xml:space="preserve">ier </w:t>
      </w:r>
      <w:r w:rsidR="00440DFC">
        <w:t xml:space="preserve">2 </w:t>
      </w:r>
      <w:r w:rsidR="00720791">
        <w:t xml:space="preserve">schools </w:t>
      </w:r>
      <w:r w:rsidR="002143A6">
        <w:t xml:space="preserve">were missing </w:t>
      </w:r>
      <w:r w:rsidR="00720791">
        <w:t>disaggregated data</w:t>
      </w:r>
      <w:r w:rsidR="00C423B1">
        <w:t>.</w:t>
      </w:r>
    </w:p>
    <w:p w14:paraId="58AB01CE" w14:textId="2D917E10" w:rsidR="00F90B6C" w:rsidRDefault="00720791" w:rsidP="00A50D17">
      <w:pPr>
        <w:pStyle w:val="ListParagraph"/>
        <w:numPr>
          <w:ilvl w:val="7"/>
          <w:numId w:val="30"/>
        </w:numPr>
        <w:tabs>
          <w:tab w:val="left" w:pos="360"/>
          <w:tab w:val="left" w:pos="720"/>
          <w:tab w:val="left" w:pos="1080"/>
          <w:tab w:val="left" w:pos="1440"/>
          <w:tab w:val="left" w:pos="1800"/>
          <w:tab w:val="left" w:pos="2160"/>
        </w:tabs>
        <w:ind w:left="1440"/>
      </w:pPr>
      <w:r>
        <w:t xml:space="preserve">One exception </w:t>
      </w:r>
      <w:r w:rsidR="00514F43">
        <w:t xml:space="preserve">was </w:t>
      </w:r>
      <w:r>
        <w:t xml:space="preserve">the high school’s SIP which, based on available 2017 data, cited the increasing dropout rate </w:t>
      </w:r>
      <w:r w:rsidR="00514F43">
        <w:t xml:space="preserve">for </w:t>
      </w:r>
      <w:r>
        <w:t>E</w:t>
      </w:r>
      <w:r w:rsidR="002143A6">
        <w:t>nglish learners</w:t>
      </w:r>
      <w:r w:rsidR="00E27925">
        <w:t>, which changed</w:t>
      </w:r>
      <w:r>
        <w:t xml:space="preserve"> from 5.0</w:t>
      </w:r>
      <w:r w:rsidR="00514F43">
        <w:t xml:space="preserve"> percent </w:t>
      </w:r>
      <w:r w:rsidR="00665F04">
        <w:t xml:space="preserve">in 2015–2016 </w:t>
      </w:r>
      <w:r>
        <w:t>to 10.3</w:t>
      </w:r>
      <w:r w:rsidR="00514F43">
        <w:t xml:space="preserve"> percent </w:t>
      </w:r>
      <w:r w:rsidR="00665F04">
        <w:t>in 2016–2017.</w:t>
      </w:r>
      <w:r w:rsidR="00B778D4">
        <w:t xml:space="preserve"> </w:t>
      </w:r>
      <w:r>
        <w:t xml:space="preserve">However, the SIP did not </w:t>
      </w:r>
      <w:r w:rsidR="00A24E57">
        <w:t xml:space="preserve">address </w:t>
      </w:r>
      <w:r>
        <w:t>the increased dropout rate for Hispanic</w:t>
      </w:r>
      <w:r w:rsidR="00E27925">
        <w:t>/Latino</w:t>
      </w:r>
      <w:r>
        <w:t xml:space="preserve"> students (from 4.0</w:t>
      </w:r>
      <w:r w:rsidR="00514F43">
        <w:t xml:space="preserve"> percent </w:t>
      </w:r>
      <w:r w:rsidR="00665F04">
        <w:t xml:space="preserve">in 2015–2016 </w:t>
      </w:r>
      <w:r>
        <w:t xml:space="preserve">to </w:t>
      </w:r>
      <w:r w:rsidR="00440DFC">
        <w:t xml:space="preserve">8.0 </w:t>
      </w:r>
      <w:r w:rsidR="00514F43">
        <w:t>percent)</w:t>
      </w:r>
      <w:r w:rsidR="00665F04">
        <w:t xml:space="preserve"> in 2016–2017</w:t>
      </w:r>
      <w:r w:rsidR="00514F43">
        <w:t xml:space="preserve"> </w:t>
      </w:r>
      <w:r w:rsidR="006160BB">
        <w:t xml:space="preserve">and </w:t>
      </w:r>
      <w:r w:rsidR="001D7343">
        <w:t>was missing</w:t>
      </w:r>
      <w:r w:rsidR="006160BB">
        <w:t xml:space="preserve"> </w:t>
      </w:r>
      <w:r>
        <w:t xml:space="preserve">measurable </w:t>
      </w:r>
      <w:r w:rsidR="00E27925">
        <w:t xml:space="preserve">goals </w:t>
      </w:r>
      <w:r>
        <w:t xml:space="preserve">for decreasing </w:t>
      </w:r>
      <w:r w:rsidR="00FF5920">
        <w:t xml:space="preserve">these </w:t>
      </w:r>
      <w:r>
        <w:t>high</w:t>
      </w:r>
      <w:r w:rsidR="001D7343">
        <w:t xml:space="preserve"> </w:t>
      </w:r>
      <w:r>
        <w:t>dropout rates.</w:t>
      </w:r>
    </w:p>
    <w:p w14:paraId="42147DB4" w14:textId="3B3ABD75" w:rsidR="00B778D4" w:rsidRDefault="00DD0BA1" w:rsidP="00F90B6C">
      <w:pPr>
        <w:tabs>
          <w:tab w:val="left" w:pos="360"/>
          <w:tab w:val="left" w:pos="720"/>
          <w:tab w:val="left" w:pos="1080"/>
          <w:tab w:val="left" w:pos="1440"/>
          <w:tab w:val="left" w:pos="1800"/>
          <w:tab w:val="left" w:pos="2160"/>
        </w:tabs>
        <w:ind w:left="1080" w:hanging="360"/>
      </w:pPr>
      <w:r>
        <w:t>4</w:t>
      </w:r>
      <w:r w:rsidR="00F90B6C">
        <w:t xml:space="preserve">.   </w:t>
      </w:r>
      <w:r w:rsidR="00A66BFC">
        <w:tab/>
      </w:r>
      <w:r w:rsidR="008603EB">
        <w:t>Most</w:t>
      </w:r>
      <w:r w:rsidR="00FF5920" w:rsidRPr="00B474FA">
        <w:t xml:space="preserve"> </w:t>
      </w:r>
      <w:r w:rsidR="00720791" w:rsidRPr="00B474FA">
        <w:t xml:space="preserve">SIPs did not meet the criteria listed in </w:t>
      </w:r>
      <w:r w:rsidR="00FF5920">
        <w:t xml:space="preserve">a </w:t>
      </w:r>
      <w:r w:rsidR="0057358C">
        <w:t>s</w:t>
      </w:r>
      <w:r w:rsidR="00720791" w:rsidRPr="00B474FA">
        <w:t xml:space="preserve">chool </w:t>
      </w:r>
      <w:r w:rsidR="0057358C">
        <w:t>c</w:t>
      </w:r>
      <w:r w:rsidR="00720791" w:rsidRPr="00B474FA">
        <w:t xml:space="preserve">ommittee </w:t>
      </w:r>
      <w:r w:rsidR="0057358C">
        <w:t>p</w:t>
      </w:r>
      <w:r w:rsidR="00720791" w:rsidRPr="00B474FA">
        <w:t>olicy which states</w:t>
      </w:r>
      <w:r w:rsidR="00FF5920">
        <w:t xml:space="preserve"> that</w:t>
      </w:r>
      <w:r w:rsidR="00720791" w:rsidRPr="00B474FA">
        <w:t xml:space="preserve"> “the </w:t>
      </w:r>
      <w:r w:rsidR="00514F43">
        <w:t>s</w:t>
      </w:r>
      <w:r w:rsidR="00514F43" w:rsidRPr="00B474FA">
        <w:t xml:space="preserve">chool </w:t>
      </w:r>
      <w:r w:rsidR="00514F43">
        <w:t>i</w:t>
      </w:r>
      <w:r w:rsidR="00514F43" w:rsidRPr="00B474FA">
        <w:t xml:space="preserve">mprovement </w:t>
      </w:r>
      <w:r w:rsidR="00514F43">
        <w:t>p</w:t>
      </w:r>
      <w:r w:rsidR="00514F43" w:rsidRPr="00B474FA">
        <w:t xml:space="preserve">lan </w:t>
      </w:r>
      <w:r w:rsidR="00720791" w:rsidRPr="00B474FA">
        <w:t xml:space="preserve">should </w:t>
      </w:r>
      <w:r w:rsidR="00514F43">
        <w:t>“</w:t>
      </w:r>
      <w:r w:rsidR="00720791">
        <w:t>s</w:t>
      </w:r>
      <w:r w:rsidR="00720791" w:rsidRPr="00F90B6C">
        <w:rPr>
          <w:color w:val="000000"/>
          <w:shd w:val="clear" w:color="auto" w:fill="FFFFFF"/>
        </w:rPr>
        <w:t>pecify expected student outcomes and measurable/observable results.”</w:t>
      </w:r>
    </w:p>
    <w:p w14:paraId="06EC168B" w14:textId="0660697B" w:rsidR="00720791" w:rsidRDefault="00FF5920" w:rsidP="00A50D17">
      <w:pPr>
        <w:pStyle w:val="ListParagraph"/>
        <w:numPr>
          <w:ilvl w:val="7"/>
          <w:numId w:val="50"/>
        </w:numPr>
        <w:tabs>
          <w:tab w:val="left" w:pos="360"/>
          <w:tab w:val="left" w:pos="720"/>
          <w:tab w:val="left" w:pos="1080"/>
          <w:tab w:val="left" w:pos="1440"/>
          <w:tab w:val="left" w:pos="1800"/>
          <w:tab w:val="left" w:pos="2160"/>
        </w:tabs>
        <w:ind w:left="1440"/>
      </w:pPr>
      <w:r>
        <w:lastRenderedPageBreak/>
        <w:t>Only one</w:t>
      </w:r>
      <w:r w:rsidR="00720791" w:rsidRPr="00AE2B9D">
        <w:t xml:space="preserve"> SIP</w:t>
      </w:r>
      <w:r w:rsidR="00EC5B5A">
        <w:t xml:space="preserve"> </w:t>
      </w:r>
      <w:r w:rsidR="00720791" w:rsidRPr="00AE2B9D">
        <w:t xml:space="preserve">contained outcomes written in the SMART </w:t>
      </w:r>
      <w:r w:rsidR="0057358C">
        <w:t>goal</w:t>
      </w:r>
      <w:r w:rsidR="00665F04">
        <w:rPr>
          <w:rStyle w:val="FootnoteReference"/>
        </w:rPr>
        <w:footnoteReference w:id="8"/>
      </w:r>
      <w:r w:rsidR="0057358C">
        <w:t xml:space="preserve"> </w:t>
      </w:r>
      <w:r w:rsidR="00720791" w:rsidRPr="00AE2B9D">
        <w:t xml:space="preserve">format. </w:t>
      </w:r>
    </w:p>
    <w:p w14:paraId="31DA7B88" w14:textId="6C25CB3B" w:rsidR="00720791" w:rsidRPr="007737FF" w:rsidRDefault="00440DFC" w:rsidP="00406A80">
      <w:pPr>
        <w:tabs>
          <w:tab w:val="left" w:pos="360"/>
          <w:tab w:val="left" w:pos="720"/>
          <w:tab w:val="left" w:pos="6495"/>
        </w:tabs>
        <w:ind w:left="720" w:hanging="1080"/>
      </w:pPr>
      <w:r>
        <w:tab/>
      </w:r>
      <w:r w:rsidR="00F55F43" w:rsidRPr="00406A80">
        <w:rPr>
          <w:b/>
          <w:bCs/>
        </w:rPr>
        <w:t>C.</w:t>
      </w:r>
      <w:r w:rsidR="00F55F43">
        <w:tab/>
      </w:r>
      <w:r w:rsidR="00FC7C6F">
        <w:t>A</w:t>
      </w:r>
      <w:r w:rsidR="000D3F4E">
        <w:t xml:space="preserve">dministrators and staff </w:t>
      </w:r>
      <w:r w:rsidR="002579BF">
        <w:t>reported</w:t>
      </w:r>
      <w:r w:rsidR="000D3F4E">
        <w:t xml:space="preserve"> that the district </w:t>
      </w:r>
      <w:r w:rsidR="00FC7C6F">
        <w:t>was</w:t>
      </w:r>
      <w:r w:rsidR="000D3F4E">
        <w:t xml:space="preserve"> aware of the need to </w:t>
      </w:r>
      <w:r w:rsidR="000D3F4E" w:rsidRPr="007737FF">
        <w:t>improv</w:t>
      </w:r>
      <w:r w:rsidR="000D3F4E">
        <w:t>e</w:t>
      </w:r>
      <w:r w:rsidR="000D3F4E" w:rsidRPr="007737FF">
        <w:t xml:space="preserve"> </w:t>
      </w:r>
      <w:r w:rsidR="00720791">
        <w:t xml:space="preserve">the management and use of many metrics </w:t>
      </w:r>
      <w:proofErr w:type="gramStart"/>
      <w:r w:rsidR="00720791">
        <w:t>in order to</w:t>
      </w:r>
      <w:proofErr w:type="gramEnd"/>
      <w:r w:rsidR="00720791">
        <w:t xml:space="preserve"> effectively m</w:t>
      </w:r>
      <w:r w:rsidR="00720791" w:rsidRPr="007737FF">
        <w:t>easur</w:t>
      </w:r>
      <w:r w:rsidR="00720791">
        <w:t>e</w:t>
      </w:r>
      <w:r w:rsidR="00720791" w:rsidRPr="007737FF">
        <w:t xml:space="preserve"> learning outcomes</w:t>
      </w:r>
      <w:r w:rsidR="00720791">
        <w:t xml:space="preserve"> </w:t>
      </w:r>
      <w:r w:rsidR="00FC7C6F">
        <w:t xml:space="preserve">for groups of students </w:t>
      </w:r>
      <w:r w:rsidR="00720791">
        <w:t xml:space="preserve">in </w:t>
      </w:r>
      <w:r w:rsidR="0089285B">
        <w:t xml:space="preserve">the </w:t>
      </w:r>
      <w:r w:rsidR="00720791">
        <w:t>district</w:t>
      </w:r>
      <w:r w:rsidR="0089285B">
        <w:t>’s</w:t>
      </w:r>
      <w:r w:rsidR="00720791">
        <w:t xml:space="preserve"> planning documents.</w:t>
      </w:r>
      <w:r w:rsidR="00720791" w:rsidRPr="00DD0BA1">
        <w:rPr>
          <w:b/>
        </w:rPr>
        <w:t xml:space="preserve"> </w:t>
      </w:r>
    </w:p>
    <w:p w14:paraId="1AE288F5" w14:textId="00F28C13" w:rsidR="00720791" w:rsidRPr="00047E4D" w:rsidRDefault="0035799C" w:rsidP="00406A80">
      <w:pPr>
        <w:ind w:left="1080" w:hanging="360"/>
      </w:pPr>
      <w:r>
        <w:t>1.</w:t>
      </w:r>
      <w:r>
        <w:tab/>
      </w:r>
      <w:r w:rsidR="00FC7C6F">
        <w:t>I</w:t>
      </w:r>
      <w:r w:rsidR="00720791" w:rsidRPr="00047E4D">
        <w:t xml:space="preserve">nterviews </w:t>
      </w:r>
      <w:r w:rsidR="00FC7C6F">
        <w:t xml:space="preserve">and a review of the minutes of school committee meetings and other </w:t>
      </w:r>
      <w:r w:rsidR="00720791" w:rsidRPr="00047E4D">
        <w:t>documents indicated that the districts’ planning documents need</w:t>
      </w:r>
      <w:r w:rsidR="00FC7C6F">
        <w:t>ed</w:t>
      </w:r>
      <w:r w:rsidR="00720791" w:rsidRPr="00047E4D">
        <w:t xml:space="preserve"> to include more measurable outcomes</w:t>
      </w:r>
      <w:r w:rsidR="00D85ADE">
        <w:t xml:space="preserve"> for student achievement and performance,</w:t>
      </w:r>
      <w:r w:rsidR="00720791" w:rsidRPr="00047E4D">
        <w:t xml:space="preserve"> including SMART goal</w:t>
      </w:r>
      <w:r w:rsidR="00D85ADE">
        <w:t>s</w:t>
      </w:r>
      <w:r w:rsidR="00720791" w:rsidRPr="00047E4D">
        <w:t>.</w:t>
      </w:r>
    </w:p>
    <w:p w14:paraId="27C25FF0" w14:textId="19215D8F" w:rsidR="00720791" w:rsidRPr="00740C16" w:rsidRDefault="003A5BC8" w:rsidP="00406A80">
      <w:pPr>
        <w:tabs>
          <w:tab w:val="left" w:pos="360"/>
          <w:tab w:val="left" w:pos="720"/>
          <w:tab w:val="left" w:pos="1080"/>
          <w:tab w:val="left" w:pos="1440"/>
          <w:tab w:val="left" w:pos="1800"/>
          <w:tab w:val="left" w:pos="2160"/>
        </w:tabs>
        <w:ind w:left="1080" w:hanging="1080"/>
      </w:pPr>
      <w:r>
        <w:tab/>
      </w:r>
      <w:r>
        <w:tab/>
        <w:t>2.</w:t>
      </w:r>
      <w:r>
        <w:tab/>
      </w:r>
      <w:r w:rsidR="00720791">
        <w:t xml:space="preserve">In the district’s </w:t>
      </w:r>
      <w:r w:rsidR="0089285B">
        <w:t>2017–2020 Annotated Strategic Plan</w:t>
      </w:r>
      <w:r w:rsidR="00720791">
        <w:t xml:space="preserve">, </w:t>
      </w:r>
      <w:r w:rsidR="00D85ADE">
        <w:t>s</w:t>
      </w:r>
      <w:r w:rsidR="00720791">
        <w:t xml:space="preserve">trategy 2.1.1 cites the need </w:t>
      </w:r>
      <w:r w:rsidR="000D3F4E">
        <w:t xml:space="preserve">to </w:t>
      </w:r>
      <w:r w:rsidR="00720791">
        <w:t>develop appropriate planning metrics</w:t>
      </w:r>
      <w:r w:rsidR="000D3F4E">
        <w:t xml:space="preserve"> and</w:t>
      </w:r>
      <w:r w:rsidR="005758EA">
        <w:t xml:space="preserve"> to</w:t>
      </w:r>
      <w:r w:rsidR="000D3F4E">
        <w:t xml:space="preserve"> </w:t>
      </w:r>
      <w:r w:rsidR="00720791">
        <w:t xml:space="preserve">use data sources </w:t>
      </w:r>
      <w:r w:rsidR="005758EA">
        <w:t>“</w:t>
      </w:r>
      <w:r w:rsidR="000D3F4E">
        <w:t xml:space="preserve">systematically </w:t>
      </w:r>
      <w:r w:rsidR="00720791">
        <w:t xml:space="preserve">for both academic and non-academic needs.” </w:t>
      </w:r>
    </w:p>
    <w:p w14:paraId="4F4F460E" w14:textId="01ED4AC3" w:rsidR="00F90B6C" w:rsidRDefault="008878DF" w:rsidP="00406A80">
      <w:pPr>
        <w:tabs>
          <w:tab w:val="left" w:pos="360"/>
          <w:tab w:val="left" w:pos="720"/>
          <w:tab w:val="left" w:pos="1080"/>
          <w:tab w:val="left" w:pos="1440"/>
          <w:tab w:val="left" w:pos="1800"/>
          <w:tab w:val="left" w:pos="2160"/>
        </w:tabs>
        <w:ind w:left="1080" w:hanging="1080"/>
      </w:pPr>
      <w:r>
        <w:tab/>
      </w:r>
      <w:r>
        <w:tab/>
        <w:t>3.</w:t>
      </w:r>
      <w:r>
        <w:tab/>
      </w:r>
      <w:r w:rsidR="00720791">
        <w:t xml:space="preserve">The school committee has begun a process for identifying metrics that measure plan-based strategies and initiatives. At the March 19, 2018 </w:t>
      </w:r>
      <w:r w:rsidR="005758EA">
        <w:t xml:space="preserve">school committee </w:t>
      </w:r>
      <w:r w:rsidR="00720791">
        <w:t>meeting</w:t>
      </w:r>
      <w:r w:rsidR="002579BF">
        <w:t>,</w:t>
      </w:r>
      <w:r w:rsidR="00720791">
        <w:t xml:space="preserve"> </w:t>
      </w:r>
      <w:r w:rsidR="005758EA">
        <w:t>members of the</w:t>
      </w:r>
      <w:r w:rsidR="00720791">
        <w:t xml:space="preserve"> subcommittee on accountability and student achievement, four school committee members and </w:t>
      </w:r>
      <w:r w:rsidR="005758EA">
        <w:t xml:space="preserve">other </w:t>
      </w:r>
      <w:r w:rsidR="00720791">
        <w:t xml:space="preserve">participants initiated a process for answering the following questions: “How do we know if the Framingham Public Schools are successful? How do we measure that success? Are the </w:t>
      </w:r>
      <w:r w:rsidR="000D3F4E">
        <w:t xml:space="preserve">Framingham Public Schools </w:t>
      </w:r>
      <w:r w:rsidR="00720791">
        <w:t xml:space="preserve">providing equity, access, and opportunity for all students so that they may succeed and thrive?” </w:t>
      </w:r>
    </w:p>
    <w:p w14:paraId="2E1319D8" w14:textId="6500C58A" w:rsidR="00803EE7" w:rsidRDefault="00720791" w:rsidP="00A50D17">
      <w:pPr>
        <w:pStyle w:val="ListParagraph"/>
        <w:numPr>
          <w:ilvl w:val="7"/>
          <w:numId w:val="36"/>
        </w:numPr>
        <w:tabs>
          <w:tab w:val="left" w:pos="360"/>
          <w:tab w:val="left" w:pos="720"/>
          <w:tab w:val="left" w:pos="1080"/>
          <w:tab w:val="left" w:pos="1440"/>
          <w:tab w:val="left" w:pos="1800"/>
          <w:tab w:val="left" w:pos="2160"/>
        </w:tabs>
        <w:ind w:left="1440"/>
        <w:contextualSpacing w:val="0"/>
      </w:pPr>
      <w:r>
        <w:t xml:space="preserve">The subcommittee members and participants brainstormed a comprehensive list of 38 metrics and </w:t>
      </w:r>
      <w:r w:rsidR="00FC7C6F">
        <w:t xml:space="preserve">7 </w:t>
      </w:r>
      <w:r>
        <w:t xml:space="preserve">methods for measuring success for </w:t>
      </w:r>
      <w:r w:rsidR="00FC7C6F">
        <w:t xml:space="preserve">various groups of </w:t>
      </w:r>
      <w:r>
        <w:t>student</w:t>
      </w:r>
      <w:r w:rsidR="00FC7C6F">
        <w:t>s</w:t>
      </w:r>
      <w:r>
        <w:t xml:space="preserve">. </w:t>
      </w:r>
      <w:r w:rsidR="00D85ADE">
        <w:t xml:space="preserve"> </w:t>
      </w:r>
    </w:p>
    <w:p w14:paraId="25BF20BA" w14:textId="73625AF1" w:rsidR="00B677C2" w:rsidRPr="000B234F" w:rsidRDefault="00720791" w:rsidP="00406A80">
      <w:pPr>
        <w:pStyle w:val="ListParagraph"/>
        <w:numPr>
          <w:ilvl w:val="0"/>
          <w:numId w:val="36"/>
        </w:numPr>
        <w:contextualSpacing w:val="0"/>
      </w:pPr>
      <w:r w:rsidRPr="000B234F">
        <w:t xml:space="preserve">A district </w:t>
      </w:r>
      <w:r w:rsidR="005758EA">
        <w:t>leader</w:t>
      </w:r>
      <w:r w:rsidR="005758EA" w:rsidRPr="000B234F">
        <w:t xml:space="preserve"> </w:t>
      </w:r>
      <w:r w:rsidR="0045666F">
        <w:t xml:space="preserve">said that the district had all the data it </w:t>
      </w:r>
      <w:r w:rsidR="00834082">
        <w:t>needed but</w:t>
      </w:r>
      <w:r w:rsidR="0045666F">
        <w:t xml:space="preserve"> needed to “</w:t>
      </w:r>
      <w:r w:rsidRPr="000B234F">
        <w:t xml:space="preserve">figure out the focus.” </w:t>
      </w:r>
      <w:r>
        <w:t xml:space="preserve"> </w:t>
      </w:r>
      <w:r w:rsidR="005758EA">
        <w:t>The</w:t>
      </w:r>
      <w:r w:rsidRPr="00D44228">
        <w:t xml:space="preserve"> superintendent described </w:t>
      </w:r>
      <w:r w:rsidR="0045666F">
        <w:t xml:space="preserve">data analysis </w:t>
      </w:r>
      <w:r w:rsidR="00164453">
        <w:t>as solving “</w:t>
      </w:r>
      <w:r w:rsidRPr="00D44228">
        <w:t>an amazing puzzle, the convergence of so many variables</w:t>
      </w:r>
      <w:r w:rsidR="00F330D3">
        <w:t xml:space="preserve">.” </w:t>
      </w:r>
      <w:r w:rsidR="005758EA">
        <w:t>He</w:t>
      </w:r>
      <w:r w:rsidRPr="00D44228">
        <w:t xml:space="preserve"> </w:t>
      </w:r>
      <w:r w:rsidR="0045666F">
        <w:t xml:space="preserve">added </w:t>
      </w:r>
      <w:r w:rsidRPr="00D44228">
        <w:t xml:space="preserve">that with </w:t>
      </w:r>
      <w:r w:rsidR="0045666F">
        <w:t xml:space="preserve">the availability of </w:t>
      </w:r>
      <w:r w:rsidRPr="00D44228">
        <w:t xml:space="preserve">more baseline data, future </w:t>
      </w:r>
      <w:r w:rsidR="005758EA" w:rsidRPr="00D44228">
        <w:t>plan</w:t>
      </w:r>
      <w:r w:rsidR="005758EA">
        <w:t>ning</w:t>
      </w:r>
      <w:r w:rsidR="005758EA" w:rsidRPr="00D44228">
        <w:t xml:space="preserve"> </w:t>
      </w:r>
      <w:r w:rsidR="0045666F">
        <w:t>c</w:t>
      </w:r>
      <w:r w:rsidR="009B532B">
        <w:t>ould</w:t>
      </w:r>
      <w:r w:rsidR="0045666F">
        <w:t xml:space="preserve"> </w:t>
      </w:r>
      <w:r w:rsidRPr="00D44228">
        <w:t xml:space="preserve">include specific measurable benchmarks. </w:t>
      </w:r>
      <w:r>
        <w:t xml:space="preserve"> </w:t>
      </w:r>
    </w:p>
    <w:p w14:paraId="4BFEBEF6" w14:textId="22CDF835" w:rsidR="00F330D3" w:rsidRDefault="00720791" w:rsidP="008D5152">
      <w:pPr>
        <w:pStyle w:val="ListParagraph"/>
        <w:tabs>
          <w:tab w:val="left" w:pos="360"/>
          <w:tab w:val="left" w:pos="720"/>
          <w:tab w:val="left" w:pos="1080"/>
          <w:tab w:val="left" w:pos="1440"/>
          <w:tab w:val="left" w:pos="1800"/>
          <w:tab w:val="left" w:pos="2160"/>
        </w:tabs>
        <w:ind w:left="0"/>
        <w:contextualSpacing w:val="0"/>
      </w:pPr>
      <w:r w:rsidRPr="0097461D">
        <w:rPr>
          <w:b/>
        </w:rPr>
        <w:t>Impact:</w:t>
      </w:r>
      <w:r>
        <w:t xml:space="preserve">  </w:t>
      </w:r>
      <w:r w:rsidRPr="00641A9E">
        <w:t xml:space="preserve">Without the </w:t>
      </w:r>
      <w:r w:rsidR="002579BF">
        <w:t>analysis</w:t>
      </w:r>
      <w:r w:rsidRPr="00641A9E">
        <w:t xml:space="preserve"> </w:t>
      </w:r>
      <w:r w:rsidR="002579BF">
        <w:t xml:space="preserve">of </w:t>
      </w:r>
      <w:r w:rsidRPr="00641A9E">
        <w:t xml:space="preserve">disaggregated </w:t>
      </w:r>
      <w:r w:rsidR="00790B52">
        <w:t>data</w:t>
      </w:r>
      <w:r w:rsidRPr="00641A9E">
        <w:t xml:space="preserve">, educators, students, </w:t>
      </w:r>
      <w:r w:rsidR="00E7382E">
        <w:t>families,</w:t>
      </w:r>
      <w:r w:rsidR="00E7382E" w:rsidRPr="00641A9E">
        <w:t xml:space="preserve"> </w:t>
      </w:r>
      <w:r w:rsidRPr="00641A9E">
        <w:t xml:space="preserve">and </w:t>
      </w:r>
      <w:r w:rsidR="00E7382E">
        <w:t xml:space="preserve">other </w:t>
      </w:r>
      <w:r w:rsidRPr="00641A9E">
        <w:t xml:space="preserve">stakeholders </w:t>
      </w:r>
      <w:r w:rsidR="0045666F">
        <w:t xml:space="preserve">cannot </w:t>
      </w:r>
      <w:r w:rsidR="002579BF">
        <w:t>determine whether</w:t>
      </w:r>
      <w:r w:rsidRPr="00641A9E">
        <w:t xml:space="preserve"> planned initiatives are </w:t>
      </w:r>
      <w:r w:rsidR="002579BF">
        <w:t>closing the</w:t>
      </w:r>
      <w:r w:rsidRPr="00641A9E">
        <w:t xml:space="preserve"> gaps in </w:t>
      </w:r>
      <w:r w:rsidR="002579BF">
        <w:t xml:space="preserve">the performance of </w:t>
      </w:r>
      <w:r w:rsidR="00164453">
        <w:t xml:space="preserve">student </w:t>
      </w:r>
      <w:r w:rsidR="002579BF" w:rsidRPr="00641A9E">
        <w:t>groups</w:t>
      </w:r>
      <w:r w:rsidR="002579BF">
        <w:t>.</w:t>
      </w:r>
      <w:r w:rsidR="002579BF" w:rsidRPr="00641A9E">
        <w:t xml:space="preserve"> </w:t>
      </w:r>
      <w:r w:rsidRPr="00641A9E">
        <w:t xml:space="preserve">Planning that </w:t>
      </w:r>
      <w:r w:rsidR="007B1859">
        <w:t>is missing</w:t>
      </w:r>
      <w:r w:rsidR="007B1859" w:rsidRPr="00641A9E">
        <w:t xml:space="preserve"> </w:t>
      </w:r>
      <w:r w:rsidR="002579BF" w:rsidRPr="00641A9E">
        <w:t xml:space="preserve">specific measurable outcomes </w:t>
      </w:r>
      <w:r w:rsidR="002579BF">
        <w:t xml:space="preserve">and </w:t>
      </w:r>
      <w:r w:rsidRPr="00641A9E">
        <w:t>clear an</w:t>
      </w:r>
      <w:r w:rsidR="00591E71">
        <w:t>d</w:t>
      </w:r>
      <w:r w:rsidRPr="00641A9E">
        <w:t xml:space="preserve"> effective data</w:t>
      </w:r>
      <w:r w:rsidR="002579BF">
        <w:t xml:space="preserve"> analysis</w:t>
      </w:r>
      <w:r w:rsidRPr="00641A9E">
        <w:t xml:space="preserve"> procedures</w:t>
      </w:r>
      <w:r w:rsidR="0045666F">
        <w:t xml:space="preserve"> </w:t>
      </w:r>
      <w:r w:rsidR="00591E71">
        <w:t xml:space="preserve">cannot </w:t>
      </w:r>
      <w:r w:rsidR="005C5CDC">
        <w:t xml:space="preserve">effectively </w:t>
      </w:r>
      <w:r w:rsidR="005C5CDC" w:rsidRPr="005C5CDC">
        <w:t>drive the development, implementation, and modification of educational programs and practices</w:t>
      </w:r>
      <w:r w:rsidRPr="00641A9E">
        <w:t>.</w:t>
      </w:r>
      <w:r>
        <w:t xml:space="preserve">            </w:t>
      </w:r>
    </w:p>
    <w:p w14:paraId="1AD07385" w14:textId="77777777" w:rsidR="004F0348" w:rsidRDefault="00720791" w:rsidP="00720791">
      <w:pPr>
        <w:pStyle w:val="ListParagraph"/>
        <w:tabs>
          <w:tab w:val="left" w:pos="360"/>
          <w:tab w:val="left" w:pos="720"/>
          <w:tab w:val="left" w:pos="1080"/>
          <w:tab w:val="left" w:pos="1440"/>
          <w:tab w:val="left" w:pos="1800"/>
          <w:tab w:val="left" w:pos="2160"/>
        </w:tabs>
        <w:ind w:left="0"/>
        <w:contextualSpacing w:val="0"/>
      </w:pPr>
      <w:r>
        <w:t xml:space="preserve">         </w:t>
      </w:r>
    </w:p>
    <w:p w14:paraId="0FE9E97D" w14:textId="77777777" w:rsidR="004F0348" w:rsidRDefault="004F0348" w:rsidP="00720791">
      <w:pPr>
        <w:pStyle w:val="ListParagraph"/>
        <w:tabs>
          <w:tab w:val="left" w:pos="360"/>
          <w:tab w:val="left" w:pos="720"/>
          <w:tab w:val="left" w:pos="1080"/>
          <w:tab w:val="left" w:pos="1440"/>
          <w:tab w:val="left" w:pos="1800"/>
          <w:tab w:val="left" w:pos="2160"/>
        </w:tabs>
        <w:ind w:left="0"/>
        <w:contextualSpacing w:val="0"/>
      </w:pPr>
    </w:p>
    <w:p w14:paraId="72444B67" w14:textId="77777777" w:rsidR="004F0348" w:rsidRDefault="004F0348" w:rsidP="00720791">
      <w:pPr>
        <w:pStyle w:val="ListParagraph"/>
        <w:tabs>
          <w:tab w:val="left" w:pos="360"/>
          <w:tab w:val="left" w:pos="720"/>
          <w:tab w:val="left" w:pos="1080"/>
          <w:tab w:val="left" w:pos="1440"/>
          <w:tab w:val="left" w:pos="1800"/>
          <w:tab w:val="left" w:pos="2160"/>
        </w:tabs>
        <w:ind w:left="0"/>
        <w:contextualSpacing w:val="0"/>
      </w:pPr>
    </w:p>
    <w:p w14:paraId="052362A2" w14:textId="7F978132" w:rsidR="008D5152" w:rsidRPr="00991100" w:rsidRDefault="00720791" w:rsidP="00720791">
      <w:pPr>
        <w:pStyle w:val="ListParagraph"/>
        <w:tabs>
          <w:tab w:val="left" w:pos="360"/>
          <w:tab w:val="left" w:pos="720"/>
          <w:tab w:val="left" w:pos="1080"/>
          <w:tab w:val="left" w:pos="1440"/>
          <w:tab w:val="left" w:pos="1800"/>
          <w:tab w:val="left" w:pos="2160"/>
        </w:tabs>
        <w:ind w:left="0"/>
        <w:contextualSpacing w:val="0"/>
        <w:rPr>
          <w:b/>
          <w:sz w:val="28"/>
          <w:szCs w:val="28"/>
        </w:rPr>
      </w:pPr>
      <w:r>
        <w:lastRenderedPageBreak/>
        <w:t xml:space="preserve">                                                                                                                                                                                                                                                                                                                                                                                                                                                                                                                                                                                               </w:t>
      </w:r>
      <w:r w:rsidRPr="00991100">
        <w:rPr>
          <w:b/>
          <w:sz w:val="28"/>
          <w:szCs w:val="28"/>
        </w:rPr>
        <w:t>Recommendation</w:t>
      </w:r>
    </w:p>
    <w:p w14:paraId="3EB813EA" w14:textId="1E6910A4" w:rsidR="00720791" w:rsidRPr="00164453" w:rsidRDefault="00720791" w:rsidP="00720791">
      <w:pPr>
        <w:pStyle w:val="ListParagraph"/>
        <w:numPr>
          <w:ilvl w:val="6"/>
          <w:numId w:val="20"/>
        </w:numPr>
        <w:tabs>
          <w:tab w:val="left" w:pos="360"/>
          <w:tab w:val="left" w:pos="720"/>
          <w:tab w:val="left" w:pos="1080"/>
          <w:tab w:val="left" w:pos="1440"/>
          <w:tab w:val="left" w:pos="1800"/>
        </w:tabs>
        <w:ind w:left="360"/>
        <w:contextualSpacing w:val="0"/>
        <w:rPr>
          <w:b/>
        </w:rPr>
      </w:pPr>
      <w:proofErr w:type="gramStart"/>
      <w:r w:rsidRPr="00164453">
        <w:rPr>
          <w:b/>
        </w:rPr>
        <w:t>In order to</w:t>
      </w:r>
      <w:proofErr w:type="gramEnd"/>
      <w:r w:rsidRPr="00164453">
        <w:rPr>
          <w:b/>
        </w:rPr>
        <w:t xml:space="preserve"> increase the </w:t>
      </w:r>
      <w:r w:rsidR="005E3817">
        <w:rPr>
          <w:b/>
        </w:rPr>
        <w:t>effectiveness of</w:t>
      </w:r>
      <w:r w:rsidR="00331310" w:rsidRPr="00164453">
        <w:rPr>
          <w:b/>
        </w:rPr>
        <w:t xml:space="preserve"> </w:t>
      </w:r>
      <w:r w:rsidRPr="00164453">
        <w:rPr>
          <w:b/>
        </w:rPr>
        <w:t xml:space="preserve">all district plans, </w:t>
      </w:r>
      <w:r w:rsidR="005E3817">
        <w:rPr>
          <w:b/>
        </w:rPr>
        <w:t xml:space="preserve">including strengthening the </w:t>
      </w:r>
      <w:r w:rsidR="00164396">
        <w:rPr>
          <w:b/>
        </w:rPr>
        <w:t xml:space="preserve">plans’ </w:t>
      </w:r>
      <w:r w:rsidR="005E3817">
        <w:rPr>
          <w:b/>
        </w:rPr>
        <w:t xml:space="preserve">focus on equity, </w:t>
      </w:r>
      <w:r w:rsidR="0030389E">
        <w:rPr>
          <w:b/>
        </w:rPr>
        <w:t>the district should improve processes</w:t>
      </w:r>
      <w:r w:rsidRPr="00164453">
        <w:rPr>
          <w:b/>
        </w:rPr>
        <w:t xml:space="preserve"> for </w:t>
      </w:r>
      <w:r w:rsidR="005E3817">
        <w:rPr>
          <w:b/>
        </w:rPr>
        <w:t>selecting</w:t>
      </w:r>
      <w:r w:rsidRPr="00164453">
        <w:rPr>
          <w:b/>
        </w:rPr>
        <w:t>, analyzing</w:t>
      </w:r>
      <w:r w:rsidR="00FE51DA">
        <w:rPr>
          <w:b/>
        </w:rPr>
        <w:t>,</w:t>
      </w:r>
      <w:r w:rsidRPr="00164453">
        <w:rPr>
          <w:b/>
        </w:rPr>
        <w:t xml:space="preserve"> and managing </w:t>
      </w:r>
      <w:r w:rsidR="005E3817">
        <w:rPr>
          <w:b/>
        </w:rPr>
        <w:t xml:space="preserve">disaggregated </w:t>
      </w:r>
      <w:r w:rsidRPr="00164453">
        <w:rPr>
          <w:b/>
        </w:rPr>
        <w:t xml:space="preserve">data.    </w:t>
      </w:r>
    </w:p>
    <w:p w14:paraId="6683CA2C" w14:textId="57831708" w:rsidR="00720791" w:rsidRPr="00BD1761" w:rsidRDefault="00720791" w:rsidP="00406A80">
      <w:pPr>
        <w:pStyle w:val="ListParagraph"/>
        <w:numPr>
          <w:ilvl w:val="1"/>
          <w:numId w:val="22"/>
        </w:numPr>
        <w:tabs>
          <w:tab w:val="left" w:pos="360"/>
          <w:tab w:val="left" w:pos="1080"/>
          <w:tab w:val="left" w:pos="1440"/>
          <w:tab w:val="left" w:pos="1800"/>
          <w:tab w:val="left" w:pos="2160"/>
        </w:tabs>
        <w:ind w:left="720"/>
        <w:contextualSpacing w:val="0"/>
      </w:pPr>
      <w:r w:rsidRPr="00BD1761">
        <w:t xml:space="preserve">The superintendent, school committee members, </w:t>
      </w:r>
      <w:r w:rsidR="002B4BC1">
        <w:t>the district leadership</w:t>
      </w:r>
      <w:r w:rsidRPr="00BD1761">
        <w:t xml:space="preserve"> team</w:t>
      </w:r>
      <w:r w:rsidR="003819DA">
        <w:t>,</w:t>
      </w:r>
      <w:r w:rsidRPr="00BD1761">
        <w:t xml:space="preserve"> and principals should review </w:t>
      </w:r>
      <w:r>
        <w:t xml:space="preserve">and discuss </w:t>
      </w:r>
      <w:r w:rsidRPr="00BD1761">
        <w:t xml:space="preserve">the list of metrics and methods of measurement that the </w:t>
      </w:r>
      <w:r>
        <w:t xml:space="preserve">school committee’s </w:t>
      </w:r>
      <w:r w:rsidRPr="00BD1761">
        <w:t xml:space="preserve">accountability subcommittee developed </w:t>
      </w:r>
      <w:r w:rsidR="008821A4">
        <w:t>i</w:t>
      </w:r>
      <w:r w:rsidRPr="00BD1761">
        <w:t>n Marc</w:t>
      </w:r>
      <w:r w:rsidR="008821A4">
        <w:t>h</w:t>
      </w:r>
      <w:r w:rsidRPr="00BD1761">
        <w:t xml:space="preserve"> 2018. They should consider developing a set of common metrics that district staff </w:t>
      </w:r>
      <w:r>
        <w:t>should</w:t>
      </w:r>
      <w:r w:rsidRPr="00BD1761">
        <w:t xml:space="preserve"> </w:t>
      </w:r>
      <w:r>
        <w:t>use</w:t>
      </w:r>
      <w:r w:rsidRPr="00BD1761">
        <w:t xml:space="preserve"> </w:t>
      </w:r>
      <w:r>
        <w:t xml:space="preserve">when </w:t>
      </w:r>
      <w:r w:rsidRPr="00BD1761">
        <w:t xml:space="preserve">developing planning documents and monitoring </w:t>
      </w:r>
      <w:r w:rsidR="000C7D83">
        <w:t>progress</w:t>
      </w:r>
      <w:r w:rsidRPr="00BD1761">
        <w:t xml:space="preserve">. </w:t>
      </w:r>
    </w:p>
    <w:p w14:paraId="68EFD7F1" w14:textId="700F167B" w:rsidR="00720791" w:rsidRDefault="00720791" w:rsidP="00720791">
      <w:pPr>
        <w:pStyle w:val="ListParagraph"/>
        <w:numPr>
          <w:ilvl w:val="3"/>
          <w:numId w:val="22"/>
        </w:numPr>
        <w:tabs>
          <w:tab w:val="left" w:pos="360"/>
          <w:tab w:val="left" w:pos="720"/>
          <w:tab w:val="left" w:pos="1080"/>
          <w:tab w:val="left" w:pos="1440"/>
          <w:tab w:val="left" w:pos="1800"/>
          <w:tab w:val="left" w:pos="2160"/>
        </w:tabs>
        <w:ind w:left="1080"/>
        <w:contextualSpacing w:val="0"/>
      </w:pPr>
      <w:r>
        <w:t xml:space="preserve">District leaders should select a manageable </w:t>
      </w:r>
      <w:r w:rsidR="00C40942">
        <w:t xml:space="preserve">combination </w:t>
      </w:r>
      <w:r>
        <w:t>of research-based metrics which address student achievement</w:t>
      </w:r>
      <w:r w:rsidR="00164453">
        <w:t xml:space="preserve"> data</w:t>
      </w:r>
      <w:r w:rsidR="00C40942">
        <w:t>, such as</w:t>
      </w:r>
      <w:r>
        <w:t xml:space="preserve"> MCAS item analysis</w:t>
      </w:r>
      <w:r w:rsidR="00C40942">
        <w:t xml:space="preserve"> data and </w:t>
      </w:r>
      <w:r>
        <w:t>formative assessment results</w:t>
      </w:r>
      <w:r w:rsidR="00220524">
        <w:t xml:space="preserve">; student outcome data such as </w:t>
      </w:r>
      <w:r>
        <w:t xml:space="preserve">chronic </w:t>
      </w:r>
      <w:r w:rsidR="0058675F">
        <w:t>absence</w:t>
      </w:r>
      <w:r>
        <w:t>, suspension, and dropout</w:t>
      </w:r>
      <w:r w:rsidR="00220524">
        <w:t xml:space="preserve"> rates</w:t>
      </w:r>
      <w:r w:rsidR="002B4BC1">
        <w:t>;</w:t>
      </w:r>
      <w:r>
        <w:t xml:space="preserve"> and</w:t>
      </w:r>
      <w:r w:rsidR="00C40942">
        <w:t xml:space="preserve"> </w:t>
      </w:r>
      <w:r w:rsidR="00220524">
        <w:t xml:space="preserve">student experience data, </w:t>
      </w:r>
      <w:r w:rsidR="00C40942">
        <w:t>such as</w:t>
      </w:r>
      <w:r>
        <w:t xml:space="preserve"> </w:t>
      </w:r>
      <w:r w:rsidR="0009513B">
        <w:t>DESE’s VOCAL survey results</w:t>
      </w:r>
      <w:r>
        <w:t xml:space="preserve">. </w:t>
      </w:r>
    </w:p>
    <w:p w14:paraId="543C3036" w14:textId="75C8E84D" w:rsidR="00720791" w:rsidRDefault="00720791" w:rsidP="00720791">
      <w:pPr>
        <w:pStyle w:val="ListParagraph"/>
        <w:numPr>
          <w:ilvl w:val="3"/>
          <w:numId w:val="22"/>
        </w:numPr>
        <w:tabs>
          <w:tab w:val="left" w:pos="360"/>
          <w:tab w:val="left" w:pos="720"/>
          <w:tab w:val="left" w:pos="1080"/>
          <w:tab w:val="left" w:pos="1440"/>
          <w:tab w:val="left" w:pos="1800"/>
          <w:tab w:val="left" w:pos="2160"/>
        </w:tabs>
        <w:ind w:left="1080"/>
        <w:contextualSpacing w:val="0"/>
      </w:pPr>
      <w:r>
        <w:t xml:space="preserve">Using the identified metrics, the superintendent should </w:t>
      </w:r>
      <w:r w:rsidR="00601CEE">
        <w:t xml:space="preserve">lead a </w:t>
      </w:r>
      <w:r w:rsidR="00791445">
        <w:t xml:space="preserve">collaborative </w:t>
      </w:r>
      <w:r w:rsidR="00601CEE">
        <w:t xml:space="preserve">process to </w:t>
      </w:r>
      <w:r>
        <w:t xml:space="preserve">revise the </w:t>
      </w:r>
      <w:r w:rsidR="002B4BC1">
        <w:t xml:space="preserve">expected outcomes of the </w:t>
      </w:r>
      <w:r>
        <w:t xml:space="preserve">strategic </w:t>
      </w:r>
      <w:r w:rsidR="002B4BC1">
        <w:t>plan</w:t>
      </w:r>
      <w:r>
        <w:t xml:space="preserve">. </w:t>
      </w:r>
    </w:p>
    <w:p w14:paraId="24126488" w14:textId="4905426C" w:rsidR="00720791" w:rsidRDefault="00720791" w:rsidP="00720791">
      <w:pPr>
        <w:pStyle w:val="ListParagraph"/>
        <w:numPr>
          <w:ilvl w:val="1"/>
          <w:numId w:val="22"/>
        </w:numPr>
        <w:tabs>
          <w:tab w:val="left" w:pos="360"/>
          <w:tab w:val="left" w:pos="720"/>
          <w:tab w:val="left" w:pos="1080"/>
          <w:tab w:val="left" w:pos="1440"/>
          <w:tab w:val="left" w:pos="1800"/>
          <w:tab w:val="left" w:pos="2160"/>
        </w:tabs>
        <w:ind w:left="720"/>
        <w:contextualSpacing w:val="0"/>
      </w:pPr>
      <w:proofErr w:type="gramStart"/>
      <w:r>
        <w:t>In order to</w:t>
      </w:r>
      <w:proofErr w:type="gramEnd"/>
      <w:r>
        <w:t xml:space="preserve"> assist school staff and school council members when they are developing their </w:t>
      </w:r>
      <w:r w:rsidR="003819DA">
        <w:t>School Improvement Plans (</w:t>
      </w:r>
      <w:r>
        <w:t>SIPs</w:t>
      </w:r>
      <w:r w:rsidR="003819DA">
        <w:t>)</w:t>
      </w:r>
      <w:r>
        <w:t xml:space="preserve">, district staff should </w:t>
      </w:r>
      <w:r w:rsidR="00A7236A">
        <w:t>provide more comprehensive and useable data for</w:t>
      </w:r>
      <w:r>
        <w:t xml:space="preserve"> school staff </w:t>
      </w:r>
      <w:r w:rsidR="00A7236A">
        <w:t xml:space="preserve">to </w:t>
      </w:r>
      <w:r w:rsidR="002B4BC1">
        <w:t>access and</w:t>
      </w:r>
      <w:r>
        <w:t xml:space="preserve"> use. </w:t>
      </w:r>
      <w:r w:rsidRPr="00631A46">
        <w:t xml:space="preserve">                               </w:t>
      </w:r>
    </w:p>
    <w:p w14:paraId="70A771DF" w14:textId="6BAF538F" w:rsidR="00720791" w:rsidRDefault="00720791" w:rsidP="00720791">
      <w:pPr>
        <w:pStyle w:val="ListParagraph"/>
        <w:tabs>
          <w:tab w:val="left" w:pos="360"/>
          <w:tab w:val="left" w:pos="720"/>
          <w:tab w:val="left" w:pos="1080"/>
          <w:tab w:val="left" w:pos="1440"/>
          <w:tab w:val="left" w:pos="1800"/>
          <w:tab w:val="left" w:pos="2160"/>
        </w:tabs>
        <w:ind w:left="1080" w:hanging="360"/>
        <w:contextualSpacing w:val="0"/>
      </w:pPr>
      <w:r>
        <w:t>1.    For each school, c</w:t>
      </w:r>
      <w:r w:rsidRPr="00631A46">
        <w:t xml:space="preserve">entral office </w:t>
      </w:r>
      <w:r>
        <w:t xml:space="preserve">staff </w:t>
      </w:r>
      <w:r w:rsidRPr="00631A46">
        <w:t xml:space="preserve">should </w:t>
      </w:r>
      <w:r>
        <w:t xml:space="preserve">develop </w:t>
      </w:r>
      <w:r w:rsidRPr="00631A46">
        <w:t xml:space="preserve">a </w:t>
      </w:r>
      <w:r>
        <w:t xml:space="preserve">report </w:t>
      </w:r>
      <w:r w:rsidR="00AB5C1A">
        <w:t xml:space="preserve">or dashboard </w:t>
      </w:r>
      <w:r>
        <w:t>that identifies t</w:t>
      </w:r>
      <w:r w:rsidRPr="00631A46">
        <w:t xml:space="preserve">he achievement and performance </w:t>
      </w:r>
      <w:r>
        <w:t xml:space="preserve">gaps among the school’s </w:t>
      </w:r>
      <w:r w:rsidR="0058675F">
        <w:t xml:space="preserve">groups of </w:t>
      </w:r>
      <w:r w:rsidRPr="00631A46">
        <w:t>student</w:t>
      </w:r>
      <w:r w:rsidR="0058675F">
        <w:t>s</w:t>
      </w:r>
      <w:r w:rsidR="00AB5C1A">
        <w:t>, as well as overall averages</w:t>
      </w:r>
      <w:r>
        <w:t>. The report should also provide benchmarking data that compares the achievement and performance of the school’s student</w:t>
      </w:r>
      <w:r w:rsidR="0058675F">
        <w:t>s</w:t>
      </w:r>
      <w:r>
        <w:t xml:space="preserve"> </w:t>
      </w:r>
      <w:r w:rsidR="00AB5C1A">
        <w:t xml:space="preserve">with </w:t>
      </w:r>
      <w:r>
        <w:t>statewide</w:t>
      </w:r>
      <w:r w:rsidR="00AB5C1A">
        <w:t xml:space="preserve"> data</w:t>
      </w:r>
      <w:r>
        <w:t xml:space="preserve">. </w:t>
      </w:r>
      <w:r w:rsidRPr="00631A46">
        <w:t xml:space="preserve">  </w:t>
      </w:r>
    </w:p>
    <w:p w14:paraId="62C86841" w14:textId="6CA3C8E0" w:rsidR="00720791" w:rsidRDefault="00720791" w:rsidP="00720791">
      <w:pPr>
        <w:pStyle w:val="ListParagraph"/>
        <w:tabs>
          <w:tab w:val="left" w:pos="360"/>
          <w:tab w:val="left" w:pos="720"/>
          <w:tab w:val="left" w:pos="1080"/>
          <w:tab w:val="left" w:pos="1440"/>
          <w:tab w:val="left" w:pos="1800"/>
          <w:tab w:val="left" w:pos="2160"/>
        </w:tabs>
        <w:ind w:left="1080" w:hanging="360"/>
        <w:contextualSpacing w:val="0"/>
      </w:pPr>
      <w:r>
        <w:t xml:space="preserve">2.    </w:t>
      </w:r>
      <w:r w:rsidR="001413AB">
        <w:t xml:space="preserve">The district </w:t>
      </w:r>
      <w:r>
        <w:t>should develop protocols for analyzing, using</w:t>
      </w:r>
      <w:r w:rsidR="007F24F6">
        <w:t>,</w:t>
      </w:r>
      <w:r>
        <w:t xml:space="preserve"> and monitoring achievement and performance data in all planning documents, especially the strategic plan and the aligned </w:t>
      </w:r>
      <w:r w:rsidR="003819DA">
        <w:t>SIPs</w:t>
      </w:r>
      <w:r>
        <w:t xml:space="preserve">. </w:t>
      </w:r>
    </w:p>
    <w:p w14:paraId="3B820369" w14:textId="27469B72" w:rsidR="00720791" w:rsidRDefault="00720791" w:rsidP="00720791">
      <w:pPr>
        <w:pStyle w:val="ListParagraph"/>
        <w:tabs>
          <w:tab w:val="left" w:pos="360"/>
          <w:tab w:val="left" w:pos="720"/>
          <w:tab w:val="left" w:pos="1080"/>
          <w:tab w:val="left" w:pos="1440"/>
          <w:tab w:val="left" w:pos="1800"/>
          <w:tab w:val="left" w:pos="2160"/>
        </w:tabs>
        <w:ind w:hanging="360"/>
        <w:contextualSpacing w:val="0"/>
      </w:pPr>
      <w:r w:rsidRPr="002F2D52">
        <w:rPr>
          <w:b/>
        </w:rPr>
        <w:t>C</w:t>
      </w:r>
      <w:r>
        <w:t xml:space="preserve">.   The district should provide </w:t>
      </w:r>
      <w:r w:rsidR="00553287">
        <w:t xml:space="preserve">professional development and coaching </w:t>
      </w:r>
      <w:r>
        <w:t xml:space="preserve">to build the planning capacity and skills of directors, assistant directors, and principals. </w:t>
      </w:r>
    </w:p>
    <w:p w14:paraId="3E19A29B" w14:textId="5B176C77" w:rsidR="00720791" w:rsidRPr="00F90B6C" w:rsidRDefault="00720791" w:rsidP="00720791">
      <w:pPr>
        <w:rPr>
          <w:rFonts w:cstheme="minorHAnsi"/>
        </w:rPr>
      </w:pPr>
      <w:r w:rsidRPr="00F90B6C">
        <w:rPr>
          <w:rFonts w:cstheme="minorHAnsi"/>
          <w:b/>
        </w:rPr>
        <w:t>Benefits</w:t>
      </w:r>
      <w:r w:rsidR="00405179">
        <w:rPr>
          <w:rFonts w:cstheme="minorHAnsi"/>
          <w:b/>
        </w:rPr>
        <w:t>:</w:t>
      </w:r>
      <w:r w:rsidR="00395FD4">
        <w:rPr>
          <w:rFonts w:cstheme="minorHAnsi"/>
          <w:b/>
        </w:rPr>
        <w:t xml:space="preserve"> </w:t>
      </w:r>
      <w:r w:rsidR="008957F0">
        <w:rPr>
          <w:rFonts w:cstheme="minorHAnsi"/>
        </w:rPr>
        <w:t>By prioritizing</w:t>
      </w:r>
      <w:r w:rsidR="008957F0" w:rsidRPr="002F2D52">
        <w:rPr>
          <w:rFonts w:cstheme="minorHAnsi"/>
        </w:rPr>
        <w:t xml:space="preserve"> </w:t>
      </w:r>
      <w:r w:rsidRPr="002F2D52">
        <w:rPr>
          <w:rFonts w:cstheme="minorHAnsi"/>
        </w:rPr>
        <w:t>a manageable, research-based set of metrics</w:t>
      </w:r>
      <w:r w:rsidR="000354F9">
        <w:rPr>
          <w:rFonts w:cstheme="minorHAnsi"/>
        </w:rPr>
        <w:t xml:space="preserve"> and providing support for improved planning processes</w:t>
      </w:r>
      <w:r w:rsidRPr="002F2D52">
        <w:rPr>
          <w:rFonts w:cstheme="minorHAnsi"/>
        </w:rPr>
        <w:t xml:space="preserve">, school committee members, school staff, </w:t>
      </w:r>
      <w:r w:rsidR="00FE51DA">
        <w:rPr>
          <w:rFonts w:cstheme="minorHAnsi"/>
        </w:rPr>
        <w:t>families,</w:t>
      </w:r>
      <w:r w:rsidR="00FE51DA" w:rsidRPr="002F2D52">
        <w:rPr>
          <w:rFonts w:cstheme="minorHAnsi"/>
        </w:rPr>
        <w:t xml:space="preserve"> </w:t>
      </w:r>
      <w:r w:rsidRPr="002F2D52">
        <w:rPr>
          <w:rFonts w:cstheme="minorHAnsi"/>
        </w:rPr>
        <w:t xml:space="preserve">and </w:t>
      </w:r>
      <w:r w:rsidR="007F24F6">
        <w:rPr>
          <w:rFonts w:cstheme="minorHAnsi"/>
        </w:rPr>
        <w:t xml:space="preserve">other </w:t>
      </w:r>
      <w:r w:rsidRPr="002F2D52">
        <w:rPr>
          <w:rFonts w:cstheme="minorHAnsi"/>
        </w:rPr>
        <w:t xml:space="preserve">stakeholders </w:t>
      </w:r>
      <w:r w:rsidR="008739FC">
        <w:rPr>
          <w:rFonts w:cstheme="minorHAnsi"/>
        </w:rPr>
        <w:t>will be able to</w:t>
      </w:r>
      <w:r w:rsidR="003C0FBC">
        <w:rPr>
          <w:rFonts w:cstheme="minorHAnsi"/>
        </w:rPr>
        <w:t xml:space="preserve"> </w:t>
      </w:r>
      <w:r w:rsidRPr="002F2D52">
        <w:rPr>
          <w:rFonts w:cstheme="minorHAnsi"/>
        </w:rPr>
        <w:t xml:space="preserve">assess </w:t>
      </w:r>
      <w:r w:rsidR="008739FC">
        <w:rPr>
          <w:rFonts w:cstheme="minorHAnsi"/>
        </w:rPr>
        <w:t>the</w:t>
      </w:r>
      <w:r w:rsidRPr="002F2D52">
        <w:rPr>
          <w:rFonts w:cstheme="minorHAnsi"/>
        </w:rPr>
        <w:t xml:space="preserve"> degree</w:t>
      </w:r>
      <w:r w:rsidR="008739FC">
        <w:rPr>
          <w:rFonts w:cstheme="minorHAnsi"/>
        </w:rPr>
        <w:t xml:space="preserve"> to which</w:t>
      </w:r>
      <w:r w:rsidRPr="002F2D52">
        <w:rPr>
          <w:rFonts w:cstheme="minorHAnsi"/>
        </w:rPr>
        <w:t xml:space="preserve"> </w:t>
      </w:r>
      <w:r w:rsidR="008957F0">
        <w:rPr>
          <w:rFonts w:cstheme="minorHAnsi"/>
        </w:rPr>
        <w:t xml:space="preserve">the district is improving overall and </w:t>
      </w:r>
      <w:r w:rsidR="008739FC">
        <w:rPr>
          <w:rFonts w:cstheme="minorHAnsi"/>
        </w:rPr>
        <w:t xml:space="preserve">gaps in </w:t>
      </w:r>
      <w:r w:rsidR="00FE51DA">
        <w:rPr>
          <w:rFonts w:cstheme="minorHAnsi"/>
        </w:rPr>
        <w:t xml:space="preserve">the </w:t>
      </w:r>
      <w:r w:rsidR="008739FC">
        <w:rPr>
          <w:rFonts w:cstheme="minorHAnsi"/>
        </w:rPr>
        <w:t>performance</w:t>
      </w:r>
      <w:r w:rsidRPr="002F2D52">
        <w:rPr>
          <w:rFonts w:cstheme="minorHAnsi"/>
        </w:rPr>
        <w:t xml:space="preserve"> </w:t>
      </w:r>
      <w:r w:rsidR="00FE51DA">
        <w:rPr>
          <w:rFonts w:cstheme="minorHAnsi"/>
        </w:rPr>
        <w:t xml:space="preserve">of groups of students </w:t>
      </w:r>
      <w:r w:rsidRPr="002F2D52">
        <w:rPr>
          <w:rFonts w:cstheme="minorHAnsi"/>
        </w:rPr>
        <w:t xml:space="preserve">are decreasing. District </w:t>
      </w:r>
      <w:r w:rsidR="003C0FBC">
        <w:rPr>
          <w:rFonts w:cstheme="minorHAnsi"/>
        </w:rPr>
        <w:t>leaders</w:t>
      </w:r>
      <w:r w:rsidR="003C0FBC" w:rsidRPr="002F2D52">
        <w:rPr>
          <w:rFonts w:cstheme="minorHAnsi"/>
        </w:rPr>
        <w:t xml:space="preserve"> </w:t>
      </w:r>
      <w:r w:rsidR="008739FC">
        <w:rPr>
          <w:rFonts w:cstheme="minorHAnsi"/>
        </w:rPr>
        <w:t>will be able to</w:t>
      </w:r>
      <w:r w:rsidRPr="002F2D52">
        <w:rPr>
          <w:rFonts w:cstheme="minorHAnsi"/>
        </w:rPr>
        <w:t xml:space="preserve"> </w:t>
      </w:r>
      <w:r w:rsidR="008957F0">
        <w:rPr>
          <w:rFonts w:cstheme="minorHAnsi"/>
        </w:rPr>
        <w:t>use</w:t>
      </w:r>
      <w:r w:rsidR="008957F0" w:rsidRPr="002F2D52">
        <w:rPr>
          <w:rFonts w:cstheme="minorHAnsi"/>
        </w:rPr>
        <w:t xml:space="preserve"> </w:t>
      </w:r>
      <w:r w:rsidRPr="002F2D52">
        <w:rPr>
          <w:rFonts w:cstheme="minorHAnsi"/>
        </w:rPr>
        <w:t xml:space="preserve">planning documents </w:t>
      </w:r>
      <w:r w:rsidR="008957F0">
        <w:rPr>
          <w:rFonts w:cstheme="minorHAnsi"/>
        </w:rPr>
        <w:t xml:space="preserve">to monitor progress and </w:t>
      </w:r>
      <w:proofErr w:type="gramStart"/>
      <w:r w:rsidR="008957F0">
        <w:rPr>
          <w:rFonts w:cstheme="minorHAnsi"/>
        </w:rPr>
        <w:t>make adjustments</w:t>
      </w:r>
      <w:proofErr w:type="gramEnd"/>
      <w:r w:rsidR="008957F0">
        <w:rPr>
          <w:rFonts w:cstheme="minorHAnsi"/>
        </w:rPr>
        <w:t xml:space="preserve"> in a timely way.</w:t>
      </w:r>
      <w:r w:rsidR="000354F9">
        <w:rPr>
          <w:rFonts w:cstheme="minorHAnsi"/>
        </w:rPr>
        <w:t xml:space="preserve"> </w:t>
      </w:r>
      <w:r w:rsidRPr="002F2D52">
        <w:rPr>
          <w:rFonts w:cstheme="minorHAnsi"/>
        </w:rPr>
        <w:t xml:space="preserve">District and school staff </w:t>
      </w:r>
      <w:r w:rsidR="008739FC">
        <w:rPr>
          <w:rFonts w:cstheme="minorHAnsi"/>
        </w:rPr>
        <w:t xml:space="preserve">will </w:t>
      </w:r>
      <w:r w:rsidRPr="002F2D52">
        <w:rPr>
          <w:rFonts w:cstheme="minorHAnsi"/>
        </w:rPr>
        <w:t xml:space="preserve">increase their capacity to </w:t>
      </w:r>
      <w:r w:rsidR="000354F9">
        <w:rPr>
          <w:rFonts w:cstheme="minorHAnsi"/>
        </w:rPr>
        <w:t xml:space="preserve">use data </w:t>
      </w:r>
      <w:r w:rsidRPr="002F2D52">
        <w:rPr>
          <w:rFonts w:cstheme="minorHAnsi"/>
        </w:rPr>
        <w:t xml:space="preserve">to develop </w:t>
      </w:r>
      <w:r w:rsidR="003C0FBC">
        <w:rPr>
          <w:rFonts w:cstheme="minorHAnsi"/>
        </w:rPr>
        <w:t xml:space="preserve">SMART </w:t>
      </w:r>
      <w:r w:rsidRPr="002F2D52">
        <w:rPr>
          <w:rFonts w:cstheme="minorHAnsi"/>
        </w:rPr>
        <w:t>goals</w:t>
      </w:r>
      <w:r w:rsidR="003C0FBC">
        <w:rPr>
          <w:rFonts w:cstheme="minorHAnsi"/>
        </w:rPr>
        <w:t xml:space="preserve"> with </w:t>
      </w:r>
      <w:r w:rsidRPr="002F2D52">
        <w:rPr>
          <w:rFonts w:cstheme="minorHAnsi"/>
        </w:rPr>
        <w:t xml:space="preserve">action steps </w:t>
      </w:r>
      <w:r w:rsidR="003C0FBC">
        <w:rPr>
          <w:rFonts w:cstheme="minorHAnsi"/>
        </w:rPr>
        <w:t>and</w:t>
      </w:r>
      <w:r w:rsidR="008739FC" w:rsidRPr="002F2D52">
        <w:rPr>
          <w:rFonts w:cstheme="minorHAnsi"/>
        </w:rPr>
        <w:t xml:space="preserve"> </w:t>
      </w:r>
      <w:r w:rsidRPr="002F2D52">
        <w:rPr>
          <w:rFonts w:cstheme="minorHAnsi"/>
        </w:rPr>
        <w:t>measurable outcomes</w:t>
      </w:r>
      <w:r w:rsidR="000354F9">
        <w:rPr>
          <w:rFonts w:cstheme="minorHAnsi"/>
        </w:rPr>
        <w:t xml:space="preserve"> and will better understand if their efforts are impacting student outcomes.</w:t>
      </w:r>
    </w:p>
    <w:p w14:paraId="787FEDEB" w14:textId="77777777" w:rsidR="00720791" w:rsidRPr="004B2800" w:rsidRDefault="00720791" w:rsidP="00720791">
      <w:pPr>
        <w:tabs>
          <w:tab w:val="left" w:pos="360"/>
          <w:tab w:val="left" w:pos="720"/>
          <w:tab w:val="left" w:pos="1080"/>
          <w:tab w:val="left" w:pos="1440"/>
          <w:tab w:val="left" w:pos="1800"/>
          <w:tab w:val="left" w:pos="2160"/>
        </w:tabs>
        <w:rPr>
          <w:b/>
        </w:rPr>
      </w:pPr>
      <w:r w:rsidRPr="00484242">
        <w:rPr>
          <w:b/>
        </w:rPr>
        <w:lastRenderedPageBreak/>
        <w:t>Recommended resources:</w:t>
      </w:r>
    </w:p>
    <w:p w14:paraId="5ED759DD" w14:textId="0A8A479A" w:rsidR="00720791" w:rsidRPr="00910462" w:rsidRDefault="007C4A16" w:rsidP="007C4A16">
      <w:pPr>
        <w:pStyle w:val="ListParagraph"/>
        <w:numPr>
          <w:ilvl w:val="0"/>
          <w:numId w:val="28"/>
        </w:numPr>
        <w:tabs>
          <w:tab w:val="left" w:pos="240"/>
          <w:tab w:val="left" w:pos="360"/>
          <w:tab w:val="left" w:pos="720"/>
          <w:tab w:val="left" w:pos="1080"/>
          <w:tab w:val="left" w:pos="1440"/>
          <w:tab w:val="left" w:pos="1800"/>
          <w:tab w:val="left" w:pos="2160"/>
          <w:tab w:val="left" w:pos="2520"/>
          <w:tab w:val="left" w:pos="2880"/>
          <w:tab w:val="left" w:pos="2970"/>
        </w:tabs>
        <w:ind w:left="360"/>
        <w:contextualSpacing w:val="0"/>
      </w:pPr>
      <w:r>
        <w:rPr>
          <w:i/>
        </w:rPr>
        <w:t xml:space="preserve">  </w:t>
      </w:r>
      <w:r w:rsidR="00720791" w:rsidRPr="00910462">
        <w:rPr>
          <w:i/>
        </w:rPr>
        <w:t>What Makes a Goal Smarter?</w:t>
      </w:r>
      <w:r w:rsidR="00720791" w:rsidRPr="00910462">
        <w:t xml:space="preserve"> (</w:t>
      </w:r>
      <w:hyperlink r:id="rId19" w:history="1">
        <w:r w:rsidR="00720791" w:rsidRPr="00910462">
          <w:rPr>
            <w:rStyle w:val="Hyperlink"/>
          </w:rPr>
          <w:t>http://www.doe.mass.edu/edeval/resources/presentations/SMARTGoals/Handout5.pdf</w:t>
        </w:r>
      </w:hyperlink>
      <w:r w:rsidR="00720791" w:rsidRPr="00910462">
        <w:t xml:space="preserve">) is a description of SMART goals with accompanying examples. The handout was designed to support educators in developing goals as part of the educator evaluation </w:t>
      </w:r>
      <w:r w:rsidR="00504BF6" w:rsidRPr="00910462">
        <w:t>system but</w:t>
      </w:r>
      <w:r w:rsidR="00720791" w:rsidRPr="00910462">
        <w:t xml:space="preserve"> could also be a useful reference for the district as it develops or refines its DIP and SIPs.</w:t>
      </w:r>
    </w:p>
    <w:p w14:paraId="3D7C1F87" w14:textId="5DA89F7F" w:rsidR="00755ED6" w:rsidRDefault="00FE51DA" w:rsidP="00EC5B5A">
      <w:pPr>
        <w:pStyle w:val="ListParagraph"/>
        <w:numPr>
          <w:ilvl w:val="0"/>
          <w:numId w:val="28"/>
        </w:numPr>
        <w:tabs>
          <w:tab w:val="left" w:pos="360"/>
          <w:tab w:val="left" w:pos="600"/>
          <w:tab w:val="left" w:pos="1080"/>
          <w:tab w:val="left" w:pos="1440"/>
          <w:tab w:val="left" w:pos="1800"/>
          <w:tab w:val="left" w:pos="2160"/>
        </w:tabs>
        <w:ind w:left="360"/>
        <w:contextualSpacing w:val="0"/>
        <w:rPr>
          <w:rFonts w:cs="Calibri"/>
        </w:rPr>
      </w:pPr>
      <w:r>
        <w:rPr>
          <w:rFonts w:cs="Calibri"/>
        </w:rPr>
        <w:t>D</w:t>
      </w:r>
      <w:r w:rsidR="00720791" w:rsidRPr="00910462">
        <w:rPr>
          <w:rFonts w:cs="Calibri"/>
        </w:rPr>
        <w:t xml:space="preserve">ESE’s </w:t>
      </w:r>
      <w:r w:rsidR="00720791" w:rsidRPr="00910462">
        <w:rPr>
          <w:rFonts w:cs="Calibri"/>
          <w:i/>
        </w:rPr>
        <w:t>Planning for Success</w:t>
      </w:r>
      <w:r w:rsidR="00720791" w:rsidRPr="00910462">
        <w:rPr>
          <w:rFonts w:cs="Calibri"/>
        </w:rPr>
        <w:t xml:space="preserve"> tools (</w:t>
      </w:r>
      <w:hyperlink r:id="rId20" w:history="1">
        <w:r w:rsidR="00720791" w:rsidRPr="00910462">
          <w:rPr>
            <w:rStyle w:val="Hyperlink"/>
            <w:rFonts w:cs="Calibri"/>
          </w:rPr>
          <w:t>http://www.doe.mass.edu/research/success/</w:t>
        </w:r>
      </w:hyperlink>
      <w:r w:rsidR="00720791"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2A2A819B" w14:textId="4A19E96C" w:rsidR="00720791" w:rsidRPr="00755ED6" w:rsidRDefault="007D1E6C" w:rsidP="00406A80">
      <w:pPr>
        <w:pStyle w:val="ListParagraph"/>
        <w:numPr>
          <w:ilvl w:val="1"/>
          <w:numId w:val="28"/>
        </w:numPr>
        <w:tabs>
          <w:tab w:val="left" w:pos="360"/>
          <w:tab w:val="left" w:pos="720"/>
          <w:tab w:val="left" w:pos="1080"/>
          <w:tab w:val="left" w:pos="1440"/>
          <w:tab w:val="left" w:pos="1800"/>
          <w:tab w:val="left" w:pos="2160"/>
        </w:tabs>
        <w:ind w:left="720"/>
        <w:contextualSpacing w:val="0"/>
        <w:rPr>
          <w:rFonts w:cs="Calibri"/>
        </w:rPr>
      </w:pPr>
      <w:r>
        <w:rPr>
          <w:rFonts w:cs="Calibri"/>
        </w:rPr>
        <w:t xml:space="preserve">In particular, the district </w:t>
      </w:r>
      <w:r w:rsidR="00720791" w:rsidRPr="00755ED6">
        <w:rPr>
          <w:rFonts w:cs="Calibri"/>
        </w:rPr>
        <w:t xml:space="preserve">should consider using the following </w:t>
      </w:r>
      <w:r w:rsidR="006E3532" w:rsidRPr="00406A80">
        <w:rPr>
          <w:rFonts w:cs="Calibri"/>
          <w:i/>
          <w:iCs/>
        </w:rPr>
        <w:t>Planning for Success</w:t>
      </w:r>
      <w:r w:rsidRPr="00755ED6">
        <w:rPr>
          <w:rFonts w:cs="Calibri"/>
        </w:rPr>
        <w:t xml:space="preserve"> </w:t>
      </w:r>
      <w:r w:rsidR="00720791" w:rsidRPr="00755ED6">
        <w:rPr>
          <w:rFonts w:cs="Calibri"/>
        </w:rPr>
        <w:t>resource</w:t>
      </w:r>
      <w:r>
        <w:rPr>
          <w:rFonts w:cs="Calibri"/>
        </w:rPr>
        <w:t xml:space="preserve">s: </w:t>
      </w:r>
      <w:r w:rsidR="00720791" w:rsidRPr="000F681D">
        <w:rPr>
          <w:rFonts w:cs="Calibri"/>
        </w:rPr>
        <w:t xml:space="preserve">SWOT Analysis; Analyzing Data for Root Causes; </w:t>
      </w:r>
      <w:r>
        <w:rPr>
          <w:rFonts w:cs="Calibri"/>
        </w:rPr>
        <w:t xml:space="preserve">and </w:t>
      </w:r>
      <w:r w:rsidR="00720791" w:rsidRPr="000F681D">
        <w:rPr>
          <w:rFonts w:cs="Calibri"/>
        </w:rPr>
        <w:t>Selecting Outcome Measures and Setting Targets.</w:t>
      </w:r>
      <w:r w:rsidR="00720791" w:rsidRPr="00755ED6">
        <w:rPr>
          <w:rFonts w:cs="Calibri"/>
          <w:u w:val="single"/>
        </w:rPr>
        <w:t xml:space="preserve"> </w:t>
      </w:r>
    </w:p>
    <w:p w14:paraId="06262187" w14:textId="77777777" w:rsidR="0023695F" w:rsidRDefault="00083AA1" w:rsidP="0023695F">
      <w:pPr>
        <w:pStyle w:val="Section"/>
      </w:pPr>
      <w:bookmarkStart w:id="12" w:name="_Toc536687550"/>
      <w:r>
        <w:lastRenderedPageBreak/>
        <w:t>Curriculum and Instruction</w:t>
      </w:r>
      <w:bookmarkEnd w:id="12"/>
    </w:p>
    <w:p w14:paraId="7B6CECF4" w14:textId="77777777" w:rsidR="00F948B2" w:rsidRDefault="00F948B2" w:rsidP="00F948B2">
      <w:pPr>
        <w:pStyle w:val="CommentText"/>
        <w:spacing w:line="276" w:lineRule="auto"/>
        <w:rPr>
          <w:b/>
          <w:sz w:val="32"/>
          <w:szCs w:val="32"/>
        </w:rPr>
      </w:pPr>
      <w:r>
        <w:rPr>
          <w:b/>
          <w:sz w:val="32"/>
          <w:szCs w:val="32"/>
        </w:rPr>
        <w:t>Curriculum and Instruction</w:t>
      </w:r>
    </w:p>
    <w:p w14:paraId="1CCB4115" w14:textId="43340470" w:rsidR="00F948B2" w:rsidRDefault="00F948B2" w:rsidP="00F948B2">
      <w:pPr>
        <w:pStyle w:val="CommentText"/>
        <w:spacing w:line="276" w:lineRule="auto"/>
        <w:rPr>
          <w:b/>
          <w:sz w:val="28"/>
          <w:szCs w:val="28"/>
        </w:rPr>
      </w:pPr>
      <w:r w:rsidRPr="00FA7A96">
        <w:rPr>
          <w:b/>
          <w:sz w:val="28"/>
          <w:szCs w:val="28"/>
        </w:rPr>
        <w:t>Contextual Background</w:t>
      </w:r>
    </w:p>
    <w:p w14:paraId="7826FF50" w14:textId="2924C296" w:rsidR="007265B3" w:rsidRDefault="00ED7096" w:rsidP="000464AC">
      <w:pPr>
        <w:tabs>
          <w:tab w:val="left" w:pos="360"/>
          <w:tab w:val="left" w:pos="720"/>
          <w:tab w:val="left" w:pos="1080"/>
          <w:tab w:val="left" w:pos="1440"/>
          <w:tab w:val="left" w:pos="1800"/>
          <w:tab w:val="left" w:pos="2160"/>
        </w:tabs>
      </w:pPr>
      <w:r>
        <w:t>At the time of the review</w:t>
      </w:r>
      <w:r w:rsidR="00D619A9">
        <w:t xml:space="preserve"> in February 2019</w:t>
      </w:r>
      <w:r>
        <w:t xml:space="preserve">, there was considerable </w:t>
      </w:r>
      <w:r w:rsidR="001E3F82">
        <w:t xml:space="preserve">impetus </w:t>
      </w:r>
      <w:r>
        <w:t>for curricular and instructional improvement</w:t>
      </w:r>
      <w:r w:rsidR="0046311E">
        <w:t xml:space="preserve"> in the district</w:t>
      </w:r>
      <w:r>
        <w:t xml:space="preserve">. Shortly after arriving in </w:t>
      </w:r>
      <w:r w:rsidR="00891CE7">
        <w:t xml:space="preserve">April </w:t>
      </w:r>
      <w:r w:rsidR="00395FD4">
        <w:t xml:space="preserve">2017, </w:t>
      </w:r>
      <w:r w:rsidR="000464AC">
        <w:t>t</w:t>
      </w:r>
      <w:r w:rsidR="000464AC" w:rsidRPr="00812A9E">
        <w:t>he superintendent reorganize</w:t>
      </w:r>
      <w:r w:rsidR="00395FD4">
        <w:t xml:space="preserve">d </w:t>
      </w:r>
      <w:r w:rsidR="000464AC" w:rsidRPr="00812A9E">
        <w:t xml:space="preserve">the </w:t>
      </w:r>
      <w:r w:rsidR="003F596E">
        <w:t>o</w:t>
      </w:r>
      <w:r w:rsidR="003F596E" w:rsidRPr="00812A9E">
        <w:t xml:space="preserve">ffice </w:t>
      </w:r>
      <w:r w:rsidR="000464AC" w:rsidRPr="00812A9E">
        <w:t xml:space="preserve">of </w:t>
      </w:r>
      <w:r w:rsidR="003F596E">
        <w:t>t</w:t>
      </w:r>
      <w:r w:rsidR="003F596E" w:rsidRPr="00812A9E">
        <w:t xml:space="preserve">eaching </w:t>
      </w:r>
      <w:r w:rsidR="000464AC" w:rsidRPr="00812A9E">
        <w:t xml:space="preserve">and </w:t>
      </w:r>
      <w:r w:rsidR="003F596E">
        <w:t>l</w:t>
      </w:r>
      <w:r w:rsidR="003F596E" w:rsidRPr="00812A9E">
        <w:t xml:space="preserve">earning </w:t>
      </w:r>
      <w:r w:rsidR="000464AC" w:rsidRPr="00812A9E">
        <w:t xml:space="preserve">to better focus </w:t>
      </w:r>
      <w:r w:rsidR="000464AC">
        <w:t>leaders’</w:t>
      </w:r>
      <w:r w:rsidR="000464AC" w:rsidRPr="00812A9E">
        <w:t xml:space="preserve"> expertise and support </w:t>
      </w:r>
      <w:r>
        <w:t xml:space="preserve">at the school level. </w:t>
      </w:r>
      <w:r w:rsidR="003F596E">
        <w:t xml:space="preserve">This office </w:t>
      </w:r>
      <w:r w:rsidR="000464AC">
        <w:t xml:space="preserve">now consists of </w:t>
      </w:r>
      <w:r w:rsidR="005634AD">
        <w:t>assistant superintendent</w:t>
      </w:r>
      <w:r w:rsidR="00891CE7">
        <w:t>s</w:t>
      </w:r>
      <w:r w:rsidR="005634AD">
        <w:t xml:space="preserve"> for </w:t>
      </w:r>
      <w:r w:rsidR="000464AC">
        <w:t xml:space="preserve">elementary </w:t>
      </w:r>
      <w:r w:rsidR="00891CE7">
        <w:t xml:space="preserve">and secondary </w:t>
      </w:r>
      <w:r w:rsidR="000464AC">
        <w:t>education</w:t>
      </w:r>
      <w:r w:rsidR="003F596E">
        <w:t>,</w:t>
      </w:r>
      <w:r w:rsidR="000464AC">
        <w:t xml:space="preserve"> an</w:t>
      </w:r>
      <w:r w:rsidR="003F596E">
        <w:t>d</w:t>
      </w:r>
      <w:r w:rsidR="000464AC">
        <w:t xml:space="preserve"> assistant directors</w:t>
      </w:r>
      <w:r w:rsidR="00891CE7">
        <w:t xml:space="preserve"> for elementary and secondary education</w:t>
      </w:r>
      <w:r w:rsidR="000464AC">
        <w:t xml:space="preserve">. </w:t>
      </w:r>
      <w:r w:rsidR="007265B3">
        <w:t xml:space="preserve">The team </w:t>
      </w:r>
      <w:r w:rsidR="00891CE7">
        <w:t xml:space="preserve">of four </w:t>
      </w:r>
      <w:r w:rsidR="007265B3">
        <w:t>develops and clarifies improvement strategies and</w:t>
      </w:r>
      <w:r w:rsidR="006241DB">
        <w:t xml:space="preserve"> helps</w:t>
      </w:r>
      <w:r w:rsidR="007265B3">
        <w:t xml:space="preserve"> build staff capacity to implement the </w:t>
      </w:r>
      <w:r w:rsidR="00D619A9">
        <w:t xml:space="preserve">goals in the </w:t>
      </w:r>
      <w:r w:rsidR="007265B3">
        <w:t xml:space="preserve">strategic plan </w:t>
      </w:r>
      <w:r w:rsidR="001E3F82">
        <w:t xml:space="preserve">and </w:t>
      </w:r>
      <w:r w:rsidR="00784201">
        <w:t>School Improvement P</w:t>
      </w:r>
      <w:r w:rsidR="001E3F82">
        <w:t>lans (SIPs</w:t>
      </w:r>
      <w:r w:rsidR="00D619A9">
        <w:t>)</w:t>
      </w:r>
      <w:r w:rsidR="003F596E">
        <w:t xml:space="preserve"> </w:t>
      </w:r>
      <w:r w:rsidR="007265B3">
        <w:t>for curriculum, instruction</w:t>
      </w:r>
      <w:r w:rsidR="00891CE7">
        <w:t>,</w:t>
      </w:r>
      <w:r w:rsidR="007265B3">
        <w:t xml:space="preserve"> assessment</w:t>
      </w:r>
      <w:r w:rsidR="00D619A9">
        <w:t>,</w:t>
      </w:r>
      <w:r w:rsidR="007265B3">
        <w:t xml:space="preserve"> and teaching all students.  </w:t>
      </w:r>
    </w:p>
    <w:p w14:paraId="3DF97F3B" w14:textId="399FC6E0" w:rsidR="007D4689" w:rsidRDefault="00D71101" w:rsidP="000464AC">
      <w:pPr>
        <w:tabs>
          <w:tab w:val="left" w:pos="360"/>
          <w:tab w:val="left" w:pos="720"/>
          <w:tab w:val="left" w:pos="1080"/>
          <w:tab w:val="left" w:pos="1440"/>
          <w:tab w:val="left" w:pos="1800"/>
          <w:tab w:val="left" w:pos="2160"/>
        </w:tabs>
      </w:pPr>
      <w:r>
        <w:t xml:space="preserve">Curricula for </w:t>
      </w:r>
      <w:r w:rsidR="0046311E">
        <w:t xml:space="preserve">core content areas </w:t>
      </w:r>
      <w:r>
        <w:t xml:space="preserve">follow the </w:t>
      </w:r>
      <w:r w:rsidRPr="007D4689">
        <w:rPr>
          <w:i/>
        </w:rPr>
        <w:t>Understanding by Design</w:t>
      </w:r>
      <w:r>
        <w:t xml:space="preserve"> </w:t>
      </w:r>
      <w:r w:rsidR="007D4689">
        <w:t>(</w:t>
      </w:r>
      <w:proofErr w:type="spellStart"/>
      <w:r w:rsidR="007D4689">
        <w:t>UbD</w:t>
      </w:r>
      <w:proofErr w:type="spellEnd"/>
      <w:r w:rsidR="007D4689">
        <w:t xml:space="preserve">) </w:t>
      </w:r>
      <w:r>
        <w:t>format and</w:t>
      </w:r>
      <w:r w:rsidR="00135E1C">
        <w:t xml:space="preserve"> teachers post curriculum units </w:t>
      </w:r>
      <w:r>
        <w:t xml:space="preserve">in Canvas, the district’s </w:t>
      </w:r>
      <w:r w:rsidR="00593105">
        <w:t xml:space="preserve">learning </w:t>
      </w:r>
      <w:r w:rsidR="0046311E">
        <w:t>management</w:t>
      </w:r>
      <w:r w:rsidR="00DF5586">
        <w:t xml:space="preserve"> </w:t>
      </w:r>
      <w:r w:rsidR="00593105">
        <w:t>platform</w:t>
      </w:r>
      <w:r>
        <w:t xml:space="preserve">. </w:t>
      </w:r>
      <w:r w:rsidR="00E01229">
        <w:t>Designing</w:t>
      </w:r>
      <w:r w:rsidR="00135E1C">
        <w:t xml:space="preserve"> </w:t>
      </w:r>
      <w:proofErr w:type="spellStart"/>
      <w:r w:rsidR="00DF0C63">
        <w:t>UbD</w:t>
      </w:r>
      <w:proofErr w:type="spellEnd"/>
      <w:r w:rsidR="00E01229">
        <w:t xml:space="preserve"> units</w:t>
      </w:r>
      <w:r w:rsidR="00DF0C63">
        <w:t xml:space="preserve"> is </w:t>
      </w:r>
      <w:r w:rsidR="001E3F82">
        <w:t xml:space="preserve">an emerging </w:t>
      </w:r>
      <w:r w:rsidR="00DF0C63">
        <w:t>practice</w:t>
      </w:r>
      <w:r w:rsidR="00E01229">
        <w:t xml:space="preserve"> for some teachers</w:t>
      </w:r>
      <w:r w:rsidR="00DF0C63">
        <w:t xml:space="preserve">, especially at the high school. </w:t>
      </w:r>
      <w:r>
        <w:t>Many</w:t>
      </w:r>
      <w:r w:rsidR="00135E1C">
        <w:t xml:space="preserve"> </w:t>
      </w:r>
      <w:proofErr w:type="spellStart"/>
      <w:r w:rsidR="00135E1C">
        <w:t>UbD</w:t>
      </w:r>
      <w:proofErr w:type="spellEnd"/>
      <w:r w:rsidR="00481B2D">
        <w:t xml:space="preserve"> </w:t>
      </w:r>
      <w:r>
        <w:t>unit</w:t>
      </w:r>
      <w:r w:rsidR="00891CE7">
        <w:t>s</w:t>
      </w:r>
      <w:r w:rsidR="00E01229">
        <w:t xml:space="preserve"> reviewed by team member</w:t>
      </w:r>
      <w:r>
        <w:t xml:space="preserve">s </w:t>
      </w:r>
      <w:r w:rsidR="00481B2D">
        <w:t>we</w:t>
      </w:r>
      <w:r>
        <w:t>re rich in detail and</w:t>
      </w:r>
      <w:r w:rsidR="0046311E">
        <w:t xml:space="preserve"> </w:t>
      </w:r>
      <w:r w:rsidR="00E01229">
        <w:t>required students to show a</w:t>
      </w:r>
      <w:r w:rsidR="00DF5586">
        <w:t xml:space="preserve"> </w:t>
      </w:r>
      <w:r>
        <w:t>depth of</w:t>
      </w:r>
      <w:r w:rsidR="0046311E">
        <w:t xml:space="preserve"> knowledge and</w:t>
      </w:r>
      <w:r>
        <w:t xml:space="preserve"> understanding</w:t>
      </w:r>
      <w:r w:rsidR="00E01229" w:rsidRPr="00784201">
        <w:t>, if well taught</w:t>
      </w:r>
      <w:r w:rsidR="0046311E">
        <w:t>. However,</w:t>
      </w:r>
      <w:r>
        <w:t xml:space="preserve"> </w:t>
      </w:r>
      <w:r w:rsidR="00D619A9">
        <w:t>some</w:t>
      </w:r>
      <w:r>
        <w:t xml:space="preserve"> </w:t>
      </w:r>
      <w:r w:rsidR="005C48A0">
        <w:t xml:space="preserve">were </w:t>
      </w:r>
      <w:r w:rsidR="00D619A9">
        <w:t xml:space="preserve">not </w:t>
      </w:r>
      <w:r>
        <w:t xml:space="preserve">fully aligned </w:t>
      </w:r>
      <w:r w:rsidR="00D619A9">
        <w:t xml:space="preserve">with </w:t>
      </w:r>
      <w:r w:rsidR="003F596E">
        <w:t xml:space="preserve">the </w:t>
      </w:r>
      <w:r w:rsidR="00D619A9">
        <w:t>current</w:t>
      </w:r>
      <w:r>
        <w:t xml:space="preserve"> Massachusetts </w:t>
      </w:r>
      <w:r w:rsidR="00BB010E">
        <w:t xml:space="preserve">curriculum </w:t>
      </w:r>
      <w:r>
        <w:t>frameworks</w:t>
      </w:r>
      <w:r w:rsidR="00161B7E">
        <w:t>.</w:t>
      </w:r>
      <w:r>
        <w:t xml:space="preserve">  </w:t>
      </w:r>
      <w:r w:rsidR="0046311E">
        <w:t xml:space="preserve">After years without a system to review and renew curricula, </w:t>
      </w:r>
      <w:r w:rsidR="00D619A9">
        <w:t xml:space="preserve">in 2018 </w:t>
      </w:r>
      <w:r w:rsidR="0046311E">
        <w:t xml:space="preserve">the </w:t>
      </w:r>
      <w:r>
        <w:t xml:space="preserve">district </w:t>
      </w:r>
      <w:r w:rsidR="0046311E">
        <w:t xml:space="preserve">developed a </w:t>
      </w:r>
      <w:r>
        <w:t>curriculum review cycl</w:t>
      </w:r>
      <w:r w:rsidR="00DF5586">
        <w:t>e</w:t>
      </w:r>
      <w:r w:rsidR="00161B7E">
        <w:t xml:space="preserve"> </w:t>
      </w:r>
      <w:r w:rsidR="0046311E">
        <w:t xml:space="preserve">to align all curricula </w:t>
      </w:r>
      <w:r w:rsidR="00D619A9">
        <w:t xml:space="preserve">with </w:t>
      </w:r>
      <w:r w:rsidR="0046311E">
        <w:t>current state standards</w:t>
      </w:r>
      <w:r w:rsidR="00DF5586">
        <w:t>.</w:t>
      </w:r>
      <w:r w:rsidR="007D4689">
        <w:t xml:space="preserve"> </w:t>
      </w:r>
    </w:p>
    <w:p w14:paraId="457263BC" w14:textId="7F99A8D3" w:rsidR="000464AC" w:rsidRDefault="000464AC" w:rsidP="000464AC">
      <w:pPr>
        <w:tabs>
          <w:tab w:val="left" w:pos="360"/>
          <w:tab w:val="left" w:pos="720"/>
          <w:tab w:val="left" w:pos="1080"/>
          <w:tab w:val="left" w:pos="1440"/>
          <w:tab w:val="left" w:pos="1800"/>
          <w:tab w:val="left" w:pos="2160"/>
        </w:tabs>
      </w:pPr>
      <w:r>
        <w:t xml:space="preserve">The elementary schools have adopted Lucy Calkin’s </w:t>
      </w:r>
      <w:r w:rsidRPr="009D117D">
        <w:rPr>
          <w:i/>
        </w:rPr>
        <w:t xml:space="preserve">Readers </w:t>
      </w:r>
      <w:r>
        <w:t xml:space="preserve">and </w:t>
      </w:r>
      <w:r w:rsidRPr="009D117D">
        <w:rPr>
          <w:i/>
        </w:rPr>
        <w:t>Writers Workshop</w:t>
      </w:r>
      <w:r>
        <w:t xml:space="preserve"> to teach reading and writing</w:t>
      </w:r>
      <w:r w:rsidR="00284A88">
        <w:t xml:space="preserve">, </w:t>
      </w:r>
      <w:proofErr w:type="spellStart"/>
      <w:r w:rsidRPr="009D117D">
        <w:rPr>
          <w:i/>
        </w:rPr>
        <w:t>Fundations</w:t>
      </w:r>
      <w:proofErr w:type="spellEnd"/>
      <w:r w:rsidRPr="009D117D">
        <w:rPr>
          <w:i/>
        </w:rPr>
        <w:t xml:space="preserve"> </w:t>
      </w:r>
      <w:r w:rsidR="00161B7E">
        <w:t xml:space="preserve">for </w:t>
      </w:r>
      <w:r w:rsidR="00D619A9">
        <w:t xml:space="preserve">K–3 </w:t>
      </w:r>
      <w:r>
        <w:t>phonics</w:t>
      </w:r>
      <w:r w:rsidR="00D619A9">
        <w:t>,</w:t>
      </w:r>
      <w:r>
        <w:t xml:space="preserve"> and </w:t>
      </w:r>
      <w:r w:rsidRPr="00C171B2">
        <w:rPr>
          <w:i/>
        </w:rPr>
        <w:t>Words Their Way</w:t>
      </w:r>
      <w:r>
        <w:t xml:space="preserve"> to strengthen spelling skills for students in </w:t>
      </w:r>
      <w:r w:rsidR="000266D0">
        <w:t xml:space="preserve">grades </w:t>
      </w:r>
      <w:r>
        <w:t>4</w:t>
      </w:r>
      <w:r w:rsidR="00D619A9">
        <w:t>–</w:t>
      </w:r>
      <w:r>
        <w:t xml:space="preserve">6.  </w:t>
      </w:r>
      <w:r w:rsidR="003713C7" w:rsidRPr="00C171B2">
        <w:rPr>
          <w:i/>
        </w:rPr>
        <w:t>Eureka Math</w:t>
      </w:r>
      <w:r w:rsidR="003713C7">
        <w:rPr>
          <w:i/>
        </w:rPr>
        <w:t>/</w:t>
      </w:r>
      <w:proofErr w:type="spellStart"/>
      <w:r w:rsidR="003713C7">
        <w:rPr>
          <w:i/>
        </w:rPr>
        <w:t>EngageNY</w:t>
      </w:r>
      <w:proofErr w:type="spellEnd"/>
      <w:r w:rsidR="003713C7">
        <w:t xml:space="preserve"> and </w:t>
      </w:r>
      <w:r w:rsidR="003713C7" w:rsidRPr="00C171B2">
        <w:rPr>
          <w:i/>
        </w:rPr>
        <w:t>Math in Practice</w:t>
      </w:r>
      <w:r w:rsidR="00BB010E">
        <w:t xml:space="preserve"> guide </w:t>
      </w:r>
      <w:r w:rsidR="003713C7">
        <w:t>elementary</w:t>
      </w:r>
      <w:r w:rsidR="00BB010E">
        <w:t xml:space="preserve"> math lessons where</w:t>
      </w:r>
      <w:r w:rsidR="003713C7">
        <w:t xml:space="preserve"> </w:t>
      </w:r>
      <w:r w:rsidR="00E4369E">
        <w:t>teachers are</w:t>
      </w:r>
      <w:r w:rsidR="00161B7E">
        <w:t xml:space="preserve"> now</w:t>
      </w:r>
      <w:r w:rsidR="00BB010E">
        <w:t xml:space="preserve"> </w:t>
      </w:r>
      <w:r w:rsidR="00161B7E">
        <w:t>beginning to ada</w:t>
      </w:r>
      <w:r w:rsidR="00E4369E">
        <w:t xml:space="preserve">pt </w:t>
      </w:r>
      <w:r>
        <w:t xml:space="preserve">the </w:t>
      </w:r>
      <w:r w:rsidR="00864680">
        <w:t>Workshop Model</w:t>
      </w:r>
      <w:r w:rsidRPr="00C171B2">
        <w:rPr>
          <w:i/>
        </w:rPr>
        <w:t>.</w:t>
      </w:r>
      <w:r>
        <w:t xml:space="preserve"> </w:t>
      </w:r>
      <w:r w:rsidR="00E4369E">
        <w:t xml:space="preserve"> </w:t>
      </w:r>
      <w:r w:rsidR="003F596E">
        <w:t xml:space="preserve">Students </w:t>
      </w:r>
      <w:r w:rsidR="00E4369E">
        <w:t>use</w:t>
      </w:r>
      <w:r>
        <w:t xml:space="preserve"> </w:t>
      </w:r>
      <w:r w:rsidRPr="00C171B2">
        <w:rPr>
          <w:i/>
        </w:rPr>
        <w:t>National Geographic</w:t>
      </w:r>
      <w:r>
        <w:t xml:space="preserve"> materials in </w:t>
      </w:r>
      <w:r w:rsidR="00D619A9">
        <w:t>kindergarten through grade 2</w:t>
      </w:r>
      <w:r>
        <w:t xml:space="preserve"> and </w:t>
      </w:r>
      <w:r w:rsidRPr="00C171B2">
        <w:rPr>
          <w:i/>
        </w:rPr>
        <w:t>Discovery Education</w:t>
      </w:r>
      <w:r>
        <w:t xml:space="preserve"> and </w:t>
      </w:r>
      <w:r w:rsidR="00284A88">
        <w:t xml:space="preserve">inquiry-based </w:t>
      </w:r>
      <w:r w:rsidRPr="00C171B2">
        <w:rPr>
          <w:i/>
        </w:rPr>
        <w:t>FOSS Kits</w:t>
      </w:r>
      <w:r>
        <w:t xml:space="preserve"> in </w:t>
      </w:r>
      <w:r w:rsidR="000266D0">
        <w:t xml:space="preserve">grades </w:t>
      </w:r>
      <w:r>
        <w:t>3</w:t>
      </w:r>
      <w:r w:rsidR="00D619A9">
        <w:t>–</w:t>
      </w:r>
      <w:r>
        <w:t>5</w:t>
      </w:r>
      <w:r w:rsidR="003F596E">
        <w:t xml:space="preserve"> to study science</w:t>
      </w:r>
      <w:r>
        <w:t xml:space="preserve">.  The social studies program </w:t>
      </w:r>
      <w:r w:rsidR="00E4369E">
        <w:t xml:space="preserve">relies on </w:t>
      </w:r>
      <w:r>
        <w:t>teacher-developed units.</w:t>
      </w:r>
      <w:r w:rsidR="00D619A9">
        <w:t xml:space="preserve"> Elementary-</w:t>
      </w:r>
      <w:r w:rsidR="003F596E">
        <w:t xml:space="preserve">school </w:t>
      </w:r>
      <w:r w:rsidR="00BB010E">
        <w:t>s</w:t>
      </w:r>
      <w:r>
        <w:t xml:space="preserve">tudents study science and social studies </w:t>
      </w:r>
      <w:r w:rsidR="00240068">
        <w:t xml:space="preserve">for </w:t>
      </w:r>
      <w:r>
        <w:t>90 minutes</w:t>
      </w:r>
      <w:r w:rsidR="000266D0">
        <w:t xml:space="preserve"> weekly</w:t>
      </w:r>
      <w:r>
        <w:t xml:space="preserve"> </w:t>
      </w:r>
      <w:r w:rsidR="000266D0">
        <w:t xml:space="preserve">in </w:t>
      </w:r>
      <w:r>
        <w:t>each</w:t>
      </w:r>
      <w:r w:rsidR="000266D0">
        <w:t xml:space="preserve"> subject</w:t>
      </w:r>
      <w:r>
        <w:t>.</w:t>
      </w:r>
    </w:p>
    <w:p w14:paraId="50690ED1" w14:textId="497524E4" w:rsidR="000464AC" w:rsidRDefault="008D52DE" w:rsidP="000464AC">
      <w:pPr>
        <w:tabs>
          <w:tab w:val="left" w:pos="360"/>
          <w:tab w:val="left" w:pos="720"/>
          <w:tab w:val="left" w:pos="1080"/>
          <w:tab w:val="left" w:pos="1440"/>
          <w:tab w:val="left" w:pos="1800"/>
          <w:tab w:val="left" w:pos="2160"/>
        </w:tabs>
      </w:pPr>
      <w:r>
        <w:t>In the</w:t>
      </w:r>
      <w:r w:rsidR="00135E1C">
        <w:t xml:space="preserve"> secondary schools</w:t>
      </w:r>
      <w:r>
        <w:t>, curriculum</w:t>
      </w:r>
      <w:r w:rsidR="00135E1C">
        <w:t xml:space="preserve"> </w:t>
      </w:r>
      <w:r w:rsidR="00EF70CF">
        <w:t xml:space="preserve">is based on </w:t>
      </w:r>
      <w:r w:rsidR="00EA57CD">
        <w:t>units</w:t>
      </w:r>
      <w:r>
        <w:t xml:space="preserve"> of study</w:t>
      </w:r>
      <w:r w:rsidR="000266D0">
        <w:t>,</w:t>
      </w:r>
      <w:r w:rsidR="003F596E">
        <w:t xml:space="preserve"> </w:t>
      </w:r>
      <w:r w:rsidR="00EA57CD">
        <w:t>often in</w:t>
      </w:r>
      <w:r w:rsidR="00135E1C">
        <w:t xml:space="preserve"> </w:t>
      </w:r>
      <w:proofErr w:type="spellStart"/>
      <w:r w:rsidR="00135E1C">
        <w:t>UbD</w:t>
      </w:r>
      <w:proofErr w:type="spellEnd"/>
      <w:r w:rsidR="00EA57CD">
        <w:t xml:space="preserve"> format</w:t>
      </w:r>
      <w:r w:rsidR="000266D0">
        <w:t>,</w:t>
      </w:r>
      <w:r w:rsidR="003F596E">
        <w:t xml:space="preserve"> </w:t>
      </w:r>
      <w:r w:rsidR="00135E1C">
        <w:t>and</w:t>
      </w:r>
      <w:r>
        <w:t xml:space="preserve"> a variety of</w:t>
      </w:r>
      <w:r w:rsidR="00135E1C">
        <w:t xml:space="preserve"> text</w:t>
      </w:r>
      <w:r w:rsidR="00EA57CD">
        <w:t xml:space="preserve">s.  </w:t>
      </w:r>
      <w:r w:rsidR="003F596E">
        <w:t xml:space="preserve">Teachers reported </w:t>
      </w:r>
      <w:r w:rsidR="00EA57CD">
        <w:t xml:space="preserve">that </w:t>
      </w:r>
      <w:proofErr w:type="gramStart"/>
      <w:r w:rsidR="00EA57CD">
        <w:t>a number of</w:t>
      </w:r>
      <w:proofErr w:type="gramEnd"/>
      <w:r w:rsidR="00EA57CD">
        <w:t xml:space="preserve"> secondary math and science texts were </w:t>
      </w:r>
      <w:r w:rsidR="00D619A9">
        <w:t xml:space="preserve">10 </w:t>
      </w:r>
      <w:r w:rsidR="00EA57CD">
        <w:t xml:space="preserve">or more years old.  </w:t>
      </w:r>
      <w:r w:rsidR="00135E1C">
        <w:t>Leaders and teachers have</w:t>
      </w:r>
      <w:r w:rsidR="00D71101">
        <w:t xml:space="preserve"> encouraged</w:t>
      </w:r>
      <w:r w:rsidR="00161B7E">
        <w:t xml:space="preserve"> </w:t>
      </w:r>
      <w:r w:rsidR="00D619A9">
        <w:t xml:space="preserve">the selection of </w:t>
      </w:r>
      <w:r w:rsidR="00161B7E">
        <w:t>secondary school</w:t>
      </w:r>
      <w:r w:rsidR="00D71101">
        <w:t xml:space="preserve"> literature to expand </w:t>
      </w:r>
      <w:r w:rsidR="00784201">
        <w:t xml:space="preserve">the curriculum </w:t>
      </w:r>
      <w:r w:rsidR="00D71101">
        <w:t xml:space="preserve">beyond the typical western canon.  </w:t>
      </w:r>
      <w:r w:rsidR="003F596E">
        <w:t xml:space="preserve">In </w:t>
      </w:r>
      <w:r w:rsidR="00D71101">
        <w:t>English and history</w:t>
      </w:r>
      <w:r w:rsidR="00332EC2">
        <w:t>/</w:t>
      </w:r>
      <w:r w:rsidR="00D71101">
        <w:t>social studies</w:t>
      </w:r>
      <w:r w:rsidR="00332EC2">
        <w:t xml:space="preserve"> courses, students now have opportunities</w:t>
      </w:r>
      <w:r w:rsidR="003713C7">
        <w:t xml:space="preserve"> </w:t>
      </w:r>
      <w:r w:rsidR="00D71101">
        <w:t xml:space="preserve">to read a </w:t>
      </w:r>
      <w:r w:rsidR="00D619A9">
        <w:t xml:space="preserve">range </w:t>
      </w:r>
      <w:r w:rsidR="00D71101">
        <w:t xml:space="preserve">of fiction and non-fiction </w:t>
      </w:r>
      <w:r w:rsidR="00161B7E">
        <w:t xml:space="preserve">representing </w:t>
      </w:r>
      <w:r w:rsidR="00D71101">
        <w:t>multiple world cultures</w:t>
      </w:r>
      <w:r w:rsidR="003713C7">
        <w:t xml:space="preserve"> that re</w:t>
      </w:r>
      <w:r w:rsidR="00161B7E">
        <w:t>flect</w:t>
      </w:r>
      <w:r w:rsidR="003713C7">
        <w:t xml:space="preserve"> the diversity of the student population and the community</w:t>
      </w:r>
      <w:r w:rsidR="00D71101">
        <w:t xml:space="preserve">. </w:t>
      </w:r>
    </w:p>
    <w:p w14:paraId="696A5ADD" w14:textId="7BB35A87" w:rsidR="000464AC" w:rsidRDefault="00E4369E" w:rsidP="000464AC">
      <w:pPr>
        <w:tabs>
          <w:tab w:val="left" w:pos="360"/>
          <w:tab w:val="left" w:pos="720"/>
          <w:tab w:val="left" w:pos="1080"/>
          <w:tab w:val="left" w:pos="1440"/>
          <w:tab w:val="left" w:pos="1800"/>
          <w:tab w:val="left" w:pos="2160"/>
        </w:tabs>
      </w:pPr>
      <w:r>
        <w:t>Nevertheless</w:t>
      </w:r>
      <w:r w:rsidR="000464AC">
        <w:t>, an enriched curriculum does not</w:t>
      </w:r>
      <w:r>
        <w:t xml:space="preserve"> alone</w:t>
      </w:r>
      <w:r w:rsidR="000464AC">
        <w:t xml:space="preserve"> ensure</w:t>
      </w:r>
      <w:r w:rsidR="003713C7">
        <w:t xml:space="preserve"> consistently</w:t>
      </w:r>
      <w:r w:rsidR="000464AC">
        <w:t xml:space="preserve"> strong instructional practices.  </w:t>
      </w:r>
      <w:r>
        <w:t>Observed e</w:t>
      </w:r>
      <w:r w:rsidR="000464AC">
        <w:t xml:space="preserve">lementary lessons </w:t>
      </w:r>
      <w:r w:rsidR="00F57240">
        <w:t xml:space="preserve">demonstrated the benefits </w:t>
      </w:r>
      <w:r w:rsidR="000464AC">
        <w:t xml:space="preserve">of the </w:t>
      </w:r>
      <w:r w:rsidR="00864680">
        <w:t xml:space="preserve">Workshop Model </w:t>
      </w:r>
      <w:r w:rsidR="00F57240">
        <w:t>in</w:t>
      </w:r>
      <w:r w:rsidR="000464AC">
        <w:t xml:space="preserve"> meet</w:t>
      </w:r>
      <w:r w:rsidR="00F57240">
        <w:t>ing</w:t>
      </w:r>
      <w:r w:rsidR="000464AC">
        <w:t xml:space="preserve"> students’ learning needs through</w:t>
      </w:r>
      <w:r w:rsidR="0090221D">
        <w:t xml:space="preserve"> targeted</w:t>
      </w:r>
      <w:r w:rsidR="000464AC">
        <w:t xml:space="preserve"> </w:t>
      </w:r>
      <w:r w:rsidR="00D619A9">
        <w:t>small-</w:t>
      </w:r>
      <w:r w:rsidR="000464AC">
        <w:t>group instruction in ELA and</w:t>
      </w:r>
      <w:r>
        <w:t xml:space="preserve"> often</w:t>
      </w:r>
      <w:r w:rsidR="00332EC2">
        <w:t xml:space="preserve"> </w:t>
      </w:r>
      <w:r>
        <w:t>in</w:t>
      </w:r>
      <w:r w:rsidR="000464AC">
        <w:t xml:space="preserve"> math</w:t>
      </w:r>
      <w:r w:rsidR="003713C7">
        <w:t>ematics</w:t>
      </w:r>
      <w:r w:rsidR="000464AC">
        <w:t xml:space="preserve">.  At the </w:t>
      </w:r>
      <w:r w:rsidR="00D619A9">
        <w:t>middle-</w:t>
      </w:r>
      <w:r w:rsidR="000464AC">
        <w:t>school</w:t>
      </w:r>
      <w:r w:rsidR="00332EC2">
        <w:t xml:space="preserve"> level</w:t>
      </w:r>
      <w:r w:rsidR="000464AC">
        <w:t xml:space="preserve">, observers often </w:t>
      </w:r>
      <w:r w:rsidR="000266D0">
        <w:t xml:space="preserve">found evidence of </w:t>
      </w:r>
      <w:r w:rsidR="00BB010E">
        <w:t>students</w:t>
      </w:r>
      <w:r w:rsidR="000464AC">
        <w:t xml:space="preserve"> active</w:t>
      </w:r>
      <w:r w:rsidR="00BB010E">
        <w:t>ly</w:t>
      </w:r>
      <w:r w:rsidR="000464AC">
        <w:t xml:space="preserve"> engaged </w:t>
      </w:r>
      <w:r w:rsidR="00BB010E">
        <w:t xml:space="preserve">in </w:t>
      </w:r>
      <w:r w:rsidR="000464AC">
        <w:t>learning.  At the high school, however,</w:t>
      </w:r>
      <w:r w:rsidR="003713C7">
        <w:t xml:space="preserve"> observers noted an over-dependence </w:t>
      </w:r>
      <w:r w:rsidR="00161B7E">
        <w:t>o</w:t>
      </w:r>
      <w:r w:rsidR="003713C7">
        <w:t>n</w:t>
      </w:r>
      <w:r w:rsidR="000464AC">
        <w:t xml:space="preserve"> teacher-directed le</w:t>
      </w:r>
      <w:r w:rsidR="003713C7">
        <w:t xml:space="preserve">ssons in which </w:t>
      </w:r>
      <w:r w:rsidR="0090221D">
        <w:lastRenderedPageBreak/>
        <w:t>students</w:t>
      </w:r>
      <w:r w:rsidR="003713C7">
        <w:t xml:space="preserve"> rarely</w:t>
      </w:r>
      <w:r w:rsidR="0090221D">
        <w:t xml:space="preserve"> interacted with each other to </w:t>
      </w:r>
      <w:r w:rsidR="00161B7E">
        <w:t xml:space="preserve">discuss thoughtful </w:t>
      </w:r>
      <w:r w:rsidR="008D52DE">
        <w:t xml:space="preserve">or complex </w:t>
      </w:r>
      <w:r w:rsidR="0090221D">
        <w:t xml:space="preserve">content and </w:t>
      </w:r>
      <w:r w:rsidR="00161B7E">
        <w:t xml:space="preserve">probe </w:t>
      </w:r>
      <w:r w:rsidR="0090221D">
        <w:t>concepts</w:t>
      </w:r>
      <w:r w:rsidR="000464AC">
        <w:t>.  At all school levels, instruction did not</w:t>
      </w:r>
      <w:r w:rsidR="00BB010E">
        <w:t xml:space="preserve"> often</w:t>
      </w:r>
      <w:r w:rsidR="000464AC">
        <w:t xml:space="preserve"> maximize</w:t>
      </w:r>
      <w:r w:rsidR="008D52DE">
        <w:t xml:space="preserve"> students’</w:t>
      </w:r>
      <w:r w:rsidR="00BB010E">
        <w:t xml:space="preserve"> </w:t>
      </w:r>
      <w:r>
        <w:t>higher</w:t>
      </w:r>
      <w:r w:rsidR="000266D0">
        <w:t>-</w:t>
      </w:r>
      <w:r>
        <w:t xml:space="preserve">order </w:t>
      </w:r>
      <w:r w:rsidR="000464AC">
        <w:t>thinking</w:t>
      </w:r>
      <w:r w:rsidR="008D52DE">
        <w:t xml:space="preserve"> skills.  Although the</w:t>
      </w:r>
      <w:r w:rsidR="00BB010E">
        <w:t xml:space="preserve"> rigor</w:t>
      </w:r>
      <w:r w:rsidR="000464AC">
        <w:t xml:space="preserve"> </w:t>
      </w:r>
      <w:r w:rsidR="003713C7">
        <w:t>embedded</w:t>
      </w:r>
      <w:r>
        <w:t xml:space="preserve"> in</w:t>
      </w:r>
      <w:r w:rsidR="000464AC">
        <w:t xml:space="preserve"> </w:t>
      </w:r>
      <w:proofErr w:type="spellStart"/>
      <w:r w:rsidR="000464AC">
        <w:t>UbD</w:t>
      </w:r>
      <w:proofErr w:type="spellEnd"/>
      <w:r w:rsidR="000464AC">
        <w:t xml:space="preserve"> units </w:t>
      </w:r>
      <w:r w:rsidR="000266D0">
        <w:t>ha</w:t>
      </w:r>
      <w:r w:rsidR="00777131">
        <w:t>s</w:t>
      </w:r>
      <w:r w:rsidR="000266D0">
        <w:t xml:space="preserve"> the potential to </w:t>
      </w:r>
      <w:r w:rsidR="000464AC">
        <w:t>challenge students intellectually, stretch their thinking</w:t>
      </w:r>
      <w:r w:rsidR="00777131">
        <w:t>,</w:t>
      </w:r>
      <w:r w:rsidR="000464AC">
        <w:t xml:space="preserve"> and help them apply complex </w:t>
      </w:r>
      <w:r>
        <w:t>knowledge</w:t>
      </w:r>
      <w:r w:rsidR="0090221D">
        <w:t xml:space="preserve"> and ideas</w:t>
      </w:r>
      <w:r w:rsidR="008D52DE">
        <w:t xml:space="preserve">, only a few observed </w:t>
      </w:r>
      <w:r w:rsidR="00777131">
        <w:t>high-</w:t>
      </w:r>
      <w:r w:rsidR="008D52DE">
        <w:t xml:space="preserve">school lessons </w:t>
      </w:r>
      <w:r w:rsidR="000266D0">
        <w:t>realized that potential as delivered</w:t>
      </w:r>
      <w:r w:rsidR="000464AC">
        <w:t xml:space="preserve">. </w:t>
      </w:r>
    </w:p>
    <w:p w14:paraId="74EDFF92" w14:textId="6A4A6100" w:rsidR="00240068" w:rsidRDefault="000464AC" w:rsidP="000464AC">
      <w:pPr>
        <w:tabs>
          <w:tab w:val="left" w:pos="360"/>
          <w:tab w:val="left" w:pos="720"/>
          <w:tab w:val="left" w:pos="1080"/>
          <w:tab w:val="left" w:pos="1440"/>
          <w:tab w:val="left" w:pos="1800"/>
          <w:tab w:val="left" w:pos="2160"/>
        </w:tabs>
      </w:pPr>
      <w:r>
        <w:t xml:space="preserve">The district’s </w:t>
      </w:r>
      <w:r w:rsidR="00F57240">
        <w:t>strategy</w:t>
      </w:r>
      <w:r>
        <w:t xml:space="preserve"> for instructional improvement</w:t>
      </w:r>
      <w:r w:rsidR="00BB010E">
        <w:t xml:space="preserve"> </w:t>
      </w:r>
      <w:r w:rsidR="00EA57CD">
        <w:t xml:space="preserve">is </w:t>
      </w:r>
      <w:r w:rsidR="00AE0417">
        <w:t>still early</w:t>
      </w:r>
      <w:r w:rsidR="00F57240">
        <w:t xml:space="preserve"> in its</w:t>
      </w:r>
      <w:r w:rsidR="00161B7E">
        <w:t xml:space="preserve"> </w:t>
      </w:r>
      <w:r w:rsidR="00AE0417">
        <w:t>implementation.</w:t>
      </w:r>
      <w:r>
        <w:t xml:space="preserve"> </w:t>
      </w:r>
      <w:r w:rsidR="005A233F">
        <w:t xml:space="preserve"> </w:t>
      </w:r>
      <w:r w:rsidR="00777131">
        <w:t>In 2018–2019,</w:t>
      </w:r>
      <w:r w:rsidR="00161B7E">
        <w:t xml:space="preserve"> th</w:t>
      </w:r>
      <w:r w:rsidR="00E35B57">
        <w:t>e approach includes</w:t>
      </w:r>
      <w:r w:rsidR="008D52DE">
        <w:t xml:space="preserve"> new structures such as</w:t>
      </w:r>
      <w:r w:rsidR="00E35B57">
        <w:t xml:space="preserve"> an </w:t>
      </w:r>
      <w:r w:rsidR="00240068">
        <w:t>instructional leadership team in</w:t>
      </w:r>
      <w:r w:rsidR="00E35B57">
        <w:t xml:space="preserve"> </w:t>
      </w:r>
      <w:r w:rsidR="00E35B57" w:rsidRPr="00EC5B5A">
        <w:t>all</w:t>
      </w:r>
      <w:r w:rsidR="00E35B57">
        <w:t xml:space="preserve"> schools to support </w:t>
      </w:r>
      <w:r w:rsidR="000266D0">
        <w:t xml:space="preserve">pedagogical </w:t>
      </w:r>
      <w:r w:rsidR="00E3011B">
        <w:t xml:space="preserve">improvement through </w:t>
      </w:r>
      <w:r w:rsidR="008D52DE">
        <w:t xml:space="preserve">collaborative </w:t>
      </w:r>
      <w:r w:rsidR="00E35B57">
        <w:t xml:space="preserve">professional learning communities </w:t>
      </w:r>
      <w:r w:rsidR="00EA57CD">
        <w:t>and</w:t>
      </w:r>
      <w:r w:rsidR="00C3049A">
        <w:t xml:space="preserve"> </w:t>
      </w:r>
      <w:r w:rsidR="00EA57CD">
        <w:t xml:space="preserve">other </w:t>
      </w:r>
      <w:r w:rsidR="00C3049A">
        <w:t xml:space="preserve">teacher </w:t>
      </w:r>
      <w:r w:rsidR="00EA57CD">
        <w:t>teams</w:t>
      </w:r>
      <w:r w:rsidR="00E35B57">
        <w:t xml:space="preserve">.  </w:t>
      </w:r>
      <w:r w:rsidR="008D52DE">
        <w:t xml:space="preserve">Starting </w:t>
      </w:r>
      <w:r w:rsidR="00777131">
        <w:t>in 2018–2019</w:t>
      </w:r>
      <w:r w:rsidR="008D52DE">
        <w:t xml:space="preserve">, all elementary </w:t>
      </w:r>
      <w:r w:rsidR="00E3011B">
        <w:t xml:space="preserve">schools </w:t>
      </w:r>
      <w:r w:rsidR="008D52DE">
        <w:t>have full</w:t>
      </w:r>
      <w:r w:rsidR="00777131">
        <w:t>-</w:t>
      </w:r>
      <w:r w:rsidR="008D52DE">
        <w:t xml:space="preserve">time ELA and math coaches to work with teachers in </w:t>
      </w:r>
      <w:r w:rsidR="00777131">
        <w:t>grade-</w:t>
      </w:r>
      <w:r w:rsidR="008D52DE">
        <w:t xml:space="preserve">level teams.  </w:t>
      </w:r>
      <w:r w:rsidR="00E3011B">
        <w:t xml:space="preserve">Tier </w:t>
      </w:r>
      <w:r w:rsidR="004165D8">
        <w:t xml:space="preserve">3 </w:t>
      </w:r>
      <w:r w:rsidR="008D52DE">
        <w:t xml:space="preserve">schools have two ELA coaches. </w:t>
      </w:r>
      <w:r w:rsidR="00424AD6">
        <w:t>Middle- and high-school department heads reported that they engaged more in supervisory activities, such as walkthroughs, rather than in direct coaching to help teachers improve their practice.  Some noted that they offered to model lessons and provide resources to guide improvement, but most did not have the time.  Newly appointed middle-school department heads for social studies and science have full-time teaching loads and struggle to find time to support their colleagues.</w:t>
      </w:r>
      <w:r w:rsidR="00424AD6" w:rsidRPr="001E7B55">
        <w:tab/>
      </w:r>
    </w:p>
    <w:p w14:paraId="4371C1C0" w14:textId="44916D88" w:rsidR="00C3049A" w:rsidRDefault="00E35B57" w:rsidP="000464AC">
      <w:pPr>
        <w:tabs>
          <w:tab w:val="left" w:pos="360"/>
          <w:tab w:val="left" w:pos="720"/>
          <w:tab w:val="left" w:pos="1080"/>
          <w:tab w:val="left" w:pos="1440"/>
          <w:tab w:val="left" w:pos="1800"/>
          <w:tab w:val="left" w:pos="2160"/>
        </w:tabs>
      </w:pPr>
      <w:r>
        <w:t xml:space="preserve">There is a </w:t>
      </w:r>
      <w:r w:rsidR="001B1C39">
        <w:t>recent unif</w:t>
      </w:r>
      <w:r w:rsidR="00161B7E">
        <w:t>ied</w:t>
      </w:r>
      <w:r w:rsidR="001B1C39">
        <w:t xml:space="preserve"> </w:t>
      </w:r>
      <w:r>
        <w:t>focus on data-</w:t>
      </w:r>
      <w:r w:rsidR="00161B7E">
        <w:t>based</w:t>
      </w:r>
      <w:r>
        <w:t xml:space="preserve"> instructional decision-making linked to </w:t>
      </w:r>
      <w:r w:rsidR="00EA57CD">
        <w:t>the use of</w:t>
      </w:r>
      <w:r>
        <w:t xml:space="preserve"> common formative assessments </w:t>
      </w:r>
      <w:r w:rsidR="001B1C39">
        <w:t xml:space="preserve">now </w:t>
      </w:r>
      <w:r w:rsidR="00EA57CD">
        <w:t xml:space="preserve">in progress </w:t>
      </w:r>
      <w:r w:rsidR="001B1C39">
        <w:t xml:space="preserve">at </w:t>
      </w:r>
      <w:r w:rsidR="007265B3">
        <w:t>the</w:t>
      </w:r>
      <w:r w:rsidR="008D52DE">
        <w:t xml:space="preserve"> elementary and middle </w:t>
      </w:r>
      <w:r w:rsidR="001B1C39">
        <w:t>schools</w:t>
      </w:r>
      <w:r w:rsidR="00AE0417">
        <w:t xml:space="preserve"> and</w:t>
      </w:r>
      <w:r w:rsidR="007265B3">
        <w:t xml:space="preserve"> just</w:t>
      </w:r>
      <w:r w:rsidR="00AE0417">
        <w:t xml:space="preserve"> beginning at the high school</w:t>
      </w:r>
      <w:r w:rsidR="001B1C39">
        <w:t>.</w:t>
      </w:r>
      <w:r w:rsidR="00C3049A">
        <w:t xml:space="preserve">  Various walkthrough formats are starting to take hold at different levels to monitor instructional strengths and challenges and provide useful feedback to teachers</w:t>
      </w:r>
      <w:r w:rsidR="008D52DE">
        <w:t>; however, these are inconsistently implemented across schools</w:t>
      </w:r>
      <w:r w:rsidR="00C3049A">
        <w:t>.  “</w:t>
      </w:r>
      <w:r w:rsidR="00240068">
        <w:t>Look</w:t>
      </w:r>
      <w:r w:rsidR="00C3049A">
        <w:t>-</w:t>
      </w:r>
      <w:proofErr w:type="spellStart"/>
      <w:r w:rsidR="00C3049A">
        <w:t>fors</w:t>
      </w:r>
      <w:proofErr w:type="spellEnd"/>
      <w:r w:rsidR="00C3049A">
        <w:t xml:space="preserve">” </w:t>
      </w:r>
      <w:r w:rsidR="00E3011B">
        <w:t xml:space="preserve">are not clearly defined </w:t>
      </w:r>
      <w:r w:rsidR="00C3049A">
        <w:t xml:space="preserve">and walkthrough tools </w:t>
      </w:r>
      <w:r w:rsidR="00E3011B">
        <w:t xml:space="preserve">are not always used systematically and </w:t>
      </w:r>
      <w:r w:rsidR="00777131">
        <w:t>are missing</w:t>
      </w:r>
      <w:r w:rsidR="00C3049A">
        <w:t xml:space="preserve"> uniform expectations</w:t>
      </w:r>
      <w:r w:rsidR="00FB012C">
        <w:t xml:space="preserve"> </w:t>
      </w:r>
      <w:r w:rsidR="00C3049A">
        <w:t xml:space="preserve">for </w:t>
      </w:r>
      <w:r w:rsidR="00777131">
        <w:t xml:space="preserve">effective </w:t>
      </w:r>
      <w:r w:rsidR="00C3049A">
        <w:t>teaching</w:t>
      </w:r>
      <w:r w:rsidR="00E3011B">
        <w:t>.</w:t>
      </w:r>
      <w:r w:rsidR="00C3049A">
        <w:t xml:space="preserve">  </w:t>
      </w:r>
      <w:r w:rsidR="001B1C39">
        <w:t xml:space="preserve"> </w:t>
      </w:r>
    </w:p>
    <w:p w14:paraId="24338388" w14:textId="61E4A894" w:rsidR="0092061D" w:rsidRDefault="00E3011B" w:rsidP="000464AC">
      <w:pPr>
        <w:tabs>
          <w:tab w:val="left" w:pos="360"/>
          <w:tab w:val="left" w:pos="720"/>
          <w:tab w:val="left" w:pos="1080"/>
          <w:tab w:val="left" w:pos="1440"/>
          <w:tab w:val="left" w:pos="1800"/>
          <w:tab w:val="left" w:pos="2160"/>
        </w:tabs>
      </w:pPr>
      <w:r>
        <w:t>The</w:t>
      </w:r>
      <w:r w:rsidR="001B1C39">
        <w:t xml:space="preserve"> district is initiating a </w:t>
      </w:r>
      <w:r w:rsidR="00E35B57">
        <w:t>K</w:t>
      </w:r>
      <w:r w:rsidR="00777131">
        <w:t>–</w:t>
      </w:r>
      <w:r w:rsidR="00E35B57">
        <w:t xml:space="preserve">12 </w:t>
      </w:r>
      <w:r>
        <w:t>social</w:t>
      </w:r>
      <w:r w:rsidR="00184EB3">
        <w:t>-</w:t>
      </w:r>
      <w:r>
        <w:t xml:space="preserve">emotional learning </w:t>
      </w:r>
      <w:r w:rsidR="00E35B57">
        <w:t xml:space="preserve">curriculum based on Positive Behavioral Intervention and Supports (PBIS) at all school levels to ensure </w:t>
      </w:r>
      <w:r w:rsidR="007F0D73">
        <w:t xml:space="preserve">that </w:t>
      </w:r>
      <w:r w:rsidR="00E35B57">
        <w:t xml:space="preserve">students are </w:t>
      </w:r>
      <w:r w:rsidR="00EA57CD">
        <w:t xml:space="preserve">more </w:t>
      </w:r>
      <w:r w:rsidR="00E35B57">
        <w:t xml:space="preserve">ready and able to learn.  </w:t>
      </w:r>
    </w:p>
    <w:p w14:paraId="1B57C7A7" w14:textId="0A7F4EEF" w:rsidR="0046311E" w:rsidRPr="00353A61" w:rsidRDefault="00131B0E" w:rsidP="000464AC">
      <w:pPr>
        <w:tabs>
          <w:tab w:val="left" w:pos="360"/>
          <w:tab w:val="left" w:pos="720"/>
          <w:tab w:val="left" w:pos="1080"/>
          <w:tab w:val="left" w:pos="1440"/>
          <w:tab w:val="left" w:pos="1800"/>
          <w:tab w:val="left" w:pos="2160"/>
        </w:tabs>
      </w:pPr>
      <w:r>
        <w:t>U</w:t>
      </w:r>
      <w:r w:rsidR="0092061D">
        <w:t>nder</w:t>
      </w:r>
      <w:r w:rsidR="00E4369E">
        <w:t xml:space="preserve"> </w:t>
      </w:r>
      <w:r w:rsidR="00E91B52">
        <w:t>DESE</w:t>
      </w:r>
      <w:r w:rsidR="00331A10">
        <w:t xml:space="preserve">’s </w:t>
      </w:r>
      <w:r w:rsidR="0092061D">
        <w:t xml:space="preserve">2018 </w:t>
      </w:r>
      <w:r w:rsidR="00E91B52">
        <w:t>Official Accountability Report for Framingham</w:t>
      </w:r>
      <w:r w:rsidR="00F57240">
        <w:t>,</w:t>
      </w:r>
      <w:r w:rsidR="007265B3">
        <w:t xml:space="preserve"> </w:t>
      </w:r>
      <w:r w:rsidR="006B7372">
        <w:t xml:space="preserve">2 </w:t>
      </w:r>
      <w:r w:rsidR="009D6BBE">
        <w:t xml:space="preserve">of Framingham’s 14 </w:t>
      </w:r>
      <w:r w:rsidR="006B7372">
        <w:t>schools have insufficient data to be included in the accountability system</w:t>
      </w:r>
      <w:r>
        <w:t xml:space="preserve">. Of the 12 schools in the accountability system, </w:t>
      </w:r>
      <w:r w:rsidR="00777131">
        <w:t xml:space="preserve">3 </w:t>
      </w:r>
      <w:r w:rsidR="005A233F">
        <w:t>schools</w:t>
      </w:r>
      <w:r w:rsidR="009A1BD0">
        <w:t xml:space="preserve"> are classified as requiring assistance or intervention</w:t>
      </w:r>
      <w:r>
        <w:t>,</w:t>
      </w:r>
      <w:r w:rsidR="009D6BBE">
        <w:t xml:space="preserve"> 9</w:t>
      </w:r>
      <w:r w:rsidR="006B7372">
        <w:t xml:space="preserve"> </w:t>
      </w:r>
      <w:r w:rsidR="009D6BBE">
        <w:t xml:space="preserve">schools </w:t>
      </w:r>
      <w:r w:rsidR="006B7372">
        <w:t xml:space="preserve">partially </w:t>
      </w:r>
      <w:r w:rsidR="0092061D">
        <w:t>met</w:t>
      </w:r>
      <w:r w:rsidR="005A233F">
        <w:t xml:space="preserve"> </w:t>
      </w:r>
      <w:r w:rsidR="00EA57CD">
        <w:t xml:space="preserve">improvement </w:t>
      </w:r>
      <w:r w:rsidR="005A233F">
        <w:t>targets</w:t>
      </w:r>
      <w:r>
        <w:t>,</w:t>
      </w:r>
      <w:r w:rsidR="006B7372">
        <w:t xml:space="preserve"> and 3 </w:t>
      </w:r>
      <w:r>
        <w:t xml:space="preserve">schools </w:t>
      </w:r>
      <w:r w:rsidR="006B7372">
        <w:t>met improvement targets</w:t>
      </w:r>
      <w:r w:rsidR="00E91B52">
        <w:t>.</w:t>
      </w:r>
      <w:r w:rsidR="0092061D">
        <w:t xml:space="preserve"> </w:t>
      </w:r>
      <w:r w:rsidR="009D6BBE">
        <w:t>The three</w:t>
      </w:r>
      <w:r w:rsidR="00777131">
        <w:t xml:space="preserve"> </w:t>
      </w:r>
      <w:r w:rsidR="00755ED6">
        <w:t xml:space="preserve">schools </w:t>
      </w:r>
      <w:r w:rsidR="009D6BBE">
        <w:t xml:space="preserve">classified as requiring assistance or intervention were “in </w:t>
      </w:r>
      <w:r w:rsidR="00331A10">
        <w:t>ne</w:t>
      </w:r>
      <w:r w:rsidR="004F6982">
        <w:t>ed</w:t>
      </w:r>
      <w:r w:rsidR="00331A10">
        <w:t xml:space="preserve"> </w:t>
      </w:r>
      <w:r w:rsidR="009D6BBE">
        <w:t>of focused/</w:t>
      </w:r>
      <w:r w:rsidR="00331A10">
        <w:t>targeted support</w:t>
      </w:r>
      <w:r w:rsidR="009D6BBE">
        <w:t>”</w:t>
      </w:r>
      <w:r w:rsidR="00331A10">
        <w:t xml:space="preserve"> and</w:t>
      </w:r>
      <w:r w:rsidR="00755ED6">
        <w:t xml:space="preserve"> </w:t>
      </w:r>
      <w:r w:rsidR="00777131">
        <w:t xml:space="preserve">were </w:t>
      </w:r>
      <w:r w:rsidR="00331A10">
        <w:t>work</w:t>
      </w:r>
      <w:r w:rsidR="007265B3">
        <w:t>ing</w:t>
      </w:r>
      <w:r w:rsidR="00331A10">
        <w:t xml:space="preserve"> with </w:t>
      </w:r>
      <w:r w:rsidR="007265B3">
        <w:t>staff</w:t>
      </w:r>
      <w:r w:rsidR="00331A10">
        <w:t xml:space="preserve"> from </w:t>
      </w:r>
      <w:r w:rsidR="00777131">
        <w:t>D</w:t>
      </w:r>
      <w:r w:rsidR="00331A10">
        <w:t>ESE’s State System of Support</w:t>
      </w:r>
      <w:r w:rsidR="00755ED6">
        <w:t xml:space="preserve"> (</w:t>
      </w:r>
      <w:proofErr w:type="spellStart"/>
      <w:r w:rsidR="00755ED6">
        <w:t>SSoS</w:t>
      </w:r>
      <w:proofErr w:type="spellEnd"/>
      <w:r w:rsidR="00755ED6">
        <w:t>)</w:t>
      </w:r>
      <w:r w:rsidR="00AE0417">
        <w:t xml:space="preserve"> to achieve </w:t>
      </w:r>
      <w:r w:rsidR="004F6982">
        <w:t xml:space="preserve">the </w:t>
      </w:r>
      <w:r w:rsidR="00AE0417">
        <w:t xml:space="preserve">goals </w:t>
      </w:r>
      <w:r w:rsidR="004F6982">
        <w:t xml:space="preserve">established </w:t>
      </w:r>
      <w:r w:rsidR="00AE0417">
        <w:t xml:space="preserve">in </w:t>
      </w:r>
      <w:r w:rsidR="007265B3">
        <w:t>their</w:t>
      </w:r>
      <w:r w:rsidR="00AE0417">
        <w:t xml:space="preserve"> Collective Turnaround Plan (CTAP</w:t>
      </w:r>
      <w:r w:rsidR="004165D8">
        <w:t>)</w:t>
      </w:r>
      <w:r w:rsidR="004F6982">
        <w:t xml:space="preserve">.            </w:t>
      </w:r>
    </w:p>
    <w:p w14:paraId="40307523" w14:textId="72C29FA8" w:rsidR="000464AC" w:rsidRDefault="000464AC" w:rsidP="000464AC">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1E0A985B" w14:textId="5103E5C3" w:rsidR="000464AC" w:rsidRPr="007C4A16" w:rsidRDefault="000464AC" w:rsidP="000464AC">
      <w:pPr>
        <w:tabs>
          <w:tab w:val="left" w:pos="360"/>
          <w:tab w:val="left" w:pos="720"/>
          <w:tab w:val="left" w:pos="1080"/>
          <w:tab w:val="left" w:pos="1440"/>
          <w:tab w:val="left" w:pos="1800"/>
          <w:tab w:val="left" w:pos="2160"/>
        </w:tabs>
        <w:ind w:left="360" w:hanging="360"/>
        <w:rPr>
          <w:b/>
          <w:i/>
        </w:rPr>
      </w:pPr>
      <w:r>
        <w:rPr>
          <w:b/>
        </w:rPr>
        <w:t xml:space="preserve">1. </w:t>
      </w:r>
      <w:r>
        <w:rPr>
          <w:b/>
        </w:rPr>
        <w:tab/>
      </w:r>
      <w:r w:rsidR="008D1B8A">
        <w:rPr>
          <w:b/>
        </w:rPr>
        <w:t>T</w:t>
      </w:r>
      <w:r w:rsidR="00FC4E26">
        <w:rPr>
          <w:b/>
        </w:rPr>
        <w:t>he</w:t>
      </w:r>
      <w:r>
        <w:rPr>
          <w:b/>
        </w:rPr>
        <w:t xml:space="preserve"> district</w:t>
      </w:r>
      <w:r w:rsidR="00FC4E26">
        <w:rPr>
          <w:b/>
        </w:rPr>
        <w:t xml:space="preserve"> </w:t>
      </w:r>
      <w:r w:rsidRPr="007C4A16">
        <w:rPr>
          <w:b/>
        </w:rPr>
        <w:t xml:space="preserve">created </w:t>
      </w:r>
      <w:r w:rsidR="008D1B8A" w:rsidRPr="007C4A16">
        <w:rPr>
          <w:b/>
        </w:rPr>
        <w:t>a curriculum review and renewal cycle</w:t>
      </w:r>
      <w:r w:rsidR="00005499" w:rsidRPr="007C4A16">
        <w:rPr>
          <w:b/>
        </w:rPr>
        <w:t xml:space="preserve"> t</w:t>
      </w:r>
      <w:r w:rsidRPr="007C4A16">
        <w:rPr>
          <w:b/>
        </w:rPr>
        <w:t xml:space="preserve">o align curricula </w:t>
      </w:r>
      <w:r w:rsidR="007F24F6" w:rsidRPr="007C4A16">
        <w:rPr>
          <w:b/>
        </w:rPr>
        <w:t xml:space="preserve">with </w:t>
      </w:r>
      <w:r w:rsidR="0067148E" w:rsidRPr="007C4A16">
        <w:rPr>
          <w:b/>
        </w:rPr>
        <w:t xml:space="preserve">the </w:t>
      </w:r>
      <w:r w:rsidRPr="007C4A16">
        <w:rPr>
          <w:b/>
        </w:rPr>
        <w:t>current Massachusetts curriculum framework</w:t>
      </w:r>
      <w:r w:rsidR="00170501" w:rsidRPr="007C4A16">
        <w:rPr>
          <w:b/>
        </w:rPr>
        <w:t>s</w:t>
      </w:r>
      <w:r w:rsidRPr="007C4A16">
        <w:rPr>
          <w:b/>
        </w:rPr>
        <w:t xml:space="preserve"> and make </w:t>
      </w:r>
      <w:r w:rsidR="001B1C39" w:rsidRPr="007C4A16">
        <w:rPr>
          <w:b/>
        </w:rPr>
        <w:t>curricula</w:t>
      </w:r>
      <w:r w:rsidR="008D1B8A" w:rsidRPr="007C4A16">
        <w:rPr>
          <w:b/>
        </w:rPr>
        <w:t xml:space="preserve"> more challenging and engaging </w:t>
      </w:r>
      <w:r w:rsidR="0067148E" w:rsidRPr="007C4A16">
        <w:rPr>
          <w:b/>
        </w:rPr>
        <w:t xml:space="preserve">for </w:t>
      </w:r>
      <w:r w:rsidR="008D1B8A" w:rsidRPr="007C4A16">
        <w:rPr>
          <w:b/>
        </w:rPr>
        <w:t>students and accessible to all teachers.</w:t>
      </w:r>
    </w:p>
    <w:p w14:paraId="1783B054" w14:textId="64B196F9" w:rsidR="000464AC" w:rsidRDefault="00A45B28" w:rsidP="00A45B28">
      <w:pPr>
        <w:pStyle w:val="ListParagraph"/>
        <w:tabs>
          <w:tab w:val="left" w:pos="360"/>
          <w:tab w:val="left" w:pos="720"/>
          <w:tab w:val="left" w:pos="1080"/>
          <w:tab w:val="left" w:pos="1440"/>
          <w:tab w:val="left" w:pos="1800"/>
          <w:tab w:val="left" w:pos="2160"/>
        </w:tabs>
        <w:ind w:hanging="360"/>
      </w:pPr>
      <w:r w:rsidRPr="007C4A16">
        <w:rPr>
          <w:b/>
        </w:rPr>
        <w:t>A.</w:t>
      </w:r>
      <w:r w:rsidRPr="007C4A16">
        <w:t xml:space="preserve">    </w:t>
      </w:r>
      <w:r w:rsidR="00A456B2" w:rsidRPr="007C4A16">
        <w:t>District</w:t>
      </w:r>
      <w:r w:rsidR="00D50A99" w:rsidRPr="007C4A16">
        <w:t xml:space="preserve"> leaders stated that the district </w:t>
      </w:r>
      <w:r w:rsidR="008D6672" w:rsidRPr="007C4A16">
        <w:t xml:space="preserve">did not </w:t>
      </w:r>
      <w:r w:rsidR="004F6982" w:rsidRPr="007C4A16">
        <w:t>ha</w:t>
      </w:r>
      <w:r w:rsidR="008D6672" w:rsidRPr="007C4A16">
        <w:t>ve</w:t>
      </w:r>
      <w:r w:rsidR="004F6982" w:rsidRPr="007C4A16">
        <w:t xml:space="preserve"> </w:t>
      </w:r>
      <w:r w:rsidR="00E169AE" w:rsidRPr="007C4A16">
        <w:t>a</w:t>
      </w:r>
      <w:r w:rsidR="00D50A99" w:rsidRPr="007C4A16">
        <w:t xml:space="preserve"> </w:t>
      </w:r>
      <w:r w:rsidR="000A61DA" w:rsidRPr="007C4A16">
        <w:t xml:space="preserve">formal process </w:t>
      </w:r>
      <w:r w:rsidR="00E169AE" w:rsidRPr="007C4A16">
        <w:t>for curriculum review and revision</w:t>
      </w:r>
      <w:r w:rsidR="00941ED5">
        <w:t xml:space="preserve"> in the past</w:t>
      </w:r>
      <w:r w:rsidR="00D50A99" w:rsidRPr="007C4A16">
        <w:t xml:space="preserve">. </w:t>
      </w:r>
      <w:r w:rsidR="00E169AE" w:rsidRPr="007C4A16">
        <w:t xml:space="preserve">Eighteen months </w:t>
      </w:r>
      <w:r w:rsidR="008D6672" w:rsidRPr="007C4A16">
        <w:t>before the onsite in February 2019</w:t>
      </w:r>
      <w:r w:rsidR="00E169AE" w:rsidRPr="007C4A16">
        <w:t xml:space="preserve">, the district </w:t>
      </w:r>
      <w:r w:rsidR="00D50A99" w:rsidRPr="007C4A16">
        <w:t>creat</w:t>
      </w:r>
      <w:r w:rsidR="000464AC" w:rsidRPr="007C4A16">
        <w:t xml:space="preserve">ed a </w:t>
      </w:r>
      <w:r w:rsidR="000464AC" w:rsidRPr="007C4A16">
        <w:lastRenderedPageBreak/>
        <w:t>seven-year</w:t>
      </w:r>
      <w:r w:rsidR="000464AC">
        <w:t xml:space="preserve">, five-phase curriculum review </w:t>
      </w:r>
      <w:r w:rsidR="00170501">
        <w:t>cycle</w:t>
      </w:r>
      <w:r w:rsidR="000A61DA">
        <w:t xml:space="preserve"> </w:t>
      </w:r>
      <w:r w:rsidR="00170501">
        <w:t>to ensure that all curricula</w:t>
      </w:r>
      <w:r w:rsidR="008D1B8A">
        <w:t xml:space="preserve"> </w:t>
      </w:r>
      <w:r w:rsidR="008D6672">
        <w:t xml:space="preserve">were </w:t>
      </w:r>
      <w:r w:rsidR="00170501">
        <w:t>align</w:t>
      </w:r>
      <w:r w:rsidR="008D1B8A">
        <w:t>ed</w:t>
      </w:r>
      <w:r w:rsidR="00170501">
        <w:t xml:space="preserve"> </w:t>
      </w:r>
      <w:r w:rsidR="008D6672">
        <w:t xml:space="preserve">with </w:t>
      </w:r>
      <w:r w:rsidR="00170501">
        <w:t xml:space="preserve">current Massachusetts frameworks.  </w:t>
      </w:r>
      <w:r w:rsidR="00E169AE" w:rsidRPr="00281533">
        <w:t xml:space="preserve">This </w:t>
      </w:r>
      <w:r w:rsidR="00170501" w:rsidRPr="00C14CA1">
        <w:t xml:space="preserve">process is prioritized by </w:t>
      </w:r>
      <w:r w:rsidR="000464AC" w:rsidRPr="00C14CA1">
        <w:t>district needs</w:t>
      </w:r>
      <w:r w:rsidR="00170501" w:rsidRPr="00C14CA1">
        <w:t xml:space="preserve"> </w:t>
      </w:r>
      <w:r w:rsidR="000464AC" w:rsidRPr="00C14CA1">
        <w:t>and is inclusive</w:t>
      </w:r>
      <w:r w:rsidR="00C14CA1" w:rsidRPr="00406A80">
        <w:t xml:space="preserve"> and </w:t>
      </w:r>
      <w:r w:rsidR="000464AC" w:rsidRPr="00C14CA1">
        <w:t>transparent.</w:t>
      </w:r>
      <w:r w:rsidR="000464AC">
        <w:t xml:space="preserve"> </w:t>
      </w:r>
    </w:p>
    <w:p w14:paraId="676F8893" w14:textId="77777777" w:rsidR="00A45B28" w:rsidRPr="00A45B28" w:rsidRDefault="00A45B28" w:rsidP="00A45B28">
      <w:pPr>
        <w:pStyle w:val="ListParagraph"/>
        <w:tabs>
          <w:tab w:val="left" w:pos="360"/>
          <w:tab w:val="left" w:pos="720"/>
          <w:tab w:val="left" w:pos="1080"/>
          <w:tab w:val="left" w:pos="1440"/>
          <w:tab w:val="left" w:pos="1800"/>
          <w:tab w:val="left" w:pos="2160"/>
        </w:tabs>
        <w:ind w:hanging="360"/>
        <w:rPr>
          <w:b/>
          <w:i/>
        </w:rPr>
      </w:pPr>
    </w:p>
    <w:p w14:paraId="544F101F" w14:textId="0BF9C17A" w:rsidR="00A45B28" w:rsidRPr="000D70AB" w:rsidRDefault="00370199" w:rsidP="00284B7C">
      <w:pPr>
        <w:pStyle w:val="ListParagraph"/>
        <w:tabs>
          <w:tab w:val="left" w:pos="0"/>
          <w:tab w:val="left" w:pos="360"/>
          <w:tab w:val="left" w:pos="720"/>
          <w:tab w:val="left" w:pos="1080"/>
          <w:tab w:val="left" w:pos="1440"/>
          <w:tab w:val="left" w:pos="1800"/>
          <w:tab w:val="left" w:pos="2160"/>
        </w:tabs>
        <w:ind w:left="1080" w:hanging="450"/>
        <w:contextualSpacing w:val="0"/>
      </w:pPr>
      <w:r>
        <w:t xml:space="preserve">1.    </w:t>
      </w:r>
      <w:r w:rsidR="00170501">
        <w:t xml:space="preserve"> The d</w:t>
      </w:r>
      <w:r>
        <w:t xml:space="preserve">istrict </w:t>
      </w:r>
      <w:r w:rsidR="000464AC">
        <w:t>plan</w:t>
      </w:r>
      <w:r>
        <w:t>s</w:t>
      </w:r>
      <w:r w:rsidR="000464AC">
        <w:t xml:space="preserve"> to review all content areas over </w:t>
      </w:r>
      <w:r w:rsidR="008D1B8A">
        <w:t>the</w:t>
      </w:r>
      <w:r w:rsidR="000464AC">
        <w:t xml:space="preserve"> seven-year period.  A timeline</w:t>
      </w:r>
      <w:r w:rsidR="00541905">
        <w:t xml:space="preserve">, which is </w:t>
      </w:r>
      <w:r w:rsidR="000464AC">
        <w:t>shared districtwide</w:t>
      </w:r>
      <w:r w:rsidR="00541905">
        <w:t>,</w:t>
      </w:r>
      <w:r w:rsidR="004F6982">
        <w:t xml:space="preserve"> </w:t>
      </w:r>
      <w:r w:rsidR="00301992">
        <w:t xml:space="preserve">focuses </w:t>
      </w:r>
      <w:r w:rsidR="000464AC">
        <w:t xml:space="preserve">the initial reviews on core </w:t>
      </w:r>
      <w:r w:rsidR="00170501">
        <w:t xml:space="preserve">subjects </w:t>
      </w:r>
      <w:r w:rsidR="000464AC">
        <w:t xml:space="preserve">and grade levels </w:t>
      </w:r>
      <w:r w:rsidR="00D50A99">
        <w:t xml:space="preserve">without </w:t>
      </w:r>
      <w:r w:rsidR="000464AC">
        <w:t xml:space="preserve">documented </w:t>
      </w:r>
      <w:r w:rsidR="00301992">
        <w:t>curricula</w:t>
      </w:r>
      <w:r w:rsidR="008D1B8A">
        <w:t>,</w:t>
      </w:r>
      <w:r w:rsidR="004F6982">
        <w:t xml:space="preserve"> </w:t>
      </w:r>
      <w:r w:rsidR="000464AC">
        <w:t xml:space="preserve">or </w:t>
      </w:r>
      <w:r w:rsidR="00D50A99">
        <w:t xml:space="preserve">with unaligned </w:t>
      </w:r>
      <w:r w:rsidR="00301992">
        <w:t>curricula</w:t>
      </w:r>
      <w:r w:rsidR="00A456B2">
        <w:t>,</w:t>
      </w:r>
      <w:r w:rsidR="002B459E">
        <w:t xml:space="preserve"> and</w:t>
      </w:r>
      <w:r w:rsidR="00D50A99">
        <w:t xml:space="preserve"> </w:t>
      </w:r>
      <w:r w:rsidR="008D1B8A">
        <w:t>content areas identified as high need</w:t>
      </w:r>
      <w:r w:rsidR="004F6982">
        <w:t xml:space="preserve"> </w:t>
      </w:r>
      <w:r w:rsidR="008D1B8A">
        <w:t>based on data</w:t>
      </w:r>
      <w:r w:rsidR="00D50A99">
        <w:t xml:space="preserve"> analysis</w:t>
      </w:r>
      <w:r w:rsidR="008D1B8A">
        <w:t>.</w:t>
      </w:r>
    </w:p>
    <w:p w14:paraId="64DA2265" w14:textId="7F5BC286" w:rsidR="00170501" w:rsidRDefault="000464AC" w:rsidP="00284B7C">
      <w:pPr>
        <w:pStyle w:val="ListParagraph"/>
        <w:numPr>
          <w:ilvl w:val="1"/>
          <w:numId w:val="60"/>
        </w:numPr>
        <w:tabs>
          <w:tab w:val="left" w:pos="0"/>
          <w:tab w:val="left" w:pos="360"/>
          <w:tab w:val="left" w:pos="1080"/>
          <w:tab w:val="left" w:pos="1800"/>
          <w:tab w:val="left" w:pos="2160"/>
        </w:tabs>
        <w:contextualSpacing w:val="0"/>
      </w:pPr>
      <w:r>
        <w:t xml:space="preserve">The five phases </w:t>
      </w:r>
      <w:r w:rsidR="00C27F65">
        <w:t xml:space="preserve">of the process </w:t>
      </w:r>
      <w:r w:rsidR="00973AC3">
        <w:t>are as follows</w:t>
      </w:r>
      <w:r>
        <w:t xml:space="preserve">: Phases I, II, III/Year 1: evaluation and research, develop scope and sequence, and write/revise curriculum units; Phase IV/Year 2:  implement and monitor new curriculum; Phase V/Years 3 and 4:  monitor, evaluate and identify next steps.  For each phase, the district intends </w:t>
      </w:r>
      <w:r w:rsidR="00973AC3">
        <w:t>to us</w:t>
      </w:r>
      <w:r w:rsidR="004F6982">
        <w:t>e</w:t>
      </w:r>
      <w:r w:rsidR="00973AC3">
        <w:t xml:space="preserve"> </w:t>
      </w:r>
      <w:r>
        <w:t>achievement data and other information to inform discussions and decision-making.</w:t>
      </w:r>
      <w:r w:rsidR="00284B7C">
        <w:t xml:space="preserve"> </w:t>
      </w:r>
    </w:p>
    <w:p w14:paraId="274C0F54" w14:textId="727367D9" w:rsidR="00170501" w:rsidRDefault="000464AC" w:rsidP="00170501">
      <w:pPr>
        <w:pStyle w:val="ListParagraph"/>
        <w:numPr>
          <w:ilvl w:val="2"/>
          <w:numId w:val="20"/>
        </w:numPr>
        <w:tabs>
          <w:tab w:val="left" w:pos="0"/>
          <w:tab w:val="left" w:pos="360"/>
          <w:tab w:val="left" w:pos="1080"/>
          <w:tab w:val="left" w:pos="1800"/>
          <w:tab w:val="left" w:pos="2160"/>
        </w:tabs>
        <w:ind w:left="1080"/>
        <w:contextualSpacing w:val="0"/>
      </w:pPr>
      <w:r w:rsidRPr="0036393A">
        <w:t>In</w:t>
      </w:r>
      <w:r w:rsidR="00D50A99">
        <w:t xml:space="preserve"> 2</w:t>
      </w:r>
      <w:r w:rsidR="00F57240">
        <w:t>017</w:t>
      </w:r>
      <w:r w:rsidR="00E43895">
        <w:t>–</w:t>
      </w:r>
      <w:r w:rsidR="00F57240">
        <w:t>2018</w:t>
      </w:r>
      <w:r w:rsidRPr="0036393A">
        <w:t xml:space="preserve">, the district focused on </w:t>
      </w:r>
      <w:r w:rsidR="00C27F65">
        <w:t xml:space="preserve">grades </w:t>
      </w:r>
      <w:r>
        <w:t>6</w:t>
      </w:r>
      <w:r w:rsidR="00E43895">
        <w:t>–</w:t>
      </w:r>
      <w:r>
        <w:t>8</w:t>
      </w:r>
      <w:r w:rsidRPr="0036393A">
        <w:t xml:space="preserve"> science</w:t>
      </w:r>
      <w:r>
        <w:t xml:space="preserve"> and K</w:t>
      </w:r>
      <w:r w:rsidR="00E43895">
        <w:t>–</w:t>
      </w:r>
      <w:r>
        <w:t xml:space="preserve">3 </w:t>
      </w:r>
      <w:r w:rsidR="00C27F65">
        <w:t>phonics</w:t>
      </w:r>
      <w:r w:rsidRPr="0036393A">
        <w:t>.</w:t>
      </w:r>
    </w:p>
    <w:p w14:paraId="545071EB" w14:textId="3E95B562" w:rsidR="00170501" w:rsidRDefault="000464AC" w:rsidP="00170501">
      <w:pPr>
        <w:pStyle w:val="ListParagraph"/>
        <w:numPr>
          <w:ilvl w:val="2"/>
          <w:numId w:val="20"/>
        </w:numPr>
        <w:tabs>
          <w:tab w:val="left" w:pos="0"/>
          <w:tab w:val="left" w:pos="360"/>
          <w:tab w:val="left" w:pos="1080"/>
          <w:tab w:val="left" w:pos="1800"/>
          <w:tab w:val="left" w:pos="2160"/>
        </w:tabs>
        <w:ind w:left="1080"/>
        <w:contextualSpacing w:val="0"/>
      </w:pPr>
      <w:r>
        <w:t xml:space="preserve">In </w:t>
      </w:r>
      <w:r w:rsidR="00F57240">
        <w:t>2018</w:t>
      </w:r>
      <w:r w:rsidR="00E43895">
        <w:t>–</w:t>
      </w:r>
      <w:r w:rsidR="00F57240">
        <w:t>2019</w:t>
      </w:r>
      <w:r w:rsidRPr="0036393A">
        <w:t xml:space="preserve">, </w:t>
      </w:r>
      <w:r>
        <w:t>the</w:t>
      </w:r>
      <w:r w:rsidRPr="0036393A">
        <w:t xml:space="preserve"> focus</w:t>
      </w:r>
      <w:r>
        <w:t xml:space="preserve"> is</w:t>
      </w:r>
      <w:r w:rsidRPr="0036393A">
        <w:t xml:space="preserve"> on </w:t>
      </w:r>
      <w:r w:rsidR="00C27F65">
        <w:t xml:space="preserve">grades </w:t>
      </w:r>
      <w:r>
        <w:t>6</w:t>
      </w:r>
      <w:r w:rsidR="00E43895">
        <w:t>–</w:t>
      </w:r>
      <w:r>
        <w:t xml:space="preserve">8 </w:t>
      </w:r>
      <w:r w:rsidRPr="0036393A">
        <w:t xml:space="preserve">mathematics, </w:t>
      </w:r>
      <w:r w:rsidR="00C27F65">
        <w:t xml:space="preserve">grades </w:t>
      </w:r>
      <w:r>
        <w:t>6</w:t>
      </w:r>
      <w:r w:rsidR="00E43895">
        <w:t>–</w:t>
      </w:r>
      <w:r>
        <w:t xml:space="preserve">8 </w:t>
      </w:r>
      <w:r w:rsidRPr="0036393A">
        <w:t>technology education</w:t>
      </w:r>
      <w:r>
        <w:t xml:space="preserve">, </w:t>
      </w:r>
      <w:r w:rsidRPr="0036393A">
        <w:t xml:space="preserve">and </w:t>
      </w:r>
      <w:r w:rsidR="00C27F65">
        <w:t>g</w:t>
      </w:r>
      <w:r w:rsidR="00E50DC3">
        <w:t>rades</w:t>
      </w:r>
      <w:r w:rsidR="00C27F65">
        <w:t xml:space="preserve"> </w:t>
      </w:r>
      <w:r w:rsidR="00110B31">
        <w:t>6</w:t>
      </w:r>
      <w:r w:rsidR="00E43895">
        <w:t>–</w:t>
      </w:r>
      <w:r>
        <w:t xml:space="preserve">12 </w:t>
      </w:r>
      <w:r w:rsidRPr="0036393A">
        <w:t xml:space="preserve">world languages.  The district is also conducting a major review of </w:t>
      </w:r>
      <w:r w:rsidR="00C27F65">
        <w:t xml:space="preserve">grades </w:t>
      </w:r>
      <w:r>
        <w:t>6</w:t>
      </w:r>
      <w:r w:rsidR="00E43895">
        <w:t>–</w:t>
      </w:r>
      <w:r>
        <w:t xml:space="preserve">12 </w:t>
      </w:r>
      <w:r w:rsidRPr="0036393A">
        <w:t>history and social studies</w:t>
      </w:r>
      <w:r w:rsidR="004F6982">
        <w:t>,</w:t>
      </w:r>
      <w:r>
        <w:t xml:space="preserve"> </w:t>
      </w:r>
      <w:r w:rsidR="00C27F65">
        <w:t>coinciding with the</w:t>
      </w:r>
      <w:r w:rsidR="00C27F65" w:rsidRPr="0036393A">
        <w:t xml:space="preserve"> </w:t>
      </w:r>
      <w:r w:rsidR="00C27F65">
        <w:t xml:space="preserve">recent issuance </w:t>
      </w:r>
      <w:r w:rsidRPr="0036393A">
        <w:t>of the M</w:t>
      </w:r>
      <w:r>
        <w:t>assachusetts</w:t>
      </w:r>
      <w:r w:rsidRPr="0036393A">
        <w:t xml:space="preserve"> History and Social Studies Framework.</w:t>
      </w:r>
    </w:p>
    <w:p w14:paraId="7909F0A3" w14:textId="02E264E1" w:rsidR="00D50A99" w:rsidRDefault="00D50A99" w:rsidP="00D50A99">
      <w:pPr>
        <w:pStyle w:val="ListParagraph"/>
        <w:numPr>
          <w:ilvl w:val="2"/>
          <w:numId w:val="20"/>
        </w:numPr>
        <w:tabs>
          <w:tab w:val="left" w:pos="0"/>
          <w:tab w:val="left" w:pos="360"/>
          <w:tab w:val="left" w:pos="1080"/>
          <w:tab w:val="left" w:pos="1800"/>
          <w:tab w:val="left" w:pos="2160"/>
        </w:tabs>
        <w:ind w:left="1080"/>
        <w:contextualSpacing w:val="0"/>
      </w:pPr>
      <w:r>
        <w:t xml:space="preserve">By </w:t>
      </w:r>
      <w:r w:rsidR="00F57240">
        <w:t>the 2023</w:t>
      </w:r>
      <w:r w:rsidR="00A456B2">
        <w:t>–</w:t>
      </w:r>
      <w:r>
        <w:t>2024</w:t>
      </w:r>
      <w:r w:rsidR="00F57240">
        <w:t xml:space="preserve"> school year</w:t>
      </w:r>
      <w:r>
        <w:t xml:space="preserve">, the district will have completed a curriculum review and renewal for all core academic areas as well as library media services, </w:t>
      </w:r>
      <w:proofErr w:type="gramStart"/>
      <w:r>
        <w:t>health</w:t>
      </w:r>
      <w:proofErr w:type="gramEnd"/>
      <w:r>
        <w:t xml:space="preserve"> and physical education, and the fine and performing arts.</w:t>
      </w:r>
      <w:r w:rsidRPr="00556DDE">
        <w:rPr>
          <w:rStyle w:val="FootnoteReference"/>
        </w:rPr>
        <w:t xml:space="preserve"> </w:t>
      </w:r>
    </w:p>
    <w:p w14:paraId="6A36C948" w14:textId="212B5A34" w:rsidR="000464AC" w:rsidRDefault="00170501" w:rsidP="00170501">
      <w:pPr>
        <w:pStyle w:val="ListParagraph"/>
        <w:tabs>
          <w:tab w:val="left" w:pos="0"/>
          <w:tab w:val="left" w:pos="360"/>
          <w:tab w:val="left" w:pos="1080"/>
          <w:tab w:val="left" w:pos="1800"/>
          <w:tab w:val="left" w:pos="2160"/>
        </w:tabs>
        <w:ind w:hanging="360"/>
        <w:contextualSpacing w:val="0"/>
      </w:pPr>
      <w:r>
        <w:rPr>
          <w:b/>
        </w:rPr>
        <w:t xml:space="preserve">B.   </w:t>
      </w:r>
      <w:r w:rsidR="008D6672">
        <w:t>I</w:t>
      </w:r>
      <w:r w:rsidR="000464AC" w:rsidRPr="0036393A">
        <w:t xml:space="preserve">nterviews with </w:t>
      </w:r>
      <w:r w:rsidR="00A456B2">
        <w:t>district leaders</w:t>
      </w:r>
      <w:r w:rsidR="008D6672">
        <w:t xml:space="preserve"> and a document review </w:t>
      </w:r>
      <w:r w:rsidR="000464AC">
        <w:t>indicated</w:t>
      </w:r>
      <w:r w:rsidR="000464AC" w:rsidRPr="0036393A">
        <w:t xml:space="preserve"> that curriculum review teams </w:t>
      </w:r>
      <w:r w:rsidR="000464AC">
        <w:t>consist</w:t>
      </w:r>
      <w:r w:rsidR="00A456B2">
        <w:t>ed</w:t>
      </w:r>
      <w:r w:rsidR="000464AC">
        <w:t xml:space="preserve"> of </w:t>
      </w:r>
      <w:r w:rsidR="000464AC" w:rsidRPr="0036393A">
        <w:t>both internal stakeholders</w:t>
      </w:r>
      <w:r w:rsidR="00D50A99">
        <w:t xml:space="preserve"> </w:t>
      </w:r>
      <w:r w:rsidR="00C27F65">
        <w:t xml:space="preserve">such as </w:t>
      </w:r>
      <w:r w:rsidR="000464AC" w:rsidRPr="0036393A">
        <w:t>teachers, coaches, administrators</w:t>
      </w:r>
      <w:r w:rsidR="00BE3B4B">
        <w:t xml:space="preserve"> </w:t>
      </w:r>
      <w:r w:rsidR="00C27F65">
        <w:t xml:space="preserve">and </w:t>
      </w:r>
      <w:r w:rsidR="00A456B2">
        <w:t>families</w:t>
      </w:r>
      <w:r w:rsidR="00BE3B4B">
        <w:t xml:space="preserve"> and external stakeholders, such as </w:t>
      </w:r>
      <w:r w:rsidR="000464AC" w:rsidRPr="0036393A">
        <w:t xml:space="preserve">community members </w:t>
      </w:r>
      <w:r w:rsidR="00D50A99">
        <w:t xml:space="preserve">with </w:t>
      </w:r>
      <w:r w:rsidR="000464AC" w:rsidRPr="0036393A">
        <w:t>expertise in specific content areas and representatives from higher education.</w:t>
      </w:r>
    </w:p>
    <w:p w14:paraId="339CE004" w14:textId="078011D5" w:rsidR="008D1B8A" w:rsidRDefault="000464AC" w:rsidP="00406A80">
      <w:pPr>
        <w:pStyle w:val="ListParagraph"/>
        <w:numPr>
          <w:ilvl w:val="6"/>
          <w:numId w:val="20"/>
        </w:numPr>
        <w:tabs>
          <w:tab w:val="left" w:pos="0"/>
          <w:tab w:val="left" w:pos="360"/>
          <w:tab w:val="left" w:pos="720"/>
          <w:tab w:val="left" w:pos="1080"/>
          <w:tab w:val="left" w:pos="1440"/>
          <w:tab w:val="left" w:pos="1800"/>
          <w:tab w:val="left" w:pos="2160"/>
        </w:tabs>
        <w:ind w:left="1080"/>
        <w:contextualSpacing w:val="0"/>
      </w:pPr>
      <w:r>
        <w:t xml:space="preserve">The district </w:t>
      </w:r>
      <w:proofErr w:type="gramStart"/>
      <w:r w:rsidR="004F6982">
        <w:t>recruits</w:t>
      </w:r>
      <w:proofErr w:type="gramEnd"/>
      <w:r w:rsidR="004F6982">
        <w:t xml:space="preserve"> </w:t>
      </w:r>
      <w:r>
        <w:t>te</w:t>
      </w:r>
      <w:r w:rsidR="00A31797">
        <w:t>achers</w:t>
      </w:r>
      <w:r>
        <w:t xml:space="preserve"> to ensure representation from each school</w:t>
      </w:r>
      <w:r w:rsidR="00BE3B4B">
        <w:t xml:space="preserve"> and </w:t>
      </w:r>
      <w:r>
        <w:t xml:space="preserve">grade level. </w:t>
      </w:r>
      <w:r w:rsidR="00A31797">
        <w:t xml:space="preserve"> </w:t>
      </w:r>
      <w:r>
        <w:t xml:space="preserve">After selecting the initial group, the district identifies additional participants who can support the work and address the content area’s strengths and challenges. </w:t>
      </w:r>
    </w:p>
    <w:p w14:paraId="13D1DAEA" w14:textId="00F463EF" w:rsidR="008D1B8A" w:rsidRPr="00C14CA1" w:rsidRDefault="004F6982" w:rsidP="008D1B8A">
      <w:pPr>
        <w:pStyle w:val="ListParagraph"/>
        <w:numPr>
          <w:ilvl w:val="6"/>
          <w:numId w:val="20"/>
        </w:numPr>
        <w:tabs>
          <w:tab w:val="left" w:pos="0"/>
          <w:tab w:val="left" w:pos="360"/>
          <w:tab w:val="left" w:pos="720"/>
          <w:tab w:val="left" w:pos="1080"/>
          <w:tab w:val="left" w:pos="1440"/>
          <w:tab w:val="left" w:pos="1800"/>
          <w:tab w:val="left" w:pos="2160"/>
        </w:tabs>
        <w:ind w:left="1080"/>
      </w:pPr>
      <w:r w:rsidRPr="00DD7EFA">
        <w:t xml:space="preserve">Beginning in </w:t>
      </w:r>
      <w:r w:rsidR="00AB77F6" w:rsidRPr="00DD7EFA">
        <w:t>the 2017</w:t>
      </w:r>
      <w:r w:rsidR="001356DC" w:rsidRPr="00C14CA1">
        <w:t>–</w:t>
      </w:r>
      <w:r w:rsidR="00AB77F6" w:rsidRPr="00C14CA1">
        <w:t>2018 school year</w:t>
      </w:r>
      <w:r w:rsidR="000464AC" w:rsidRPr="00C14CA1">
        <w:t>, the district provided professional development</w:t>
      </w:r>
      <w:r w:rsidR="00A31797" w:rsidRPr="00281533">
        <w:t xml:space="preserve"> </w:t>
      </w:r>
      <w:r w:rsidR="002E7E08" w:rsidRPr="00406A80">
        <w:t>to help</w:t>
      </w:r>
      <w:r w:rsidR="002E7E08" w:rsidRPr="00DD7EFA">
        <w:t xml:space="preserve"> </w:t>
      </w:r>
      <w:r w:rsidR="00A31797" w:rsidRPr="00DD7EFA">
        <w:t>teachers</w:t>
      </w:r>
      <w:r w:rsidR="000464AC" w:rsidRPr="00C14CA1">
        <w:t xml:space="preserve"> implement new curriculum. </w:t>
      </w:r>
    </w:p>
    <w:p w14:paraId="74C7F954" w14:textId="77777777" w:rsidR="008D1B8A" w:rsidRDefault="008D1B8A" w:rsidP="008D1B8A">
      <w:pPr>
        <w:pStyle w:val="ListParagraph"/>
      </w:pPr>
    </w:p>
    <w:p w14:paraId="550039A8" w14:textId="3AAA6B91" w:rsidR="00A31797" w:rsidRDefault="000464AC" w:rsidP="00406A80">
      <w:pPr>
        <w:pStyle w:val="ListParagraph"/>
        <w:numPr>
          <w:ilvl w:val="6"/>
          <w:numId w:val="20"/>
        </w:numPr>
        <w:tabs>
          <w:tab w:val="left" w:pos="0"/>
          <w:tab w:val="left" w:pos="360"/>
          <w:tab w:val="left" w:pos="720"/>
          <w:tab w:val="left" w:pos="1080"/>
          <w:tab w:val="left" w:pos="1440"/>
          <w:tab w:val="left" w:pos="1800"/>
          <w:tab w:val="left" w:pos="2160"/>
        </w:tabs>
        <w:ind w:left="1080"/>
        <w:contextualSpacing w:val="0"/>
      </w:pPr>
      <w:r>
        <w:t xml:space="preserve">For each of the </w:t>
      </w:r>
      <w:r w:rsidRPr="007C4A16">
        <w:t>seven years</w:t>
      </w:r>
      <w:r w:rsidR="002E7E08">
        <w:t xml:space="preserve"> in the curriculum review plan</w:t>
      </w:r>
      <w:r w:rsidRPr="007C4A16">
        <w:t>,</w:t>
      </w:r>
      <w:r>
        <w:t xml:space="preserve"> the district has also determined where to allocate funds to provide stipends for staff reviewers and to purchase new materials.</w:t>
      </w:r>
      <w:r w:rsidR="00A31797">
        <w:t xml:space="preserve"> </w:t>
      </w:r>
    </w:p>
    <w:p w14:paraId="378F4944" w14:textId="67BE0803" w:rsidR="00A31797" w:rsidRPr="0036393A" w:rsidRDefault="000464AC" w:rsidP="00406A80">
      <w:pPr>
        <w:pStyle w:val="ListParagraph"/>
        <w:numPr>
          <w:ilvl w:val="0"/>
          <w:numId w:val="4"/>
        </w:numPr>
        <w:tabs>
          <w:tab w:val="left" w:pos="0"/>
          <w:tab w:val="left" w:pos="360"/>
          <w:tab w:val="left" w:pos="720"/>
          <w:tab w:val="left" w:pos="1080"/>
          <w:tab w:val="left" w:pos="1440"/>
          <w:tab w:val="left" w:pos="1800"/>
          <w:tab w:val="left" w:pos="2160"/>
        </w:tabs>
        <w:ind w:left="720"/>
        <w:contextualSpacing w:val="0"/>
      </w:pPr>
      <w:r w:rsidRPr="0036393A">
        <w:t xml:space="preserve">To ensure </w:t>
      </w:r>
      <w:r w:rsidR="00A31797">
        <w:t>accessibility</w:t>
      </w:r>
      <w:r w:rsidRPr="0036393A">
        <w:t xml:space="preserve">, the district requires teachers to upload all curriculum materials </w:t>
      </w:r>
      <w:r w:rsidR="00B36C5B">
        <w:t>to</w:t>
      </w:r>
      <w:r w:rsidR="00B36C5B" w:rsidRPr="0036393A">
        <w:t xml:space="preserve"> </w:t>
      </w:r>
      <w:r w:rsidRPr="0036393A">
        <w:t>Canvas, the district’s</w:t>
      </w:r>
      <w:r w:rsidR="001D0CF3">
        <w:t xml:space="preserve"> </w:t>
      </w:r>
      <w:r w:rsidR="00A420AB">
        <w:t>learning</w:t>
      </w:r>
      <w:r w:rsidR="00A420AB" w:rsidRPr="0036393A">
        <w:t xml:space="preserve"> </w:t>
      </w:r>
      <w:r w:rsidRPr="0036393A">
        <w:t xml:space="preserve">management </w:t>
      </w:r>
      <w:r w:rsidR="00A420AB">
        <w:t>platform</w:t>
      </w:r>
      <w:r w:rsidRPr="0036393A">
        <w:t>.</w:t>
      </w:r>
    </w:p>
    <w:p w14:paraId="3BC30A3D" w14:textId="7209714C" w:rsidR="000464AC" w:rsidRPr="00F153C9" w:rsidRDefault="001356DC" w:rsidP="000464AC">
      <w:pPr>
        <w:pStyle w:val="ListParagraph"/>
        <w:numPr>
          <w:ilvl w:val="2"/>
          <w:numId w:val="4"/>
        </w:numPr>
        <w:tabs>
          <w:tab w:val="left" w:pos="360"/>
          <w:tab w:val="left" w:pos="720"/>
          <w:tab w:val="left" w:pos="1080"/>
          <w:tab w:val="left" w:pos="1440"/>
          <w:tab w:val="left" w:pos="1800"/>
          <w:tab w:val="left" w:pos="2160"/>
        </w:tabs>
        <w:ind w:left="1080"/>
        <w:contextualSpacing w:val="0"/>
      </w:pPr>
      <w:r>
        <w:lastRenderedPageBreak/>
        <w:t xml:space="preserve">District leaders </w:t>
      </w:r>
      <w:r w:rsidR="00BE3B4B">
        <w:t xml:space="preserve">reported </w:t>
      </w:r>
      <w:r w:rsidR="000464AC">
        <w:t>that the district has trained a</w:t>
      </w:r>
      <w:r w:rsidR="000464AC" w:rsidRPr="00595F70">
        <w:t>ll teachers</w:t>
      </w:r>
      <w:r w:rsidR="004F6982">
        <w:t xml:space="preserve"> </w:t>
      </w:r>
      <w:r w:rsidR="004F6982" w:rsidRPr="00595F70">
        <w:t>to use Canvas</w:t>
      </w:r>
      <w:r w:rsidR="000464AC">
        <w:t xml:space="preserve">, including new teachers.  </w:t>
      </w:r>
      <w:r w:rsidR="004F6982">
        <w:t xml:space="preserve">Experienced </w:t>
      </w:r>
      <w:r w:rsidR="000464AC">
        <w:t xml:space="preserve">teachers provide </w:t>
      </w:r>
      <w:r w:rsidR="000464AC" w:rsidRPr="00595F70">
        <w:t xml:space="preserve">ongoing training after </w:t>
      </w:r>
      <w:r w:rsidR="000464AC">
        <w:t>school for those needing support.</w:t>
      </w:r>
      <w:r w:rsidR="000464AC" w:rsidRPr="00595F70">
        <w:rPr>
          <w:rStyle w:val="FootnoteReference"/>
        </w:rPr>
        <w:t xml:space="preserve"> </w:t>
      </w:r>
      <w:r w:rsidR="000464AC">
        <w:t xml:space="preserve"> While there is still some inconsistency in using Canvas, the district has made it clear that </w:t>
      </w:r>
      <w:r w:rsidR="00BE3B4B">
        <w:t>teachers are required to use it</w:t>
      </w:r>
      <w:r w:rsidR="000464AC">
        <w:t xml:space="preserve">. </w:t>
      </w:r>
    </w:p>
    <w:p w14:paraId="446CABEA" w14:textId="1122473C" w:rsidR="000464AC" w:rsidRPr="00F4404B" w:rsidRDefault="000464AC" w:rsidP="000464AC">
      <w:pPr>
        <w:pStyle w:val="ListParagraph"/>
        <w:numPr>
          <w:ilvl w:val="2"/>
          <w:numId w:val="4"/>
        </w:numPr>
        <w:tabs>
          <w:tab w:val="left" w:pos="360"/>
          <w:tab w:val="left" w:pos="720"/>
          <w:tab w:val="left" w:pos="1080"/>
          <w:tab w:val="left" w:pos="1440"/>
          <w:tab w:val="left" w:pos="1800"/>
          <w:tab w:val="left" w:pos="2160"/>
        </w:tabs>
        <w:ind w:left="1080"/>
        <w:contextualSpacing w:val="0"/>
      </w:pPr>
      <w:r>
        <w:t>In addition to curriculum document</w:t>
      </w:r>
      <w:r w:rsidR="00A31797">
        <w:t>ation</w:t>
      </w:r>
      <w:r>
        <w:t>, teachers use Canvas to create and share lessons and assignments.  Students use Canvas to view content and complete and submit assignments</w:t>
      </w:r>
      <w:r w:rsidR="004F6982">
        <w:t>,</w:t>
      </w:r>
      <w:r w:rsidR="00AB77F6">
        <w:t xml:space="preserve"> and </w:t>
      </w:r>
      <w:r w:rsidR="001356DC">
        <w:t xml:space="preserve">families </w:t>
      </w:r>
      <w:r>
        <w:t>can use it to review lessons and assignments.  There is a</w:t>
      </w:r>
      <w:r w:rsidR="00A420AB">
        <w:t xml:space="preserve"> link </w:t>
      </w:r>
      <w:r>
        <w:t xml:space="preserve">on most school websites to help </w:t>
      </w:r>
      <w:r w:rsidR="001356DC">
        <w:t xml:space="preserve">families </w:t>
      </w:r>
      <w:r>
        <w:t>access Canvas.</w:t>
      </w:r>
      <w:r w:rsidRPr="00A852EB">
        <w:tab/>
      </w:r>
      <w:r w:rsidRPr="00A852EB">
        <w:tab/>
        <w:t xml:space="preserve"> </w:t>
      </w:r>
    </w:p>
    <w:p w14:paraId="180C141D" w14:textId="6B139140" w:rsidR="000464AC" w:rsidRDefault="000464AC" w:rsidP="000464AC">
      <w:pPr>
        <w:pStyle w:val="ListParagraph"/>
        <w:numPr>
          <w:ilvl w:val="1"/>
          <w:numId w:val="5"/>
        </w:numPr>
        <w:tabs>
          <w:tab w:val="left" w:pos="360"/>
          <w:tab w:val="left" w:pos="720"/>
          <w:tab w:val="left" w:pos="1080"/>
          <w:tab w:val="left" w:pos="1440"/>
          <w:tab w:val="left" w:pos="1800"/>
          <w:tab w:val="left" w:pos="2160"/>
        </w:tabs>
        <w:ind w:left="720"/>
        <w:contextualSpacing w:val="0"/>
      </w:pPr>
      <w:r>
        <w:t xml:space="preserve">Unit design </w:t>
      </w:r>
      <w:r w:rsidR="00DF0C63">
        <w:t xml:space="preserve">mainly </w:t>
      </w:r>
      <w:r>
        <w:t>follows</w:t>
      </w:r>
      <w:r w:rsidRPr="004C7420">
        <w:t xml:space="preserve"> </w:t>
      </w:r>
      <w:r>
        <w:t xml:space="preserve">the </w:t>
      </w:r>
      <w:r w:rsidRPr="00A31797">
        <w:rPr>
          <w:i/>
        </w:rPr>
        <w:t>Understanding by Design</w:t>
      </w:r>
      <w:r w:rsidRPr="004C7420">
        <w:t xml:space="preserve"> (</w:t>
      </w:r>
      <w:proofErr w:type="spellStart"/>
      <w:r w:rsidRPr="004C7420">
        <w:t>UbD</w:t>
      </w:r>
      <w:proofErr w:type="spellEnd"/>
      <w:r w:rsidRPr="004C7420">
        <w:t xml:space="preserve">) </w:t>
      </w:r>
      <w:r>
        <w:t xml:space="preserve">framework and many </w:t>
      </w:r>
      <w:r w:rsidR="00EB1DA7">
        <w:t xml:space="preserve">units </w:t>
      </w:r>
      <w:r>
        <w:t xml:space="preserve">reviewed </w:t>
      </w:r>
      <w:r w:rsidR="00EB1DA7">
        <w:t xml:space="preserve">by the team </w:t>
      </w:r>
      <w:r w:rsidR="001356DC">
        <w:t xml:space="preserve">are </w:t>
      </w:r>
      <w:r w:rsidRPr="004C7420">
        <w:t>align</w:t>
      </w:r>
      <w:r w:rsidR="001356DC">
        <w:t>ed</w:t>
      </w:r>
      <w:r>
        <w:t xml:space="preserve"> </w:t>
      </w:r>
      <w:r w:rsidR="001356DC">
        <w:t>with</w:t>
      </w:r>
      <w:r w:rsidR="001356DC" w:rsidRPr="004C7420">
        <w:t xml:space="preserve"> </w:t>
      </w:r>
      <w:r w:rsidRPr="004C7420">
        <w:t xml:space="preserve">the content and rigor of </w:t>
      </w:r>
      <w:r w:rsidR="00EB1DA7">
        <w:t>the</w:t>
      </w:r>
      <w:r w:rsidR="00EB1DA7" w:rsidRPr="004C7420">
        <w:t xml:space="preserve"> </w:t>
      </w:r>
      <w:r w:rsidRPr="004C7420">
        <w:t>curriculum frameworks.</w:t>
      </w:r>
    </w:p>
    <w:p w14:paraId="226C69CA" w14:textId="73C1D8D2" w:rsidR="000464AC" w:rsidRDefault="000464AC" w:rsidP="000464AC">
      <w:pPr>
        <w:pStyle w:val="ListParagraph"/>
        <w:numPr>
          <w:ilvl w:val="2"/>
          <w:numId w:val="5"/>
        </w:numPr>
        <w:tabs>
          <w:tab w:val="left" w:pos="720"/>
          <w:tab w:val="left" w:pos="1080"/>
          <w:tab w:val="left" w:pos="1440"/>
          <w:tab w:val="left" w:pos="1800"/>
          <w:tab w:val="left" w:pos="2160"/>
        </w:tabs>
        <w:ind w:left="1080"/>
        <w:contextualSpacing w:val="0"/>
      </w:pPr>
      <w:r>
        <w:t>Most reviewed u</w:t>
      </w:r>
      <w:r w:rsidRPr="006336F1">
        <w:t xml:space="preserve">nits include components that promote </w:t>
      </w:r>
      <w:r w:rsidR="001356DC">
        <w:t xml:space="preserve">effective </w:t>
      </w:r>
      <w:r w:rsidR="00A31797">
        <w:t>teaching and</w:t>
      </w:r>
      <w:r w:rsidRPr="006336F1">
        <w:t xml:space="preserve"> </w:t>
      </w:r>
      <w:r>
        <w:t>learning</w:t>
      </w:r>
      <w:r w:rsidR="00A31797">
        <w:t xml:space="preserve"> such as objectives and unit overviews and essential questions </w:t>
      </w:r>
      <w:r w:rsidR="00EB1DA7">
        <w:t xml:space="preserve">that </w:t>
      </w:r>
      <w:r>
        <w:t>can help guide lesson planning.</w:t>
      </w:r>
      <w:r>
        <w:rPr>
          <w:rStyle w:val="FootnoteReference"/>
        </w:rPr>
        <w:footnoteReference w:id="9"/>
      </w:r>
      <w:r w:rsidRPr="006336F1">
        <w:t xml:space="preserve"> </w:t>
      </w:r>
    </w:p>
    <w:p w14:paraId="34232846" w14:textId="7E1E9F5E" w:rsidR="000464AC" w:rsidRDefault="000464AC" w:rsidP="000464AC">
      <w:pPr>
        <w:pStyle w:val="ListParagraph"/>
        <w:numPr>
          <w:ilvl w:val="2"/>
          <w:numId w:val="5"/>
        </w:numPr>
        <w:tabs>
          <w:tab w:val="left" w:pos="720"/>
          <w:tab w:val="left" w:pos="1080"/>
          <w:tab w:val="left" w:pos="1440"/>
          <w:tab w:val="left" w:pos="1800"/>
          <w:tab w:val="left" w:pos="2160"/>
        </w:tabs>
        <w:ind w:left="1080"/>
        <w:contextualSpacing w:val="0"/>
      </w:pPr>
      <w:r w:rsidRPr="006336F1">
        <w:t xml:space="preserve">The most effective </w:t>
      </w:r>
      <w:r>
        <w:t xml:space="preserve">reviewed </w:t>
      </w:r>
      <w:r w:rsidRPr="006336F1">
        <w:t>units at all school levels also incorporate</w:t>
      </w:r>
      <w:r w:rsidR="00AB77F6">
        <w:t xml:space="preserve"> knowledge and skill-based </w:t>
      </w:r>
      <w:r w:rsidRPr="006336F1">
        <w:t xml:space="preserve">vocabulary </w:t>
      </w:r>
      <w:r w:rsidR="00AB77F6">
        <w:t>to support language development</w:t>
      </w:r>
      <w:r w:rsidR="006717AE">
        <w:t xml:space="preserve"> for all students</w:t>
      </w:r>
      <w:r>
        <w:t>,</w:t>
      </w:r>
      <w:r w:rsidRPr="006336F1">
        <w:t xml:space="preserve"> especially </w:t>
      </w:r>
      <w:r w:rsidR="005F4BE2">
        <w:t>English learners (</w:t>
      </w:r>
      <w:r w:rsidR="007F24F6" w:rsidRPr="006336F1">
        <w:t>E</w:t>
      </w:r>
      <w:r w:rsidR="007F24F6">
        <w:t>L</w:t>
      </w:r>
      <w:r w:rsidR="007F24F6" w:rsidRPr="006336F1">
        <w:t>s</w:t>
      </w:r>
      <w:r w:rsidR="005F4BE2">
        <w:t>)</w:t>
      </w:r>
      <w:r>
        <w:t>.  Some K</w:t>
      </w:r>
      <w:r w:rsidR="001356DC">
        <w:t>–</w:t>
      </w:r>
      <w:r>
        <w:t>5 units</w:t>
      </w:r>
      <w:r w:rsidRPr="006336F1">
        <w:t xml:space="preserve"> identif</w:t>
      </w:r>
      <w:r>
        <w:t>y</w:t>
      </w:r>
      <w:r w:rsidRPr="006336F1">
        <w:t xml:space="preserve"> additional vocabulary</w:t>
      </w:r>
      <w:r>
        <w:t xml:space="preserve"> to use with students in </w:t>
      </w:r>
      <w:r w:rsidRPr="006336F1">
        <w:t xml:space="preserve">Tier </w:t>
      </w:r>
      <w:r w:rsidR="00B36C5B">
        <w:t>2</w:t>
      </w:r>
      <w:r w:rsidR="00B36C5B" w:rsidRPr="006336F1">
        <w:t xml:space="preserve"> </w:t>
      </w:r>
      <w:r w:rsidRPr="006336F1">
        <w:t xml:space="preserve">and </w:t>
      </w:r>
      <w:r w:rsidR="00B36C5B">
        <w:t xml:space="preserve">3 </w:t>
      </w:r>
      <w:r w:rsidRPr="006336F1">
        <w:t>schools</w:t>
      </w:r>
      <w:r>
        <w:t>.</w:t>
      </w:r>
      <w:r w:rsidRPr="00605D8B">
        <w:rPr>
          <w:rStyle w:val="FootnoteReference"/>
        </w:rPr>
        <w:t xml:space="preserve"> </w:t>
      </w:r>
    </w:p>
    <w:p w14:paraId="43CCE09E" w14:textId="77D4D17B" w:rsidR="000464AC" w:rsidRDefault="000464AC" w:rsidP="000464AC">
      <w:pPr>
        <w:pStyle w:val="ListParagraph"/>
        <w:numPr>
          <w:ilvl w:val="2"/>
          <w:numId w:val="5"/>
        </w:numPr>
        <w:tabs>
          <w:tab w:val="left" w:pos="720"/>
          <w:tab w:val="left" w:pos="1080"/>
          <w:tab w:val="left" w:pos="1440"/>
          <w:tab w:val="left" w:pos="1800"/>
          <w:tab w:val="left" w:pos="2160"/>
        </w:tabs>
        <w:ind w:left="1080"/>
        <w:contextualSpacing w:val="0"/>
      </w:pPr>
      <w:r w:rsidRPr="006336F1">
        <w:t xml:space="preserve">In addition to </w:t>
      </w:r>
      <w:r w:rsidR="005F4BE2">
        <w:t xml:space="preserve">the </w:t>
      </w:r>
      <w:r w:rsidR="00DF0C63">
        <w:t xml:space="preserve">curriculum </w:t>
      </w:r>
      <w:r w:rsidRPr="006336F1">
        <w:t>units</w:t>
      </w:r>
      <w:r w:rsidR="000A61CC">
        <w:t>,</w:t>
      </w:r>
      <w:r w:rsidR="005F4BE2">
        <w:t xml:space="preserve"> </w:t>
      </w:r>
      <w:r>
        <w:t>Canvas</w:t>
      </w:r>
      <w:r w:rsidR="005F4BE2">
        <w:t xml:space="preserve"> contains</w:t>
      </w:r>
      <w:r w:rsidRPr="006336F1">
        <w:t xml:space="preserve"> </w:t>
      </w:r>
      <w:r>
        <w:t xml:space="preserve">multi-subject </w:t>
      </w:r>
      <w:r w:rsidRPr="006336F1">
        <w:t>curriculum matrices</w:t>
      </w:r>
      <w:r w:rsidR="00AB77F6">
        <w:t xml:space="preserve"> for </w:t>
      </w:r>
      <w:r w:rsidR="001356DC">
        <w:t xml:space="preserve">kindergarten and </w:t>
      </w:r>
      <w:r w:rsidR="00AB77F6">
        <w:t>grade</w:t>
      </w:r>
      <w:r w:rsidR="001356DC">
        <w:t>s 1–5</w:t>
      </w:r>
      <w:r w:rsidRPr="006336F1">
        <w:t xml:space="preserve"> </w:t>
      </w:r>
      <w:r>
        <w:t xml:space="preserve">and several </w:t>
      </w:r>
      <w:r w:rsidR="005F4BE2">
        <w:t xml:space="preserve">grades </w:t>
      </w:r>
      <w:r>
        <w:t>6</w:t>
      </w:r>
      <w:r w:rsidR="001356DC">
        <w:t>–</w:t>
      </w:r>
      <w:r>
        <w:t xml:space="preserve">12 </w:t>
      </w:r>
      <w:r w:rsidR="000A61CC">
        <w:t xml:space="preserve">scope and sequence </w:t>
      </w:r>
      <w:r w:rsidRPr="006336F1">
        <w:t xml:space="preserve">maps </w:t>
      </w:r>
      <w:r w:rsidR="00A31797">
        <w:t>to</w:t>
      </w:r>
      <w:r w:rsidR="005F4BE2">
        <w:t xml:space="preserve"> </w:t>
      </w:r>
      <w:r w:rsidR="00A31797">
        <w:t>guide unit and lesson development for the academic year</w:t>
      </w:r>
      <w:r>
        <w:t>.</w:t>
      </w:r>
      <w:r w:rsidRPr="006336F1">
        <w:t xml:space="preserve"> </w:t>
      </w:r>
    </w:p>
    <w:p w14:paraId="25D1E96A" w14:textId="2D6E3115" w:rsidR="000464AC" w:rsidRPr="006336F1" w:rsidRDefault="00A31797" w:rsidP="000464AC">
      <w:pPr>
        <w:pStyle w:val="ListParagraph"/>
        <w:numPr>
          <w:ilvl w:val="2"/>
          <w:numId w:val="5"/>
        </w:numPr>
        <w:tabs>
          <w:tab w:val="left" w:pos="720"/>
          <w:tab w:val="left" w:pos="1080"/>
          <w:tab w:val="left" w:pos="1440"/>
          <w:tab w:val="left" w:pos="1800"/>
          <w:tab w:val="left" w:pos="2160"/>
        </w:tabs>
        <w:ind w:left="1080"/>
        <w:contextualSpacing w:val="0"/>
      </w:pPr>
      <w:r>
        <w:t>However, some</w:t>
      </w:r>
      <w:r w:rsidR="00AB77F6">
        <w:t xml:space="preserve"> posted</w:t>
      </w:r>
      <w:r>
        <w:t xml:space="preserve"> units </w:t>
      </w:r>
      <w:r w:rsidR="000464AC">
        <w:t xml:space="preserve">are not </w:t>
      </w:r>
      <w:r w:rsidR="00AB77F6">
        <w:t xml:space="preserve">fully </w:t>
      </w:r>
      <w:r w:rsidR="000464AC">
        <w:t xml:space="preserve">aligned </w:t>
      </w:r>
      <w:r w:rsidR="001356DC">
        <w:t xml:space="preserve">with </w:t>
      </w:r>
      <w:r w:rsidR="005F4BE2">
        <w:t xml:space="preserve">the </w:t>
      </w:r>
      <w:r w:rsidR="001356DC">
        <w:t xml:space="preserve">current </w:t>
      </w:r>
      <w:r w:rsidR="000464AC">
        <w:t>Massachusetts frameworks</w:t>
      </w:r>
      <w:r w:rsidR="005F4BE2">
        <w:t>,</w:t>
      </w:r>
      <w:r w:rsidR="0002718C">
        <w:t xml:space="preserve"> such as </w:t>
      </w:r>
      <w:r w:rsidR="005F4BE2">
        <w:t xml:space="preserve">grades </w:t>
      </w:r>
      <w:r w:rsidR="000464AC">
        <w:t>9</w:t>
      </w:r>
      <w:r w:rsidR="001356DC">
        <w:t>–</w:t>
      </w:r>
      <w:r w:rsidR="000464AC">
        <w:t>12 science</w:t>
      </w:r>
      <w:r w:rsidR="005F4BE2">
        <w:t>,</w:t>
      </w:r>
      <w:r w:rsidR="000464AC">
        <w:t xml:space="preserve"> </w:t>
      </w:r>
      <w:r w:rsidR="005F4BE2">
        <w:t xml:space="preserve">grades </w:t>
      </w:r>
      <w:r w:rsidR="000464AC">
        <w:t>6</w:t>
      </w:r>
      <w:r w:rsidR="001356DC">
        <w:t>–</w:t>
      </w:r>
      <w:r w:rsidR="000464AC">
        <w:t xml:space="preserve">12 English </w:t>
      </w:r>
      <w:r w:rsidR="00DD4D0F">
        <w:t>(</w:t>
      </w:r>
      <w:r w:rsidR="005F4BE2">
        <w:t xml:space="preserve">scheduled for </w:t>
      </w:r>
      <w:r w:rsidR="000464AC">
        <w:t xml:space="preserve">review in </w:t>
      </w:r>
      <w:r w:rsidR="00AB77F6">
        <w:t>2019</w:t>
      </w:r>
      <w:r w:rsidR="001356DC">
        <w:t>–</w:t>
      </w:r>
      <w:r w:rsidR="000464AC">
        <w:t>2020</w:t>
      </w:r>
      <w:r w:rsidR="005F4BE2">
        <w:t>),</w:t>
      </w:r>
      <w:r w:rsidR="0002718C">
        <w:t xml:space="preserve"> and</w:t>
      </w:r>
      <w:r w:rsidR="000464AC">
        <w:t xml:space="preserve"> K</w:t>
      </w:r>
      <w:r w:rsidR="001356DC">
        <w:t>–</w:t>
      </w:r>
      <w:r w:rsidR="000464AC">
        <w:t>5 science</w:t>
      </w:r>
      <w:r w:rsidR="0002718C">
        <w:t xml:space="preserve"> (</w:t>
      </w:r>
      <w:r w:rsidR="005F4BE2">
        <w:t xml:space="preserve">scheduled </w:t>
      </w:r>
      <w:r w:rsidR="00DD4D0F">
        <w:t xml:space="preserve">for </w:t>
      </w:r>
      <w:r w:rsidR="0002718C">
        <w:t>review in</w:t>
      </w:r>
      <w:r w:rsidR="00AB77F6">
        <w:t xml:space="preserve"> 2020</w:t>
      </w:r>
      <w:r w:rsidR="001356DC">
        <w:t>–</w:t>
      </w:r>
      <w:r w:rsidR="000464AC">
        <w:t>2021</w:t>
      </w:r>
      <w:r w:rsidR="0002718C">
        <w:t>)</w:t>
      </w:r>
      <w:r w:rsidR="000464AC">
        <w:t xml:space="preserve">. </w:t>
      </w:r>
    </w:p>
    <w:p w14:paraId="00F43D16" w14:textId="569498B8" w:rsidR="000464AC" w:rsidRDefault="000464AC" w:rsidP="000464AC">
      <w:pPr>
        <w:pStyle w:val="ListParagraph"/>
        <w:numPr>
          <w:ilvl w:val="1"/>
          <w:numId w:val="5"/>
        </w:numPr>
        <w:tabs>
          <w:tab w:val="left" w:pos="360"/>
          <w:tab w:val="left" w:pos="720"/>
          <w:tab w:val="left" w:pos="1080"/>
          <w:tab w:val="left" w:pos="1440"/>
          <w:tab w:val="left" w:pos="1800"/>
          <w:tab w:val="left" w:pos="2160"/>
        </w:tabs>
        <w:ind w:left="720"/>
        <w:contextualSpacing w:val="0"/>
      </w:pPr>
      <w:r>
        <w:t xml:space="preserve">The district is taking </w:t>
      </w:r>
      <w:r w:rsidRPr="00B8025E">
        <w:t>steps</w:t>
      </w:r>
      <w:r>
        <w:t xml:space="preserve"> </w:t>
      </w:r>
      <w:r w:rsidRPr="00B8025E">
        <w:t xml:space="preserve">to ensure that </w:t>
      </w:r>
      <w:r w:rsidR="00A27622">
        <w:t xml:space="preserve">selected </w:t>
      </w:r>
      <w:r w:rsidRPr="00B8025E">
        <w:t>curricu</w:t>
      </w:r>
      <w:r>
        <w:t>la</w:t>
      </w:r>
      <w:r w:rsidRPr="00B8025E">
        <w:t xml:space="preserve"> reflect </w:t>
      </w:r>
      <w:r>
        <w:t>diversity.</w:t>
      </w:r>
    </w:p>
    <w:p w14:paraId="34D82399" w14:textId="0FE1EF00" w:rsidR="000464AC" w:rsidRDefault="00A27622" w:rsidP="000464AC">
      <w:pPr>
        <w:pStyle w:val="ListParagraph"/>
        <w:numPr>
          <w:ilvl w:val="2"/>
          <w:numId w:val="5"/>
        </w:numPr>
        <w:tabs>
          <w:tab w:val="left" w:pos="360"/>
          <w:tab w:val="left" w:pos="720"/>
          <w:tab w:val="left" w:pos="1080"/>
          <w:tab w:val="left" w:pos="1440"/>
          <w:tab w:val="left" w:pos="1800"/>
          <w:tab w:val="left" w:pos="2160"/>
        </w:tabs>
        <w:ind w:left="1080"/>
        <w:contextualSpacing w:val="0"/>
      </w:pPr>
      <w:r>
        <w:t>S</w:t>
      </w:r>
      <w:r w:rsidR="000464AC">
        <w:t xml:space="preserve">everal </w:t>
      </w:r>
      <w:r>
        <w:t xml:space="preserve">reviewed </w:t>
      </w:r>
      <w:r w:rsidR="000464AC">
        <w:t>secondary English units included works by</w:t>
      </w:r>
      <w:r>
        <w:t xml:space="preserve"> authors representing </w:t>
      </w:r>
      <w:r w:rsidR="00DB06BD">
        <w:t xml:space="preserve">a range of </w:t>
      </w:r>
      <w:r>
        <w:t>racial and ethnic groups.  Readings include works by authors such as</w:t>
      </w:r>
      <w:r w:rsidR="000464AC">
        <w:t xml:space="preserve"> Toni Morrison, Maya Angelou</w:t>
      </w:r>
      <w:r w:rsidR="001356DC">
        <w:t>,</w:t>
      </w:r>
      <w:r w:rsidR="000464AC">
        <w:t xml:space="preserve"> and Zora Neale Hurston.  A unit on folktales included Native American and Chinese folktales.  </w:t>
      </w:r>
      <w:r w:rsidR="001356DC">
        <w:t>In addition</w:t>
      </w:r>
      <w:r w:rsidR="000464AC">
        <w:t>,</w:t>
      </w:r>
      <w:r>
        <w:t xml:space="preserve"> </w:t>
      </w:r>
      <w:r w:rsidR="000464AC">
        <w:t>students in an</w:t>
      </w:r>
      <w:r>
        <w:t xml:space="preserve"> observed</w:t>
      </w:r>
      <w:r w:rsidR="000464AC">
        <w:t xml:space="preserve"> </w:t>
      </w:r>
      <w:r>
        <w:t>ESL/</w:t>
      </w:r>
      <w:r w:rsidR="000464AC">
        <w:t xml:space="preserve">ELA lesson </w:t>
      </w:r>
      <w:r>
        <w:t xml:space="preserve">engaged in an animated </w:t>
      </w:r>
      <w:r w:rsidR="000464AC">
        <w:t>discuss</w:t>
      </w:r>
      <w:r>
        <w:t>ion of</w:t>
      </w:r>
      <w:r w:rsidR="000464AC">
        <w:t xml:space="preserve"> </w:t>
      </w:r>
      <w:r w:rsidR="000464AC" w:rsidRPr="00605D8B">
        <w:rPr>
          <w:i/>
        </w:rPr>
        <w:t>The House on Mango Street</w:t>
      </w:r>
      <w:r w:rsidR="000464AC">
        <w:t>.</w:t>
      </w:r>
      <w:r w:rsidR="001356DC">
        <w:rPr>
          <w:rStyle w:val="FootnoteReference"/>
        </w:rPr>
        <w:footnoteReference w:id="10"/>
      </w:r>
    </w:p>
    <w:p w14:paraId="541DDDAE" w14:textId="328B7143" w:rsidR="00E537CB" w:rsidRDefault="00E537CB" w:rsidP="000464AC">
      <w:pPr>
        <w:pStyle w:val="ListParagraph"/>
        <w:numPr>
          <w:ilvl w:val="2"/>
          <w:numId w:val="5"/>
        </w:numPr>
        <w:tabs>
          <w:tab w:val="left" w:pos="360"/>
          <w:tab w:val="left" w:pos="720"/>
          <w:tab w:val="left" w:pos="1080"/>
          <w:tab w:val="left" w:pos="1440"/>
          <w:tab w:val="left" w:pos="1800"/>
          <w:tab w:val="left" w:pos="2160"/>
        </w:tabs>
        <w:ind w:left="1080"/>
        <w:contextualSpacing w:val="0"/>
      </w:pPr>
      <w:r>
        <w:lastRenderedPageBreak/>
        <w:t>A district leader reported that middle- and high-school curriculum in ELA and social studies addresses a variety of cultural identities, perspectives, and experiences.</w:t>
      </w:r>
    </w:p>
    <w:p w14:paraId="47E3A7EA" w14:textId="77777777" w:rsidR="001142C2" w:rsidRPr="00406A80" w:rsidRDefault="00546EA4" w:rsidP="001142C2">
      <w:pPr>
        <w:tabs>
          <w:tab w:val="left" w:pos="360"/>
          <w:tab w:val="left" w:pos="720"/>
          <w:tab w:val="left" w:pos="1080"/>
          <w:tab w:val="left" w:pos="1440"/>
          <w:tab w:val="left" w:pos="1800"/>
          <w:tab w:val="left" w:pos="2160"/>
        </w:tabs>
        <w:ind w:left="1440" w:hanging="360"/>
      </w:pPr>
      <w:r w:rsidRPr="00406A80">
        <w:t>a.</w:t>
      </w:r>
      <w:r w:rsidRPr="00406A80">
        <w:tab/>
      </w:r>
      <w:r w:rsidR="00E537CB" w:rsidRPr="00406A80">
        <w:t xml:space="preserve">Grade 6 social studies students read </w:t>
      </w:r>
      <w:r w:rsidR="00E537CB" w:rsidRPr="00406A80">
        <w:rPr>
          <w:i/>
        </w:rPr>
        <w:t>A Long Walk to Water</w:t>
      </w:r>
      <w:r w:rsidR="00E537CB" w:rsidRPr="00406A80">
        <w:t xml:space="preserve"> in geography class about the Sudanese civil war.  Students </w:t>
      </w:r>
      <w:proofErr w:type="gramStart"/>
      <w:r w:rsidR="00E537CB" w:rsidRPr="00406A80">
        <w:t>have the opportunity to</w:t>
      </w:r>
      <w:proofErr w:type="gramEnd"/>
      <w:r w:rsidR="00E537CB" w:rsidRPr="00406A80">
        <w:t xml:space="preserve"> understand the culture of an African region they are studying and the origins of the lost boys of Sudan.</w:t>
      </w:r>
    </w:p>
    <w:p w14:paraId="14DFEB22" w14:textId="77777777" w:rsidR="001142C2" w:rsidRPr="00406A80" w:rsidRDefault="001142C2" w:rsidP="001142C2">
      <w:pPr>
        <w:tabs>
          <w:tab w:val="left" w:pos="360"/>
          <w:tab w:val="left" w:pos="720"/>
          <w:tab w:val="left" w:pos="1080"/>
          <w:tab w:val="left" w:pos="1440"/>
          <w:tab w:val="left" w:pos="1800"/>
          <w:tab w:val="left" w:pos="2160"/>
        </w:tabs>
        <w:ind w:left="1440" w:hanging="360"/>
      </w:pPr>
      <w:r w:rsidRPr="00406A80">
        <w:t>b.</w:t>
      </w:r>
      <w:r w:rsidRPr="00406A80">
        <w:tab/>
      </w:r>
      <w:r w:rsidR="00E537CB" w:rsidRPr="00406A80">
        <w:t xml:space="preserve">The </w:t>
      </w:r>
      <w:r w:rsidRPr="00406A80">
        <w:t xml:space="preserve">high school history/social studies </w:t>
      </w:r>
      <w:r w:rsidR="00E537CB" w:rsidRPr="00406A80">
        <w:t>department offers electives in African American history, gender studies, civics, and sociology.</w:t>
      </w:r>
    </w:p>
    <w:p w14:paraId="080816F3" w14:textId="7C9BB6E8" w:rsidR="00E537CB" w:rsidRPr="00281533" w:rsidRDefault="001142C2" w:rsidP="00406A80">
      <w:pPr>
        <w:tabs>
          <w:tab w:val="left" w:pos="360"/>
          <w:tab w:val="left" w:pos="720"/>
          <w:tab w:val="left" w:pos="1080"/>
          <w:tab w:val="left" w:pos="1440"/>
          <w:tab w:val="left" w:pos="1800"/>
          <w:tab w:val="left" w:pos="2160"/>
        </w:tabs>
        <w:ind w:left="1440" w:hanging="360"/>
      </w:pPr>
      <w:r w:rsidRPr="00406A80">
        <w:t>c.</w:t>
      </w:r>
      <w:r w:rsidRPr="00406A80">
        <w:tab/>
        <w:t>Some</w:t>
      </w:r>
      <w:r w:rsidR="00E537CB" w:rsidRPr="00406A80">
        <w:t xml:space="preserve"> core curriculum content reflects the multi-cultural identity of Framingham’s students.  For example, given the number of Brazilian and Haitian students, grade 9 world history addresses the history of Brazil and Haiti in some detail.  </w:t>
      </w:r>
    </w:p>
    <w:p w14:paraId="62DA7DAC" w14:textId="6BAF3F41" w:rsidR="000464AC" w:rsidRDefault="000464AC" w:rsidP="000464AC">
      <w:pPr>
        <w:pStyle w:val="ListParagraph"/>
        <w:numPr>
          <w:ilvl w:val="2"/>
          <w:numId w:val="5"/>
        </w:numPr>
        <w:tabs>
          <w:tab w:val="left" w:pos="360"/>
          <w:tab w:val="left" w:pos="720"/>
          <w:tab w:val="left" w:pos="1080"/>
          <w:tab w:val="left" w:pos="1440"/>
          <w:tab w:val="left" w:pos="1800"/>
          <w:tab w:val="left" w:pos="2160"/>
        </w:tabs>
        <w:ind w:left="1080"/>
        <w:contextualSpacing w:val="0"/>
      </w:pPr>
      <w:r>
        <w:t>The district has</w:t>
      </w:r>
      <w:r w:rsidR="00A27622">
        <w:t xml:space="preserve"> </w:t>
      </w:r>
      <w:r>
        <w:t xml:space="preserve">posted a </w:t>
      </w:r>
      <w:r w:rsidR="00D40199">
        <w:t xml:space="preserve">request </w:t>
      </w:r>
      <w:r>
        <w:t xml:space="preserve">for </w:t>
      </w:r>
      <w:r w:rsidR="00D40199">
        <w:t xml:space="preserve">proposal </w:t>
      </w:r>
      <w:r>
        <w:t xml:space="preserve">to conduct a districtwide </w:t>
      </w:r>
      <w:r w:rsidR="00D40199">
        <w:t>racial equity audit</w:t>
      </w:r>
      <w:r>
        <w:t xml:space="preserve">.  </w:t>
      </w:r>
      <w:r w:rsidR="00A27622">
        <w:t>Its</w:t>
      </w:r>
      <w:r>
        <w:t xml:space="preserve"> scope includes a curriculum review to analyze and recommend how to increase representation of Framingham’s diverse community in the curriculum and recommendations to ensure a diverse enrollment in advanced classes </w:t>
      </w:r>
      <w:r w:rsidR="005F4BE2">
        <w:t xml:space="preserve">and </w:t>
      </w:r>
      <w:r>
        <w:t>programs.</w:t>
      </w:r>
    </w:p>
    <w:p w14:paraId="4D0ED50E" w14:textId="73D97FEC" w:rsidR="005538AF" w:rsidRDefault="00754E95" w:rsidP="00755ED6">
      <w:pPr>
        <w:pStyle w:val="ListParagraph"/>
        <w:tabs>
          <w:tab w:val="left" w:pos="360"/>
          <w:tab w:val="left" w:pos="1080"/>
          <w:tab w:val="left" w:pos="1440"/>
          <w:tab w:val="left" w:pos="1800"/>
          <w:tab w:val="left" w:pos="2160"/>
        </w:tabs>
        <w:ind w:left="0"/>
      </w:pPr>
      <w:r>
        <w:rPr>
          <w:b/>
        </w:rPr>
        <w:t>I</w:t>
      </w:r>
      <w:r w:rsidRPr="00754E95">
        <w:rPr>
          <w:b/>
        </w:rPr>
        <w:t>mpact</w:t>
      </w:r>
      <w:r w:rsidRPr="004E594D">
        <w:t xml:space="preserve">: </w:t>
      </w:r>
      <w:r>
        <w:t xml:space="preserve">By reviewing and renewing the curriculum to align </w:t>
      </w:r>
      <w:r w:rsidR="00BE4AA3">
        <w:t xml:space="preserve">it </w:t>
      </w:r>
      <w:r>
        <w:t xml:space="preserve">with current state frameworks and </w:t>
      </w:r>
      <w:r w:rsidR="00A27622">
        <w:t xml:space="preserve">by </w:t>
      </w:r>
      <w:r>
        <w:t>providing support for teachers to</w:t>
      </w:r>
      <w:r w:rsidR="00A27622">
        <w:t xml:space="preserve"> learn more</w:t>
      </w:r>
      <w:r>
        <w:t xml:space="preserve"> skillful teach</w:t>
      </w:r>
      <w:r w:rsidR="00A27622">
        <w:t>ing strategies of</w:t>
      </w:r>
      <w:r>
        <w:t xml:space="preserve"> newly developed </w:t>
      </w:r>
      <w:r w:rsidR="00A27622">
        <w:t>curriculum</w:t>
      </w:r>
      <w:r>
        <w:t xml:space="preserve">, the district has taken steps to ensure that all students have access to </w:t>
      </w:r>
      <w:r w:rsidR="00A27622">
        <w:t>high</w:t>
      </w:r>
      <w:r w:rsidR="005F4BE2">
        <w:t>-</w:t>
      </w:r>
      <w:r w:rsidR="00A27622">
        <w:t xml:space="preserve">level </w:t>
      </w:r>
      <w:r>
        <w:t>learning experiences.  By setting high expectations for curriculum materials to</w:t>
      </w:r>
      <w:r w:rsidR="00A27622">
        <w:t xml:space="preserve"> challenge students and </w:t>
      </w:r>
      <w:r w:rsidR="00BE4AA3">
        <w:t xml:space="preserve">by </w:t>
      </w:r>
      <w:r w:rsidR="0066427A">
        <w:t xml:space="preserve">beginning to </w:t>
      </w:r>
      <w:r w:rsidR="006B2C64">
        <w:t>incorporate diversity into curriculum</w:t>
      </w:r>
      <w:r>
        <w:t xml:space="preserve">, the district </w:t>
      </w:r>
      <w:r w:rsidR="0066427A">
        <w:t xml:space="preserve">is on the path to </w:t>
      </w:r>
      <w:r>
        <w:t>provid</w:t>
      </w:r>
      <w:r w:rsidR="0066427A">
        <w:t>ing</w:t>
      </w:r>
      <w:r>
        <w:t xml:space="preserve"> students with high</w:t>
      </w:r>
      <w:r w:rsidR="00FC3504">
        <w:t>-</w:t>
      </w:r>
      <w:r>
        <w:t xml:space="preserve">quality learning experiences. </w:t>
      </w:r>
    </w:p>
    <w:p w14:paraId="56A15565" w14:textId="77777777" w:rsidR="00BE4AA3" w:rsidRDefault="00BE4AA3" w:rsidP="00755ED6">
      <w:pPr>
        <w:pStyle w:val="ListParagraph"/>
        <w:tabs>
          <w:tab w:val="left" w:pos="360"/>
          <w:tab w:val="left" w:pos="1080"/>
          <w:tab w:val="left" w:pos="1440"/>
          <w:tab w:val="left" w:pos="1800"/>
          <w:tab w:val="left" w:pos="2160"/>
        </w:tabs>
        <w:ind w:left="0"/>
      </w:pPr>
    </w:p>
    <w:p w14:paraId="27C7A02E" w14:textId="1B55BECE" w:rsidR="00A50A5D" w:rsidRPr="00433A56" w:rsidRDefault="00F672BC" w:rsidP="00936CEF">
      <w:pPr>
        <w:pStyle w:val="ListParagraph"/>
        <w:numPr>
          <w:ilvl w:val="0"/>
          <w:numId w:val="81"/>
        </w:numPr>
        <w:tabs>
          <w:tab w:val="left" w:pos="360"/>
          <w:tab w:val="left" w:pos="1080"/>
          <w:tab w:val="left" w:pos="1440"/>
          <w:tab w:val="left" w:pos="1800"/>
          <w:tab w:val="left" w:pos="2160"/>
        </w:tabs>
        <w:ind w:left="360"/>
        <w:contextualSpacing w:val="0"/>
        <w:rPr>
          <w:b/>
        </w:rPr>
      </w:pPr>
      <w:r>
        <w:rPr>
          <w:b/>
        </w:rPr>
        <w:t xml:space="preserve">The </w:t>
      </w:r>
      <w:r w:rsidR="00433A56">
        <w:rPr>
          <w:b/>
        </w:rPr>
        <w:t xml:space="preserve">district </w:t>
      </w:r>
      <w:r w:rsidR="00A50A5D" w:rsidRPr="00433A56">
        <w:rPr>
          <w:b/>
        </w:rPr>
        <w:t>has</w:t>
      </w:r>
      <w:r w:rsidR="003D3B32">
        <w:rPr>
          <w:b/>
        </w:rPr>
        <w:t xml:space="preserve"> created</w:t>
      </w:r>
      <w:r w:rsidR="00A50A5D" w:rsidRPr="00433A56">
        <w:rPr>
          <w:b/>
        </w:rPr>
        <w:t xml:space="preserve"> </w:t>
      </w:r>
      <w:r w:rsidR="00370199">
        <w:rPr>
          <w:b/>
        </w:rPr>
        <w:t>distribut</w:t>
      </w:r>
      <w:r w:rsidR="00F5359F">
        <w:rPr>
          <w:b/>
        </w:rPr>
        <w:t xml:space="preserve">ed </w:t>
      </w:r>
      <w:r w:rsidR="00370199">
        <w:rPr>
          <w:b/>
        </w:rPr>
        <w:t xml:space="preserve">leadership </w:t>
      </w:r>
      <w:r w:rsidR="003D3B32">
        <w:rPr>
          <w:b/>
        </w:rPr>
        <w:t>roles</w:t>
      </w:r>
      <w:r w:rsidR="00A50A5D" w:rsidRPr="00433A56">
        <w:rPr>
          <w:b/>
        </w:rPr>
        <w:t xml:space="preserve"> and</w:t>
      </w:r>
      <w:r w:rsidR="00370199">
        <w:rPr>
          <w:b/>
        </w:rPr>
        <w:t xml:space="preserve"> </w:t>
      </w:r>
      <w:r w:rsidR="003D3B32">
        <w:rPr>
          <w:b/>
        </w:rPr>
        <w:t>established</w:t>
      </w:r>
      <w:r w:rsidR="00433A56">
        <w:rPr>
          <w:b/>
        </w:rPr>
        <w:t xml:space="preserve"> inclusive</w:t>
      </w:r>
      <w:r w:rsidR="00A50A5D" w:rsidRPr="00433A56">
        <w:rPr>
          <w:b/>
        </w:rPr>
        <w:t xml:space="preserve"> structures to systematically oversee </w:t>
      </w:r>
      <w:r w:rsidR="00433A56">
        <w:rPr>
          <w:b/>
        </w:rPr>
        <w:t xml:space="preserve">and manage </w:t>
      </w:r>
      <w:r w:rsidR="00A50A5D" w:rsidRPr="00433A56">
        <w:rPr>
          <w:b/>
        </w:rPr>
        <w:t>improvements to teaching</w:t>
      </w:r>
      <w:r w:rsidR="00433A56">
        <w:rPr>
          <w:b/>
        </w:rPr>
        <w:t>, learning</w:t>
      </w:r>
      <w:r w:rsidR="00B36C5B">
        <w:rPr>
          <w:b/>
        </w:rPr>
        <w:t>,</w:t>
      </w:r>
      <w:r w:rsidR="00A50A5D" w:rsidRPr="00433A56">
        <w:rPr>
          <w:b/>
        </w:rPr>
        <w:t xml:space="preserve"> and the curriculum</w:t>
      </w:r>
      <w:r w:rsidR="003D3B32">
        <w:rPr>
          <w:b/>
        </w:rPr>
        <w:t>.  Many of these are in the developing stage</w:t>
      </w:r>
      <w:r w:rsidR="00A50A5D" w:rsidRPr="00433A56">
        <w:rPr>
          <w:b/>
        </w:rPr>
        <w:t>.</w:t>
      </w:r>
    </w:p>
    <w:p w14:paraId="32383D01" w14:textId="02C549EB" w:rsidR="00E05BF3" w:rsidRDefault="00D3795C" w:rsidP="00D3795C">
      <w:pPr>
        <w:tabs>
          <w:tab w:val="left" w:pos="360"/>
          <w:tab w:val="left" w:pos="720"/>
          <w:tab w:val="left" w:pos="1080"/>
          <w:tab w:val="left" w:pos="1440"/>
          <w:tab w:val="left" w:pos="1800"/>
          <w:tab w:val="left" w:pos="2160"/>
        </w:tabs>
        <w:ind w:left="720" w:hanging="720"/>
      </w:pPr>
      <w:r>
        <w:rPr>
          <w:b/>
        </w:rPr>
        <w:tab/>
      </w:r>
      <w:r w:rsidR="00E05BF3" w:rsidRPr="00EC5B5A">
        <w:rPr>
          <w:b/>
        </w:rPr>
        <w:t>A.</w:t>
      </w:r>
      <w:r w:rsidR="00E05BF3">
        <w:tab/>
      </w:r>
      <w:r w:rsidR="00005499">
        <w:t xml:space="preserve">Interviews </w:t>
      </w:r>
      <w:r w:rsidR="00BE4AA3">
        <w:t xml:space="preserve">with the superintendent and school committee members </w:t>
      </w:r>
      <w:r w:rsidR="00005499">
        <w:t xml:space="preserve">and </w:t>
      </w:r>
      <w:r w:rsidR="00BE4AA3">
        <w:t xml:space="preserve">a </w:t>
      </w:r>
      <w:r w:rsidR="00005499">
        <w:t xml:space="preserve">document </w:t>
      </w:r>
      <w:r w:rsidR="00BE4AA3">
        <w:t>review indicated that</w:t>
      </w:r>
      <w:r w:rsidR="00005499">
        <w:t xml:space="preserve"> the district created </w:t>
      </w:r>
      <w:r w:rsidR="00A50A5D">
        <w:t xml:space="preserve">the </w:t>
      </w:r>
      <w:r w:rsidR="00482DB5">
        <w:t xml:space="preserve">office </w:t>
      </w:r>
      <w:r w:rsidR="00A50A5D">
        <w:t xml:space="preserve">of </w:t>
      </w:r>
      <w:r w:rsidR="00482DB5">
        <w:t xml:space="preserve">teaching </w:t>
      </w:r>
      <w:r w:rsidR="00A50A5D">
        <w:t xml:space="preserve">and </w:t>
      </w:r>
      <w:r w:rsidR="00482DB5">
        <w:t xml:space="preserve">learning </w:t>
      </w:r>
      <w:r w:rsidR="00005499">
        <w:t>as</w:t>
      </w:r>
      <w:r w:rsidR="00A50A5D">
        <w:t xml:space="preserve"> a collaborative leadership team focused on supporting all schools in </w:t>
      </w:r>
      <w:r w:rsidR="00005499">
        <w:t xml:space="preserve">their </w:t>
      </w:r>
      <w:r w:rsidR="00A50A5D">
        <w:t>improvement efforts.</w:t>
      </w:r>
      <w:r w:rsidR="00A50A5D" w:rsidRPr="00C175C3">
        <w:t xml:space="preserve"> </w:t>
      </w:r>
    </w:p>
    <w:p w14:paraId="38386CF6" w14:textId="003D3259" w:rsidR="008331F6" w:rsidRDefault="00E05BF3" w:rsidP="00D3795C">
      <w:pPr>
        <w:tabs>
          <w:tab w:val="left" w:pos="360"/>
          <w:tab w:val="left" w:pos="720"/>
          <w:tab w:val="left" w:pos="1080"/>
        </w:tabs>
        <w:ind w:left="1080" w:hanging="1080"/>
      </w:pPr>
      <w:r>
        <w:tab/>
      </w:r>
      <w:r w:rsidR="00D3795C">
        <w:tab/>
      </w:r>
      <w:r w:rsidR="002B0CA0">
        <w:t>1.</w:t>
      </w:r>
      <w:r w:rsidR="002B0CA0" w:rsidDel="002B0CA0">
        <w:t xml:space="preserve"> </w:t>
      </w:r>
      <w:r w:rsidR="002B0CA0">
        <w:tab/>
      </w:r>
      <w:r w:rsidR="00482DB5">
        <w:t>This office</w:t>
      </w:r>
      <w:r w:rsidR="00A50A5D">
        <w:t xml:space="preserve"> consists of </w:t>
      </w:r>
      <w:r w:rsidR="004D4F19">
        <w:t xml:space="preserve">the </w:t>
      </w:r>
      <w:r w:rsidR="00A50A5D">
        <w:t xml:space="preserve">assistant </w:t>
      </w:r>
      <w:r w:rsidR="004D4F19">
        <w:t>superintendent for elementary education</w:t>
      </w:r>
      <w:r w:rsidR="004850A6">
        <w:t xml:space="preserve">, </w:t>
      </w:r>
      <w:r w:rsidR="004D4F19">
        <w:t>the assistant superintendent for secondary education</w:t>
      </w:r>
      <w:r w:rsidR="004850A6">
        <w:t>, the assistant director for elementary education</w:t>
      </w:r>
      <w:r w:rsidR="00BE4AA3">
        <w:t>,</w:t>
      </w:r>
      <w:r w:rsidR="004850A6">
        <w:t xml:space="preserve"> and the assistant director for secondary education.</w:t>
      </w:r>
      <w:r w:rsidR="004D4F19">
        <w:t xml:space="preserve"> </w:t>
      </w:r>
      <w:r w:rsidR="00751977">
        <w:t xml:space="preserve">The </w:t>
      </w:r>
      <w:r w:rsidR="00482DB5">
        <w:t xml:space="preserve">two </w:t>
      </w:r>
      <w:r w:rsidR="00751977">
        <w:t>assistant superintendents have overarching responsibility to help the</w:t>
      </w:r>
      <w:r w:rsidR="00482DB5">
        <w:t>ir</w:t>
      </w:r>
      <w:r w:rsidR="00751977">
        <w:t xml:space="preserve"> schools meet high-leverage strategic goals for “curriculum, instruction and assessment” and “teaching all students.”   </w:t>
      </w:r>
      <w:r w:rsidR="004D4F19">
        <w:t xml:space="preserve">The assistant </w:t>
      </w:r>
      <w:r w:rsidR="008331F6">
        <w:t xml:space="preserve">superintendents </w:t>
      </w:r>
      <w:r w:rsidR="00005499">
        <w:t xml:space="preserve">support principals and teachers </w:t>
      </w:r>
      <w:r w:rsidR="004D4F19">
        <w:t xml:space="preserve">by </w:t>
      </w:r>
      <w:r w:rsidR="008331F6">
        <w:t>planning, organizing, and directing instructional programs</w:t>
      </w:r>
      <w:r w:rsidR="00005499">
        <w:t xml:space="preserve"> and curriculum review and renewal efforts</w:t>
      </w:r>
      <w:r w:rsidR="008331F6">
        <w:t>.</w:t>
      </w:r>
    </w:p>
    <w:p w14:paraId="216B140E" w14:textId="704B1FAE" w:rsidR="00A50A5D" w:rsidRDefault="00E357D3" w:rsidP="00EC5B5A">
      <w:pPr>
        <w:tabs>
          <w:tab w:val="left" w:pos="360"/>
          <w:tab w:val="left" w:pos="720"/>
          <w:tab w:val="left" w:pos="1080"/>
          <w:tab w:val="left" w:pos="1440"/>
          <w:tab w:val="left" w:pos="1800"/>
          <w:tab w:val="left" w:pos="2160"/>
        </w:tabs>
        <w:ind w:left="1440" w:hanging="1440"/>
      </w:pPr>
      <w:r>
        <w:tab/>
      </w:r>
      <w:r>
        <w:tab/>
      </w:r>
      <w:r w:rsidR="00D3795C">
        <w:tab/>
      </w:r>
      <w:r w:rsidR="00E05BF3">
        <w:t>a.</w:t>
      </w:r>
      <w:r>
        <w:tab/>
      </w:r>
      <w:r w:rsidR="004D4F19">
        <w:t xml:space="preserve">The </w:t>
      </w:r>
      <w:r w:rsidR="00A50A5D">
        <w:t xml:space="preserve">assistant </w:t>
      </w:r>
      <w:r w:rsidR="004D4F19">
        <w:t>director</w:t>
      </w:r>
      <w:r w:rsidR="00751977">
        <w:t>s</w:t>
      </w:r>
      <w:r w:rsidR="004D4F19">
        <w:t xml:space="preserve"> </w:t>
      </w:r>
      <w:r w:rsidR="00A50A5D">
        <w:t>also support school-based leaders and teachers</w:t>
      </w:r>
      <w:r w:rsidR="008331F6">
        <w:t xml:space="preserve"> under the direction of the assistant superintendents</w:t>
      </w:r>
      <w:r w:rsidR="00A50A5D">
        <w:t>.</w:t>
      </w:r>
      <w:r w:rsidR="00A50A5D" w:rsidRPr="00437F75">
        <w:tab/>
      </w:r>
      <w:r w:rsidR="00A50A5D" w:rsidRPr="00437F75">
        <w:tab/>
        <w:t xml:space="preserve"> </w:t>
      </w:r>
    </w:p>
    <w:p w14:paraId="3A10639D" w14:textId="3B088E88" w:rsidR="00A7603B" w:rsidRDefault="00E357D3" w:rsidP="00EC5B5A">
      <w:pPr>
        <w:tabs>
          <w:tab w:val="left" w:pos="360"/>
          <w:tab w:val="left" w:pos="720"/>
          <w:tab w:val="left" w:pos="1080"/>
          <w:tab w:val="left" w:pos="1440"/>
          <w:tab w:val="left" w:pos="1800"/>
          <w:tab w:val="left" w:pos="2160"/>
        </w:tabs>
        <w:ind w:left="1440" w:hanging="1440"/>
      </w:pPr>
      <w:r>
        <w:lastRenderedPageBreak/>
        <w:tab/>
      </w:r>
      <w:r>
        <w:tab/>
      </w:r>
      <w:r w:rsidR="00D3795C">
        <w:tab/>
      </w:r>
      <w:r w:rsidR="00E05BF3">
        <w:t>b.</w:t>
      </w:r>
      <w:r>
        <w:tab/>
      </w:r>
      <w:r w:rsidR="00A50A5D">
        <w:t xml:space="preserve">Each </w:t>
      </w:r>
      <w:r w:rsidR="00751977">
        <w:t>assistant superintendent</w:t>
      </w:r>
      <w:r w:rsidR="00A50A5D">
        <w:t xml:space="preserve"> holds regular weekly or monthly meetings with school leaders</w:t>
      </w:r>
      <w:r w:rsidR="007265B3">
        <w:t xml:space="preserve"> </w:t>
      </w:r>
      <w:r w:rsidR="00A50A5D">
        <w:t>and teacher groups to support and monitor progress</w:t>
      </w:r>
      <w:r w:rsidR="007265B3">
        <w:t xml:space="preserve"> on </w:t>
      </w:r>
      <w:r w:rsidR="009E05C8">
        <w:t xml:space="preserve">the accomplishment of </w:t>
      </w:r>
      <w:r w:rsidR="007265B3">
        <w:t>di</w:t>
      </w:r>
      <w:r w:rsidR="004B10E0">
        <w:t>strict and school improvement goals</w:t>
      </w:r>
      <w:r w:rsidR="00A50A5D">
        <w:t>.</w:t>
      </w:r>
    </w:p>
    <w:p w14:paraId="23ED1549" w14:textId="30B0773A" w:rsidR="00A50A5D" w:rsidRPr="00DE2CEF" w:rsidRDefault="00E357D3" w:rsidP="00EC5B5A">
      <w:pPr>
        <w:tabs>
          <w:tab w:val="left" w:pos="360"/>
          <w:tab w:val="left" w:pos="720"/>
          <w:tab w:val="left" w:pos="1080"/>
          <w:tab w:val="left" w:pos="1440"/>
          <w:tab w:val="left" w:pos="1800"/>
          <w:tab w:val="left" w:pos="2160"/>
        </w:tabs>
        <w:ind w:left="1440" w:hanging="1440"/>
      </w:pPr>
      <w:r>
        <w:tab/>
      </w:r>
      <w:r>
        <w:tab/>
      </w:r>
      <w:r w:rsidR="00D3795C">
        <w:tab/>
      </w:r>
      <w:r w:rsidR="00E05BF3">
        <w:t>c.</w:t>
      </w:r>
      <w:r w:rsidR="0035548B">
        <w:tab/>
      </w:r>
      <w:r w:rsidR="00370199" w:rsidRPr="00DE2CEF">
        <w:t xml:space="preserve"> </w:t>
      </w:r>
      <w:r w:rsidR="00482DB5">
        <w:t xml:space="preserve">Office of teaching and learning </w:t>
      </w:r>
      <w:r w:rsidR="00370199" w:rsidRPr="00DE2CEF">
        <w:t xml:space="preserve">team </w:t>
      </w:r>
      <w:r w:rsidR="00482DB5">
        <w:t xml:space="preserve">members reported </w:t>
      </w:r>
      <w:r w:rsidR="00370199" w:rsidRPr="00DE2CEF">
        <w:t xml:space="preserve">that </w:t>
      </w:r>
      <w:r w:rsidR="00482DB5">
        <w:t xml:space="preserve">they </w:t>
      </w:r>
      <w:r w:rsidR="00370199" w:rsidRPr="00DE2CEF">
        <w:t xml:space="preserve">spent the 18 months </w:t>
      </w:r>
      <w:r w:rsidR="00BE4AA3">
        <w:t xml:space="preserve">before the onsite review in February 2019 </w:t>
      </w:r>
      <w:r w:rsidR="00370199" w:rsidRPr="00DE2CEF">
        <w:t>communicating</w:t>
      </w:r>
      <w:r w:rsidR="00A7603B" w:rsidRPr="00DE2CEF">
        <w:t xml:space="preserve"> clear </w:t>
      </w:r>
      <w:r w:rsidR="00370199" w:rsidRPr="00DE2CEF">
        <w:t xml:space="preserve">expectations for classroom instruction, </w:t>
      </w:r>
      <w:r w:rsidR="00BE4AA3" w:rsidRPr="00DE2CEF">
        <w:t>establish</w:t>
      </w:r>
      <w:r w:rsidR="00BE4AA3">
        <w:t>ing</w:t>
      </w:r>
      <w:r w:rsidR="00BE4AA3" w:rsidRPr="00DE2CEF">
        <w:t xml:space="preserve"> </w:t>
      </w:r>
      <w:r w:rsidR="00370199" w:rsidRPr="00DE2CEF">
        <w:t>instructional leadership teams at all schools</w:t>
      </w:r>
      <w:r w:rsidR="00BE4AA3">
        <w:t>,</w:t>
      </w:r>
      <w:r w:rsidR="00370199" w:rsidRPr="00DE2CEF">
        <w:t xml:space="preserve"> and </w:t>
      </w:r>
      <w:r w:rsidR="00BE4AA3" w:rsidRPr="00DE2CEF">
        <w:t>develop</w:t>
      </w:r>
      <w:r w:rsidR="00BE4AA3">
        <w:t>ing</w:t>
      </w:r>
      <w:r w:rsidR="00BE4AA3" w:rsidRPr="00DE2CEF">
        <w:t xml:space="preserve"> </w:t>
      </w:r>
      <w:r w:rsidR="00370199" w:rsidRPr="00DE2CEF">
        <w:t xml:space="preserve">a </w:t>
      </w:r>
      <w:r w:rsidR="004B10E0" w:rsidRPr="00D3795C">
        <w:t>seven</w:t>
      </w:r>
      <w:r w:rsidR="00370199" w:rsidRPr="00D3795C">
        <w:t>-year</w:t>
      </w:r>
      <w:r w:rsidR="00370199" w:rsidRPr="00DE2CEF">
        <w:t xml:space="preserve"> curriculum review cycle. </w:t>
      </w:r>
    </w:p>
    <w:p w14:paraId="521DC482" w14:textId="7A0D65E2" w:rsidR="00A50A5D" w:rsidRPr="00DE2CEF" w:rsidRDefault="005C48A0" w:rsidP="00A50A5D">
      <w:pPr>
        <w:pStyle w:val="ListParagraph"/>
        <w:numPr>
          <w:ilvl w:val="0"/>
          <w:numId w:val="23"/>
        </w:numPr>
        <w:tabs>
          <w:tab w:val="left" w:pos="720"/>
          <w:tab w:val="left" w:pos="1080"/>
          <w:tab w:val="left" w:pos="1440"/>
          <w:tab w:val="left" w:pos="1800"/>
          <w:tab w:val="left" w:pos="2160"/>
        </w:tabs>
        <w:ind w:left="720"/>
        <w:contextualSpacing w:val="0"/>
      </w:pPr>
      <w:r>
        <w:t>D</w:t>
      </w:r>
      <w:r w:rsidR="00BE4AA3">
        <w:t xml:space="preserve">istrict and school leaders and </w:t>
      </w:r>
      <w:r w:rsidR="00DE2CEF">
        <w:t xml:space="preserve">teachers </w:t>
      </w:r>
      <w:r>
        <w:t xml:space="preserve">stated </w:t>
      </w:r>
      <w:r w:rsidR="00DE2CEF">
        <w:t>that</w:t>
      </w:r>
      <w:r w:rsidR="00C5622E" w:rsidRPr="00DE2CEF">
        <w:t xml:space="preserve"> </w:t>
      </w:r>
      <w:r w:rsidR="00482DB5">
        <w:t>i</w:t>
      </w:r>
      <w:r w:rsidR="00482DB5" w:rsidRPr="00DE2CEF">
        <w:t xml:space="preserve">nstructional </w:t>
      </w:r>
      <w:r w:rsidR="00482DB5">
        <w:t>l</w:t>
      </w:r>
      <w:r w:rsidR="00482DB5" w:rsidRPr="00DE2CEF">
        <w:t xml:space="preserve">eadership </w:t>
      </w:r>
      <w:r w:rsidR="00482DB5">
        <w:t>t</w:t>
      </w:r>
      <w:r w:rsidR="00482DB5" w:rsidRPr="00DE2CEF">
        <w:t xml:space="preserve">eams </w:t>
      </w:r>
      <w:r w:rsidR="00BE4AA3">
        <w:t>were</w:t>
      </w:r>
      <w:r w:rsidR="00BE4AA3" w:rsidRPr="00DE2CEF">
        <w:t xml:space="preserve"> </w:t>
      </w:r>
      <w:r w:rsidR="00FA35ED" w:rsidRPr="00DE2CEF">
        <w:t>now</w:t>
      </w:r>
      <w:r w:rsidR="004B10E0" w:rsidRPr="00DE2CEF">
        <w:t xml:space="preserve"> operational</w:t>
      </w:r>
      <w:r w:rsidR="00FA35ED" w:rsidRPr="00DE2CEF">
        <w:t xml:space="preserve"> </w:t>
      </w:r>
      <w:r w:rsidR="00751977">
        <w:t>in</w:t>
      </w:r>
      <w:r w:rsidR="00751977" w:rsidRPr="00DE2CEF">
        <w:t xml:space="preserve"> </w:t>
      </w:r>
      <w:r w:rsidR="00FA35ED" w:rsidRPr="00DE2CEF">
        <w:t>all schools</w:t>
      </w:r>
      <w:r w:rsidR="00A05F7D">
        <w:t>.</w:t>
      </w:r>
      <w:r w:rsidR="00D3581B" w:rsidRPr="00DE2CEF">
        <w:t xml:space="preserve"> </w:t>
      </w:r>
      <w:r w:rsidR="00A05F7D">
        <w:t xml:space="preserve">The teams </w:t>
      </w:r>
      <w:r w:rsidR="00A50A5D" w:rsidRPr="00DE2CEF">
        <w:t>focus</w:t>
      </w:r>
      <w:r w:rsidR="00BE4AA3">
        <w:t>ed</w:t>
      </w:r>
      <w:r w:rsidR="00A50A5D" w:rsidRPr="00DE2CEF">
        <w:t xml:space="preserve"> on</w:t>
      </w:r>
      <w:r w:rsidR="00D3581B" w:rsidRPr="00DE2CEF">
        <w:t xml:space="preserve"> meeting goals related to</w:t>
      </w:r>
      <w:r w:rsidR="00A7603B" w:rsidRPr="00DE2CEF">
        <w:t xml:space="preserve"> data-driven</w:t>
      </w:r>
      <w:r w:rsidR="00A50A5D" w:rsidRPr="00DE2CEF">
        <w:t xml:space="preserve"> instructional </w:t>
      </w:r>
      <w:r w:rsidR="00A7603B" w:rsidRPr="00DE2CEF">
        <w:t xml:space="preserve">and curricular </w:t>
      </w:r>
      <w:r w:rsidR="00A50A5D" w:rsidRPr="00DE2CEF">
        <w:t>improvement</w:t>
      </w:r>
      <w:r w:rsidR="00A7603B" w:rsidRPr="00DE2CEF">
        <w:t>s</w:t>
      </w:r>
      <w:r w:rsidR="00A05F7D">
        <w:t xml:space="preserve"> in the schools</w:t>
      </w:r>
      <w:r w:rsidR="004B10E0" w:rsidRPr="00DE2CEF">
        <w:t xml:space="preserve">, especially using the new </w:t>
      </w:r>
      <w:proofErr w:type="spellStart"/>
      <w:r w:rsidR="004B10E0" w:rsidRPr="00DE2CEF">
        <w:t>i</w:t>
      </w:r>
      <w:proofErr w:type="spellEnd"/>
      <w:r w:rsidR="004B10E0" w:rsidRPr="00DE2CEF">
        <w:t xml:space="preserve">-Ready formative assessments in </w:t>
      </w:r>
      <w:r w:rsidR="00A05F7D">
        <w:t xml:space="preserve">kindergarten through grade </w:t>
      </w:r>
      <w:r w:rsidR="004B10E0" w:rsidRPr="00DE2CEF">
        <w:t>8</w:t>
      </w:r>
      <w:r w:rsidR="00D3581B" w:rsidRPr="00DE2CEF">
        <w:t>.  Their</w:t>
      </w:r>
      <w:r w:rsidR="00A7603B" w:rsidRPr="00DE2CEF">
        <w:t xml:space="preserve"> mandate</w:t>
      </w:r>
      <w:r w:rsidR="00D3581B" w:rsidRPr="00DE2CEF">
        <w:t xml:space="preserve"> </w:t>
      </w:r>
      <w:r w:rsidR="00DE2CEF">
        <w:t>also includes</w:t>
      </w:r>
      <w:r w:rsidR="00A7603B" w:rsidRPr="00DE2CEF">
        <w:t xml:space="preserve"> understand</w:t>
      </w:r>
      <w:r w:rsidR="00DE2CEF">
        <w:t>ing</w:t>
      </w:r>
      <w:r w:rsidR="00FA35ED" w:rsidRPr="00DE2CEF">
        <w:t xml:space="preserve"> and respond</w:t>
      </w:r>
      <w:r w:rsidR="00DE2CEF">
        <w:t>ing</w:t>
      </w:r>
      <w:r w:rsidR="00FA35ED" w:rsidRPr="00DE2CEF">
        <w:t xml:space="preserve"> to</w:t>
      </w:r>
      <w:r w:rsidR="00A7603B" w:rsidRPr="00DE2CEF">
        <w:t xml:space="preserve"> teacher</w:t>
      </w:r>
      <w:r w:rsidR="00A05F7D">
        <w:t>s’</w:t>
      </w:r>
      <w:r w:rsidR="00A7603B" w:rsidRPr="00DE2CEF">
        <w:t xml:space="preserve"> needs</w:t>
      </w:r>
      <w:r w:rsidR="00DE2CEF">
        <w:t xml:space="preserve"> </w:t>
      </w:r>
      <w:r w:rsidR="00A7603B" w:rsidRPr="00DE2CEF">
        <w:t xml:space="preserve">and </w:t>
      </w:r>
      <w:r w:rsidR="00751977">
        <w:t>acting as</w:t>
      </w:r>
      <w:r w:rsidR="00751977" w:rsidRPr="00DE2CEF">
        <w:t xml:space="preserve"> </w:t>
      </w:r>
      <w:r w:rsidR="00751977">
        <w:t>the</w:t>
      </w:r>
      <w:r w:rsidR="00751977" w:rsidRPr="00DE2CEF">
        <w:t xml:space="preserve"> </w:t>
      </w:r>
      <w:r w:rsidR="00A7603B" w:rsidRPr="00DE2CEF">
        <w:t>liaison between district leaders and schools.</w:t>
      </w:r>
    </w:p>
    <w:p w14:paraId="798D46EA" w14:textId="51B0605D" w:rsidR="00A7603B" w:rsidRDefault="00482DB5" w:rsidP="00A50D17">
      <w:pPr>
        <w:pStyle w:val="ListParagraph"/>
        <w:numPr>
          <w:ilvl w:val="6"/>
          <w:numId w:val="27"/>
        </w:numPr>
        <w:tabs>
          <w:tab w:val="left" w:pos="360"/>
          <w:tab w:val="left" w:pos="720"/>
          <w:tab w:val="left" w:pos="1080"/>
          <w:tab w:val="left" w:pos="1440"/>
          <w:tab w:val="left" w:pos="1800"/>
          <w:tab w:val="left" w:pos="2160"/>
        </w:tabs>
        <w:ind w:left="1080"/>
        <w:contextualSpacing w:val="0"/>
      </w:pPr>
      <w:r>
        <w:t xml:space="preserve">These teams </w:t>
      </w:r>
      <w:r w:rsidR="00A7603B">
        <w:t xml:space="preserve">are </w:t>
      </w:r>
      <w:r w:rsidR="00A05F7D">
        <w:t xml:space="preserve">composed </w:t>
      </w:r>
      <w:r w:rsidR="00A7603B">
        <w:t xml:space="preserve">of </w:t>
      </w:r>
      <w:r w:rsidR="00751977">
        <w:t xml:space="preserve">school </w:t>
      </w:r>
      <w:r w:rsidR="00A7603B">
        <w:t xml:space="preserve">administrators, </w:t>
      </w:r>
      <w:r w:rsidR="00A05F7D">
        <w:t xml:space="preserve">general </w:t>
      </w:r>
      <w:r w:rsidR="00A7603B">
        <w:t>education, special education</w:t>
      </w:r>
      <w:r w:rsidR="00A05F7D">
        <w:t>,</w:t>
      </w:r>
      <w:r w:rsidR="00A7603B">
        <w:t xml:space="preserve"> and</w:t>
      </w:r>
      <w:r w:rsidR="00C5622E">
        <w:t xml:space="preserve"> English </w:t>
      </w:r>
      <w:r>
        <w:t xml:space="preserve">language development teachers, </w:t>
      </w:r>
      <w:r w:rsidR="00FA35ED">
        <w:t xml:space="preserve">instructional </w:t>
      </w:r>
      <w:proofErr w:type="gramStart"/>
      <w:r w:rsidR="00A7603B">
        <w:t>coaches</w:t>
      </w:r>
      <w:proofErr w:type="gramEnd"/>
      <w:r w:rsidR="00A7603B">
        <w:t xml:space="preserve"> or department heads, and in some schools, guidance counselors.</w:t>
      </w:r>
    </w:p>
    <w:p w14:paraId="5B088192" w14:textId="5DA35EA6" w:rsidR="00A50A5D" w:rsidRDefault="00A50A5D" w:rsidP="00A50D17">
      <w:pPr>
        <w:pStyle w:val="ListParagraph"/>
        <w:numPr>
          <w:ilvl w:val="6"/>
          <w:numId w:val="27"/>
        </w:numPr>
        <w:tabs>
          <w:tab w:val="left" w:pos="360"/>
          <w:tab w:val="left" w:pos="720"/>
          <w:tab w:val="left" w:pos="1080"/>
          <w:tab w:val="left" w:pos="1440"/>
          <w:tab w:val="left" w:pos="1800"/>
          <w:tab w:val="left" w:pos="2160"/>
        </w:tabs>
        <w:ind w:left="1080"/>
        <w:contextualSpacing w:val="0"/>
      </w:pPr>
      <w:r>
        <w:t xml:space="preserve">The </w:t>
      </w:r>
      <w:r w:rsidR="00482DB5">
        <w:t xml:space="preserve">teams </w:t>
      </w:r>
      <w:r>
        <w:t>also function as data team</w:t>
      </w:r>
      <w:r w:rsidR="00DE2CEF">
        <w:t>s</w:t>
      </w:r>
      <w:r w:rsidR="004B10E0">
        <w:t xml:space="preserve"> in most schools.  They</w:t>
      </w:r>
      <w:r w:rsidR="003D3B32">
        <w:t xml:space="preserve"> track and monitor </w:t>
      </w:r>
      <w:r>
        <w:t>data</w:t>
      </w:r>
      <w:r w:rsidR="00DE2CEF">
        <w:t xml:space="preserve"> for students to guide </w:t>
      </w:r>
      <w:r>
        <w:t>decision</w:t>
      </w:r>
      <w:r w:rsidR="003D3B32">
        <w:t>-</w:t>
      </w:r>
      <w:r>
        <w:t>making</w:t>
      </w:r>
      <w:r w:rsidR="000A61DA">
        <w:t xml:space="preserve"> </w:t>
      </w:r>
      <w:r w:rsidR="00DE2CEF">
        <w:t>for instruction and interventions a</w:t>
      </w:r>
      <w:r w:rsidR="001C1A05">
        <w:t>nd</w:t>
      </w:r>
      <w:r w:rsidR="00DE2CEF">
        <w:t xml:space="preserve"> work </w:t>
      </w:r>
      <w:r w:rsidR="004B10E0">
        <w:t>with teachers in professional learning communities or other grade-level or content-based teams</w:t>
      </w:r>
      <w:r w:rsidR="00433A56">
        <w:t xml:space="preserve">.  </w:t>
      </w:r>
      <w:r w:rsidR="008F7C92">
        <w:t>Interviews</w:t>
      </w:r>
      <w:r w:rsidR="00A05F7D">
        <w:t xml:space="preserve"> </w:t>
      </w:r>
      <w:r w:rsidR="00FA35ED">
        <w:t xml:space="preserve">and </w:t>
      </w:r>
      <w:r w:rsidR="00A05F7D">
        <w:t xml:space="preserve">a </w:t>
      </w:r>
      <w:r w:rsidR="00FA35ED">
        <w:t>document</w:t>
      </w:r>
      <w:r w:rsidR="00433A56">
        <w:t xml:space="preserve"> </w:t>
      </w:r>
      <w:r w:rsidR="00A05F7D">
        <w:t xml:space="preserve">review indicated </w:t>
      </w:r>
      <w:r w:rsidR="00433A56">
        <w:t>that t</w:t>
      </w:r>
      <w:r w:rsidR="004B10E0">
        <w:t xml:space="preserve">he work of </w:t>
      </w:r>
      <w:r w:rsidR="002819AB">
        <w:t xml:space="preserve">the </w:t>
      </w:r>
      <w:r w:rsidR="00482DB5">
        <w:t>instructional leader</w:t>
      </w:r>
      <w:r w:rsidR="002819AB">
        <w:t>s</w:t>
      </w:r>
      <w:r w:rsidR="00482DB5">
        <w:t>hip teams</w:t>
      </w:r>
      <w:r w:rsidR="00C21F78">
        <w:t xml:space="preserve"> </w:t>
      </w:r>
      <w:r w:rsidR="00A05F7D">
        <w:t xml:space="preserve">was </w:t>
      </w:r>
      <w:r w:rsidR="00433A56">
        <w:t>a developing practice at some schools.</w:t>
      </w:r>
    </w:p>
    <w:p w14:paraId="5F90A4F0" w14:textId="689CD891" w:rsidR="003D3B32" w:rsidRDefault="00C21F78" w:rsidP="00A50D17">
      <w:pPr>
        <w:pStyle w:val="ListParagraph"/>
        <w:numPr>
          <w:ilvl w:val="6"/>
          <w:numId w:val="27"/>
        </w:numPr>
        <w:tabs>
          <w:tab w:val="left" w:pos="360"/>
          <w:tab w:val="left" w:pos="720"/>
          <w:tab w:val="left" w:pos="1080"/>
          <w:tab w:val="left" w:pos="1440"/>
          <w:tab w:val="left" w:pos="1800"/>
          <w:tab w:val="left" w:pos="2160"/>
        </w:tabs>
        <w:ind w:left="1080"/>
        <w:contextualSpacing w:val="0"/>
      </w:pPr>
      <w:r>
        <w:t xml:space="preserve">The teams </w:t>
      </w:r>
      <w:r w:rsidR="00433A56">
        <w:t xml:space="preserve">meet regularly, although frequency varies </w:t>
      </w:r>
      <w:r w:rsidR="002069F7">
        <w:t xml:space="preserve">among </w:t>
      </w:r>
      <w:r w:rsidR="00433A56">
        <w:t>schools</w:t>
      </w:r>
      <w:r w:rsidR="002069F7">
        <w:t>, depending on grade level and school tier</w:t>
      </w:r>
      <w:r w:rsidR="00433A56">
        <w:t>.</w:t>
      </w:r>
      <w:r w:rsidR="00A50A5D" w:rsidRPr="00C5110A">
        <w:tab/>
      </w:r>
    </w:p>
    <w:p w14:paraId="5C14CF3D" w14:textId="4E0B76C3" w:rsidR="00A50A5D" w:rsidRDefault="00A50A5D" w:rsidP="00A50D17">
      <w:pPr>
        <w:pStyle w:val="ListParagraph"/>
        <w:numPr>
          <w:ilvl w:val="0"/>
          <w:numId w:val="57"/>
        </w:numPr>
        <w:tabs>
          <w:tab w:val="left" w:pos="360"/>
          <w:tab w:val="left" w:pos="720"/>
          <w:tab w:val="left" w:pos="1440"/>
          <w:tab w:val="left" w:pos="1800"/>
          <w:tab w:val="left" w:pos="2160"/>
        </w:tabs>
        <w:ind w:left="720"/>
        <w:contextualSpacing w:val="0"/>
      </w:pPr>
      <w:r w:rsidRPr="009C47DA">
        <w:t>I</w:t>
      </w:r>
      <w:r w:rsidR="00FA35ED">
        <w:t>nstructional coaches for ELA and math</w:t>
      </w:r>
      <w:r w:rsidR="00C21F78">
        <w:t>ematics</w:t>
      </w:r>
      <w:r w:rsidR="002C30C3">
        <w:t xml:space="preserve"> and English language development</w:t>
      </w:r>
      <w:r w:rsidR="00FA35ED">
        <w:t xml:space="preserve"> at the elementary schools</w:t>
      </w:r>
      <w:r w:rsidR="00CE196A">
        <w:t xml:space="preserve"> provide direct assistance to classroom teacher</w:t>
      </w:r>
      <w:r w:rsidR="003D3B32">
        <w:t>s</w:t>
      </w:r>
      <w:r w:rsidR="00D3581B">
        <w:t xml:space="preserve"> through </w:t>
      </w:r>
      <w:r w:rsidR="002505A1">
        <w:t>consult</w:t>
      </w:r>
      <w:r w:rsidR="003D3B32">
        <w:t>ation</w:t>
      </w:r>
      <w:r w:rsidR="002505A1">
        <w:t xml:space="preserve"> and collabora</w:t>
      </w:r>
      <w:r w:rsidR="003D3B32">
        <w:t>tion</w:t>
      </w:r>
      <w:r w:rsidR="002B4F53">
        <w:t>.  Their goal is</w:t>
      </w:r>
      <w:r w:rsidR="003D3B32">
        <w:t xml:space="preserve"> to</w:t>
      </w:r>
      <w:r w:rsidR="002505A1">
        <w:t xml:space="preserve"> provide</w:t>
      </w:r>
      <w:r w:rsidR="00CE196A">
        <w:t xml:space="preserve"> mentoring, </w:t>
      </w:r>
      <w:r w:rsidR="00D3581B">
        <w:t xml:space="preserve">modeling, feedback, </w:t>
      </w:r>
      <w:r w:rsidR="00CE196A">
        <w:t>data analysis</w:t>
      </w:r>
      <w:r w:rsidR="00452C40">
        <w:t>,</w:t>
      </w:r>
      <w:r w:rsidR="00CE196A">
        <w:t xml:space="preserve"> and other </w:t>
      </w:r>
      <w:r w:rsidR="00D3581B">
        <w:t>support</w:t>
      </w:r>
      <w:r w:rsidR="00CE196A">
        <w:t xml:space="preserve"> </w:t>
      </w:r>
      <w:r w:rsidR="00D3581B">
        <w:t xml:space="preserve">to </w:t>
      </w:r>
      <w:r w:rsidR="00CE196A">
        <w:t>improve teaching and learning.</w:t>
      </w:r>
      <w:r w:rsidR="00FA35ED">
        <w:t xml:space="preserve"> </w:t>
      </w:r>
    </w:p>
    <w:p w14:paraId="7FBCEC35" w14:textId="25C4E6EB" w:rsidR="003D3B32" w:rsidRPr="003D3B32" w:rsidRDefault="00686DEF" w:rsidP="00A50D17">
      <w:pPr>
        <w:pStyle w:val="ListParagraph"/>
        <w:numPr>
          <w:ilvl w:val="6"/>
          <w:numId w:val="58"/>
        </w:numPr>
        <w:tabs>
          <w:tab w:val="left" w:pos="360"/>
          <w:tab w:val="left" w:pos="720"/>
          <w:tab w:val="left" w:pos="1080"/>
          <w:tab w:val="left" w:pos="1440"/>
          <w:tab w:val="left" w:pos="1800"/>
          <w:tab w:val="left" w:pos="2160"/>
        </w:tabs>
        <w:ind w:left="1080"/>
        <w:contextualSpacing w:val="0"/>
      </w:pPr>
      <w:r>
        <w:t>The district has</w:t>
      </w:r>
      <w:r w:rsidR="002505A1">
        <w:t xml:space="preserve"> taken a</w:t>
      </w:r>
      <w:r w:rsidR="004B10E0">
        <w:t xml:space="preserve">n </w:t>
      </w:r>
      <w:r w:rsidR="002505A1">
        <w:t>equit</w:t>
      </w:r>
      <w:r w:rsidR="004B10E0">
        <w:t>able</w:t>
      </w:r>
      <w:r w:rsidR="002505A1">
        <w:t xml:space="preserve"> approach </w:t>
      </w:r>
      <w:r w:rsidR="00D3581B">
        <w:t>for</w:t>
      </w:r>
      <w:r w:rsidR="002505A1">
        <w:t xml:space="preserve"> allocating coaches</w:t>
      </w:r>
      <w:r w:rsidR="002B4F53">
        <w:t xml:space="preserve"> </w:t>
      </w:r>
      <w:proofErr w:type="gramStart"/>
      <w:r w:rsidR="002B4F53">
        <w:t>in order to</w:t>
      </w:r>
      <w:proofErr w:type="gramEnd"/>
      <w:r>
        <w:t xml:space="preserve"> provid</w:t>
      </w:r>
      <w:r w:rsidR="002B4F53">
        <w:t>e</w:t>
      </w:r>
      <w:r>
        <w:t xml:space="preserve"> </w:t>
      </w:r>
      <w:r w:rsidR="004B10E0">
        <w:t>sufficient</w:t>
      </w:r>
      <w:r>
        <w:t xml:space="preserve"> </w:t>
      </w:r>
      <w:r w:rsidR="002505A1">
        <w:t xml:space="preserve">coaching </w:t>
      </w:r>
      <w:r>
        <w:t xml:space="preserve">support to the schools most in need.  As a result, each Tier </w:t>
      </w:r>
      <w:r w:rsidR="001F20EA">
        <w:t xml:space="preserve">3 </w:t>
      </w:r>
      <w:r>
        <w:t>school has two literacy coaches</w:t>
      </w:r>
      <w:r w:rsidR="00C21F78">
        <w:t>,</w:t>
      </w:r>
      <w:r w:rsidR="002505A1">
        <w:t xml:space="preserve"> while Tier </w:t>
      </w:r>
      <w:r w:rsidR="001F20EA">
        <w:t xml:space="preserve">1 </w:t>
      </w:r>
      <w:r w:rsidR="002505A1">
        <w:t xml:space="preserve">and </w:t>
      </w:r>
      <w:r w:rsidR="001F20EA">
        <w:t xml:space="preserve">2 </w:t>
      </w:r>
      <w:r w:rsidR="00D45B05">
        <w:t>schools h</w:t>
      </w:r>
      <w:r w:rsidR="002505A1">
        <w:t>ave one</w:t>
      </w:r>
      <w:r>
        <w:t>.  All K</w:t>
      </w:r>
      <w:r w:rsidR="00452C40">
        <w:t>–</w:t>
      </w:r>
      <w:r>
        <w:t>5 school</w:t>
      </w:r>
      <w:r w:rsidR="002505A1">
        <w:t>s</w:t>
      </w:r>
      <w:r>
        <w:t xml:space="preserve"> ha</w:t>
      </w:r>
      <w:r w:rsidR="002505A1">
        <w:t>ve</w:t>
      </w:r>
      <w:r>
        <w:t xml:space="preserve"> one math</w:t>
      </w:r>
      <w:r w:rsidR="00C21F78">
        <w:t>ematics</w:t>
      </w:r>
      <w:r>
        <w:t xml:space="preserve"> coach</w:t>
      </w:r>
      <w:r w:rsidR="002C30C3">
        <w:t xml:space="preserve"> and an </w:t>
      </w:r>
      <w:r w:rsidR="00C21F78">
        <w:t xml:space="preserve">English language development </w:t>
      </w:r>
      <w:r w:rsidR="002C30C3">
        <w:t>coach</w:t>
      </w:r>
      <w:r>
        <w:t>.</w:t>
      </w:r>
      <w:r w:rsidR="00A50A5D" w:rsidRPr="0083754A">
        <w:t xml:space="preserve"> </w:t>
      </w:r>
    </w:p>
    <w:p w14:paraId="78794A8D" w14:textId="708A44EA" w:rsidR="00A50A5D" w:rsidRDefault="00686DEF" w:rsidP="00A50D17">
      <w:pPr>
        <w:pStyle w:val="ListParagraph"/>
        <w:numPr>
          <w:ilvl w:val="6"/>
          <w:numId w:val="58"/>
        </w:numPr>
        <w:tabs>
          <w:tab w:val="left" w:pos="360"/>
          <w:tab w:val="left" w:pos="720"/>
          <w:tab w:val="left" w:pos="1080"/>
          <w:tab w:val="left" w:pos="1440"/>
          <w:tab w:val="left" w:pos="1800"/>
          <w:tab w:val="left" w:pos="2160"/>
        </w:tabs>
        <w:ind w:left="1080"/>
        <w:contextualSpacing w:val="0"/>
      </w:pPr>
      <w:r>
        <w:t>The assistant superintendents and directors meet regularly with coaches to ensure shared communication and information</w:t>
      </w:r>
      <w:r w:rsidR="002505A1">
        <w:t xml:space="preserve"> and adequate preparation</w:t>
      </w:r>
      <w:r w:rsidR="004B10E0">
        <w:t xml:space="preserve"> and training</w:t>
      </w:r>
      <w:r w:rsidR="002505A1">
        <w:t xml:space="preserve"> for coaching</w:t>
      </w:r>
      <w:r w:rsidR="00494CFC">
        <w:t>.</w:t>
      </w:r>
    </w:p>
    <w:p w14:paraId="70F12BF1" w14:textId="115FEBB0" w:rsidR="00576837" w:rsidRDefault="00452C40" w:rsidP="00A50D17">
      <w:pPr>
        <w:pStyle w:val="ListParagraph"/>
        <w:numPr>
          <w:ilvl w:val="6"/>
          <w:numId w:val="58"/>
        </w:numPr>
        <w:tabs>
          <w:tab w:val="left" w:pos="360"/>
          <w:tab w:val="left" w:pos="720"/>
          <w:tab w:val="left" w:pos="1080"/>
          <w:tab w:val="left" w:pos="1440"/>
          <w:tab w:val="left" w:pos="1800"/>
          <w:tab w:val="left" w:pos="2160"/>
        </w:tabs>
        <w:ind w:left="1080"/>
        <w:contextualSpacing w:val="0"/>
      </w:pPr>
      <w:r>
        <w:t xml:space="preserve">Principals stated </w:t>
      </w:r>
      <w:r w:rsidR="00F5359F">
        <w:t>that c</w:t>
      </w:r>
      <w:r w:rsidR="00494CFC">
        <w:t xml:space="preserve">oaching needs </w:t>
      </w:r>
      <w:r>
        <w:t xml:space="preserve">varied </w:t>
      </w:r>
      <w:r w:rsidR="00494CFC">
        <w:t>across elementary schools</w:t>
      </w:r>
      <w:r w:rsidR="004B10E0">
        <w:t xml:space="preserve"> </w:t>
      </w:r>
      <w:r w:rsidR="00494CFC">
        <w:t xml:space="preserve">based on </w:t>
      </w:r>
      <w:r w:rsidR="00D45B05">
        <w:t xml:space="preserve">their </w:t>
      </w:r>
      <w:r w:rsidR="00494CFC">
        <w:t>school improvement goals</w:t>
      </w:r>
      <w:r w:rsidR="002C30C3">
        <w:t>.  Walkthroughs also identify coaching needs for</w:t>
      </w:r>
      <w:r w:rsidR="004B10E0">
        <w:t xml:space="preserve"> </w:t>
      </w:r>
      <w:r w:rsidR="00494CFC">
        <w:t>individual</w:t>
      </w:r>
      <w:r w:rsidR="002C30C3">
        <w:t xml:space="preserve"> </w:t>
      </w:r>
      <w:r w:rsidR="00494CFC">
        <w:t>teacher</w:t>
      </w:r>
      <w:r w:rsidR="002C30C3">
        <w:t>s</w:t>
      </w:r>
      <w:r w:rsidR="00494CFC">
        <w:t xml:space="preserve"> and grade</w:t>
      </w:r>
      <w:r w:rsidR="00115B1F">
        <w:t xml:space="preserve"> </w:t>
      </w:r>
      <w:r w:rsidR="00494CFC">
        <w:t>level</w:t>
      </w:r>
      <w:r w:rsidR="002C30C3">
        <w:t xml:space="preserve">s.  </w:t>
      </w:r>
      <w:r w:rsidR="00494CFC">
        <w:t xml:space="preserve"> </w:t>
      </w:r>
    </w:p>
    <w:p w14:paraId="4044488C" w14:textId="27E17A22" w:rsidR="004220FF" w:rsidRDefault="00DE2CEF" w:rsidP="00AE0417">
      <w:pPr>
        <w:pStyle w:val="ListParagraph"/>
        <w:numPr>
          <w:ilvl w:val="3"/>
          <w:numId w:val="23"/>
        </w:numPr>
        <w:tabs>
          <w:tab w:val="left" w:pos="360"/>
          <w:tab w:val="left" w:pos="720"/>
          <w:tab w:val="left" w:pos="1080"/>
          <w:tab w:val="left" w:pos="1440"/>
          <w:tab w:val="left" w:pos="1800"/>
          <w:tab w:val="left" w:pos="2160"/>
        </w:tabs>
        <w:ind w:left="1440"/>
        <w:contextualSpacing w:val="0"/>
      </w:pPr>
      <w:r>
        <w:lastRenderedPageBreak/>
        <w:t xml:space="preserve">For example, coaches </w:t>
      </w:r>
      <w:r w:rsidR="004B10E0">
        <w:t>support</w:t>
      </w:r>
      <w:r w:rsidR="004220FF">
        <w:t xml:space="preserve"> teachers</w:t>
      </w:r>
      <w:r>
        <w:t xml:space="preserve"> learning to use</w:t>
      </w:r>
      <w:r w:rsidR="00576837">
        <w:t xml:space="preserve"> data to justify and make better evidence-based decisions</w:t>
      </w:r>
      <w:r>
        <w:t xml:space="preserve"> for instruction and interventions,</w:t>
      </w:r>
      <w:r w:rsidR="00C5622E">
        <w:t xml:space="preserve"> and </w:t>
      </w:r>
      <w:r w:rsidR="004220FF">
        <w:t>help</w:t>
      </w:r>
      <w:r w:rsidR="00C5622E">
        <w:t xml:space="preserve"> teachers</w:t>
      </w:r>
      <w:r w:rsidR="004220FF">
        <w:t xml:space="preserve"> develop more effective lesson plans</w:t>
      </w:r>
      <w:r w:rsidR="00C5622E">
        <w:t>.  Some coaches work with</w:t>
      </w:r>
      <w:r w:rsidR="004220FF">
        <w:t xml:space="preserve"> new teachers</w:t>
      </w:r>
      <w:r w:rsidR="00C5622E">
        <w:t>, helping them</w:t>
      </w:r>
      <w:r w:rsidR="004220FF">
        <w:t xml:space="preserve"> </w:t>
      </w:r>
      <w:r w:rsidR="00D45B05">
        <w:t xml:space="preserve">to </w:t>
      </w:r>
      <w:r w:rsidR="004220FF">
        <w:t>set goals.</w:t>
      </w:r>
      <w:r w:rsidR="00576837">
        <w:t xml:space="preserve"> </w:t>
      </w:r>
    </w:p>
    <w:p w14:paraId="12F6E28E" w14:textId="101730DD" w:rsidR="00C5622E" w:rsidRDefault="00880DCF" w:rsidP="00A50D17">
      <w:pPr>
        <w:pStyle w:val="ListParagraph"/>
        <w:numPr>
          <w:ilvl w:val="6"/>
          <w:numId w:val="58"/>
        </w:numPr>
        <w:tabs>
          <w:tab w:val="left" w:pos="360"/>
          <w:tab w:val="left" w:pos="720"/>
          <w:tab w:val="left" w:pos="1080"/>
          <w:tab w:val="left" w:pos="1440"/>
          <w:tab w:val="left" w:pos="1800"/>
          <w:tab w:val="left" w:pos="2160"/>
        </w:tabs>
        <w:ind w:left="1080"/>
        <w:contextualSpacing w:val="0"/>
      </w:pPr>
      <w:r>
        <w:t>Coaches meet with K</w:t>
      </w:r>
      <w:r w:rsidR="00452C40">
        <w:t>–</w:t>
      </w:r>
      <w:r>
        <w:t>5 teacher</w:t>
      </w:r>
      <w:r w:rsidR="00D45B05">
        <w:t>s</w:t>
      </w:r>
      <w:r w:rsidR="00DE2CEF">
        <w:t xml:space="preserve"> in grade-level</w:t>
      </w:r>
      <w:r>
        <w:t xml:space="preserve"> teams</w:t>
      </w:r>
      <w:r w:rsidR="00C5622E">
        <w:t xml:space="preserve"> </w:t>
      </w:r>
      <w:r>
        <w:t>at least week</w:t>
      </w:r>
      <w:r w:rsidR="00772B97">
        <w:t>ly</w:t>
      </w:r>
      <w:r>
        <w:t xml:space="preserve">.  At Tier </w:t>
      </w:r>
      <w:r w:rsidR="001F20EA">
        <w:t xml:space="preserve">3 </w:t>
      </w:r>
      <w:r>
        <w:t>schools, grade-level teachers meet with the ELA and math</w:t>
      </w:r>
      <w:r w:rsidR="00C21F78">
        <w:t>ematics</w:t>
      </w:r>
      <w:r>
        <w:t xml:space="preserve"> coaches </w:t>
      </w:r>
      <w:r w:rsidR="00772B97">
        <w:t xml:space="preserve">every </w:t>
      </w:r>
      <w:r>
        <w:t xml:space="preserve">week </w:t>
      </w:r>
      <w:r w:rsidR="00772B97">
        <w:t xml:space="preserve">for 90 minutes in </w:t>
      </w:r>
      <w:r>
        <w:t>each subject</w:t>
      </w:r>
      <w:r w:rsidR="00772B97">
        <w:t xml:space="preserve"> </w:t>
      </w:r>
      <w:r w:rsidR="00DB491C">
        <w:t>a</w:t>
      </w:r>
      <w:r w:rsidR="00772B97">
        <w:t>rea</w:t>
      </w:r>
      <w:r w:rsidR="00452C40">
        <w:t>.</w:t>
      </w:r>
      <w:r w:rsidRPr="001E7B55">
        <w:tab/>
      </w:r>
    </w:p>
    <w:p w14:paraId="602DFEED" w14:textId="265166ED" w:rsidR="00A50A5D" w:rsidRDefault="00D01307" w:rsidP="00701EDD">
      <w:pPr>
        <w:pStyle w:val="ListParagraph"/>
        <w:numPr>
          <w:ilvl w:val="6"/>
          <w:numId w:val="58"/>
        </w:numPr>
        <w:tabs>
          <w:tab w:val="left" w:pos="360"/>
          <w:tab w:val="left" w:pos="720"/>
          <w:tab w:val="left" w:pos="1080"/>
          <w:tab w:val="left" w:pos="1440"/>
          <w:tab w:val="left" w:pos="1800"/>
          <w:tab w:val="left" w:pos="2160"/>
        </w:tabs>
        <w:ind w:left="1080"/>
        <w:contextualSpacing w:val="0"/>
      </w:pPr>
      <w:r>
        <w:t xml:space="preserve">English language development </w:t>
      </w:r>
      <w:r w:rsidR="002505A1">
        <w:t xml:space="preserve">coaches at all schools help teachers </w:t>
      </w:r>
      <w:r>
        <w:t xml:space="preserve">create </w:t>
      </w:r>
      <w:r w:rsidR="002505A1">
        <w:t xml:space="preserve">and use more effective strategies with </w:t>
      </w:r>
      <w:r w:rsidR="0008170D">
        <w:t>English learners</w:t>
      </w:r>
      <w:r w:rsidR="002505A1">
        <w:t>.</w:t>
      </w:r>
      <w:r w:rsidR="0088457A">
        <w:t xml:space="preserve"> </w:t>
      </w:r>
    </w:p>
    <w:p w14:paraId="7AFFCBBF" w14:textId="0C0FF698" w:rsidR="00A50A5D" w:rsidRDefault="005F395A" w:rsidP="00A50D17">
      <w:pPr>
        <w:pStyle w:val="ListParagraph"/>
        <w:numPr>
          <w:ilvl w:val="0"/>
          <w:numId w:val="56"/>
        </w:numPr>
        <w:tabs>
          <w:tab w:val="left" w:pos="720"/>
          <w:tab w:val="left" w:pos="1080"/>
          <w:tab w:val="left" w:pos="1440"/>
          <w:tab w:val="left" w:pos="1800"/>
          <w:tab w:val="left" w:pos="2160"/>
        </w:tabs>
        <w:ind w:left="720"/>
        <w:contextualSpacing w:val="0"/>
      </w:pPr>
      <w:r>
        <w:t>The district has multiple structures for teachers to collaborate</w:t>
      </w:r>
      <w:r w:rsidR="00D01307">
        <w:t xml:space="preserve">, </w:t>
      </w:r>
      <w:r>
        <w:t>although</w:t>
      </w:r>
      <w:r w:rsidR="00772B97">
        <w:t xml:space="preserve"> the time for teacher </w:t>
      </w:r>
      <w:r>
        <w:t>collaboration at</w:t>
      </w:r>
      <w:r w:rsidR="002C30C3">
        <w:t xml:space="preserve"> the high school</w:t>
      </w:r>
      <w:r w:rsidR="00772B97">
        <w:t xml:space="preserve"> is limited</w:t>
      </w:r>
      <w:r w:rsidR="002505A1">
        <w:t>.</w:t>
      </w:r>
      <w:r w:rsidR="00A50A5D" w:rsidRPr="001E7B55">
        <w:t xml:space="preserve"> </w:t>
      </w:r>
    </w:p>
    <w:p w14:paraId="240A8534" w14:textId="703539F6" w:rsidR="00576837" w:rsidRDefault="00C5622E" w:rsidP="00A50D17">
      <w:pPr>
        <w:pStyle w:val="ListParagraph"/>
        <w:numPr>
          <w:ilvl w:val="6"/>
          <w:numId w:val="59"/>
        </w:numPr>
        <w:tabs>
          <w:tab w:val="left" w:pos="360"/>
          <w:tab w:val="left" w:pos="720"/>
          <w:tab w:val="left" w:pos="1080"/>
          <w:tab w:val="left" w:pos="1440"/>
          <w:tab w:val="left" w:pos="1800"/>
          <w:tab w:val="left" w:pos="2160"/>
        </w:tabs>
        <w:ind w:left="1080"/>
        <w:contextualSpacing w:val="0"/>
      </w:pPr>
      <w:r>
        <w:t>P</w:t>
      </w:r>
      <w:r w:rsidR="005F395A">
        <w:t>rofessional learning communities</w:t>
      </w:r>
      <w:r w:rsidR="00E01A72">
        <w:t>,</w:t>
      </w:r>
      <w:r>
        <w:t xml:space="preserve"> </w:t>
      </w:r>
      <w:r w:rsidR="005F395A">
        <w:t>co-planning</w:t>
      </w:r>
      <w:r>
        <w:t xml:space="preserve"> time</w:t>
      </w:r>
      <w:r w:rsidR="005F395A">
        <w:t>, common planning time</w:t>
      </w:r>
      <w:r w:rsidR="00E01A72">
        <w:t xml:space="preserve">, </w:t>
      </w:r>
      <w:r w:rsidR="005F395A">
        <w:t>and collaborative time</w:t>
      </w:r>
      <w:r>
        <w:t xml:space="preserve"> were the many descriptors used by teachers for </w:t>
      </w:r>
      <w:r w:rsidR="00837281">
        <w:t xml:space="preserve">planned opportunities </w:t>
      </w:r>
      <w:r>
        <w:t xml:space="preserve">to </w:t>
      </w:r>
      <w:r w:rsidR="00837281">
        <w:t xml:space="preserve">work </w:t>
      </w:r>
      <w:r>
        <w:t xml:space="preserve">with </w:t>
      </w:r>
      <w:r w:rsidR="00D01307">
        <w:t xml:space="preserve">their </w:t>
      </w:r>
      <w:r>
        <w:t>peers</w:t>
      </w:r>
      <w:r w:rsidR="005F395A">
        <w:t>.</w:t>
      </w:r>
      <w:r w:rsidR="002505A1">
        <w:t xml:space="preserve"> </w:t>
      </w:r>
    </w:p>
    <w:p w14:paraId="59E78FDF" w14:textId="4F14FAFA" w:rsidR="00A50A5D" w:rsidRPr="00FD2410" w:rsidRDefault="00D01307" w:rsidP="00A50D17">
      <w:pPr>
        <w:pStyle w:val="ListParagraph"/>
        <w:numPr>
          <w:ilvl w:val="6"/>
          <w:numId w:val="59"/>
        </w:numPr>
        <w:tabs>
          <w:tab w:val="left" w:pos="360"/>
          <w:tab w:val="left" w:pos="720"/>
          <w:tab w:val="left" w:pos="1080"/>
          <w:tab w:val="left" w:pos="1440"/>
          <w:tab w:val="left" w:pos="1800"/>
          <w:tab w:val="left" w:pos="2160"/>
        </w:tabs>
        <w:ind w:left="1080"/>
        <w:contextualSpacing w:val="0"/>
      </w:pPr>
      <w:r>
        <w:t>The frequency</w:t>
      </w:r>
      <w:r w:rsidR="00682109">
        <w:t xml:space="preserve"> </w:t>
      </w:r>
      <w:r w:rsidR="002505A1">
        <w:t>varies by schoo</w:t>
      </w:r>
      <w:r w:rsidR="00F5359F">
        <w:t>l</w:t>
      </w:r>
      <w:r w:rsidR="00682109">
        <w:t>.</w:t>
      </w:r>
      <w:r w:rsidR="00F5359F">
        <w:t xml:space="preserve">  </w:t>
      </w:r>
      <w:r w:rsidR="005240FD">
        <w:t>For example,</w:t>
      </w:r>
      <w:r w:rsidR="002B4F53">
        <w:t xml:space="preserve"> </w:t>
      </w:r>
      <w:r w:rsidR="00772B97">
        <w:t>collaborati</w:t>
      </w:r>
      <w:r w:rsidR="005240FD">
        <w:t>on</w:t>
      </w:r>
      <w:r w:rsidR="00772B97">
        <w:t xml:space="preserve"> time </w:t>
      </w:r>
      <w:r w:rsidR="00837281">
        <w:t>occurs</w:t>
      </w:r>
      <w:r w:rsidR="002B4F53">
        <w:t xml:space="preserve"> almost daily</w:t>
      </w:r>
      <w:r w:rsidR="005240FD">
        <w:t xml:space="preserve"> at the Tier </w:t>
      </w:r>
      <w:r w:rsidR="001F20EA">
        <w:t>3</w:t>
      </w:r>
      <w:r w:rsidR="005240FD">
        <w:t xml:space="preserve"> schools</w:t>
      </w:r>
      <w:r w:rsidR="002B4F53">
        <w:t xml:space="preserve"> and</w:t>
      </w:r>
      <w:r>
        <w:t xml:space="preserve"> only </w:t>
      </w:r>
      <w:r w:rsidR="00682109">
        <w:t xml:space="preserve">one hour </w:t>
      </w:r>
      <w:r w:rsidR="002B4F53">
        <w:t>month</w:t>
      </w:r>
      <w:r w:rsidR="00682109">
        <w:t>ly</w:t>
      </w:r>
      <w:r w:rsidR="002B4F53">
        <w:t xml:space="preserve"> </w:t>
      </w:r>
      <w:r w:rsidR="005240FD">
        <w:t>at the high school</w:t>
      </w:r>
      <w:r w:rsidR="00B405E9">
        <w:t>.</w:t>
      </w:r>
    </w:p>
    <w:p w14:paraId="70AFDF7B" w14:textId="1A3A98B9" w:rsidR="00A50A5D" w:rsidRDefault="00F10033" w:rsidP="00AE0417">
      <w:pPr>
        <w:tabs>
          <w:tab w:val="left" w:pos="0"/>
          <w:tab w:val="left" w:pos="360"/>
          <w:tab w:val="left" w:pos="720"/>
          <w:tab w:val="left" w:pos="1440"/>
          <w:tab w:val="left" w:pos="1800"/>
          <w:tab w:val="left" w:pos="2160"/>
        </w:tabs>
      </w:pPr>
      <w:r w:rsidRPr="00F10033">
        <w:rPr>
          <w:b/>
        </w:rPr>
        <w:t>Impact:</w:t>
      </w:r>
      <w:r w:rsidR="00A50A5D" w:rsidRPr="00F10033">
        <w:rPr>
          <w:b/>
        </w:rPr>
        <w:tab/>
      </w:r>
      <w:r>
        <w:rPr>
          <w:b/>
        </w:rPr>
        <w:t xml:space="preserve"> </w:t>
      </w:r>
      <w:r>
        <w:t>By instituting a distributed leadership model with leadership delegated at the district and school levels to support multiple decision-making groups at the school level, the district has created an interdependent and collaborative approach to improve teaching, learning</w:t>
      </w:r>
      <w:r w:rsidR="0008170D">
        <w:t>,</w:t>
      </w:r>
      <w:r>
        <w:t xml:space="preserve"> and the curriculum.    </w:t>
      </w:r>
    </w:p>
    <w:p w14:paraId="79D66830" w14:textId="77777777" w:rsidR="008D5152" w:rsidRDefault="008D5152" w:rsidP="000464AC">
      <w:pPr>
        <w:tabs>
          <w:tab w:val="left" w:pos="360"/>
          <w:tab w:val="left" w:pos="720"/>
          <w:tab w:val="left" w:pos="1080"/>
          <w:tab w:val="left" w:pos="1440"/>
          <w:tab w:val="left" w:pos="1800"/>
          <w:tab w:val="left" w:pos="2160"/>
        </w:tabs>
        <w:rPr>
          <w:b/>
          <w:sz w:val="28"/>
          <w:szCs w:val="28"/>
        </w:rPr>
      </w:pPr>
    </w:p>
    <w:p w14:paraId="4255306A" w14:textId="0BBD579A" w:rsidR="000464AC" w:rsidRDefault="000464AC" w:rsidP="000464AC">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592F2527" w14:textId="11850DA9" w:rsidR="000464AC" w:rsidRPr="00EC5B5A" w:rsidRDefault="00712744" w:rsidP="00EC5B5A">
      <w:pPr>
        <w:tabs>
          <w:tab w:val="left" w:pos="360"/>
          <w:tab w:val="left" w:pos="720"/>
          <w:tab w:val="left" w:pos="1080"/>
          <w:tab w:val="left" w:pos="1440"/>
          <w:tab w:val="left" w:pos="1800"/>
        </w:tabs>
        <w:ind w:left="360" w:hanging="360"/>
        <w:rPr>
          <w:b/>
        </w:rPr>
      </w:pPr>
      <w:r>
        <w:rPr>
          <w:b/>
        </w:rPr>
        <w:t>3</w:t>
      </w:r>
      <w:r w:rsidR="00C85626">
        <w:rPr>
          <w:b/>
        </w:rPr>
        <w:t>.</w:t>
      </w:r>
      <w:r w:rsidR="00C85626">
        <w:rPr>
          <w:b/>
        </w:rPr>
        <w:tab/>
      </w:r>
      <w:r w:rsidR="000464AC" w:rsidRPr="00EC5B5A">
        <w:rPr>
          <w:b/>
        </w:rPr>
        <w:t>In observed classrooms, the quality of instruction was inconsistent across school levels, with overall stronger practices observed K</w:t>
      </w:r>
      <w:r w:rsidR="00DD1E61">
        <w:rPr>
          <w:b/>
        </w:rPr>
        <w:t>–</w:t>
      </w:r>
      <w:r w:rsidR="00C85626">
        <w:rPr>
          <w:b/>
        </w:rPr>
        <w:softHyphen/>
      </w:r>
      <w:r w:rsidR="00C2351B" w:rsidRPr="00EC5B5A">
        <w:rPr>
          <w:b/>
        </w:rPr>
        <w:softHyphen/>
      </w:r>
      <w:r w:rsidR="000464AC" w:rsidRPr="00EC5B5A">
        <w:rPr>
          <w:b/>
        </w:rPr>
        <w:t xml:space="preserve">8.  </w:t>
      </w:r>
      <w:r w:rsidR="000E28D7" w:rsidRPr="00EC5B5A">
        <w:rPr>
          <w:b/>
        </w:rPr>
        <w:t xml:space="preserve">In fewer </w:t>
      </w:r>
      <w:r w:rsidR="000464AC" w:rsidRPr="00EC5B5A">
        <w:rPr>
          <w:b/>
        </w:rPr>
        <w:t xml:space="preserve">than half of </w:t>
      </w:r>
      <w:r w:rsidR="000E28D7" w:rsidRPr="00EC5B5A">
        <w:rPr>
          <w:b/>
        </w:rPr>
        <w:t xml:space="preserve">observed </w:t>
      </w:r>
      <w:r w:rsidR="000464AC" w:rsidRPr="00EC5B5A">
        <w:rPr>
          <w:b/>
        </w:rPr>
        <w:t xml:space="preserve">elementary and </w:t>
      </w:r>
      <w:r w:rsidR="000E28D7" w:rsidRPr="00EC5B5A">
        <w:rPr>
          <w:b/>
        </w:rPr>
        <w:t>high-</w:t>
      </w:r>
      <w:r w:rsidR="000464AC" w:rsidRPr="00EC5B5A">
        <w:rPr>
          <w:b/>
        </w:rPr>
        <w:t xml:space="preserve">school </w:t>
      </w:r>
      <w:r w:rsidR="000E28D7" w:rsidRPr="00EC5B5A">
        <w:rPr>
          <w:b/>
        </w:rPr>
        <w:t xml:space="preserve">classrooms, team members saw </w:t>
      </w:r>
      <w:r w:rsidR="000464AC" w:rsidRPr="00EC5B5A">
        <w:rPr>
          <w:b/>
        </w:rPr>
        <w:t xml:space="preserve">sufficient </w:t>
      </w:r>
      <w:r w:rsidR="000E28D7" w:rsidRPr="00EC5B5A">
        <w:rPr>
          <w:b/>
        </w:rPr>
        <w:t xml:space="preserve">and </w:t>
      </w:r>
      <w:r w:rsidR="000464AC" w:rsidRPr="00EC5B5A">
        <w:rPr>
          <w:b/>
        </w:rPr>
        <w:t>compelling evidence of student engagement and rigor/</w:t>
      </w:r>
      <w:r w:rsidR="000E28D7" w:rsidRPr="00EC5B5A">
        <w:rPr>
          <w:b/>
        </w:rPr>
        <w:t>higher-</w:t>
      </w:r>
      <w:r w:rsidR="000464AC" w:rsidRPr="00EC5B5A">
        <w:rPr>
          <w:b/>
        </w:rPr>
        <w:t>order thinking</w:t>
      </w:r>
      <w:r w:rsidR="00544983" w:rsidRPr="00EC5B5A">
        <w:rPr>
          <w:b/>
        </w:rPr>
        <w:t>,</w:t>
      </w:r>
      <w:r w:rsidR="000464AC" w:rsidRPr="00EC5B5A">
        <w:rPr>
          <w:b/>
        </w:rPr>
        <w:t xml:space="preserve"> </w:t>
      </w:r>
      <w:r w:rsidR="00544983" w:rsidRPr="00EC5B5A">
        <w:rPr>
          <w:b/>
        </w:rPr>
        <w:t>both of which are</w:t>
      </w:r>
      <w:r w:rsidR="000464AC" w:rsidRPr="00EC5B5A">
        <w:rPr>
          <w:b/>
        </w:rPr>
        <w:t xml:space="preserve"> </w:t>
      </w:r>
      <w:r w:rsidR="00544983" w:rsidRPr="00EC5B5A">
        <w:rPr>
          <w:b/>
        </w:rPr>
        <w:t xml:space="preserve">district </w:t>
      </w:r>
      <w:r w:rsidR="000464AC" w:rsidRPr="00EC5B5A">
        <w:rPr>
          <w:b/>
        </w:rPr>
        <w:t xml:space="preserve">instructional priorities. </w:t>
      </w:r>
    </w:p>
    <w:p w14:paraId="00B1306C" w14:textId="4F485946" w:rsidR="000464AC" w:rsidRPr="006B1274" w:rsidRDefault="000464AC" w:rsidP="000464AC">
      <w:pPr>
        <w:pStyle w:val="ListParagraph"/>
        <w:numPr>
          <w:ilvl w:val="0"/>
          <w:numId w:val="10"/>
        </w:numPr>
        <w:tabs>
          <w:tab w:val="left" w:pos="360"/>
          <w:tab w:val="left" w:pos="720"/>
          <w:tab w:val="left" w:pos="1080"/>
          <w:tab w:val="left" w:pos="1440"/>
          <w:tab w:val="left" w:pos="1800"/>
          <w:tab w:val="left" w:pos="2160"/>
        </w:tabs>
        <w:ind w:left="720"/>
        <w:contextualSpacing w:val="0"/>
        <w:rPr>
          <w:b/>
        </w:rPr>
      </w:pPr>
      <w:r w:rsidRPr="006B1274">
        <w:rPr>
          <w:b/>
        </w:rPr>
        <w:t>Focus Area #1: Lesson Objectives and Expectations</w:t>
      </w:r>
      <w:r w:rsidR="00DD1E61">
        <w:rPr>
          <w:b/>
        </w:rPr>
        <w:t xml:space="preserve">  </w:t>
      </w:r>
      <w:r>
        <w:t xml:space="preserve">The quality of instruction in elementary and </w:t>
      </w:r>
      <w:r w:rsidR="00565D43">
        <w:t>middle-</w:t>
      </w:r>
      <w:r>
        <w:t xml:space="preserve">school </w:t>
      </w:r>
      <w:r w:rsidR="00565D43">
        <w:t xml:space="preserve">classes </w:t>
      </w:r>
      <w:r>
        <w:t xml:space="preserve">was stronger than in </w:t>
      </w:r>
      <w:r w:rsidR="003E2F72">
        <w:t xml:space="preserve">grades </w:t>
      </w:r>
      <w:r>
        <w:t>9</w:t>
      </w:r>
      <w:r w:rsidR="00B45BF2">
        <w:t>–</w:t>
      </w:r>
      <w:r>
        <w:t xml:space="preserve">12 for characteristics </w:t>
      </w:r>
      <w:r w:rsidR="00712744">
        <w:t xml:space="preserve">related to how teachers establish, communicate, and assess progress toward lesson objectives. </w:t>
      </w:r>
      <w:r>
        <w:t xml:space="preserve"> Elementary and </w:t>
      </w:r>
      <w:r w:rsidR="00565D43">
        <w:t>middle-</w:t>
      </w:r>
      <w:r>
        <w:t xml:space="preserve">school teachers often explained lesson content fluently, provided students with clear lesson objectives that students understood and often could explain to observers, and engaged students in appropriate activities linked to those objectives.  </w:t>
      </w:r>
      <w:r w:rsidR="00565D43">
        <w:t>Middle-</w:t>
      </w:r>
      <w:r>
        <w:t>school students</w:t>
      </w:r>
      <w:proofErr w:type="gramStart"/>
      <w:r>
        <w:t>, in particular, benefitted</w:t>
      </w:r>
      <w:proofErr w:type="gramEnd"/>
      <w:r>
        <w:t xml:space="preserve"> from frequent checks for understanding, although feedback and adjustments to teaching were infrequent. </w:t>
      </w:r>
    </w:p>
    <w:p w14:paraId="289B5E40" w14:textId="2184E95C" w:rsidR="000464AC" w:rsidRPr="00C30A3B" w:rsidRDefault="000464AC" w:rsidP="00565D43">
      <w:pPr>
        <w:pStyle w:val="ListParagraph"/>
        <w:numPr>
          <w:ilvl w:val="0"/>
          <w:numId w:val="11"/>
        </w:numPr>
        <w:tabs>
          <w:tab w:val="left" w:pos="360"/>
          <w:tab w:val="left" w:pos="720"/>
          <w:tab w:val="left" w:pos="1080"/>
          <w:tab w:val="left" w:pos="1440"/>
          <w:tab w:val="left" w:pos="1800"/>
          <w:tab w:val="left" w:pos="2160"/>
          <w:tab w:val="left" w:pos="2520"/>
        </w:tabs>
        <w:ind w:left="1080"/>
        <w:contextualSpacing w:val="0"/>
      </w:pPr>
      <w:r>
        <w:lastRenderedPageBreak/>
        <w:t xml:space="preserve">In observed </w:t>
      </w:r>
      <w:r w:rsidR="00565D43">
        <w:t>classrooms</w:t>
      </w:r>
      <w:r>
        <w:t xml:space="preserve">, the review team saw sufficient and compelling evidence that teachers demonstrated knowledge of subject matter by explaining lesson content and responding to students’ questions or misconceptions (characteristic #1) in 83 percent of </w:t>
      </w:r>
      <w:r w:rsidR="00565D43">
        <w:t>middle-</w:t>
      </w:r>
      <w:r>
        <w:t xml:space="preserve">school </w:t>
      </w:r>
      <w:r w:rsidR="00565D43">
        <w:t>classes</w:t>
      </w:r>
      <w:r>
        <w:t xml:space="preserve">, in 76 percent of elementary </w:t>
      </w:r>
      <w:r w:rsidR="00565D43">
        <w:t>classes</w:t>
      </w:r>
      <w:r>
        <w:t xml:space="preserve">, and in 58 percent of </w:t>
      </w:r>
      <w:r w:rsidR="00565D43">
        <w:t>high-</w:t>
      </w:r>
      <w:r>
        <w:t xml:space="preserve">school </w:t>
      </w:r>
      <w:r w:rsidR="00565D43">
        <w:t>classes.</w:t>
      </w:r>
      <w:r>
        <w:t xml:space="preserve">  </w:t>
      </w:r>
    </w:p>
    <w:p w14:paraId="6B7B8DDF" w14:textId="47F9E2E6" w:rsidR="000464AC" w:rsidRDefault="00280C16" w:rsidP="000464AC">
      <w:pPr>
        <w:pStyle w:val="ListParagraph"/>
        <w:numPr>
          <w:ilvl w:val="1"/>
          <w:numId w:val="11"/>
        </w:numPr>
        <w:tabs>
          <w:tab w:val="left" w:pos="360"/>
          <w:tab w:val="left" w:pos="720"/>
          <w:tab w:val="left" w:pos="1080"/>
          <w:tab w:val="left" w:pos="1440"/>
          <w:tab w:val="left" w:pos="2160"/>
        </w:tabs>
        <w:ind w:left="1440"/>
        <w:contextualSpacing w:val="0"/>
      </w:pPr>
      <w:r>
        <w:t>A</w:t>
      </w:r>
      <w:r w:rsidR="000464AC">
        <w:t xml:space="preserve">n </w:t>
      </w:r>
      <w:r w:rsidR="00C96A33">
        <w:t xml:space="preserve">effective </w:t>
      </w:r>
      <w:r>
        <w:t xml:space="preserve">example was an </w:t>
      </w:r>
      <w:r w:rsidR="000464AC">
        <w:t xml:space="preserve">elementary ELA lesson on historical fiction where the teacher was reading and discussing selections from Lois Lowry’s book about the </w:t>
      </w:r>
      <w:r w:rsidR="003E2F72">
        <w:t>Holocaust</w:t>
      </w:r>
      <w:r w:rsidR="00544983">
        <w:t xml:space="preserve"> and WW II, </w:t>
      </w:r>
      <w:r w:rsidR="00544983" w:rsidRPr="00AE0417">
        <w:rPr>
          <w:i/>
        </w:rPr>
        <w:t>Number the Stars</w:t>
      </w:r>
      <w:r w:rsidR="00C96A33">
        <w:t>. The teacher helped s</w:t>
      </w:r>
      <w:r w:rsidR="000464AC">
        <w:t>tudents underst</w:t>
      </w:r>
      <w:r w:rsidR="00C96A33">
        <w:t>and</w:t>
      </w:r>
      <w:r w:rsidR="000464AC">
        <w:t xml:space="preserve"> how the historical context could help them understand characters’ actions, thoughts, words</w:t>
      </w:r>
      <w:r w:rsidR="00956544">
        <w:t>,</w:t>
      </w:r>
      <w:r w:rsidR="000464AC">
        <w:t xml:space="preserve"> and feelings. </w:t>
      </w:r>
    </w:p>
    <w:p w14:paraId="7DFE9A6F" w14:textId="6E9218F2" w:rsidR="000464AC" w:rsidRDefault="000464AC" w:rsidP="000464AC">
      <w:pPr>
        <w:pStyle w:val="ListParagraph"/>
        <w:numPr>
          <w:ilvl w:val="1"/>
          <w:numId w:val="11"/>
        </w:numPr>
        <w:tabs>
          <w:tab w:val="left" w:pos="360"/>
          <w:tab w:val="left" w:pos="720"/>
          <w:tab w:val="left" w:pos="1080"/>
          <w:tab w:val="left" w:pos="1440"/>
          <w:tab w:val="left" w:pos="2160"/>
        </w:tabs>
        <w:ind w:left="1440"/>
        <w:contextualSpacing w:val="0"/>
      </w:pPr>
      <w:r>
        <w:t xml:space="preserve">In a </w:t>
      </w:r>
      <w:r w:rsidR="00565D43">
        <w:t>middle-</w:t>
      </w:r>
      <w:r>
        <w:t>school science lesson on acceleration, the teacher gave a detailed explanation of a lesson to find the average speed of a bicycle trip.</w:t>
      </w:r>
    </w:p>
    <w:p w14:paraId="00DA13AE" w14:textId="1BBE31A1" w:rsidR="00B45BF2" w:rsidRDefault="00B45BF2" w:rsidP="000464AC">
      <w:pPr>
        <w:pStyle w:val="ListParagraph"/>
        <w:numPr>
          <w:ilvl w:val="1"/>
          <w:numId w:val="11"/>
        </w:numPr>
        <w:tabs>
          <w:tab w:val="left" w:pos="360"/>
          <w:tab w:val="left" w:pos="720"/>
          <w:tab w:val="left" w:pos="1080"/>
          <w:tab w:val="left" w:pos="1440"/>
          <w:tab w:val="left" w:pos="2160"/>
        </w:tabs>
        <w:ind w:left="1440"/>
        <w:contextualSpacing w:val="0"/>
      </w:pPr>
      <w:r>
        <w:t xml:space="preserve">In contrast, </w:t>
      </w:r>
      <w:r w:rsidR="006A58BC">
        <w:t>in a grade 2 math lesson, the teacher explained the content with limited fluency.</w:t>
      </w:r>
      <w:r w:rsidR="00C96A33" w:rsidDel="00C96A33">
        <w:t xml:space="preserve"> </w:t>
      </w:r>
    </w:p>
    <w:p w14:paraId="2B7784A5" w14:textId="090B0D3F" w:rsidR="000464AC" w:rsidRDefault="000464AC" w:rsidP="00406A80">
      <w:pPr>
        <w:pStyle w:val="ListParagraph"/>
        <w:numPr>
          <w:ilvl w:val="0"/>
          <w:numId w:val="11"/>
        </w:numPr>
        <w:tabs>
          <w:tab w:val="left" w:pos="360"/>
          <w:tab w:val="left" w:pos="720"/>
          <w:tab w:val="left" w:pos="1080"/>
          <w:tab w:val="left" w:pos="1440"/>
          <w:tab w:val="left" w:pos="1800"/>
          <w:tab w:val="left" w:pos="2160"/>
          <w:tab w:val="left" w:pos="2520"/>
        </w:tabs>
        <w:ind w:left="1080"/>
        <w:contextualSpacing w:val="0"/>
      </w:pPr>
      <w:r>
        <w:t xml:space="preserve">Observers saw sufficient </w:t>
      </w:r>
      <w:r w:rsidR="00A24563">
        <w:t xml:space="preserve">and </w:t>
      </w:r>
      <w:r>
        <w:t xml:space="preserve">compelling evidence that students understood what they should be learning and why (characteristic #2) in 89 percent of </w:t>
      </w:r>
      <w:r w:rsidR="00A24563">
        <w:t>middle-</w:t>
      </w:r>
      <w:r>
        <w:t xml:space="preserve">school </w:t>
      </w:r>
      <w:r w:rsidR="00A24563">
        <w:t>classrooms</w:t>
      </w:r>
      <w:r>
        <w:t>, in 66 percent of elementary</w:t>
      </w:r>
      <w:r w:rsidR="00A24563">
        <w:t xml:space="preserve"> classrooms</w:t>
      </w:r>
      <w:r>
        <w:t xml:space="preserve"> and in 46 percent of high</w:t>
      </w:r>
      <w:r w:rsidR="00A24563">
        <w:t>-</w:t>
      </w:r>
      <w:r>
        <w:t xml:space="preserve">school </w:t>
      </w:r>
      <w:r w:rsidR="00A24563">
        <w:t>classrooms</w:t>
      </w:r>
      <w:r>
        <w:t>.</w:t>
      </w:r>
    </w:p>
    <w:p w14:paraId="23286C35" w14:textId="52B00F34" w:rsidR="000464AC" w:rsidRDefault="000464AC"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In an elementary ELA lesson on primary and secondary sources, students sat in a circle and the teacher engaged them in a</w:t>
      </w:r>
      <w:r w:rsidR="00A54FBB">
        <w:t>n effective</w:t>
      </w:r>
      <w:r>
        <w:t xml:space="preserve"> </w:t>
      </w:r>
      <w:r w:rsidR="00CE1BD6">
        <w:t>question and answer</w:t>
      </w:r>
      <w:r>
        <w:t xml:space="preserve"> session about sources. </w:t>
      </w:r>
    </w:p>
    <w:p w14:paraId="60CC04EB" w14:textId="6A82A5C2" w:rsidR="000464AC" w:rsidRDefault="00A54FBB"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In contrast, a</w:t>
      </w:r>
      <w:r w:rsidR="000464AC">
        <w:t xml:space="preserve">t the beginning of a </w:t>
      </w:r>
      <w:r w:rsidR="00A24563">
        <w:t>high-</w:t>
      </w:r>
      <w:r w:rsidR="000464AC">
        <w:t xml:space="preserve">school English lesson, there was no explanation of the focus or objective of a vocabulary lesson.  The teacher </w:t>
      </w:r>
      <w:r w:rsidR="00A24563">
        <w:t>began</w:t>
      </w:r>
      <w:r w:rsidR="000464AC">
        <w:t xml:space="preserve"> a</w:t>
      </w:r>
      <w:r w:rsidR="00A24563">
        <w:t>n</w:t>
      </w:r>
      <w:r w:rsidR="000464AC">
        <w:t xml:space="preserve"> </w:t>
      </w:r>
      <w:r w:rsidR="00A24563">
        <w:t>interactive white</w:t>
      </w:r>
      <w:r w:rsidR="000464AC">
        <w:t xml:space="preserve">board and worksheet exercise and the </w:t>
      </w:r>
      <w:proofErr w:type="gramStart"/>
      <w:r w:rsidR="000464AC">
        <w:t>teacher</w:t>
      </w:r>
      <w:proofErr w:type="gramEnd"/>
      <w:r w:rsidR="000464AC">
        <w:t xml:space="preserve"> or a student offered an answer</w:t>
      </w:r>
      <w:r w:rsidR="00611855">
        <w:t>,</w:t>
      </w:r>
      <w:r w:rsidR="000464AC">
        <w:t xml:space="preserve"> while the other students copied the answers on their worksheet</w:t>
      </w:r>
      <w:r w:rsidR="00CE1BD6">
        <w:t>s</w:t>
      </w:r>
      <w:r w:rsidR="000464AC">
        <w:t xml:space="preserve">. </w:t>
      </w:r>
    </w:p>
    <w:p w14:paraId="0DE59925" w14:textId="7D91585E" w:rsidR="000464AC" w:rsidRDefault="000464AC" w:rsidP="00EC5B5A">
      <w:pPr>
        <w:pStyle w:val="ListParagraph"/>
        <w:numPr>
          <w:ilvl w:val="0"/>
          <w:numId w:val="11"/>
        </w:numPr>
        <w:tabs>
          <w:tab w:val="left" w:pos="360"/>
          <w:tab w:val="left" w:pos="720"/>
          <w:tab w:val="left" w:pos="1080"/>
          <w:tab w:val="left" w:pos="1440"/>
        </w:tabs>
        <w:ind w:left="1080"/>
        <w:contextualSpacing w:val="0"/>
      </w:pPr>
      <w:r>
        <w:t xml:space="preserve">There was sufficient </w:t>
      </w:r>
      <w:r w:rsidR="00A24563">
        <w:t xml:space="preserve">and </w:t>
      </w:r>
      <w:r>
        <w:t xml:space="preserve">compelling evidence that classroom activities were well matched to learning objectives in both content and cognitive demand (characteristic #3) in 74 percent of observed elementary </w:t>
      </w:r>
      <w:r w:rsidR="00A24563">
        <w:t>classes</w:t>
      </w:r>
      <w:r>
        <w:t xml:space="preserve">, in 73 percent of </w:t>
      </w:r>
      <w:r w:rsidR="00A24563">
        <w:t>middle-</w:t>
      </w:r>
      <w:r>
        <w:t xml:space="preserve">school </w:t>
      </w:r>
      <w:r w:rsidR="00A24563">
        <w:t>classes,</w:t>
      </w:r>
      <w:r>
        <w:t xml:space="preserve"> and in </w:t>
      </w:r>
      <w:r w:rsidR="00A07B67">
        <w:t xml:space="preserve">only </w:t>
      </w:r>
      <w:r>
        <w:t xml:space="preserve">34 percent of </w:t>
      </w:r>
      <w:r w:rsidR="00A24563">
        <w:t>high-</w:t>
      </w:r>
      <w:r>
        <w:t xml:space="preserve">school </w:t>
      </w:r>
      <w:r w:rsidR="00A24563">
        <w:t>classes</w:t>
      </w:r>
      <w:r>
        <w:t>.</w:t>
      </w:r>
    </w:p>
    <w:p w14:paraId="3C30D7E4" w14:textId="311DED20" w:rsidR="000464AC" w:rsidRDefault="000464AC"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 xml:space="preserve">In a positive example, </w:t>
      </w:r>
      <w:r w:rsidR="00611855">
        <w:t xml:space="preserve">using guiding questions, </w:t>
      </w:r>
      <w:r>
        <w:t xml:space="preserve">students in a grade 12 English class were developing drafts of research papers on topics of their choice </w:t>
      </w:r>
      <w:r w:rsidR="00611855">
        <w:t>on their Chromebooks</w:t>
      </w:r>
      <w:r>
        <w:t xml:space="preserve">.  The teacher circulated </w:t>
      </w:r>
      <w:r w:rsidR="00611855">
        <w:t>among the</w:t>
      </w:r>
      <w:r>
        <w:t xml:space="preserve"> student</w:t>
      </w:r>
      <w:r w:rsidR="00611855">
        <w:t>s</w:t>
      </w:r>
      <w:r>
        <w:t xml:space="preserve">, </w:t>
      </w:r>
      <w:proofErr w:type="gramStart"/>
      <w:r>
        <w:t>discussing</w:t>
      </w:r>
      <w:proofErr w:type="gramEnd"/>
      <w:r>
        <w:t xml:space="preserve"> and checking their work </w:t>
      </w:r>
      <w:r w:rsidR="00611855">
        <w:t xml:space="preserve">and posing </w:t>
      </w:r>
      <w:r>
        <w:t xml:space="preserve">questions. </w:t>
      </w:r>
    </w:p>
    <w:p w14:paraId="38D70930" w14:textId="2C5E84A4" w:rsidR="000464AC" w:rsidRDefault="000464AC"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 xml:space="preserve">In a missed opportunity, in another </w:t>
      </w:r>
      <w:r w:rsidR="00A24563">
        <w:t>high-</w:t>
      </w:r>
      <w:r>
        <w:t>school English class, the lesson was overly teacher</w:t>
      </w:r>
      <w:r w:rsidR="00552DC1">
        <w:t xml:space="preserve"> </w:t>
      </w:r>
      <w:r>
        <w:t xml:space="preserve">centered.  The teacher used a </w:t>
      </w:r>
      <w:r w:rsidR="00CE1BD6">
        <w:t>question and answer</w:t>
      </w:r>
      <w:r>
        <w:t xml:space="preserve"> format and one student answered almost all the questions while others copied the teacher’s notes </w:t>
      </w:r>
      <w:r w:rsidR="00611855">
        <w:t xml:space="preserve">from </w:t>
      </w:r>
      <w:r>
        <w:t xml:space="preserve">the </w:t>
      </w:r>
      <w:r w:rsidR="00A24563">
        <w:t xml:space="preserve">interactive </w:t>
      </w:r>
      <w:r>
        <w:t xml:space="preserve">whiteboard. </w:t>
      </w:r>
    </w:p>
    <w:p w14:paraId="2C885B98" w14:textId="66AF4B09" w:rsidR="000464AC" w:rsidRDefault="000464AC" w:rsidP="00565D43">
      <w:pPr>
        <w:pStyle w:val="ListParagraph"/>
        <w:numPr>
          <w:ilvl w:val="0"/>
          <w:numId w:val="11"/>
        </w:numPr>
        <w:tabs>
          <w:tab w:val="left" w:pos="360"/>
          <w:tab w:val="left" w:pos="720"/>
          <w:tab w:val="left" w:pos="1080"/>
          <w:tab w:val="left" w:pos="1440"/>
          <w:tab w:val="left" w:pos="1800"/>
          <w:tab w:val="left" w:pos="2160"/>
        </w:tabs>
        <w:ind w:left="1080"/>
        <w:contextualSpacing w:val="0"/>
      </w:pPr>
      <w:r>
        <w:lastRenderedPageBreak/>
        <w:t xml:space="preserve">Review team members observed sufficient and compelling evidence that teachers frequently checked for understanding, provided feedback, and adjusted </w:t>
      </w:r>
      <w:r w:rsidR="00A24563">
        <w:t xml:space="preserve">instruction </w:t>
      </w:r>
      <w:r>
        <w:t xml:space="preserve">(characteristic #4) </w:t>
      </w:r>
      <w:r w:rsidR="00A24563">
        <w:t xml:space="preserve">in 55 percent of elementary-school classrooms, </w:t>
      </w:r>
      <w:r>
        <w:t xml:space="preserve">in 78 percent of </w:t>
      </w:r>
      <w:r w:rsidR="00A24563">
        <w:t>middle-</w:t>
      </w:r>
      <w:r>
        <w:t xml:space="preserve">school </w:t>
      </w:r>
      <w:r w:rsidR="00A24563">
        <w:t>classrooms</w:t>
      </w:r>
      <w:r>
        <w:t xml:space="preserve">, </w:t>
      </w:r>
      <w:r w:rsidR="00A24563">
        <w:t xml:space="preserve">and </w:t>
      </w:r>
      <w:r>
        <w:t xml:space="preserve">in 58 percent of </w:t>
      </w:r>
      <w:r w:rsidR="00A24563">
        <w:t>high-</w:t>
      </w:r>
      <w:r>
        <w:t xml:space="preserve">school </w:t>
      </w:r>
      <w:r w:rsidR="00A24563">
        <w:t>classrooms</w:t>
      </w:r>
      <w:r>
        <w:t>.</w:t>
      </w:r>
    </w:p>
    <w:p w14:paraId="062E91F1" w14:textId="641EC2CF" w:rsidR="000464AC" w:rsidRDefault="000464AC"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 xml:space="preserve">In elementary lessons, teachers used a variety of formative assessment strategies during lessons.  </w:t>
      </w:r>
      <w:r w:rsidR="00504BF6">
        <w:t>In one lesson</w:t>
      </w:r>
      <w:r w:rsidR="00F4107C">
        <w:t>,</w:t>
      </w:r>
      <w:r w:rsidR="00504BF6">
        <w:t xml:space="preserve"> </w:t>
      </w:r>
      <w:r w:rsidR="00CE1BD6">
        <w:t xml:space="preserve">the teacher asked students to express their </w:t>
      </w:r>
      <w:r w:rsidR="00E70BA4">
        <w:t xml:space="preserve">degree of </w:t>
      </w:r>
      <w:r w:rsidR="00CE1BD6">
        <w:t xml:space="preserve">understanding </w:t>
      </w:r>
      <w:r w:rsidR="00E70BA4">
        <w:t>by positioning their thumbs up or down.</w:t>
      </w:r>
      <w:r w:rsidR="00504BF6">
        <w:t xml:space="preserve"> </w:t>
      </w:r>
      <w:r w:rsidR="00E70BA4">
        <w:t xml:space="preserve">In </w:t>
      </w:r>
      <w:r w:rsidR="00504BF6">
        <w:t>another</w:t>
      </w:r>
      <w:r w:rsidR="00E70BA4">
        <w:t xml:space="preserve"> observed lesson</w:t>
      </w:r>
      <w:r w:rsidR="00504BF6">
        <w:t>, the teacher circulated to each working group and provided individualized support</w:t>
      </w:r>
      <w:r w:rsidR="00E70BA4">
        <w:t xml:space="preserve">. In a </w:t>
      </w:r>
      <w:r w:rsidR="00CE1BD6">
        <w:t>third observed lesson</w:t>
      </w:r>
      <w:r w:rsidR="00504BF6">
        <w:t xml:space="preserve">, </w:t>
      </w:r>
      <w:r w:rsidR="00CE1BD6">
        <w:t xml:space="preserve">the teacher </w:t>
      </w:r>
      <w:r w:rsidR="00E70BA4">
        <w:t>asked</w:t>
      </w:r>
      <w:r w:rsidR="00CE1BD6">
        <w:t xml:space="preserve"> </w:t>
      </w:r>
      <w:r w:rsidR="00504BF6">
        <w:t xml:space="preserve">students </w:t>
      </w:r>
      <w:r w:rsidR="00E70BA4">
        <w:t xml:space="preserve">to </w:t>
      </w:r>
      <w:r w:rsidR="00504BF6">
        <w:t xml:space="preserve">turn-and-talk to share </w:t>
      </w:r>
      <w:r w:rsidR="00CE1BD6">
        <w:t xml:space="preserve">their </w:t>
      </w:r>
      <w:r w:rsidR="00504BF6">
        <w:t xml:space="preserve">ideas </w:t>
      </w:r>
      <w:r w:rsidR="00CE1BD6">
        <w:t>and</w:t>
      </w:r>
      <w:r w:rsidR="00E70BA4">
        <w:t xml:space="preserve"> to demonstrate their understanding of a lesson on fractions by displaying their work on</w:t>
      </w:r>
      <w:r w:rsidR="00F4107C">
        <w:t xml:space="preserve"> individual mini-white</w:t>
      </w:r>
      <w:r w:rsidR="00504BF6">
        <w:t>boards</w:t>
      </w:r>
      <w:r w:rsidR="00E70BA4">
        <w:t>.</w:t>
      </w:r>
      <w:r w:rsidR="00504BF6">
        <w:t xml:space="preserve"> </w:t>
      </w:r>
    </w:p>
    <w:p w14:paraId="43A1751C" w14:textId="0EFC0FFB" w:rsidR="000464AC" w:rsidRDefault="000464AC"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 xml:space="preserve">In a </w:t>
      </w:r>
      <w:r w:rsidR="00CF35BF">
        <w:t>middle-</w:t>
      </w:r>
      <w:r>
        <w:t xml:space="preserve">school algebra lesson, a teacher and </w:t>
      </w:r>
      <w:r w:rsidR="00611855">
        <w:t xml:space="preserve">an </w:t>
      </w:r>
      <w:r>
        <w:t xml:space="preserve">aide continually </w:t>
      </w:r>
      <w:r w:rsidR="00E70BA4">
        <w:t>monitored</w:t>
      </w:r>
      <w:r>
        <w:t xml:space="preserve"> students </w:t>
      </w:r>
      <w:r w:rsidR="00611855">
        <w:t xml:space="preserve">completing </w:t>
      </w:r>
      <w:r>
        <w:t xml:space="preserve">a task in their seats.  At the end of the lesson, an exit ticket exercise </w:t>
      </w:r>
      <w:r w:rsidR="00E70BA4">
        <w:t xml:space="preserve">required </w:t>
      </w:r>
      <w:r>
        <w:t xml:space="preserve">students to demonstrate understanding. </w:t>
      </w:r>
    </w:p>
    <w:p w14:paraId="57D97E12" w14:textId="407CD3E3" w:rsidR="00D37CFD" w:rsidRDefault="00D37CFD" w:rsidP="000464AC">
      <w:pPr>
        <w:pStyle w:val="ListParagraph"/>
        <w:numPr>
          <w:ilvl w:val="1"/>
          <w:numId w:val="11"/>
        </w:numPr>
        <w:tabs>
          <w:tab w:val="left" w:pos="360"/>
          <w:tab w:val="left" w:pos="720"/>
          <w:tab w:val="left" w:pos="1080"/>
          <w:tab w:val="left" w:pos="1440"/>
          <w:tab w:val="left" w:pos="1800"/>
          <w:tab w:val="left" w:pos="2160"/>
        </w:tabs>
        <w:ind w:left="1440"/>
        <w:contextualSpacing w:val="0"/>
      </w:pPr>
      <w:r>
        <w:t>In</w:t>
      </w:r>
      <w:r w:rsidR="00522400">
        <w:t xml:space="preserve"> contrast, in</w:t>
      </w:r>
      <w:r>
        <w:t xml:space="preserve"> a grade 9 math class</w:t>
      </w:r>
      <w:r w:rsidR="00F00A97">
        <w:t>, the</w:t>
      </w:r>
      <w:r w:rsidR="00110B31">
        <w:t>y</w:t>
      </w:r>
      <w:r w:rsidR="00F00A97">
        <w:t xml:space="preserve"> </w:t>
      </w:r>
      <w:r>
        <w:t xml:space="preserve">did </w:t>
      </w:r>
      <w:r w:rsidR="00522400">
        <w:t xml:space="preserve">not ask questions or </w:t>
      </w:r>
      <w:r w:rsidR="00F00A97">
        <w:t>ask the class to express their degree of understanding</w:t>
      </w:r>
      <w:r w:rsidR="00522400">
        <w:t xml:space="preserve"> in any way</w:t>
      </w:r>
      <w:r>
        <w:t>.</w:t>
      </w:r>
    </w:p>
    <w:p w14:paraId="2416939B" w14:textId="25548901" w:rsidR="000464AC" w:rsidRPr="007143EA" w:rsidRDefault="000464AC" w:rsidP="000464AC">
      <w:pPr>
        <w:pStyle w:val="ListParagraph"/>
        <w:numPr>
          <w:ilvl w:val="0"/>
          <w:numId w:val="10"/>
        </w:numPr>
        <w:tabs>
          <w:tab w:val="left" w:pos="360"/>
          <w:tab w:val="left" w:pos="720"/>
          <w:tab w:val="left" w:pos="1080"/>
          <w:tab w:val="left" w:pos="1440"/>
          <w:tab w:val="left" w:pos="1800"/>
          <w:tab w:val="left" w:pos="2160"/>
        </w:tabs>
        <w:ind w:left="720"/>
        <w:contextualSpacing w:val="0"/>
        <w:rPr>
          <w:b/>
        </w:rPr>
      </w:pPr>
      <w:r w:rsidRPr="00263C2A">
        <w:rPr>
          <w:b/>
        </w:rPr>
        <w:t xml:space="preserve">Focus Area #2:  Student Engagement and </w:t>
      </w:r>
      <w:r w:rsidR="0064287E" w:rsidRPr="00263C2A">
        <w:rPr>
          <w:b/>
        </w:rPr>
        <w:t>Higher</w:t>
      </w:r>
      <w:r w:rsidR="0064287E">
        <w:rPr>
          <w:b/>
        </w:rPr>
        <w:t>-</w:t>
      </w:r>
      <w:r w:rsidRPr="00263C2A">
        <w:rPr>
          <w:b/>
        </w:rPr>
        <w:t xml:space="preserve">Order Thinking </w:t>
      </w:r>
      <w:r>
        <w:rPr>
          <w:b/>
        </w:rPr>
        <w:t xml:space="preserve"> </w:t>
      </w:r>
      <w:r>
        <w:t xml:space="preserve">This focus area emphasizes two district priorities: rigor or depth of knowledge (higher-order thinking) and active student engagement in lessons.  </w:t>
      </w:r>
      <w:r w:rsidR="00083CAB">
        <w:t xml:space="preserve"> The quality of instruction in elementary and middle-school classes was stronger than in grades 9–12 </w:t>
      </w:r>
      <w:r w:rsidR="00B02685">
        <w:t>in this area</w:t>
      </w:r>
      <w:r w:rsidR="00083CAB">
        <w:t>.</w:t>
      </w:r>
    </w:p>
    <w:p w14:paraId="11297262" w14:textId="7E241E01" w:rsidR="000464AC" w:rsidRPr="00C900C6" w:rsidRDefault="000464AC" w:rsidP="000464AC">
      <w:pPr>
        <w:pStyle w:val="ListParagraph"/>
        <w:numPr>
          <w:ilvl w:val="6"/>
          <w:numId w:val="12"/>
        </w:numPr>
        <w:tabs>
          <w:tab w:val="left" w:pos="360"/>
          <w:tab w:val="left" w:pos="720"/>
          <w:tab w:val="left" w:pos="1080"/>
          <w:tab w:val="left" w:pos="1440"/>
          <w:tab w:val="left" w:pos="1800"/>
        </w:tabs>
        <w:ind w:left="1080"/>
        <w:contextualSpacing w:val="0"/>
      </w:pPr>
      <w:r>
        <w:t>In observed lessons, review team members found sufficient</w:t>
      </w:r>
      <w:r w:rsidR="00F4107C">
        <w:t xml:space="preserve"> and</w:t>
      </w:r>
      <w:r>
        <w:t xml:space="preserve"> compelling evidence </w:t>
      </w:r>
      <w:r w:rsidR="00F4107C">
        <w:t xml:space="preserve">that </w:t>
      </w:r>
      <w:r>
        <w:t>student</w:t>
      </w:r>
      <w:r w:rsidR="00F4107C">
        <w:t>s</w:t>
      </w:r>
      <w:r>
        <w:t xml:space="preserve"> engage</w:t>
      </w:r>
      <w:r w:rsidR="00CC324A">
        <w:t>d</w:t>
      </w:r>
      <w:r>
        <w:t xml:space="preserve"> </w:t>
      </w:r>
      <w:r w:rsidR="00F4107C">
        <w:t xml:space="preserve">with the </w:t>
      </w:r>
      <w:r>
        <w:t xml:space="preserve">content and </w:t>
      </w:r>
      <w:r w:rsidR="002D135A">
        <w:t xml:space="preserve">lesson objectives </w:t>
      </w:r>
      <w:r>
        <w:t xml:space="preserve">and had opportunities to do the thinking in the </w:t>
      </w:r>
      <w:r w:rsidR="002D135A">
        <w:t xml:space="preserve">classroom </w:t>
      </w:r>
      <w:r>
        <w:t xml:space="preserve">(characteristic #5) </w:t>
      </w:r>
      <w:r w:rsidR="002D135A">
        <w:t xml:space="preserve">in 68 percent of elementary classrooms, </w:t>
      </w:r>
      <w:r>
        <w:t xml:space="preserve">in 84 percent of </w:t>
      </w:r>
      <w:r w:rsidR="002D135A">
        <w:t>middle-</w:t>
      </w:r>
      <w:r>
        <w:t xml:space="preserve">school </w:t>
      </w:r>
      <w:r w:rsidR="002D135A">
        <w:t>classrooms</w:t>
      </w:r>
      <w:r>
        <w:t xml:space="preserve">, and in </w:t>
      </w:r>
      <w:r w:rsidR="00A07B67">
        <w:t xml:space="preserve">just </w:t>
      </w:r>
      <w:r>
        <w:t xml:space="preserve">38 percent of </w:t>
      </w:r>
      <w:r w:rsidR="002D135A">
        <w:t>high-</w:t>
      </w:r>
      <w:r>
        <w:t xml:space="preserve">school </w:t>
      </w:r>
      <w:r w:rsidR="002D135A">
        <w:t>classrooms</w:t>
      </w:r>
      <w:r>
        <w:t xml:space="preserve">. </w:t>
      </w:r>
    </w:p>
    <w:p w14:paraId="7E15E19B" w14:textId="108C5489" w:rsidR="000464AC" w:rsidRDefault="000464AC" w:rsidP="000464AC">
      <w:pPr>
        <w:pStyle w:val="ListParagraph"/>
        <w:numPr>
          <w:ilvl w:val="7"/>
          <w:numId w:val="12"/>
        </w:numPr>
        <w:tabs>
          <w:tab w:val="left" w:pos="360"/>
          <w:tab w:val="left" w:pos="720"/>
          <w:tab w:val="left" w:pos="1080"/>
          <w:tab w:val="left" w:pos="1440"/>
          <w:tab w:val="left" w:pos="1800"/>
          <w:tab w:val="left" w:pos="2160"/>
        </w:tabs>
        <w:ind w:left="1440"/>
        <w:contextualSpacing w:val="0"/>
      </w:pPr>
      <w:r w:rsidRPr="00C900C6">
        <w:t>In</w:t>
      </w:r>
      <w:r>
        <w:t xml:space="preserve"> a </w:t>
      </w:r>
      <w:r w:rsidR="002D135A">
        <w:t>middle-</w:t>
      </w:r>
      <w:r>
        <w:t>school math</w:t>
      </w:r>
      <w:r w:rsidR="006D2A0F">
        <w:t>ematics</w:t>
      </w:r>
      <w:r>
        <w:t xml:space="preserve"> lesson on rational numbers, students worked in teams of three and </w:t>
      </w:r>
      <w:r w:rsidR="009658B9">
        <w:t xml:space="preserve">four </w:t>
      </w:r>
      <w:r>
        <w:t xml:space="preserve">to solve problems collaboratively. </w:t>
      </w:r>
    </w:p>
    <w:p w14:paraId="64E979DE" w14:textId="3718AC07" w:rsidR="009E5EA5" w:rsidRDefault="009E5EA5" w:rsidP="009E5EA5">
      <w:pPr>
        <w:pStyle w:val="ListParagraph"/>
        <w:numPr>
          <w:ilvl w:val="7"/>
          <w:numId w:val="12"/>
        </w:numPr>
        <w:tabs>
          <w:tab w:val="left" w:pos="360"/>
          <w:tab w:val="left" w:pos="720"/>
          <w:tab w:val="left" w:pos="1080"/>
          <w:tab w:val="left" w:pos="1440"/>
          <w:tab w:val="left" w:pos="1800"/>
          <w:tab w:val="left" w:pos="2160"/>
        </w:tabs>
        <w:ind w:left="1440"/>
        <w:contextualSpacing w:val="0"/>
      </w:pPr>
      <w:r>
        <w:t xml:space="preserve">In another positive example, small groups of students in a high-school English class were engaged in character analysis, sharing thoughtful observations or findings.  At the end of the task, one student from each group shared the group’s analysis with the entire class. </w:t>
      </w:r>
    </w:p>
    <w:p w14:paraId="287CE681" w14:textId="473CE595" w:rsidR="000464AC" w:rsidRDefault="000464AC" w:rsidP="000464AC">
      <w:pPr>
        <w:pStyle w:val="ListParagraph"/>
        <w:numPr>
          <w:ilvl w:val="7"/>
          <w:numId w:val="12"/>
        </w:numPr>
        <w:tabs>
          <w:tab w:val="left" w:pos="360"/>
          <w:tab w:val="left" w:pos="720"/>
          <w:tab w:val="left" w:pos="1080"/>
          <w:tab w:val="left" w:pos="1440"/>
          <w:tab w:val="left" w:pos="1800"/>
          <w:tab w:val="left" w:pos="2160"/>
        </w:tabs>
        <w:ind w:left="1440"/>
        <w:contextualSpacing w:val="0"/>
      </w:pPr>
      <w:r>
        <w:t xml:space="preserve">In many </w:t>
      </w:r>
      <w:r w:rsidR="002D135A">
        <w:t>high-</w:t>
      </w:r>
      <w:r>
        <w:t xml:space="preserve">school </w:t>
      </w:r>
      <w:r w:rsidR="002D135A">
        <w:t>classrooms</w:t>
      </w:r>
      <w:r>
        <w:t xml:space="preserve">, teachers’ voices </w:t>
      </w:r>
      <w:r w:rsidR="006D2A0F">
        <w:t xml:space="preserve">were </w:t>
      </w:r>
      <w:proofErr w:type="gramStart"/>
      <w:r w:rsidR="006D2A0F">
        <w:t>dominant</w:t>
      </w:r>
      <w:proofErr w:type="gramEnd"/>
      <w:r w:rsidR="006D2A0F">
        <w:t xml:space="preserve"> </w:t>
      </w:r>
      <w:r>
        <w:t xml:space="preserve">and students sat staring straight ahead with </w:t>
      </w:r>
      <w:r w:rsidR="006D2A0F">
        <w:t xml:space="preserve">their </w:t>
      </w:r>
      <w:r>
        <w:t xml:space="preserve">heads in </w:t>
      </w:r>
      <w:r w:rsidR="006D2A0F">
        <w:t xml:space="preserve">their </w:t>
      </w:r>
      <w:r>
        <w:t>hands</w:t>
      </w:r>
      <w:r w:rsidR="006D2A0F">
        <w:t xml:space="preserve">; </w:t>
      </w:r>
      <w:r>
        <w:t xml:space="preserve">in </w:t>
      </w:r>
      <w:r w:rsidR="00DC4079">
        <w:t>some instances,</w:t>
      </w:r>
      <w:r>
        <w:t xml:space="preserve"> </w:t>
      </w:r>
      <w:r w:rsidR="00CC324A">
        <w:t xml:space="preserve">they </w:t>
      </w:r>
      <w:r w:rsidR="006D2A0F">
        <w:t>appear</w:t>
      </w:r>
      <w:r w:rsidR="00CC324A">
        <w:t>ed</w:t>
      </w:r>
      <w:r w:rsidR="006D2A0F">
        <w:t xml:space="preserve"> to </w:t>
      </w:r>
      <w:r w:rsidR="00CC324A">
        <w:t>be completely disengaged from the lesson</w:t>
      </w:r>
      <w:r>
        <w:t xml:space="preserve">. </w:t>
      </w:r>
    </w:p>
    <w:p w14:paraId="53FBB48C" w14:textId="6BB059C8" w:rsidR="000464AC" w:rsidRDefault="000464AC" w:rsidP="000464AC">
      <w:pPr>
        <w:pStyle w:val="ListParagraph"/>
        <w:numPr>
          <w:ilvl w:val="6"/>
          <w:numId w:val="12"/>
        </w:numPr>
        <w:tabs>
          <w:tab w:val="left" w:pos="360"/>
          <w:tab w:val="left" w:pos="720"/>
          <w:tab w:val="left" w:pos="1080"/>
          <w:tab w:val="left" w:pos="1440"/>
          <w:tab w:val="left" w:pos="1800"/>
        </w:tabs>
        <w:ind w:left="1080"/>
        <w:contextualSpacing w:val="0"/>
      </w:pPr>
      <w:r>
        <w:t xml:space="preserve">The </w:t>
      </w:r>
      <w:r w:rsidR="00E91875">
        <w:t xml:space="preserve">review </w:t>
      </w:r>
      <w:r>
        <w:t>team found sufficient and compelling evidence that students were engaged in higher</w:t>
      </w:r>
      <w:r w:rsidR="00DC4079">
        <w:t>-</w:t>
      </w:r>
      <w:r>
        <w:t xml:space="preserve">order thinking such as analysis, synthesis, problem solving, evaluation, or the application of new knowledge (characteristic # 6) </w:t>
      </w:r>
      <w:r w:rsidR="002D135A">
        <w:t xml:space="preserve">in 43 percent of elementary-school </w:t>
      </w:r>
      <w:r w:rsidR="002D135A">
        <w:lastRenderedPageBreak/>
        <w:t xml:space="preserve">classrooms, </w:t>
      </w:r>
      <w:r>
        <w:t xml:space="preserve">in 45 percent of </w:t>
      </w:r>
      <w:r w:rsidR="002D135A">
        <w:t>middle-</w:t>
      </w:r>
      <w:r>
        <w:t xml:space="preserve">school </w:t>
      </w:r>
      <w:r w:rsidR="002D135A">
        <w:t>classrooms</w:t>
      </w:r>
      <w:r>
        <w:t xml:space="preserve">, and in 38 percent of </w:t>
      </w:r>
      <w:r w:rsidR="002D135A">
        <w:t>high-</w:t>
      </w:r>
      <w:r>
        <w:t xml:space="preserve">school </w:t>
      </w:r>
      <w:r w:rsidR="002D135A">
        <w:t>classrooms</w:t>
      </w:r>
      <w:r>
        <w:t>.</w:t>
      </w:r>
    </w:p>
    <w:p w14:paraId="7A4A4B21" w14:textId="6511DB24" w:rsidR="000464AC" w:rsidRDefault="000464AC" w:rsidP="000464AC">
      <w:pPr>
        <w:pStyle w:val="ListParagraph"/>
        <w:tabs>
          <w:tab w:val="left" w:pos="360"/>
          <w:tab w:val="left" w:pos="720"/>
          <w:tab w:val="left" w:pos="1080"/>
          <w:tab w:val="left" w:pos="1170"/>
          <w:tab w:val="left" w:pos="1800"/>
        </w:tabs>
        <w:ind w:left="1440" w:hanging="270"/>
        <w:contextualSpacing w:val="0"/>
      </w:pPr>
      <w:r>
        <w:t>a.  In a grade 3 poetry lesson, the teacher asked higher</w:t>
      </w:r>
      <w:r w:rsidR="00DC4079">
        <w:t>-</w:t>
      </w:r>
      <w:r>
        <w:t xml:space="preserve">order thinking questions that required students to explain their thinking </w:t>
      </w:r>
      <w:r w:rsidR="00E91875">
        <w:t>about</w:t>
      </w:r>
      <w:r>
        <w:t xml:space="preserve"> </w:t>
      </w:r>
      <w:r w:rsidR="00E91875">
        <w:t xml:space="preserve">a </w:t>
      </w:r>
      <w:r>
        <w:t>poem</w:t>
      </w:r>
      <w:r w:rsidR="00E91875">
        <w:t xml:space="preserve"> read</w:t>
      </w:r>
      <w:r>
        <w:t xml:space="preserve"> in class. The assignment required students to analyze and interpret the poem and provide evidence of their thinking. </w:t>
      </w:r>
    </w:p>
    <w:p w14:paraId="0F311CE3" w14:textId="0640566E" w:rsidR="000464AC" w:rsidRDefault="000464AC" w:rsidP="000464AC">
      <w:pPr>
        <w:pStyle w:val="ListParagraph"/>
        <w:tabs>
          <w:tab w:val="left" w:pos="360"/>
          <w:tab w:val="left" w:pos="720"/>
          <w:tab w:val="left" w:pos="1080"/>
          <w:tab w:val="left" w:pos="1170"/>
          <w:tab w:val="left" w:pos="1800"/>
        </w:tabs>
        <w:ind w:left="1440" w:hanging="270"/>
        <w:contextualSpacing w:val="0"/>
      </w:pPr>
      <w:r>
        <w:t>b.</w:t>
      </w:r>
      <w:r>
        <w:tab/>
        <w:t xml:space="preserve">In </w:t>
      </w:r>
      <w:r w:rsidR="00DC4079">
        <w:t xml:space="preserve">a </w:t>
      </w:r>
      <w:r w:rsidR="002D135A">
        <w:t>middle-</w:t>
      </w:r>
      <w:r>
        <w:t xml:space="preserve">school ESL lesson on learning to identify and express main ideas in scaffolded texts, students analyzed texts and identified what they thought were the main ideas.  As the teacher worked with each group, she asked them to explain why </w:t>
      </w:r>
      <w:r w:rsidR="004D7514">
        <w:t>their choi</w:t>
      </w:r>
      <w:r w:rsidR="00703895">
        <w:t xml:space="preserve">ces were main ideas </w:t>
      </w:r>
      <w:r>
        <w:t xml:space="preserve">or why </w:t>
      </w:r>
      <w:r w:rsidR="00703895">
        <w:t xml:space="preserve">they were </w:t>
      </w:r>
      <w:r>
        <w:t xml:space="preserve">not. </w:t>
      </w:r>
    </w:p>
    <w:p w14:paraId="155D18E9" w14:textId="6CA698EF" w:rsidR="005E270C" w:rsidRPr="00A9021E" w:rsidRDefault="005E270C" w:rsidP="000464AC">
      <w:pPr>
        <w:pStyle w:val="ListParagraph"/>
        <w:tabs>
          <w:tab w:val="left" w:pos="360"/>
          <w:tab w:val="left" w:pos="720"/>
          <w:tab w:val="left" w:pos="1080"/>
          <w:tab w:val="left" w:pos="1170"/>
          <w:tab w:val="left" w:pos="1800"/>
        </w:tabs>
        <w:ind w:left="1440" w:hanging="270"/>
        <w:contextualSpacing w:val="0"/>
      </w:pPr>
      <w:r>
        <w:t>c.</w:t>
      </w:r>
      <w:r>
        <w:tab/>
      </w:r>
      <w:r w:rsidR="00CF35BF">
        <w:t xml:space="preserve">In a middle-school social studies lesson in which students were not engaged in higher-order thinking, the content of the lesson </w:t>
      </w:r>
      <w:r w:rsidR="009D5153">
        <w:t xml:space="preserve">was not </w:t>
      </w:r>
      <w:r w:rsidR="0023485E">
        <w:t>deep,</w:t>
      </w:r>
      <w:r w:rsidR="009D5153">
        <w:t xml:space="preserve"> and s</w:t>
      </w:r>
      <w:r w:rsidR="00CF35BF">
        <w:t>tudents listened to the teacher talk throughout the observation.</w:t>
      </w:r>
    </w:p>
    <w:p w14:paraId="6A2DF985" w14:textId="607C78F4" w:rsidR="000464AC" w:rsidRDefault="000464AC" w:rsidP="000464AC">
      <w:pPr>
        <w:pStyle w:val="ListParagraph"/>
        <w:numPr>
          <w:ilvl w:val="6"/>
          <w:numId w:val="12"/>
        </w:numPr>
        <w:tabs>
          <w:tab w:val="left" w:pos="360"/>
          <w:tab w:val="left" w:pos="720"/>
          <w:tab w:val="left" w:pos="1080"/>
          <w:tab w:val="left" w:pos="1440"/>
          <w:tab w:val="left" w:pos="1800"/>
        </w:tabs>
        <w:ind w:left="1080"/>
        <w:contextualSpacing w:val="0"/>
      </w:pPr>
      <w:r>
        <w:t xml:space="preserve">Observers found sufficient </w:t>
      </w:r>
      <w:r w:rsidR="00056F05">
        <w:t xml:space="preserve">and </w:t>
      </w:r>
      <w:r>
        <w:t xml:space="preserve">compelling evidence that students meaningfully and in a sustained way communicated </w:t>
      </w:r>
      <w:r w:rsidR="002D135A">
        <w:t xml:space="preserve">their </w:t>
      </w:r>
      <w:r>
        <w:t xml:space="preserve">ideas with each other (characteristic #7) </w:t>
      </w:r>
      <w:r w:rsidR="002D135A">
        <w:t xml:space="preserve">in 47 percent of elementary-school classes, </w:t>
      </w:r>
      <w:r>
        <w:t xml:space="preserve">in 50 percent of </w:t>
      </w:r>
      <w:r w:rsidR="002D135A">
        <w:t>middle-</w:t>
      </w:r>
      <w:r>
        <w:t xml:space="preserve">school lessons, and in </w:t>
      </w:r>
      <w:r w:rsidR="00A07B67">
        <w:t xml:space="preserve">only </w:t>
      </w:r>
      <w:r>
        <w:t xml:space="preserve">27 percent of </w:t>
      </w:r>
      <w:r w:rsidR="002D135A">
        <w:t>high-</w:t>
      </w:r>
      <w:r>
        <w:t>school lessons.</w:t>
      </w:r>
    </w:p>
    <w:p w14:paraId="00CA40FB" w14:textId="2498D7B5" w:rsidR="000464AC" w:rsidRDefault="000464AC" w:rsidP="000464AC">
      <w:pPr>
        <w:pStyle w:val="ListParagraph"/>
        <w:tabs>
          <w:tab w:val="left" w:pos="360"/>
          <w:tab w:val="left" w:pos="720"/>
          <w:tab w:val="left" w:pos="1080"/>
          <w:tab w:val="left" w:pos="1800"/>
        </w:tabs>
        <w:ind w:left="1440" w:hanging="360"/>
        <w:contextualSpacing w:val="0"/>
      </w:pPr>
      <w:r>
        <w:t xml:space="preserve">a.    In a grade 2 ELA lesson where students were writing chapters for their non-fiction books on topics of their choice, </w:t>
      </w:r>
      <w:r w:rsidR="00DC4079">
        <w:t>the teacher had them</w:t>
      </w:r>
      <w:r>
        <w:t xml:space="preserve"> share one page of their newly written chapter with their small group and get feedback from</w:t>
      </w:r>
      <w:r w:rsidR="00DC4079">
        <w:t xml:space="preserve"> the other </w:t>
      </w:r>
      <w:r>
        <w:t xml:space="preserve">group members.  </w:t>
      </w:r>
    </w:p>
    <w:p w14:paraId="6A2B929B" w14:textId="5B945922" w:rsidR="000464AC" w:rsidRDefault="000464AC" w:rsidP="000464AC">
      <w:pPr>
        <w:pStyle w:val="ListParagraph"/>
        <w:tabs>
          <w:tab w:val="left" w:pos="360"/>
          <w:tab w:val="left" w:pos="720"/>
          <w:tab w:val="left" w:pos="1080"/>
          <w:tab w:val="left" w:pos="1800"/>
        </w:tabs>
        <w:ind w:left="1440" w:hanging="360"/>
        <w:contextualSpacing w:val="0"/>
      </w:pPr>
      <w:r>
        <w:t xml:space="preserve">b. </w:t>
      </w:r>
      <w:r>
        <w:tab/>
      </w:r>
      <w:r w:rsidR="002D135A">
        <w:t xml:space="preserve">In contrast, in </w:t>
      </w:r>
      <w:r>
        <w:t xml:space="preserve">a </w:t>
      </w:r>
      <w:r w:rsidR="002D135A">
        <w:t>high-</w:t>
      </w:r>
      <w:r>
        <w:t>school science lesson, the teacher did all the talking, problem</w:t>
      </w:r>
      <w:r w:rsidR="00DC4079">
        <w:t>-</w:t>
      </w:r>
      <w:r>
        <w:t>solving, and explainin</w:t>
      </w:r>
      <w:r w:rsidR="00E91875">
        <w:t xml:space="preserve">g </w:t>
      </w:r>
      <w:r w:rsidR="00DC4079">
        <w:t xml:space="preserve">while students </w:t>
      </w:r>
      <w:r>
        <w:t>watched, listened</w:t>
      </w:r>
      <w:r w:rsidR="002D135A">
        <w:t>,</w:t>
      </w:r>
      <w:r>
        <w:t xml:space="preserve"> and took notes. </w:t>
      </w:r>
    </w:p>
    <w:p w14:paraId="24A431B5" w14:textId="5E50F53A" w:rsidR="000464AC" w:rsidRDefault="000464AC" w:rsidP="000464AC">
      <w:pPr>
        <w:pStyle w:val="ListParagraph"/>
        <w:numPr>
          <w:ilvl w:val="6"/>
          <w:numId w:val="12"/>
        </w:numPr>
        <w:tabs>
          <w:tab w:val="left" w:pos="360"/>
          <w:tab w:val="left" w:pos="720"/>
          <w:tab w:val="left" w:pos="1080"/>
          <w:tab w:val="left" w:pos="1440"/>
          <w:tab w:val="left" w:pos="1800"/>
        </w:tabs>
        <w:ind w:left="1080"/>
        <w:contextualSpacing w:val="0"/>
      </w:pPr>
      <w:r>
        <w:t xml:space="preserve">Observers found sufficient </w:t>
      </w:r>
      <w:r w:rsidR="002D135A">
        <w:t xml:space="preserve">and </w:t>
      </w:r>
      <w:r>
        <w:t xml:space="preserve">compelling evidence that students had opportunities to engage meaningfully with tasks connected to their lives or with the larger world (characteristic #8) </w:t>
      </w:r>
      <w:r w:rsidR="002D135A">
        <w:t xml:space="preserve">in 41 percent of elementary classes, </w:t>
      </w:r>
      <w:r>
        <w:t xml:space="preserve">in 61 percent of </w:t>
      </w:r>
      <w:r w:rsidR="002D135A">
        <w:t>middle-</w:t>
      </w:r>
      <w:r>
        <w:t xml:space="preserve">school </w:t>
      </w:r>
      <w:r w:rsidR="002D135A">
        <w:t>classes</w:t>
      </w:r>
      <w:r>
        <w:t xml:space="preserve">, and </w:t>
      </w:r>
      <w:r w:rsidR="002D135A">
        <w:t xml:space="preserve">in </w:t>
      </w:r>
      <w:r>
        <w:t xml:space="preserve">27 percent of </w:t>
      </w:r>
      <w:r w:rsidR="002D135A">
        <w:t>high-</w:t>
      </w:r>
      <w:r>
        <w:t xml:space="preserve">school </w:t>
      </w:r>
      <w:r w:rsidR="002D135A">
        <w:t>classes</w:t>
      </w:r>
      <w:r>
        <w:t>.</w:t>
      </w:r>
    </w:p>
    <w:p w14:paraId="4A13B330" w14:textId="18A2D7F2" w:rsidR="000464AC" w:rsidRDefault="000464AC" w:rsidP="000464AC">
      <w:pPr>
        <w:pStyle w:val="ListParagraph"/>
        <w:tabs>
          <w:tab w:val="left" w:pos="360"/>
          <w:tab w:val="left" w:pos="720"/>
          <w:tab w:val="left" w:pos="1080"/>
          <w:tab w:val="left" w:pos="1440"/>
          <w:tab w:val="left" w:pos="1800"/>
        </w:tabs>
        <w:ind w:left="1440" w:hanging="360"/>
        <w:contextualSpacing w:val="0"/>
      </w:pPr>
      <w:r>
        <w:t>a.</w:t>
      </w:r>
      <w:r>
        <w:tab/>
        <w:t xml:space="preserve">In </w:t>
      </w:r>
      <w:r w:rsidR="00492618">
        <w:t xml:space="preserve">a </w:t>
      </w:r>
      <w:r w:rsidR="002D135A">
        <w:t>middle-</w:t>
      </w:r>
      <w:r>
        <w:t>school science lesson on acceleration, pairs of students worked together to figure out how to bike to Gil</w:t>
      </w:r>
      <w:r w:rsidR="0097328E">
        <w:t>l</w:t>
      </w:r>
      <w:r>
        <w:t>ette Stadium with a minimum of 12 turns.</w:t>
      </w:r>
      <w:r w:rsidRPr="00A9021E">
        <w:tab/>
      </w:r>
      <w:r w:rsidRPr="00A9021E">
        <w:tab/>
      </w:r>
      <w:r w:rsidRPr="00A9021E">
        <w:tab/>
      </w:r>
    </w:p>
    <w:p w14:paraId="70CE0862" w14:textId="10FE2D20" w:rsidR="000464AC" w:rsidRDefault="000464AC" w:rsidP="000464AC">
      <w:pPr>
        <w:pStyle w:val="ListParagraph"/>
        <w:tabs>
          <w:tab w:val="left" w:pos="360"/>
          <w:tab w:val="left" w:pos="720"/>
          <w:tab w:val="left" w:pos="1080"/>
          <w:tab w:val="left" w:pos="1440"/>
          <w:tab w:val="left" w:pos="1800"/>
        </w:tabs>
        <w:ind w:left="1440" w:hanging="360"/>
        <w:contextualSpacing w:val="0"/>
      </w:pPr>
      <w:r>
        <w:t>b.</w:t>
      </w:r>
      <w:r>
        <w:tab/>
        <w:t xml:space="preserve">In a </w:t>
      </w:r>
      <w:r w:rsidR="002D135A">
        <w:t>high-</w:t>
      </w:r>
      <w:r>
        <w:t xml:space="preserve">school social studies lesson about India, the teacher probed </w:t>
      </w:r>
      <w:r w:rsidR="00234C28">
        <w:t xml:space="preserve">by asking </w:t>
      </w:r>
      <w:r>
        <w:t>students to explain why specific societal issues such as population growth, economic issues and women’s health issues</w:t>
      </w:r>
      <w:r w:rsidR="00DC4079">
        <w:t xml:space="preserve"> </w:t>
      </w:r>
      <w:r w:rsidR="007E44C0">
        <w:t>took place</w:t>
      </w:r>
      <w:r>
        <w:t xml:space="preserve">.    </w:t>
      </w:r>
    </w:p>
    <w:p w14:paraId="3CF025D2" w14:textId="41B6BDE7" w:rsidR="00740199" w:rsidRDefault="00740199" w:rsidP="000464AC">
      <w:pPr>
        <w:pStyle w:val="ListParagraph"/>
        <w:tabs>
          <w:tab w:val="left" w:pos="360"/>
          <w:tab w:val="left" w:pos="720"/>
          <w:tab w:val="left" w:pos="1080"/>
          <w:tab w:val="left" w:pos="1440"/>
          <w:tab w:val="left" w:pos="1800"/>
        </w:tabs>
        <w:ind w:left="1440" w:hanging="360"/>
        <w:contextualSpacing w:val="0"/>
      </w:pPr>
      <w:r>
        <w:t>c.</w:t>
      </w:r>
      <w:r>
        <w:tab/>
        <w:t xml:space="preserve">In contrast, in an elementary math lesson, students did </w:t>
      </w:r>
      <w:r w:rsidR="00674057">
        <w:t>basic</w:t>
      </w:r>
      <w:r>
        <w:t xml:space="preserve"> adding and subtracting</w:t>
      </w:r>
      <w:r w:rsidR="00674057">
        <w:t xml:space="preserve"> </w:t>
      </w:r>
      <w:r>
        <w:t xml:space="preserve"> and were not </w:t>
      </w:r>
      <w:r w:rsidR="005D467C">
        <w:t>given the opportunity to engage meaningfully with tasks connected to their lives or the larger world.</w:t>
      </w:r>
    </w:p>
    <w:p w14:paraId="2B24908A" w14:textId="32B26F7A" w:rsidR="000464AC" w:rsidRPr="007A5AB9" w:rsidRDefault="000464AC" w:rsidP="000464AC">
      <w:pPr>
        <w:tabs>
          <w:tab w:val="left" w:pos="360"/>
          <w:tab w:val="left" w:pos="720"/>
          <w:tab w:val="left" w:pos="1080"/>
          <w:tab w:val="left" w:pos="1440"/>
          <w:tab w:val="left" w:pos="1800"/>
          <w:tab w:val="left" w:pos="2160"/>
        </w:tabs>
        <w:ind w:left="720" w:hanging="360"/>
      </w:pPr>
      <w:r w:rsidRPr="0041588A">
        <w:rPr>
          <w:b/>
        </w:rPr>
        <w:lastRenderedPageBreak/>
        <w:t>C.</w:t>
      </w:r>
      <w:r>
        <w:tab/>
      </w:r>
      <w:r>
        <w:rPr>
          <w:b/>
        </w:rPr>
        <w:t xml:space="preserve">Focus Area #3:  Inclusive Practice and Classroom Culture </w:t>
      </w:r>
      <w:r w:rsidR="00455304">
        <w:t>In observed classrooms at all levels, classroom routines and teachers’ responses to limit disruptions to learning were generally effective, although there were notable exceptions.  In addition, overall, students and teachers had respectful and positive relationships that promoted a classroom climate conducive to learning. However, i</w:t>
      </w:r>
      <w:r w:rsidR="00C23FB4">
        <w:t>n</w:t>
      </w:r>
      <w:r>
        <w:t xml:space="preserve"> </w:t>
      </w:r>
      <w:proofErr w:type="gramStart"/>
      <w:r w:rsidR="00E74331">
        <w:t>the majority</w:t>
      </w:r>
      <w:r>
        <w:t xml:space="preserve"> of</w:t>
      </w:r>
      <w:proofErr w:type="gramEnd"/>
      <w:r>
        <w:t xml:space="preserve"> al</w:t>
      </w:r>
      <w:r w:rsidR="000540DF">
        <w:t>l observed lessons districtwide</w:t>
      </w:r>
      <w:r w:rsidR="00234C28">
        <w:t xml:space="preserve">, </w:t>
      </w:r>
      <w:r>
        <w:t xml:space="preserve">tasks were not designed to support and challenge students by considering </w:t>
      </w:r>
      <w:r w:rsidR="00C23FB4">
        <w:t xml:space="preserve">their </w:t>
      </w:r>
      <w:r>
        <w:t>diverse learning needs</w:t>
      </w:r>
      <w:r w:rsidR="00C23FB4">
        <w:t>,</w:t>
      </w:r>
      <w:r w:rsidR="00492618">
        <w:t xml:space="preserve"> </w:t>
      </w:r>
      <w:r w:rsidR="00C23FB4">
        <w:t>including</w:t>
      </w:r>
      <w:r>
        <w:t xml:space="preserve"> linguistic</w:t>
      </w:r>
      <w:r w:rsidR="00C23FB4">
        <w:t>,</w:t>
      </w:r>
      <w:r>
        <w:t xml:space="preserve"> background, disabilit</w:t>
      </w:r>
      <w:r w:rsidR="00C23FB4">
        <w:t>y</w:t>
      </w:r>
      <w:r w:rsidR="00004340">
        <w:t>,</w:t>
      </w:r>
      <w:r w:rsidR="00C23FB4">
        <w:t xml:space="preserve"> and</w:t>
      </w:r>
      <w:r>
        <w:t xml:space="preserve"> academic gifts.  Observers found stronger practices in elementary and </w:t>
      </w:r>
      <w:r w:rsidR="007E44C0">
        <w:t>middle-</w:t>
      </w:r>
      <w:r>
        <w:t xml:space="preserve">school </w:t>
      </w:r>
      <w:r w:rsidR="007E44C0">
        <w:t xml:space="preserve">classrooms </w:t>
      </w:r>
      <w:r>
        <w:t xml:space="preserve">in the variety of instructional strategies teachers used </w:t>
      </w:r>
      <w:r w:rsidR="00C23FB4">
        <w:t xml:space="preserve">in </w:t>
      </w:r>
      <w:r>
        <w:t xml:space="preserve">lessons.  </w:t>
      </w:r>
    </w:p>
    <w:p w14:paraId="34C9B834" w14:textId="59428E11" w:rsidR="000464AC" w:rsidRDefault="000464AC" w:rsidP="000464AC">
      <w:pPr>
        <w:pStyle w:val="ListParagraph"/>
        <w:numPr>
          <w:ilvl w:val="6"/>
          <w:numId w:val="13"/>
        </w:numPr>
        <w:tabs>
          <w:tab w:val="left" w:pos="360"/>
          <w:tab w:val="left" w:pos="720"/>
          <w:tab w:val="left" w:pos="1080"/>
          <w:tab w:val="left" w:pos="1440"/>
          <w:tab w:val="left" w:pos="1800"/>
          <w:tab w:val="left" w:pos="2160"/>
        </w:tabs>
        <w:ind w:left="1080"/>
        <w:contextualSpacing w:val="0"/>
      </w:pPr>
      <w:r>
        <w:t>Observers found sufficient and compelling evidence that lessons were designed to provide support and challenge for all students, regardless of learning needs (characteristic #9</w:t>
      </w:r>
      <w:r w:rsidR="00B178CD">
        <w:t>)</w:t>
      </w:r>
      <w:r>
        <w:t xml:space="preserve"> in 46 percent of elementary </w:t>
      </w:r>
      <w:r w:rsidR="00E10B44">
        <w:t>classrooms</w:t>
      </w:r>
      <w:r>
        <w:t xml:space="preserve">, </w:t>
      </w:r>
      <w:r w:rsidR="007E44C0">
        <w:t xml:space="preserve">in </w:t>
      </w:r>
      <w:r>
        <w:t xml:space="preserve">39 percent of </w:t>
      </w:r>
      <w:r w:rsidR="007E44C0">
        <w:t>middle-</w:t>
      </w:r>
      <w:r>
        <w:t xml:space="preserve">school </w:t>
      </w:r>
      <w:r w:rsidR="00E10B44">
        <w:t>classrooms</w:t>
      </w:r>
      <w:r>
        <w:t xml:space="preserve">, and </w:t>
      </w:r>
      <w:r w:rsidR="007E44C0">
        <w:t xml:space="preserve">in </w:t>
      </w:r>
      <w:r>
        <w:t xml:space="preserve">35 percent of </w:t>
      </w:r>
      <w:r w:rsidR="007E44C0">
        <w:t>high-</w:t>
      </w:r>
      <w:r>
        <w:t xml:space="preserve">school </w:t>
      </w:r>
      <w:r w:rsidR="00E10B44">
        <w:t>classrooms</w:t>
      </w:r>
      <w:r>
        <w:t xml:space="preserve">.  </w:t>
      </w:r>
    </w:p>
    <w:p w14:paraId="39AC73F7" w14:textId="54433FAA" w:rsidR="000464AC" w:rsidRDefault="000464AC" w:rsidP="000464AC">
      <w:pPr>
        <w:pStyle w:val="ListParagraph"/>
        <w:numPr>
          <w:ilvl w:val="0"/>
          <w:numId w:val="14"/>
        </w:numPr>
        <w:tabs>
          <w:tab w:val="left" w:pos="360"/>
          <w:tab w:val="left" w:pos="720"/>
          <w:tab w:val="left" w:pos="1080"/>
          <w:tab w:val="left" w:pos="1440"/>
          <w:tab w:val="left" w:pos="1800"/>
          <w:tab w:val="left" w:pos="2160"/>
        </w:tabs>
        <w:ind w:left="1440"/>
        <w:contextualSpacing w:val="0"/>
      </w:pPr>
      <w:proofErr w:type="gramStart"/>
      <w:r>
        <w:t>A number of</w:t>
      </w:r>
      <w:proofErr w:type="gramEnd"/>
      <w:r>
        <w:t xml:space="preserve"> observed elementary </w:t>
      </w:r>
      <w:r w:rsidR="00234C28">
        <w:t xml:space="preserve">writers’ </w:t>
      </w:r>
      <w:r>
        <w:t xml:space="preserve">and </w:t>
      </w:r>
      <w:r w:rsidR="00234C28">
        <w:t xml:space="preserve">readers’ workshop </w:t>
      </w:r>
      <w:r>
        <w:t xml:space="preserve">lessons </w:t>
      </w:r>
      <w:r w:rsidR="007E44C0">
        <w:t xml:space="preserve">effectively </w:t>
      </w:r>
      <w:r>
        <w:t>addressed students’ learning needs, strengths, challenges</w:t>
      </w:r>
      <w:r w:rsidR="007E44C0">
        <w:t>,</w:t>
      </w:r>
      <w:r>
        <w:t xml:space="preserve"> and talents since students</w:t>
      </w:r>
      <w:r w:rsidR="00B178CD">
        <w:t xml:space="preserve"> could</w:t>
      </w:r>
      <w:r>
        <w:t xml:space="preserve"> read and wr</w:t>
      </w:r>
      <w:r w:rsidR="00B178CD">
        <w:t>i</w:t>
      </w:r>
      <w:r>
        <w:t xml:space="preserve">te at a </w:t>
      </w:r>
      <w:r w:rsidR="00B178CD">
        <w:t xml:space="preserve">challenging </w:t>
      </w:r>
      <w:r>
        <w:t xml:space="preserve">level and benefit from the support of teachers and modeling of other students. </w:t>
      </w:r>
    </w:p>
    <w:p w14:paraId="27E992BD" w14:textId="4377FEE9" w:rsidR="000464AC" w:rsidRDefault="000464AC" w:rsidP="000464AC">
      <w:pPr>
        <w:pStyle w:val="ListParagraph"/>
        <w:numPr>
          <w:ilvl w:val="0"/>
          <w:numId w:val="14"/>
        </w:numPr>
        <w:tabs>
          <w:tab w:val="left" w:pos="360"/>
          <w:tab w:val="left" w:pos="720"/>
          <w:tab w:val="left" w:pos="1080"/>
          <w:tab w:val="left" w:pos="1440"/>
          <w:tab w:val="left" w:pos="1800"/>
          <w:tab w:val="left" w:pos="2160"/>
        </w:tabs>
        <w:ind w:left="1440"/>
        <w:contextualSpacing w:val="0"/>
      </w:pPr>
      <w:r>
        <w:t xml:space="preserve">In a </w:t>
      </w:r>
      <w:r w:rsidR="007E44C0">
        <w:t>middle-</w:t>
      </w:r>
      <w:r>
        <w:t xml:space="preserve">school science lesson on constellations, all students </w:t>
      </w:r>
      <w:r w:rsidR="007B26AA">
        <w:t xml:space="preserve">appeared to be sufficiently </w:t>
      </w:r>
      <w:r>
        <w:t xml:space="preserve">challenged by the lesson and </w:t>
      </w:r>
      <w:r w:rsidR="007B26AA">
        <w:t xml:space="preserve">all students </w:t>
      </w:r>
      <w:r w:rsidR="00234C28">
        <w:t xml:space="preserve">offered </w:t>
      </w:r>
      <w:r>
        <w:t xml:space="preserve">observations and comments. </w:t>
      </w:r>
    </w:p>
    <w:p w14:paraId="168F5A62" w14:textId="16FD4F79" w:rsidR="00E74331" w:rsidRDefault="00E74331" w:rsidP="000464AC">
      <w:pPr>
        <w:pStyle w:val="ListParagraph"/>
        <w:numPr>
          <w:ilvl w:val="0"/>
          <w:numId w:val="14"/>
        </w:numPr>
        <w:tabs>
          <w:tab w:val="left" w:pos="360"/>
          <w:tab w:val="left" w:pos="720"/>
          <w:tab w:val="left" w:pos="1080"/>
          <w:tab w:val="left" w:pos="1440"/>
          <w:tab w:val="left" w:pos="1800"/>
          <w:tab w:val="left" w:pos="2160"/>
        </w:tabs>
        <w:ind w:left="1440"/>
        <w:contextualSpacing w:val="0"/>
      </w:pPr>
      <w:r>
        <w:t xml:space="preserve"> In a </w:t>
      </w:r>
      <w:r w:rsidR="00D07D0E">
        <w:t xml:space="preserve">high-school science </w:t>
      </w:r>
      <w:r>
        <w:t xml:space="preserve">lesson </w:t>
      </w:r>
      <w:r w:rsidR="00D07D0E">
        <w:t>that was</w:t>
      </w:r>
      <w:r>
        <w:t xml:space="preserve"> not challenging, </w:t>
      </w:r>
      <w:r w:rsidR="00D07D0E">
        <w:t>instruction was teacher centered and all students were taking notes using a work packet.</w:t>
      </w:r>
    </w:p>
    <w:p w14:paraId="46AF257E" w14:textId="0D85A2CC" w:rsidR="000464AC" w:rsidRDefault="000464AC" w:rsidP="000464AC">
      <w:pPr>
        <w:pStyle w:val="ListParagraph"/>
        <w:numPr>
          <w:ilvl w:val="6"/>
          <w:numId w:val="13"/>
        </w:numPr>
        <w:tabs>
          <w:tab w:val="left" w:pos="360"/>
          <w:tab w:val="left" w:pos="720"/>
          <w:tab w:val="left" w:pos="1080"/>
          <w:tab w:val="left" w:pos="1440"/>
          <w:tab w:val="left" w:pos="1800"/>
          <w:tab w:val="left" w:pos="2160"/>
        </w:tabs>
        <w:ind w:left="1080"/>
        <w:contextualSpacing w:val="0"/>
      </w:pPr>
      <w:r>
        <w:t xml:space="preserve">The review team found sufficient and compelling evidence that teachers used a variety of instructional strategies (characteristic #10) in 73 percent of elementary and </w:t>
      </w:r>
      <w:r w:rsidR="00E10B44">
        <w:t>middle-</w:t>
      </w:r>
      <w:r>
        <w:t xml:space="preserve">school </w:t>
      </w:r>
      <w:r w:rsidR="00E10B44">
        <w:t>classes,</w:t>
      </w:r>
      <w:r>
        <w:t xml:space="preserve"> and in </w:t>
      </w:r>
      <w:r w:rsidR="00A07B67">
        <w:t xml:space="preserve">only </w:t>
      </w:r>
      <w:r>
        <w:t xml:space="preserve">19 percent of </w:t>
      </w:r>
      <w:r w:rsidR="00E10B44">
        <w:t>high-</w:t>
      </w:r>
      <w:r>
        <w:t xml:space="preserve">school </w:t>
      </w:r>
      <w:r w:rsidR="00E10B44">
        <w:t>classes</w:t>
      </w:r>
      <w:r>
        <w:t>.</w:t>
      </w:r>
    </w:p>
    <w:p w14:paraId="483E1B87" w14:textId="632ED5B2" w:rsidR="000464AC" w:rsidRDefault="000464AC" w:rsidP="000464AC">
      <w:pPr>
        <w:pStyle w:val="ListParagraph"/>
        <w:numPr>
          <w:ilvl w:val="7"/>
          <w:numId w:val="12"/>
        </w:numPr>
        <w:tabs>
          <w:tab w:val="left" w:pos="360"/>
          <w:tab w:val="left" w:pos="720"/>
          <w:tab w:val="left" w:pos="1080"/>
          <w:tab w:val="left" w:pos="1440"/>
          <w:tab w:val="left" w:pos="1800"/>
          <w:tab w:val="left" w:pos="2160"/>
        </w:tabs>
        <w:ind w:left="1440"/>
        <w:contextualSpacing w:val="0"/>
      </w:pPr>
      <w:r>
        <w:t xml:space="preserve">In a grade 4 ELA lesson, the teacher </w:t>
      </w:r>
      <w:r w:rsidR="00234C28">
        <w:t xml:space="preserve">designed </w:t>
      </w:r>
      <w:r>
        <w:t xml:space="preserve">the lesson to include direct instruction, sharing </w:t>
      </w:r>
      <w:r w:rsidR="00C23FB4">
        <w:t xml:space="preserve">thorough </w:t>
      </w:r>
      <w:r>
        <w:t xml:space="preserve">turn-and-talk, note-taking, and individual practice. </w:t>
      </w:r>
    </w:p>
    <w:p w14:paraId="11B2F232" w14:textId="1120C5DF" w:rsidR="000464AC" w:rsidRDefault="000464AC" w:rsidP="000464AC">
      <w:pPr>
        <w:pStyle w:val="ListParagraph"/>
        <w:numPr>
          <w:ilvl w:val="7"/>
          <w:numId w:val="12"/>
        </w:numPr>
        <w:tabs>
          <w:tab w:val="left" w:pos="360"/>
          <w:tab w:val="left" w:pos="720"/>
          <w:tab w:val="left" w:pos="1080"/>
          <w:tab w:val="left" w:pos="1440"/>
          <w:tab w:val="left" w:pos="1800"/>
          <w:tab w:val="left" w:pos="2160"/>
        </w:tabs>
        <w:ind w:left="1440"/>
        <w:contextualSpacing w:val="0"/>
      </w:pPr>
      <w:r>
        <w:t>In</w:t>
      </w:r>
      <w:r w:rsidR="00B178CD">
        <w:t xml:space="preserve"> a</w:t>
      </w:r>
      <w:r>
        <w:t xml:space="preserve"> </w:t>
      </w:r>
      <w:r w:rsidR="00E10B44">
        <w:t>high-</w:t>
      </w:r>
      <w:r>
        <w:t xml:space="preserve">school geometry class, students cooperated in small groups to solve problems. </w:t>
      </w:r>
    </w:p>
    <w:p w14:paraId="19022E13" w14:textId="5C026C6E" w:rsidR="000464AC" w:rsidRDefault="00234C28" w:rsidP="000464AC">
      <w:pPr>
        <w:pStyle w:val="ListParagraph"/>
        <w:numPr>
          <w:ilvl w:val="7"/>
          <w:numId w:val="12"/>
        </w:numPr>
        <w:tabs>
          <w:tab w:val="left" w:pos="360"/>
          <w:tab w:val="left" w:pos="720"/>
          <w:tab w:val="left" w:pos="1080"/>
          <w:tab w:val="left" w:pos="1440"/>
          <w:tab w:val="left" w:pos="1800"/>
          <w:tab w:val="left" w:pos="2160"/>
        </w:tabs>
        <w:ind w:left="1440"/>
        <w:contextualSpacing w:val="0"/>
      </w:pPr>
      <w:r>
        <w:t>One</w:t>
      </w:r>
      <w:r w:rsidR="000464AC">
        <w:t xml:space="preserve"> of every five </w:t>
      </w:r>
      <w:r w:rsidR="00E10B44">
        <w:t>high-</w:t>
      </w:r>
      <w:r w:rsidR="000464AC">
        <w:t>school lessons relied on</w:t>
      </w:r>
      <w:r w:rsidR="00285B3D">
        <w:t xml:space="preserve"> </w:t>
      </w:r>
      <w:r>
        <w:t xml:space="preserve">a single </w:t>
      </w:r>
      <w:r w:rsidR="000464AC">
        <w:t>teaching format, often teacher-directed instruction with limited opportunities for students</w:t>
      </w:r>
      <w:r w:rsidR="00285B3D">
        <w:t>’</w:t>
      </w:r>
      <w:r w:rsidR="000464AC">
        <w:t xml:space="preserve"> voice other than </w:t>
      </w:r>
      <w:r>
        <w:t xml:space="preserve">brief </w:t>
      </w:r>
      <w:r w:rsidR="000464AC">
        <w:t xml:space="preserve">responses to questions during the lesson. </w:t>
      </w:r>
    </w:p>
    <w:p w14:paraId="03AE5471" w14:textId="7BF7277D" w:rsidR="000464AC" w:rsidRDefault="000464AC" w:rsidP="000464AC">
      <w:pPr>
        <w:pStyle w:val="ListParagraph"/>
        <w:numPr>
          <w:ilvl w:val="6"/>
          <w:numId w:val="13"/>
        </w:numPr>
        <w:tabs>
          <w:tab w:val="left" w:pos="360"/>
          <w:tab w:val="left" w:pos="720"/>
          <w:tab w:val="left" w:pos="1080"/>
          <w:tab w:val="left" w:pos="1440"/>
          <w:tab w:val="left" w:pos="1800"/>
          <w:tab w:val="left" w:pos="2160"/>
        </w:tabs>
        <w:ind w:left="1080"/>
        <w:contextualSpacing w:val="0"/>
      </w:pPr>
      <w:r>
        <w:t xml:space="preserve">Observers noted sufficient </w:t>
      </w:r>
      <w:r w:rsidR="00E10B44">
        <w:t xml:space="preserve">and </w:t>
      </w:r>
      <w:r>
        <w:t xml:space="preserve">compelling evidence that classroom routines and positive supports were consistently and effectively in place (characteristic #11) in 79 percent of elementary </w:t>
      </w:r>
      <w:r w:rsidR="00E10B44">
        <w:t>classrooms</w:t>
      </w:r>
      <w:r>
        <w:t xml:space="preserve">, </w:t>
      </w:r>
      <w:r w:rsidR="00E10B44">
        <w:t xml:space="preserve">in </w:t>
      </w:r>
      <w:r>
        <w:t xml:space="preserve">61 percent of </w:t>
      </w:r>
      <w:r w:rsidR="00E10B44">
        <w:t>middle-</w:t>
      </w:r>
      <w:r>
        <w:t xml:space="preserve">school </w:t>
      </w:r>
      <w:r w:rsidR="00E10B44">
        <w:t>classrooms</w:t>
      </w:r>
      <w:r>
        <w:t xml:space="preserve">, and </w:t>
      </w:r>
      <w:r w:rsidR="00E10B44">
        <w:t xml:space="preserve">in </w:t>
      </w:r>
      <w:r>
        <w:t>69 percent of high</w:t>
      </w:r>
      <w:r w:rsidR="00E10B44">
        <w:t>-</w:t>
      </w:r>
      <w:r>
        <w:t xml:space="preserve">school </w:t>
      </w:r>
      <w:r w:rsidR="00E10B44">
        <w:t>classrooms</w:t>
      </w:r>
      <w:r>
        <w:t xml:space="preserve">.  Similarly, observers found sufficient and compelling evidence of </w:t>
      </w:r>
      <w:r w:rsidR="00285B3D">
        <w:t xml:space="preserve">a </w:t>
      </w:r>
      <w:r>
        <w:t xml:space="preserve">classroom climate conductive to </w:t>
      </w:r>
      <w:r w:rsidR="00E10B44">
        <w:t xml:space="preserve">teaching and </w:t>
      </w:r>
      <w:r>
        <w:t xml:space="preserve">learning </w:t>
      </w:r>
      <w:r w:rsidR="00E10B44">
        <w:t xml:space="preserve">(characteristic #12) </w:t>
      </w:r>
      <w:r>
        <w:t xml:space="preserve">in 69 percent of </w:t>
      </w:r>
      <w:r>
        <w:lastRenderedPageBreak/>
        <w:t xml:space="preserve">elementary </w:t>
      </w:r>
      <w:r w:rsidR="00E10B44">
        <w:t>classes</w:t>
      </w:r>
      <w:r>
        <w:t xml:space="preserve">, </w:t>
      </w:r>
      <w:r w:rsidR="00E10B44">
        <w:t xml:space="preserve">in </w:t>
      </w:r>
      <w:r>
        <w:t xml:space="preserve">67 percent of </w:t>
      </w:r>
      <w:r w:rsidR="00E10B44">
        <w:t>middle-</w:t>
      </w:r>
      <w:r>
        <w:t xml:space="preserve">school </w:t>
      </w:r>
      <w:r w:rsidR="00E10B44">
        <w:t>classes</w:t>
      </w:r>
      <w:r>
        <w:t xml:space="preserve">, and in 62 percent of </w:t>
      </w:r>
      <w:r w:rsidR="00E10B44">
        <w:t>high-</w:t>
      </w:r>
      <w:r>
        <w:t xml:space="preserve">school </w:t>
      </w:r>
      <w:r w:rsidR="00E10B44">
        <w:t>classes</w:t>
      </w:r>
      <w:r>
        <w:t xml:space="preserve">. </w:t>
      </w:r>
    </w:p>
    <w:p w14:paraId="51EA15BE" w14:textId="5688347B" w:rsidR="000464AC" w:rsidRDefault="000464AC" w:rsidP="000464AC">
      <w:pPr>
        <w:pStyle w:val="ListParagraph"/>
        <w:numPr>
          <w:ilvl w:val="7"/>
          <w:numId w:val="9"/>
        </w:numPr>
        <w:tabs>
          <w:tab w:val="left" w:pos="360"/>
          <w:tab w:val="left" w:pos="720"/>
          <w:tab w:val="left" w:pos="1080"/>
          <w:tab w:val="left" w:pos="1440"/>
          <w:tab w:val="left" w:pos="1800"/>
        </w:tabs>
        <w:ind w:left="1440"/>
        <w:contextualSpacing w:val="0"/>
      </w:pPr>
      <w:r>
        <w:t xml:space="preserve">Classroom management skills that helped </w:t>
      </w:r>
      <w:r w:rsidR="000E0138">
        <w:t xml:space="preserve">focus </w:t>
      </w:r>
      <w:r w:rsidR="00234C28">
        <w:t xml:space="preserve">students </w:t>
      </w:r>
      <w:r w:rsidR="000E0138">
        <w:t xml:space="preserve">on </w:t>
      </w:r>
      <w:r w:rsidR="00234C28">
        <w:t xml:space="preserve">learning </w:t>
      </w:r>
      <w:r>
        <w:t xml:space="preserve">were </w:t>
      </w:r>
      <w:r w:rsidR="00234C28">
        <w:t xml:space="preserve">evident </w:t>
      </w:r>
      <w:r>
        <w:t>in many K</w:t>
      </w:r>
      <w:r w:rsidR="00247A5F">
        <w:t>–</w:t>
      </w:r>
      <w:r>
        <w:t xml:space="preserve">5 lessons.  Teachers used </w:t>
      </w:r>
      <w:r w:rsidR="00234C28">
        <w:t xml:space="preserve">techniques </w:t>
      </w:r>
      <w:r>
        <w:t xml:space="preserve">such as counting down </w:t>
      </w:r>
      <w:r w:rsidR="00234C28">
        <w:t>from three</w:t>
      </w:r>
      <w:r w:rsidR="000E0138">
        <w:t xml:space="preserve"> or</w:t>
      </w:r>
      <w:r>
        <w:t xml:space="preserve"> clapping </w:t>
      </w:r>
      <w:r w:rsidR="00234C28">
        <w:t xml:space="preserve">their </w:t>
      </w:r>
      <w:r>
        <w:t xml:space="preserve">hands to signal that it was time to resume the lesson task </w:t>
      </w:r>
      <w:r w:rsidR="00285B3D">
        <w:t xml:space="preserve">and </w:t>
      </w:r>
      <w:r>
        <w:t xml:space="preserve">effectively redirected </w:t>
      </w:r>
      <w:r w:rsidR="00234C28">
        <w:t xml:space="preserve">distracted </w:t>
      </w:r>
      <w:r>
        <w:t>students</w:t>
      </w:r>
      <w:r w:rsidR="00FD2170">
        <w:t>.</w:t>
      </w:r>
      <w:r>
        <w:t xml:space="preserve"> </w:t>
      </w:r>
    </w:p>
    <w:p w14:paraId="693AD05C" w14:textId="7A886F75" w:rsidR="000464AC" w:rsidRPr="00555799" w:rsidRDefault="000464AC" w:rsidP="000464AC">
      <w:pPr>
        <w:pStyle w:val="ListParagraph"/>
        <w:numPr>
          <w:ilvl w:val="7"/>
          <w:numId w:val="9"/>
        </w:numPr>
        <w:tabs>
          <w:tab w:val="left" w:pos="360"/>
          <w:tab w:val="left" w:pos="720"/>
          <w:tab w:val="left" w:pos="1080"/>
          <w:tab w:val="left" w:pos="1440"/>
          <w:tab w:val="left" w:pos="1800"/>
        </w:tabs>
        <w:ind w:left="1440"/>
        <w:contextualSpacing w:val="0"/>
      </w:pPr>
      <w:r>
        <w:t xml:space="preserve">In many lessons, classroom management skills were not </w:t>
      </w:r>
      <w:r w:rsidR="00BA5C9B">
        <w:t xml:space="preserve">adequately demonstrated. </w:t>
      </w:r>
      <w:r>
        <w:t xml:space="preserve"> In some lessons, teachers were ineffective in </w:t>
      </w:r>
      <w:r w:rsidR="001B2F71">
        <w:t xml:space="preserve">providing or </w:t>
      </w:r>
      <w:r>
        <w:t xml:space="preserve">restoring a learning climate and students did not focus on learning </w:t>
      </w:r>
      <w:r w:rsidR="00A07B67">
        <w:t xml:space="preserve">during </w:t>
      </w:r>
      <w:r>
        <w:t xml:space="preserve">the lesson </w:t>
      </w:r>
      <w:r w:rsidR="00A07B67">
        <w:t>observation</w:t>
      </w:r>
      <w:r w:rsidR="00247A5F">
        <w:t>.</w:t>
      </w:r>
      <w:r>
        <w:t xml:space="preserve"> </w:t>
      </w:r>
    </w:p>
    <w:p w14:paraId="25A1A142" w14:textId="6AB6928A" w:rsidR="000464AC" w:rsidRDefault="000464AC" w:rsidP="000464AC">
      <w:pPr>
        <w:tabs>
          <w:tab w:val="left" w:pos="360"/>
          <w:tab w:val="left" w:pos="720"/>
          <w:tab w:val="left" w:pos="1080"/>
          <w:tab w:val="left" w:pos="1440"/>
          <w:tab w:val="left" w:pos="1800"/>
          <w:tab w:val="left" w:pos="2160"/>
        </w:tabs>
      </w:pPr>
      <w:r w:rsidRPr="00F731AA">
        <w:rPr>
          <w:b/>
        </w:rPr>
        <w:t>Impact</w:t>
      </w:r>
      <w:r w:rsidRPr="00BA3A76">
        <w:t xml:space="preserve">: </w:t>
      </w:r>
      <w:r>
        <w:t>Without supportive learning environments and lessons that challenge students while meeting their diverse learning needs as individuals and groups</w:t>
      </w:r>
      <w:r w:rsidR="00EF488B">
        <w:t xml:space="preserve"> at all grade levels</w:t>
      </w:r>
      <w:r>
        <w:t>, students face obstacles in developing the habits of mind and discipline of productive work that produce successful learners.  Effective teaching requires teachers and other supportive adults in the classroom to understand students’ strengths and challenges and provide the specific and varied strategies, techniques, content</w:t>
      </w:r>
      <w:r w:rsidR="00787585">
        <w:t>,</w:t>
      </w:r>
      <w:r>
        <w:t xml:space="preserve"> and engaging tasks to maximize students’ intellectual and social</w:t>
      </w:r>
      <w:r w:rsidR="00285B3D">
        <w:t>-</w:t>
      </w:r>
      <w:r>
        <w:t xml:space="preserve">emotional growth and development.  When these conditions and others are met, </w:t>
      </w:r>
      <w:r w:rsidR="00285B3D">
        <w:t>students</w:t>
      </w:r>
      <w:r>
        <w:t xml:space="preserve"> can leave secondary education prepared for college, career, work</w:t>
      </w:r>
      <w:r w:rsidR="00247A5F">
        <w:t>,</w:t>
      </w:r>
      <w:r>
        <w:t xml:space="preserve"> and civic </w:t>
      </w:r>
      <w:r w:rsidR="0013081A">
        <w:t>engagement</w:t>
      </w:r>
      <w:r>
        <w:t xml:space="preserve">. </w:t>
      </w:r>
    </w:p>
    <w:p w14:paraId="7B936953" w14:textId="77777777" w:rsidR="008D5152" w:rsidRDefault="008D5152" w:rsidP="000464AC">
      <w:pPr>
        <w:tabs>
          <w:tab w:val="left" w:pos="360"/>
          <w:tab w:val="left" w:pos="720"/>
          <w:tab w:val="left" w:pos="1080"/>
          <w:tab w:val="left" w:pos="1440"/>
          <w:tab w:val="left" w:pos="1800"/>
          <w:tab w:val="left" w:pos="2160"/>
        </w:tabs>
        <w:rPr>
          <w:b/>
          <w:sz w:val="28"/>
          <w:szCs w:val="28"/>
        </w:rPr>
      </w:pPr>
    </w:p>
    <w:p w14:paraId="20ACFCF0" w14:textId="77777777" w:rsidR="00C04ED6" w:rsidRDefault="000464AC" w:rsidP="00EC5B5A">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50F958D4" w14:textId="75E09C15" w:rsidR="000464AC" w:rsidRPr="00EC5B5A" w:rsidRDefault="00C04ED6" w:rsidP="00C04ED6">
      <w:pPr>
        <w:tabs>
          <w:tab w:val="left" w:pos="360"/>
          <w:tab w:val="left" w:pos="720"/>
          <w:tab w:val="left" w:pos="1080"/>
          <w:tab w:val="left" w:pos="1440"/>
          <w:tab w:val="left" w:pos="1800"/>
          <w:tab w:val="left" w:pos="2160"/>
        </w:tabs>
        <w:ind w:left="360" w:hanging="360"/>
        <w:rPr>
          <w:b/>
          <w:sz w:val="28"/>
          <w:szCs w:val="28"/>
        </w:rPr>
      </w:pPr>
      <w:r>
        <w:rPr>
          <w:b/>
        </w:rPr>
        <w:t>1.</w:t>
      </w:r>
      <w:r>
        <w:rPr>
          <w:b/>
        </w:rPr>
        <w:tab/>
      </w:r>
      <w:r w:rsidR="0064287E">
        <w:rPr>
          <w:b/>
        </w:rPr>
        <w:t>T</w:t>
      </w:r>
      <w:r w:rsidR="0064287E" w:rsidRPr="00EC5B5A">
        <w:rPr>
          <w:b/>
        </w:rPr>
        <w:t xml:space="preserve">he </w:t>
      </w:r>
      <w:r w:rsidR="000464AC" w:rsidRPr="00EC5B5A">
        <w:rPr>
          <w:b/>
        </w:rPr>
        <w:t xml:space="preserve">district </w:t>
      </w:r>
      <w:r w:rsidR="0064287E">
        <w:rPr>
          <w:b/>
        </w:rPr>
        <w:t xml:space="preserve">should ensure that all </w:t>
      </w:r>
      <w:r w:rsidR="000464AC" w:rsidRPr="00EC5B5A">
        <w:rPr>
          <w:b/>
        </w:rPr>
        <w:t xml:space="preserve">teachers </w:t>
      </w:r>
      <w:r w:rsidR="0064287E">
        <w:rPr>
          <w:b/>
        </w:rPr>
        <w:t>provide effective instruction</w:t>
      </w:r>
      <w:r w:rsidR="00675835" w:rsidRPr="00EC5B5A">
        <w:rPr>
          <w:b/>
        </w:rPr>
        <w:t xml:space="preserve"> that </w:t>
      </w:r>
      <w:r w:rsidR="00FD2170" w:rsidRPr="00EC5B5A">
        <w:rPr>
          <w:b/>
        </w:rPr>
        <w:t>challenge</w:t>
      </w:r>
      <w:r w:rsidR="0064287E">
        <w:rPr>
          <w:b/>
        </w:rPr>
        <w:t>s</w:t>
      </w:r>
      <w:r w:rsidR="00FD2170" w:rsidRPr="00EC5B5A">
        <w:rPr>
          <w:b/>
        </w:rPr>
        <w:t xml:space="preserve"> </w:t>
      </w:r>
      <w:r w:rsidR="0064287E">
        <w:rPr>
          <w:b/>
        </w:rPr>
        <w:t xml:space="preserve">and supports all </w:t>
      </w:r>
      <w:r w:rsidR="00FD2170" w:rsidRPr="00EC5B5A">
        <w:rPr>
          <w:b/>
        </w:rPr>
        <w:t>students</w:t>
      </w:r>
      <w:r w:rsidR="000464AC" w:rsidRPr="00EC5B5A">
        <w:rPr>
          <w:b/>
        </w:rPr>
        <w:t xml:space="preserve">. </w:t>
      </w:r>
    </w:p>
    <w:p w14:paraId="08D1B0B5" w14:textId="2B51D5C9" w:rsidR="000464AC" w:rsidRDefault="0064287E" w:rsidP="00AE0417">
      <w:pPr>
        <w:pStyle w:val="ListParagraph"/>
        <w:numPr>
          <w:ilvl w:val="2"/>
          <w:numId w:val="11"/>
        </w:numPr>
        <w:tabs>
          <w:tab w:val="left" w:pos="360"/>
          <w:tab w:val="left" w:pos="720"/>
          <w:tab w:val="left" w:pos="1080"/>
          <w:tab w:val="left" w:pos="1440"/>
          <w:tab w:val="left" w:pos="1800"/>
          <w:tab w:val="left" w:pos="2160"/>
        </w:tabs>
        <w:ind w:left="720"/>
      </w:pPr>
      <w:r>
        <w:t>The district</w:t>
      </w:r>
      <w:r w:rsidR="000464AC">
        <w:t xml:space="preserve"> should </w:t>
      </w:r>
      <w:r>
        <w:t xml:space="preserve">convene </w:t>
      </w:r>
      <w:r w:rsidR="000464AC">
        <w:t xml:space="preserve">a </w:t>
      </w:r>
      <w:r>
        <w:t>representative group of teachers and instructional leaders to identify</w:t>
      </w:r>
      <w:r w:rsidR="000464AC" w:rsidRPr="00836D66">
        <w:t xml:space="preserve"> </w:t>
      </w:r>
      <w:r w:rsidR="00AE1BC2">
        <w:t xml:space="preserve">the district’s </w:t>
      </w:r>
      <w:r w:rsidR="000464AC" w:rsidRPr="00836D66">
        <w:t>instruction</w:t>
      </w:r>
      <w:r w:rsidR="00AE1BC2">
        <w:t>al</w:t>
      </w:r>
      <w:r w:rsidR="000464AC" w:rsidRPr="00836D66">
        <w:t xml:space="preserve"> </w:t>
      </w:r>
      <w:r w:rsidR="00AE1BC2">
        <w:t>strengths and challenges</w:t>
      </w:r>
      <w:r w:rsidR="000464AC" w:rsidRPr="00836D66">
        <w:t xml:space="preserve">. </w:t>
      </w:r>
    </w:p>
    <w:p w14:paraId="5CBFF93E" w14:textId="1CF5EB6B" w:rsidR="00AE1BC2" w:rsidRDefault="00004340" w:rsidP="00EC5B5A">
      <w:pPr>
        <w:tabs>
          <w:tab w:val="left" w:pos="360"/>
          <w:tab w:val="left" w:pos="720"/>
          <w:tab w:val="left" w:pos="1080"/>
          <w:tab w:val="left" w:pos="1440"/>
          <w:tab w:val="left" w:pos="1800"/>
          <w:tab w:val="left" w:pos="2160"/>
        </w:tabs>
        <w:ind w:left="1080" w:hanging="720"/>
      </w:pPr>
      <w:r>
        <w:tab/>
      </w:r>
      <w:r w:rsidR="00AE1BC2">
        <w:t>1.</w:t>
      </w:r>
      <w:r w:rsidR="00AE1BC2">
        <w:tab/>
        <w:t>The district’s educator evaluation rubric, classroom walkthrough data, and this report’s Instructional Inventory data (Appendix C) can support this work.</w:t>
      </w:r>
    </w:p>
    <w:p w14:paraId="34CB851B" w14:textId="2630E5F1" w:rsidR="00AE1BC2" w:rsidRDefault="00AE1BC2" w:rsidP="00AE1BC2">
      <w:pPr>
        <w:tabs>
          <w:tab w:val="left" w:pos="360"/>
          <w:tab w:val="left" w:pos="720"/>
          <w:tab w:val="left" w:pos="1080"/>
          <w:tab w:val="left" w:pos="1440"/>
          <w:tab w:val="left" w:pos="1800"/>
          <w:tab w:val="left" w:pos="2160"/>
        </w:tabs>
        <w:ind w:left="1080" w:hanging="720"/>
      </w:pPr>
      <w:r>
        <w:tab/>
        <w:t>2.</w:t>
      </w:r>
      <w:r>
        <w:tab/>
      </w:r>
      <w:r w:rsidR="00943FD8">
        <w:t xml:space="preserve">Areas of focus should include </w:t>
      </w:r>
      <w:r w:rsidR="00F0518F">
        <w:t>engaging</w:t>
      </w:r>
      <w:r w:rsidR="00943FD8">
        <w:t xml:space="preserve"> students </w:t>
      </w:r>
      <w:r w:rsidR="00F0518F">
        <w:t xml:space="preserve">in </w:t>
      </w:r>
      <w:r w:rsidR="00943FD8">
        <w:t xml:space="preserve">higher-order thinking, and </w:t>
      </w:r>
      <w:r w:rsidR="00F0518F">
        <w:t>promoting meaningful discourse about content and students’</w:t>
      </w:r>
      <w:r w:rsidR="00943FD8">
        <w:t xml:space="preserve"> thinking</w:t>
      </w:r>
      <w:r w:rsidR="00F0518F">
        <w:t>, and supporting and challenging students regardless of their learning needs</w:t>
      </w:r>
      <w:r w:rsidR="00943FD8">
        <w:t>.</w:t>
      </w:r>
    </w:p>
    <w:p w14:paraId="3CF21416" w14:textId="6BF84FC7" w:rsidR="00190453" w:rsidRDefault="00190453" w:rsidP="00AE1BC2">
      <w:pPr>
        <w:tabs>
          <w:tab w:val="left" w:pos="360"/>
          <w:tab w:val="left" w:pos="720"/>
          <w:tab w:val="left" w:pos="1080"/>
          <w:tab w:val="left" w:pos="1440"/>
          <w:tab w:val="left" w:pos="1800"/>
          <w:tab w:val="left" w:pos="2160"/>
        </w:tabs>
        <w:ind w:left="1080" w:hanging="720"/>
      </w:pPr>
      <w:r>
        <w:tab/>
        <w:t>3.</w:t>
      </w:r>
      <w:r>
        <w:tab/>
        <w:t xml:space="preserve">The district should consider revising its planning documents to address the identified instructional </w:t>
      </w:r>
      <w:r w:rsidR="0023485E">
        <w:t>challenges and</w:t>
      </w:r>
      <w:r>
        <w:t xml:space="preserve"> should require teachers to consider these areas when they develop student learning or professional practice goal</w:t>
      </w:r>
      <w:r w:rsidR="006D7846">
        <w:t>s</w:t>
      </w:r>
      <w:r>
        <w:t>.</w:t>
      </w:r>
    </w:p>
    <w:p w14:paraId="29996D64" w14:textId="0C4D02CE" w:rsidR="00943FD8" w:rsidRDefault="00943FD8" w:rsidP="00AE1BC2">
      <w:pPr>
        <w:tabs>
          <w:tab w:val="left" w:pos="360"/>
          <w:tab w:val="left" w:pos="720"/>
          <w:tab w:val="left" w:pos="1080"/>
          <w:tab w:val="left" w:pos="1440"/>
          <w:tab w:val="left" w:pos="1800"/>
          <w:tab w:val="left" w:pos="2160"/>
        </w:tabs>
        <w:ind w:left="1080" w:hanging="720"/>
      </w:pPr>
      <w:r>
        <w:tab/>
      </w:r>
      <w:r w:rsidR="00190453">
        <w:t>4</w:t>
      </w:r>
      <w:r>
        <w:t>.</w:t>
      </w:r>
      <w:r>
        <w:tab/>
        <w:t>Professional development should focus on instructional areas that need strengthening as applied to the specific curricula that students and teachers work with every day.</w:t>
      </w:r>
    </w:p>
    <w:p w14:paraId="01715588" w14:textId="53259083" w:rsidR="00190453" w:rsidRPr="00EC5B5A" w:rsidRDefault="00190453" w:rsidP="00190453">
      <w:pPr>
        <w:tabs>
          <w:tab w:val="left" w:pos="360"/>
          <w:tab w:val="left" w:pos="720"/>
          <w:tab w:val="left" w:pos="1080"/>
          <w:tab w:val="left" w:pos="1440"/>
          <w:tab w:val="left" w:pos="1800"/>
          <w:tab w:val="left" w:pos="2160"/>
        </w:tabs>
        <w:ind w:left="720" w:hanging="360"/>
        <w:rPr>
          <w:b/>
        </w:rPr>
      </w:pPr>
      <w:r w:rsidRPr="00EC5B5A">
        <w:rPr>
          <w:b/>
        </w:rPr>
        <w:lastRenderedPageBreak/>
        <w:t>B.</w:t>
      </w:r>
      <w:r>
        <w:rPr>
          <w:b/>
        </w:rPr>
        <w:tab/>
      </w:r>
      <w:r w:rsidRPr="00EC5B5A">
        <w:t>The district is encouraged to provide</w:t>
      </w:r>
      <w:r>
        <w:t xml:space="preserve"> opportunities for educators to discuss ideas and strategies for improvement of instruction.</w:t>
      </w:r>
    </w:p>
    <w:p w14:paraId="6F74D49C" w14:textId="08627E0E" w:rsidR="000464AC" w:rsidRDefault="00EE3625" w:rsidP="000464AC">
      <w:pPr>
        <w:pStyle w:val="ListParagraph"/>
        <w:numPr>
          <w:ilvl w:val="6"/>
          <w:numId w:val="18"/>
        </w:numPr>
        <w:tabs>
          <w:tab w:val="left" w:pos="360"/>
          <w:tab w:val="left" w:pos="720"/>
          <w:tab w:val="left" w:pos="1080"/>
          <w:tab w:val="left" w:pos="1440"/>
          <w:tab w:val="left" w:pos="1800"/>
          <w:tab w:val="left" w:pos="2160"/>
        </w:tabs>
        <w:ind w:left="1080"/>
      </w:pPr>
      <w:r>
        <w:t>These opportunities might include grade-level, department meetings, common planning time,</w:t>
      </w:r>
      <w:r w:rsidR="000464AC">
        <w:t xml:space="preserve"> faculty meetings and</w:t>
      </w:r>
      <w:r>
        <w:t xml:space="preserve"> professional days</w:t>
      </w:r>
      <w:r w:rsidR="000464AC">
        <w:t>.</w:t>
      </w:r>
    </w:p>
    <w:p w14:paraId="700D6219" w14:textId="77777777" w:rsidR="000464AC" w:rsidRDefault="000464AC" w:rsidP="000464AC">
      <w:pPr>
        <w:pStyle w:val="ListParagraph"/>
        <w:tabs>
          <w:tab w:val="left" w:pos="360"/>
          <w:tab w:val="left" w:pos="720"/>
          <w:tab w:val="left" w:pos="1080"/>
          <w:tab w:val="left" w:pos="1440"/>
          <w:tab w:val="left" w:pos="1800"/>
          <w:tab w:val="left" w:pos="2160"/>
        </w:tabs>
        <w:ind w:left="1080"/>
      </w:pPr>
    </w:p>
    <w:p w14:paraId="4C795BFB" w14:textId="7920A021" w:rsidR="000464AC" w:rsidRPr="00646CC3" w:rsidRDefault="000464AC" w:rsidP="000464AC">
      <w:pPr>
        <w:pStyle w:val="ListParagraph"/>
        <w:numPr>
          <w:ilvl w:val="6"/>
          <w:numId w:val="18"/>
        </w:numPr>
        <w:tabs>
          <w:tab w:val="left" w:pos="360"/>
          <w:tab w:val="left" w:pos="720"/>
          <w:tab w:val="left" w:pos="1080"/>
          <w:tab w:val="left" w:pos="1440"/>
          <w:tab w:val="left" w:pos="1800"/>
          <w:tab w:val="left" w:pos="2160"/>
        </w:tabs>
        <w:ind w:left="1080"/>
      </w:pPr>
      <w:r>
        <w:t>District leaders and principals should continue to meet regularly with coaches to share their perspectives g</w:t>
      </w:r>
      <w:r w:rsidR="00B178CD">
        <w:t>leaned</w:t>
      </w:r>
      <w:r>
        <w:t xml:space="preserve"> from walkthroughs and to </w:t>
      </w:r>
      <w:r w:rsidR="00464D14">
        <w:t xml:space="preserve">continually improve support for </w:t>
      </w:r>
      <w:r>
        <w:t>coaching as an integra</w:t>
      </w:r>
      <w:r w:rsidR="00806FF0">
        <w:t>ted and targeted improvement strategy.</w:t>
      </w:r>
      <w:r>
        <w:t xml:space="preserve"> </w:t>
      </w:r>
    </w:p>
    <w:p w14:paraId="66CA929C" w14:textId="77777777" w:rsidR="000464AC" w:rsidRPr="005526B9" w:rsidRDefault="000464AC" w:rsidP="000464AC">
      <w:pPr>
        <w:pStyle w:val="ListParagraph"/>
        <w:tabs>
          <w:tab w:val="left" w:pos="360"/>
          <w:tab w:val="left" w:pos="720"/>
          <w:tab w:val="left" w:pos="1080"/>
          <w:tab w:val="left" w:pos="1440"/>
          <w:tab w:val="left" w:pos="1800"/>
          <w:tab w:val="left" w:pos="2160"/>
        </w:tabs>
        <w:ind w:left="1080"/>
      </w:pPr>
    </w:p>
    <w:p w14:paraId="34E57997" w14:textId="21379E54" w:rsidR="000464AC" w:rsidRDefault="000464AC" w:rsidP="0099020C">
      <w:pPr>
        <w:pStyle w:val="ListParagraph"/>
        <w:numPr>
          <w:ilvl w:val="0"/>
          <w:numId w:val="82"/>
        </w:numPr>
        <w:tabs>
          <w:tab w:val="left" w:pos="360"/>
          <w:tab w:val="left" w:pos="720"/>
          <w:tab w:val="left" w:pos="1080"/>
          <w:tab w:val="left" w:pos="1440"/>
          <w:tab w:val="left" w:pos="1800"/>
          <w:tab w:val="left" w:pos="2160"/>
        </w:tabs>
        <w:ind w:left="720"/>
        <w:contextualSpacing w:val="0"/>
      </w:pPr>
      <w:r>
        <w:t xml:space="preserve">Based on lesson observations, the high school </w:t>
      </w:r>
      <w:r w:rsidR="00A81149">
        <w:t xml:space="preserve">should </w:t>
      </w:r>
      <w:r>
        <w:t>focus on helping teachers maximize the richness in the curriculum by using more active learning, student-centered techniques</w:t>
      </w:r>
      <w:r w:rsidR="00806FF0">
        <w:t xml:space="preserve"> such as collaborative projects, performances, and research</w:t>
      </w:r>
      <w:r>
        <w:t xml:space="preserve"> that reflect</w:t>
      </w:r>
      <w:r w:rsidR="000C06CB">
        <w:t>s</w:t>
      </w:r>
      <w:r>
        <w:t xml:space="preserve"> the intellectual depth of the analytical and critical thinking of the</w:t>
      </w:r>
      <w:r w:rsidR="00806FF0">
        <w:t xml:space="preserve"> curriculum and its</w:t>
      </w:r>
      <w:r>
        <w:t xml:space="preserve"> </w:t>
      </w:r>
      <w:r w:rsidR="00A81149">
        <w:t>Understanding by Design (</w:t>
      </w:r>
      <w:proofErr w:type="spellStart"/>
      <w:r>
        <w:t>UbD</w:t>
      </w:r>
      <w:proofErr w:type="spellEnd"/>
      <w:r w:rsidR="00A81149">
        <w:t>)</w:t>
      </w:r>
      <w:r>
        <w:t xml:space="preserve"> framework. </w:t>
      </w:r>
    </w:p>
    <w:p w14:paraId="713DF8A6" w14:textId="29E1F5CA" w:rsidR="000464AC" w:rsidRDefault="000464AC" w:rsidP="0009417D">
      <w:pPr>
        <w:pStyle w:val="ListParagraph"/>
        <w:numPr>
          <w:ilvl w:val="0"/>
          <w:numId w:val="82"/>
        </w:numPr>
        <w:tabs>
          <w:tab w:val="left" w:pos="360"/>
          <w:tab w:val="left" w:pos="720"/>
          <w:tab w:val="left" w:pos="1080"/>
          <w:tab w:val="left" w:pos="1440"/>
          <w:tab w:val="left" w:pos="1800"/>
          <w:tab w:val="left" w:pos="2160"/>
        </w:tabs>
        <w:ind w:left="720"/>
        <w:contextualSpacing w:val="0"/>
      </w:pPr>
      <w:r>
        <w:t>Coaches and department heads should continue to support teachers at all levels in using disaggregated assessment data to develop</w:t>
      </w:r>
      <w:r w:rsidR="00806FF0">
        <w:t xml:space="preserve"> instructional strategies and define</w:t>
      </w:r>
      <w:r>
        <w:t xml:space="preserve"> teaching groups </w:t>
      </w:r>
      <w:r w:rsidR="00806FF0">
        <w:t xml:space="preserve">and the </w:t>
      </w:r>
      <w:r>
        <w:t xml:space="preserve">activities that </w:t>
      </w:r>
      <w:r w:rsidR="00806FF0">
        <w:t xml:space="preserve">will </w:t>
      </w:r>
      <w:r>
        <w:t>support all students</w:t>
      </w:r>
      <w:r w:rsidR="00806FF0">
        <w:t xml:space="preserve"> to make progress</w:t>
      </w:r>
      <w:r>
        <w:t xml:space="preserve">, regardless of learning needs. </w:t>
      </w:r>
    </w:p>
    <w:p w14:paraId="5EED5403" w14:textId="2161CA89" w:rsidR="00785A01" w:rsidRDefault="0099020C" w:rsidP="00EC5B5A">
      <w:pPr>
        <w:tabs>
          <w:tab w:val="left" w:pos="360"/>
          <w:tab w:val="left" w:pos="720"/>
          <w:tab w:val="left" w:pos="1080"/>
          <w:tab w:val="left" w:pos="1440"/>
          <w:tab w:val="left" w:pos="1800"/>
          <w:tab w:val="left" w:pos="2160"/>
        </w:tabs>
        <w:ind w:left="720" w:hanging="360"/>
      </w:pPr>
      <w:r>
        <w:rPr>
          <w:b/>
        </w:rPr>
        <w:t>E</w:t>
      </w:r>
      <w:r w:rsidR="00891CE7" w:rsidRPr="00A81149">
        <w:rPr>
          <w:b/>
        </w:rPr>
        <w:t>.</w:t>
      </w:r>
      <w:r w:rsidR="00891CE7">
        <w:t xml:space="preserve">  </w:t>
      </w:r>
      <w:r w:rsidR="00086F6F">
        <w:tab/>
      </w:r>
      <w:r w:rsidR="00785A01">
        <w:t>High</w:t>
      </w:r>
      <w:r w:rsidR="00A81149">
        <w:t>-</w:t>
      </w:r>
      <w:r w:rsidR="00785A01">
        <w:t>school teachers do not necessarily need to be clustered by department each week to work on instructional improvement.  Rich discussions and improved practices can develop when interdisciplinary teacher teams collaborate during c</w:t>
      </w:r>
      <w:r w:rsidR="000C06CB">
        <w:t>oncurrent</w:t>
      </w:r>
      <w:r w:rsidR="00785A01">
        <w:t xml:space="preserve"> free periods.</w:t>
      </w:r>
    </w:p>
    <w:p w14:paraId="4A393CCA" w14:textId="6C395AFB" w:rsidR="000464AC" w:rsidRDefault="000464AC" w:rsidP="000464AC">
      <w:pPr>
        <w:tabs>
          <w:tab w:val="left" w:pos="0"/>
          <w:tab w:val="left" w:pos="360"/>
          <w:tab w:val="left" w:pos="1080"/>
          <w:tab w:val="left" w:pos="1440"/>
          <w:tab w:val="left" w:pos="1800"/>
          <w:tab w:val="left" w:pos="2160"/>
        </w:tabs>
      </w:pPr>
      <w:r w:rsidRPr="00802336">
        <w:rPr>
          <w:b/>
        </w:rPr>
        <w:t>Benefits</w:t>
      </w:r>
      <w:r w:rsidR="00A81149">
        <w:rPr>
          <w:b/>
        </w:rPr>
        <w:t>:</w:t>
      </w:r>
      <w:r w:rsidRPr="00870959">
        <w:t xml:space="preserve"> </w:t>
      </w:r>
      <w:r w:rsidR="000C06CB">
        <w:t>I</w:t>
      </w:r>
      <w:r w:rsidR="000C06CB" w:rsidRPr="00870959">
        <w:t xml:space="preserve">mplementing </w:t>
      </w:r>
      <w:r w:rsidRPr="00870959">
        <w:t>this recommendation</w:t>
      </w:r>
      <w:r>
        <w:t xml:space="preserve"> </w:t>
      </w:r>
      <w:r w:rsidR="00A81149">
        <w:t>will mean</w:t>
      </w:r>
      <w:r>
        <w:t xml:space="preserve"> a </w:t>
      </w:r>
      <w:r w:rsidR="00A81149">
        <w:t xml:space="preserve">deeper </w:t>
      </w:r>
      <w:r>
        <w:t xml:space="preserve">understanding of </w:t>
      </w:r>
      <w:r w:rsidR="00A81149">
        <w:t>instructional strengths and challenges across the district, a stronger culture</w:t>
      </w:r>
      <w:r>
        <w:t xml:space="preserve"> </w:t>
      </w:r>
      <w:r w:rsidR="00A81149">
        <w:t xml:space="preserve">of professional growth and improvement, </w:t>
      </w:r>
      <w:r>
        <w:t xml:space="preserve">and </w:t>
      </w:r>
      <w:r w:rsidR="00A81149">
        <w:t>instruction that is more clearly aligned with district priorities</w:t>
      </w:r>
      <w:r>
        <w:t>.  By using disaggregated data to match learning activities with learning needs, instruction can be more inclusive and address students’ specific strengths and challenges.  Overall, stronger instructional practices can help ensure improved learning outcomes for all students.</w:t>
      </w:r>
    </w:p>
    <w:p w14:paraId="10DDEB00" w14:textId="71B277B5" w:rsidR="000464AC" w:rsidRDefault="000464AC" w:rsidP="000464AC">
      <w:pPr>
        <w:tabs>
          <w:tab w:val="left" w:pos="360"/>
          <w:tab w:val="left" w:pos="720"/>
          <w:tab w:val="left" w:pos="1080"/>
          <w:tab w:val="left" w:pos="1800"/>
          <w:tab w:val="left" w:pos="2160"/>
        </w:tabs>
        <w:rPr>
          <w:b/>
        </w:rPr>
      </w:pPr>
      <w:r w:rsidRPr="001D4EB6">
        <w:rPr>
          <w:b/>
        </w:rPr>
        <w:t>Recommended resources:</w:t>
      </w:r>
    </w:p>
    <w:p w14:paraId="66A7612C" w14:textId="2399B041" w:rsidR="00A81149" w:rsidRPr="00A81149" w:rsidRDefault="00A81149" w:rsidP="00EC5B5A">
      <w:pPr>
        <w:pStyle w:val="ListParagraph"/>
        <w:numPr>
          <w:ilvl w:val="0"/>
          <w:numId w:val="67"/>
        </w:numPr>
        <w:tabs>
          <w:tab w:val="left" w:pos="360"/>
          <w:tab w:val="left" w:pos="720"/>
          <w:tab w:val="left" w:pos="1080"/>
          <w:tab w:val="left" w:pos="1800"/>
          <w:tab w:val="left" w:pos="2160"/>
        </w:tabs>
        <w:ind w:left="360"/>
        <w:contextualSpacing w:val="0"/>
        <w:rPr>
          <w:b/>
        </w:rPr>
      </w:pPr>
      <w:r>
        <w:t>D</w:t>
      </w:r>
      <w:r w:rsidRPr="00470E6C">
        <w:t xml:space="preserve">ESE’s </w:t>
      </w:r>
      <w:r w:rsidRPr="00A81149">
        <w:rPr>
          <w:i/>
        </w:rPr>
        <w:t>"What to Look For" Observation Guides</w:t>
      </w:r>
      <w:r w:rsidRPr="00470E6C">
        <w:t xml:space="preserve"> (Updated August 2017) </w:t>
      </w:r>
      <w:r w:rsidR="007020C7">
        <w:t>(</w:t>
      </w:r>
      <w:hyperlink r:id="rId21" w:history="1">
        <w:r w:rsidR="007020C7" w:rsidRPr="007020C7">
          <w:rPr>
            <w:rStyle w:val="Hyperlink"/>
          </w:rPr>
          <w:t>http://www.doe.mass.edu/frameworks/observation/</w:t>
        </w:r>
      </w:hyperlink>
      <w:r w:rsidR="007020C7">
        <w:t>)</w:t>
      </w:r>
      <w:r w:rsidRPr="00470E6C">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proofErr w:type="gramStart"/>
      <w:r w:rsidRPr="00470E6C">
        <w:t>use, but</w:t>
      </w:r>
      <w:proofErr w:type="gramEnd"/>
      <w:r w:rsidRPr="00470E6C">
        <w:t xml:space="preserve"> are a resource to help classroom observers efficiently identify what teachers and students should be experiencing in specific subjects and grade levels.</w:t>
      </w:r>
    </w:p>
    <w:p w14:paraId="45DEA4C3" w14:textId="77777777" w:rsidR="00A81149" w:rsidRPr="00131ECA" w:rsidRDefault="00A81149" w:rsidP="00A81149">
      <w:pPr>
        <w:pStyle w:val="ListParagraph"/>
        <w:numPr>
          <w:ilvl w:val="0"/>
          <w:numId w:val="28"/>
        </w:numPr>
        <w:tabs>
          <w:tab w:val="left" w:pos="360"/>
          <w:tab w:val="left" w:pos="720"/>
          <w:tab w:val="left" w:pos="1080"/>
          <w:tab w:val="left" w:pos="1800"/>
          <w:tab w:val="left" w:pos="2160"/>
        </w:tabs>
        <w:ind w:left="360"/>
        <w:contextualSpacing w:val="0"/>
      </w:pPr>
      <w:r>
        <w:rPr>
          <w:rFonts w:cs="Calibri"/>
        </w:rPr>
        <w:t xml:space="preserve">DESE’s </w:t>
      </w:r>
      <w:r>
        <w:rPr>
          <w:rFonts w:cs="Calibri"/>
          <w:i/>
        </w:rPr>
        <w:t>Online Calibration Training Platform</w:t>
      </w:r>
      <w:r>
        <w:rPr>
          <w:rFonts w:cs="Calibri"/>
        </w:rPr>
        <w:t xml:space="preserve"> (</w:t>
      </w:r>
      <w:hyperlink r:id="rId22" w:history="1">
        <w:r>
          <w:rPr>
            <w:rStyle w:val="Hyperlink"/>
            <w:rFonts w:cs="Tahoma"/>
          </w:rPr>
          <w:t>http://www.doe.mass.edu/edeval/resources/calibration/</w:t>
        </w:r>
      </w:hyperlink>
      <w:r>
        <w:rPr>
          <w:rFonts w:cs="Calibri"/>
        </w:rPr>
        <w:t xml:space="preserve">) uses videos of classroom instruction to </w:t>
      </w:r>
      <w:r>
        <w:rPr>
          <w:rFonts w:cs="Calibri"/>
        </w:rPr>
        <w:lastRenderedPageBreak/>
        <w:t>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2C8D1BC5" w14:textId="6F644CE9" w:rsidR="000464AC" w:rsidRPr="00910462" w:rsidRDefault="007020C7" w:rsidP="00EC5B5A">
      <w:pPr>
        <w:numPr>
          <w:ilvl w:val="0"/>
          <w:numId w:val="28"/>
        </w:numPr>
        <w:ind w:left="360"/>
        <w:rPr>
          <w:rFonts w:cs="Calibri"/>
        </w:rPr>
      </w:pPr>
      <w:r>
        <w:rPr>
          <w:rFonts w:cs="Calibri"/>
        </w:rPr>
        <w:t>D</w:t>
      </w:r>
      <w:r w:rsidR="000464AC" w:rsidRPr="00910462">
        <w:rPr>
          <w:rFonts w:cs="Calibri"/>
        </w:rPr>
        <w:t xml:space="preserve">ESE’s </w:t>
      </w:r>
      <w:r w:rsidR="000464AC" w:rsidRPr="00910462">
        <w:rPr>
          <w:rFonts w:cs="Calibri"/>
          <w:i/>
        </w:rPr>
        <w:t>Learning Walkthrough Implementation Guide</w:t>
      </w:r>
      <w:r w:rsidR="000464AC" w:rsidRPr="00910462">
        <w:rPr>
          <w:rFonts w:cs="Calibri"/>
        </w:rPr>
        <w:t xml:space="preserve"> (</w:t>
      </w:r>
      <w:hyperlink r:id="rId23" w:history="1">
        <w:r w:rsidRPr="007020C7">
          <w:rPr>
            <w:rStyle w:val="Hyperlink"/>
          </w:rPr>
          <w:t>http://www.doe.mass.edu/educators/title-iia/ImplementationGuide2016.docx</w:t>
        </w:r>
      </w:hyperlink>
      <w:r>
        <w:rPr>
          <w:rStyle w:val="Hyperlink"/>
        </w:rPr>
        <w:t xml:space="preserve"> </w:t>
      </w:r>
      <w:r w:rsidR="000464AC" w:rsidRPr="00910462">
        <w:rPr>
          <w:rFonts w:cs="Calibri"/>
        </w:rPr>
        <w:t xml:space="preserve">) is a resource to support instructional leaders in establishing a </w:t>
      </w:r>
      <w:r w:rsidR="000464AC" w:rsidRPr="00910462">
        <w:rPr>
          <w:rFonts w:cs="Calibri"/>
          <w:i/>
          <w:iCs/>
        </w:rPr>
        <w:t xml:space="preserve">Learning Walkthrough </w:t>
      </w:r>
      <w:r w:rsidR="000464AC"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3C6F13F5" w14:textId="77777777" w:rsidR="000464AC" w:rsidRPr="00910462" w:rsidRDefault="000464AC" w:rsidP="00EC5B5A">
      <w:pPr>
        <w:ind w:left="36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24"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14:paraId="6A32C9F0" w14:textId="77777777" w:rsidR="0023695F" w:rsidRDefault="00342350" w:rsidP="0023695F">
      <w:pPr>
        <w:pStyle w:val="Section"/>
      </w:pPr>
      <w:bookmarkStart w:id="13" w:name="_Toc536687551"/>
      <w:r>
        <w:lastRenderedPageBreak/>
        <w:t>Assessment</w:t>
      </w:r>
      <w:bookmarkEnd w:id="13"/>
    </w:p>
    <w:p w14:paraId="3979FC77" w14:textId="77777777" w:rsidR="00342350" w:rsidRPr="00C412C4" w:rsidRDefault="00342350" w:rsidP="00235976">
      <w:pPr>
        <w:rPr>
          <w:b/>
          <w:i/>
          <w:sz w:val="28"/>
          <w:szCs w:val="28"/>
        </w:rPr>
      </w:pPr>
      <w:r w:rsidRPr="00C412C4">
        <w:rPr>
          <w:b/>
          <w:i/>
          <w:sz w:val="28"/>
          <w:szCs w:val="28"/>
        </w:rPr>
        <w:t>Contextual Background</w:t>
      </w:r>
    </w:p>
    <w:p w14:paraId="676AE858" w14:textId="49D1CB93" w:rsidR="005634AD" w:rsidRDefault="005634AD" w:rsidP="005634AD">
      <w:pPr>
        <w:pStyle w:val="CommentText"/>
        <w:spacing w:line="276" w:lineRule="auto"/>
        <w:rPr>
          <w:rFonts w:ascii="Calibri" w:hAnsi="Calibri"/>
          <w:sz w:val="22"/>
          <w:szCs w:val="22"/>
        </w:rPr>
      </w:pPr>
      <w:r w:rsidRPr="00E37A3E">
        <w:rPr>
          <w:rFonts w:ascii="Calibri" w:hAnsi="Calibri"/>
          <w:sz w:val="22"/>
          <w:szCs w:val="22"/>
        </w:rPr>
        <w:t xml:space="preserve">The district’s </w:t>
      </w:r>
      <w:r w:rsidR="000C06CB">
        <w:rPr>
          <w:rFonts w:ascii="Calibri" w:hAnsi="Calibri"/>
          <w:sz w:val="22"/>
          <w:szCs w:val="22"/>
        </w:rPr>
        <w:t xml:space="preserve">office </w:t>
      </w:r>
      <w:r>
        <w:rPr>
          <w:rFonts w:ascii="Calibri" w:hAnsi="Calibri"/>
          <w:sz w:val="22"/>
          <w:szCs w:val="22"/>
        </w:rPr>
        <w:t xml:space="preserve">of </w:t>
      </w:r>
      <w:r w:rsidR="000C06CB">
        <w:rPr>
          <w:rFonts w:ascii="Calibri" w:hAnsi="Calibri"/>
          <w:sz w:val="22"/>
          <w:szCs w:val="22"/>
        </w:rPr>
        <w:t xml:space="preserve">teaching </w:t>
      </w:r>
      <w:r>
        <w:rPr>
          <w:rFonts w:ascii="Calibri" w:hAnsi="Calibri"/>
          <w:sz w:val="22"/>
          <w:szCs w:val="22"/>
        </w:rPr>
        <w:t xml:space="preserve">and </w:t>
      </w:r>
      <w:r w:rsidR="000C06CB">
        <w:rPr>
          <w:rFonts w:ascii="Calibri" w:hAnsi="Calibri"/>
          <w:sz w:val="22"/>
          <w:szCs w:val="22"/>
        </w:rPr>
        <w:t>learning</w:t>
      </w:r>
      <w:r w:rsidR="000C06CB" w:rsidRPr="00E37A3E">
        <w:rPr>
          <w:rFonts w:ascii="Calibri" w:hAnsi="Calibri"/>
          <w:sz w:val="22"/>
          <w:szCs w:val="22"/>
        </w:rPr>
        <w:t xml:space="preserve"> </w:t>
      </w:r>
      <w:r w:rsidRPr="00E37A3E">
        <w:rPr>
          <w:rFonts w:ascii="Calibri" w:hAnsi="Calibri"/>
          <w:sz w:val="22"/>
          <w:szCs w:val="22"/>
        </w:rPr>
        <w:t xml:space="preserve">oversees the </w:t>
      </w:r>
      <w:r>
        <w:rPr>
          <w:rFonts w:ascii="Calibri" w:hAnsi="Calibri"/>
          <w:sz w:val="22"/>
          <w:szCs w:val="22"/>
        </w:rPr>
        <w:t xml:space="preserve">collection, </w:t>
      </w:r>
      <w:r w:rsidRPr="00E37A3E">
        <w:rPr>
          <w:rFonts w:ascii="Calibri" w:hAnsi="Calibri"/>
          <w:sz w:val="22"/>
          <w:szCs w:val="22"/>
        </w:rPr>
        <w:t>analysis</w:t>
      </w:r>
      <w:r>
        <w:rPr>
          <w:rFonts w:ascii="Calibri" w:hAnsi="Calibri"/>
          <w:sz w:val="22"/>
          <w:szCs w:val="22"/>
        </w:rPr>
        <w:t xml:space="preserve">, and sharing </w:t>
      </w:r>
      <w:r w:rsidR="003A3B57">
        <w:rPr>
          <w:rFonts w:ascii="Calibri" w:hAnsi="Calibri"/>
          <w:sz w:val="22"/>
          <w:szCs w:val="22"/>
        </w:rPr>
        <w:t xml:space="preserve">of student assessment data </w:t>
      </w:r>
      <w:r>
        <w:rPr>
          <w:rFonts w:ascii="Calibri" w:hAnsi="Calibri"/>
          <w:sz w:val="22"/>
          <w:szCs w:val="22"/>
        </w:rPr>
        <w:t>for the district.</w:t>
      </w:r>
      <w:r w:rsidRPr="00E37A3E">
        <w:rPr>
          <w:rFonts w:ascii="Calibri" w:hAnsi="Calibri"/>
          <w:sz w:val="22"/>
          <w:szCs w:val="22"/>
        </w:rPr>
        <w:t xml:space="preserve"> </w:t>
      </w:r>
      <w:r>
        <w:rPr>
          <w:rFonts w:ascii="Calibri" w:hAnsi="Calibri"/>
          <w:sz w:val="22"/>
          <w:szCs w:val="22"/>
        </w:rPr>
        <w:t>Additional support is provided to the schools by instructional coaches who</w:t>
      </w:r>
      <w:r w:rsidRPr="00E37A3E">
        <w:rPr>
          <w:rFonts w:ascii="Calibri" w:hAnsi="Calibri"/>
          <w:sz w:val="22"/>
          <w:szCs w:val="22"/>
        </w:rPr>
        <w:t xml:space="preserve"> </w:t>
      </w:r>
      <w:r>
        <w:rPr>
          <w:rFonts w:ascii="Calibri" w:hAnsi="Calibri"/>
          <w:sz w:val="22"/>
          <w:szCs w:val="22"/>
        </w:rPr>
        <w:t>join collaborative team meetings, offer professional development, and hold individual data chats with teachers to review assessment results.</w:t>
      </w:r>
    </w:p>
    <w:p w14:paraId="6FDD06F1" w14:textId="77777777" w:rsidR="000111A8" w:rsidRPr="00456B57" w:rsidRDefault="000111A8" w:rsidP="00406A80">
      <w:pPr>
        <w:tabs>
          <w:tab w:val="left" w:pos="360"/>
          <w:tab w:val="left" w:pos="1080"/>
          <w:tab w:val="left" w:pos="1440"/>
          <w:tab w:val="left" w:pos="1800"/>
          <w:tab w:val="left" w:pos="2160"/>
        </w:tabs>
      </w:pPr>
      <w:r w:rsidRPr="00406A80">
        <w:rPr>
          <w:rFonts w:ascii="Calibri" w:hAnsi="Calibri"/>
        </w:rPr>
        <w:t>Beginning in 2018–2019, all elementary schools administer formative assessments three times annually.</w:t>
      </w:r>
      <w:r w:rsidRPr="00281533">
        <w:rPr>
          <w:rStyle w:val="FootnoteReference"/>
          <w:rFonts w:ascii="Calibri" w:hAnsi="Calibri"/>
        </w:rPr>
        <w:t xml:space="preserve"> </w:t>
      </w:r>
      <w:r w:rsidRPr="00406A80">
        <w:rPr>
          <w:rFonts w:ascii="Calibri" w:hAnsi="Calibri"/>
        </w:rPr>
        <w:t xml:space="preserve">The </w:t>
      </w:r>
      <w:proofErr w:type="spellStart"/>
      <w:r w:rsidRPr="00406A80">
        <w:rPr>
          <w:rFonts w:ascii="Calibri" w:hAnsi="Calibri"/>
        </w:rPr>
        <w:t>i</w:t>
      </w:r>
      <w:proofErr w:type="spellEnd"/>
      <w:r w:rsidRPr="00406A80">
        <w:rPr>
          <w:rFonts w:ascii="Calibri" w:hAnsi="Calibri"/>
        </w:rPr>
        <w:t xml:space="preserve">-Ready diagnostic assessment for reading and mathematics and the Fountas and Pinnell Benchmark Assessment System (BAS) for reading comprise the core battery for English speaking students. </w:t>
      </w:r>
      <w:r>
        <w:t>T</w:t>
      </w:r>
      <w:r w:rsidRPr="00456B57">
        <w:t>o accommodate English learners</w:t>
      </w:r>
      <w:r>
        <w:t xml:space="preserve"> (ELs)</w:t>
      </w:r>
      <w:r w:rsidRPr="00456B57">
        <w:t xml:space="preserve">, elementary schools use the </w:t>
      </w:r>
      <w:r w:rsidRPr="00EC5B5A">
        <w:t>Imagine Learning</w:t>
      </w:r>
      <w:r w:rsidRPr="00263FEA">
        <w:t xml:space="preserve"> </w:t>
      </w:r>
      <w:r w:rsidRPr="00456B57">
        <w:t>Language and Literacy assessment</w:t>
      </w:r>
      <w:r>
        <w:t xml:space="preserve"> </w:t>
      </w:r>
      <w:r w:rsidRPr="00456B57">
        <w:t xml:space="preserve">and district-developed </w:t>
      </w:r>
      <w:r>
        <w:t>English as a second language (</w:t>
      </w:r>
      <w:r w:rsidRPr="00456B57">
        <w:t>ESL</w:t>
      </w:r>
      <w:r>
        <w:t>) w</w:t>
      </w:r>
      <w:r w:rsidRPr="00456B57">
        <w:t>riting assessments</w:t>
      </w:r>
      <w:r w:rsidRPr="006D70A4">
        <w:t>,</w:t>
      </w:r>
      <w:r w:rsidRPr="00281533">
        <w:rPr>
          <w:rStyle w:val="FootnoteReference"/>
          <w:rFonts w:ascii="Calibri" w:hAnsi="Calibri"/>
          <w:vertAlign w:val="baseline"/>
        </w:rPr>
        <w:t xml:space="preserve"> </w:t>
      </w:r>
      <w:r w:rsidRPr="000111A8">
        <w:rPr>
          <w:rStyle w:val="FootnoteReference"/>
          <w:rFonts w:ascii="Calibri" w:hAnsi="Calibri"/>
          <w:vertAlign w:val="baseline"/>
        </w:rPr>
        <w:t>a</w:t>
      </w:r>
      <w:r w:rsidRPr="00406A80">
        <w:rPr>
          <w:rFonts w:ascii="Calibri" w:hAnsi="Calibri"/>
        </w:rPr>
        <w:t xml:space="preserve">s well as the state-mandated </w:t>
      </w:r>
      <w:r w:rsidRPr="00281533">
        <w:rPr>
          <w:bCs/>
        </w:rPr>
        <w:t>Assessing Comprehension and Commun</w:t>
      </w:r>
      <w:r w:rsidRPr="000111A8">
        <w:rPr>
          <w:bCs/>
        </w:rPr>
        <w:t>ication in English State-to-State (</w:t>
      </w:r>
      <w:r w:rsidRPr="00456B57">
        <w:t>ACCESS</w:t>
      </w:r>
      <w:r>
        <w:t xml:space="preserve">) for ELs </w:t>
      </w:r>
      <w:r w:rsidRPr="00456B57">
        <w:t>to measure proficiency in reading, writing, listening, and speaking English.</w:t>
      </w:r>
    </w:p>
    <w:p w14:paraId="0B606871" w14:textId="69D02258" w:rsidR="005634AD" w:rsidRPr="00BC1FB3" w:rsidRDefault="005634AD" w:rsidP="005634AD">
      <w:pPr>
        <w:pStyle w:val="CommentText"/>
        <w:spacing w:line="276" w:lineRule="auto"/>
        <w:rPr>
          <w:rFonts w:ascii="Calibri" w:eastAsia="Calibri" w:hAnsi="Calibri"/>
          <w:sz w:val="22"/>
          <w:szCs w:val="22"/>
        </w:rPr>
      </w:pPr>
      <w:r>
        <w:rPr>
          <w:rFonts w:ascii="Calibri" w:hAnsi="Calibri"/>
          <w:sz w:val="22"/>
          <w:szCs w:val="22"/>
        </w:rPr>
        <w:t>The district is devoting time and resources</w:t>
      </w:r>
      <w:r w:rsidRPr="00E37A3E">
        <w:rPr>
          <w:rFonts w:ascii="Calibri" w:hAnsi="Calibri"/>
          <w:sz w:val="22"/>
          <w:szCs w:val="22"/>
        </w:rPr>
        <w:t xml:space="preserve"> to </w:t>
      </w:r>
      <w:r>
        <w:rPr>
          <w:rFonts w:ascii="Calibri" w:hAnsi="Calibri"/>
          <w:sz w:val="22"/>
          <w:szCs w:val="22"/>
        </w:rPr>
        <w:t>support educators in accessing and reviewing data more effectively and has set up structures, predominately K</w:t>
      </w:r>
      <w:r w:rsidR="007020C7">
        <w:rPr>
          <w:rFonts w:ascii="Calibri" w:hAnsi="Calibri"/>
          <w:sz w:val="22"/>
          <w:szCs w:val="22"/>
        </w:rPr>
        <w:t>–</w:t>
      </w:r>
      <w:r>
        <w:rPr>
          <w:rFonts w:ascii="Calibri" w:hAnsi="Calibri"/>
          <w:sz w:val="22"/>
          <w:szCs w:val="22"/>
        </w:rPr>
        <w:t xml:space="preserve">5, </w:t>
      </w:r>
      <w:r w:rsidRPr="00E37A3E">
        <w:rPr>
          <w:rFonts w:ascii="Calibri" w:hAnsi="Calibri"/>
          <w:sz w:val="22"/>
          <w:szCs w:val="22"/>
        </w:rPr>
        <w:t>to make ongoing progress in this area</w:t>
      </w:r>
      <w:r>
        <w:rPr>
          <w:rFonts w:ascii="Calibri" w:hAnsi="Calibri"/>
          <w:sz w:val="22"/>
          <w:szCs w:val="22"/>
        </w:rPr>
        <w:t>.</w:t>
      </w:r>
      <w:r w:rsidRPr="00BC1FB3">
        <w:rPr>
          <w:rFonts w:ascii="Calibri" w:hAnsi="Calibri"/>
          <w:sz w:val="22"/>
          <w:szCs w:val="22"/>
        </w:rPr>
        <w:t xml:space="preserve"> </w:t>
      </w:r>
      <w:r>
        <w:rPr>
          <w:rFonts w:ascii="Calibri" w:hAnsi="Calibri"/>
          <w:sz w:val="22"/>
          <w:szCs w:val="22"/>
        </w:rPr>
        <w:t>Elementary schools</w:t>
      </w:r>
      <w:r w:rsidRPr="00E37A3E">
        <w:rPr>
          <w:rFonts w:ascii="Calibri" w:hAnsi="Calibri"/>
          <w:sz w:val="22"/>
          <w:szCs w:val="22"/>
        </w:rPr>
        <w:t xml:space="preserve"> </w:t>
      </w:r>
      <w:r>
        <w:rPr>
          <w:rFonts w:ascii="Calibri" w:hAnsi="Calibri"/>
          <w:sz w:val="22"/>
          <w:szCs w:val="22"/>
        </w:rPr>
        <w:t xml:space="preserve">have adopted the </w:t>
      </w:r>
      <w:r w:rsidRPr="00EC5B5A">
        <w:rPr>
          <w:sz w:val="22"/>
          <w:szCs w:val="22"/>
        </w:rPr>
        <w:t>ATLAS Looking at Data</w:t>
      </w:r>
      <w:r>
        <w:rPr>
          <w:sz w:val="22"/>
          <w:szCs w:val="22"/>
        </w:rPr>
        <w:t xml:space="preserve"> pro</w:t>
      </w:r>
      <w:r w:rsidR="00806FF0">
        <w:rPr>
          <w:sz w:val="22"/>
          <w:szCs w:val="22"/>
        </w:rPr>
        <w:t>tocol</w:t>
      </w:r>
      <w:r>
        <w:rPr>
          <w:sz w:val="22"/>
          <w:szCs w:val="22"/>
        </w:rPr>
        <w:t xml:space="preserve"> for structuring their conversations around </w:t>
      </w:r>
      <w:r>
        <w:rPr>
          <w:rFonts w:ascii="Calibri" w:hAnsi="Calibri"/>
          <w:sz w:val="22"/>
          <w:szCs w:val="22"/>
        </w:rPr>
        <w:t>effective data inquir</w:t>
      </w:r>
      <w:r w:rsidRPr="00E37A3E">
        <w:rPr>
          <w:rFonts w:ascii="Calibri" w:hAnsi="Calibri"/>
          <w:sz w:val="22"/>
          <w:szCs w:val="22"/>
        </w:rPr>
        <w:t>y</w:t>
      </w:r>
      <w:r>
        <w:rPr>
          <w:rFonts w:ascii="Calibri" w:hAnsi="Calibri"/>
          <w:sz w:val="22"/>
          <w:szCs w:val="22"/>
        </w:rPr>
        <w:t>.</w:t>
      </w:r>
      <w:r w:rsidRPr="00F91791">
        <w:rPr>
          <w:rFonts w:ascii="Calibri" w:hAnsi="Calibri"/>
          <w:sz w:val="22"/>
          <w:szCs w:val="22"/>
        </w:rPr>
        <w:t xml:space="preserve"> </w:t>
      </w:r>
    </w:p>
    <w:p w14:paraId="0C935CD1" w14:textId="5441E867" w:rsidR="005634AD" w:rsidRPr="00A67805" w:rsidRDefault="005634AD" w:rsidP="005634AD">
      <w:pPr>
        <w:pStyle w:val="CommentText"/>
        <w:spacing w:line="276" w:lineRule="auto"/>
        <w:rPr>
          <w:rFonts w:ascii="Calibri" w:hAnsi="Calibri"/>
          <w:sz w:val="22"/>
          <w:szCs w:val="22"/>
        </w:rPr>
      </w:pPr>
      <w:r w:rsidRPr="0099269F">
        <w:rPr>
          <w:rFonts w:ascii="Calibri" w:hAnsi="Calibri"/>
          <w:sz w:val="22"/>
          <w:szCs w:val="22"/>
        </w:rPr>
        <w:t xml:space="preserve">Data </w:t>
      </w:r>
      <w:r>
        <w:rPr>
          <w:rFonts w:ascii="Calibri" w:hAnsi="Calibri"/>
          <w:sz w:val="22"/>
          <w:szCs w:val="22"/>
        </w:rPr>
        <w:t>review and</w:t>
      </w:r>
      <w:r w:rsidRPr="0099269F">
        <w:rPr>
          <w:rFonts w:ascii="Calibri" w:hAnsi="Calibri"/>
          <w:sz w:val="22"/>
          <w:szCs w:val="22"/>
        </w:rPr>
        <w:t xml:space="preserve"> analysis</w:t>
      </w:r>
      <w:r>
        <w:rPr>
          <w:rFonts w:ascii="Calibri" w:hAnsi="Calibri"/>
          <w:sz w:val="22"/>
          <w:szCs w:val="22"/>
        </w:rPr>
        <w:t xml:space="preserve"> </w:t>
      </w:r>
      <w:r w:rsidRPr="0099269F">
        <w:rPr>
          <w:rFonts w:ascii="Calibri" w:hAnsi="Calibri"/>
          <w:sz w:val="22"/>
          <w:szCs w:val="22"/>
        </w:rPr>
        <w:t xml:space="preserve">practices vary considerably among </w:t>
      </w:r>
      <w:r w:rsidRPr="00A67805">
        <w:rPr>
          <w:rFonts w:ascii="Calibri" w:hAnsi="Calibri"/>
          <w:sz w:val="22"/>
          <w:szCs w:val="22"/>
        </w:rPr>
        <w:t xml:space="preserve">school </w:t>
      </w:r>
      <w:r w:rsidRPr="0099269F">
        <w:rPr>
          <w:rFonts w:ascii="Calibri" w:hAnsi="Calibri"/>
          <w:sz w:val="22"/>
          <w:szCs w:val="22"/>
        </w:rPr>
        <w:t>levels, with the most robust and consistent practice</w:t>
      </w:r>
      <w:r w:rsidRPr="00A67805">
        <w:rPr>
          <w:rFonts w:ascii="Calibri" w:hAnsi="Calibri"/>
          <w:sz w:val="22"/>
          <w:szCs w:val="22"/>
        </w:rPr>
        <w:t>s at the elementary level</w:t>
      </w:r>
      <w:r>
        <w:rPr>
          <w:rFonts w:ascii="Calibri" w:hAnsi="Calibri"/>
          <w:sz w:val="22"/>
          <w:szCs w:val="22"/>
        </w:rPr>
        <w:t>. All e</w:t>
      </w:r>
      <w:r w:rsidRPr="0099269F">
        <w:rPr>
          <w:rFonts w:ascii="Calibri" w:hAnsi="Calibri"/>
          <w:sz w:val="22"/>
          <w:szCs w:val="22"/>
        </w:rPr>
        <w:t xml:space="preserve">lementary </w:t>
      </w:r>
      <w:r w:rsidRPr="00A67805">
        <w:rPr>
          <w:rFonts w:ascii="Calibri" w:hAnsi="Calibri"/>
          <w:sz w:val="22"/>
          <w:szCs w:val="22"/>
        </w:rPr>
        <w:t xml:space="preserve">and </w:t>
      </w:r>
      <w:r w:rsidR="007020C7" w:rsidRPr="00A67805">
        <w:rPr>
          <w:rFonts w:ascii="Calibri" w:hAnsi="Calibri"/>
          <w:sz w:val="22"/>
          <w:szCs w:val="22"/>
        </w:rPr>
        <w:t>middle</w:t>
      </w:r>
      <w:r w:rsidR="007020C7">
        <w:rPr>
          <w:rFonts w:ascii="Calibri" w:hAnsi="Calibri"/>
          <w:sz w:val="22"/>
          <w:szCs w:val="22"/>
        </w:rPr>
        <w:t>-</w:t>
      </w:r>
      <w:r w:rsidRPr="00A67805">
        <w:rPr>
          <w:rFonts w:ascii="Calibri" w:hAnsi="Calibri"/>
          <w:sz w:val="22"/>
          <w:szCs w:val="22"/>
        </w:rPr>
        <w:t>school teachers</w:t>
      </w:r>
      <w:r w:rsidRPr="0099269F">
        <w:rPr>
          <w:rFonts w:ascii="Calibri" w:hAnsi="Calibri"/>
          <w:sz w:val="22"/>
          <w:szCs w:val="22"/>
        </w:rPr>
        <w:t xml:space="preserve"> use the </w:t>
      </w:r>
      <w:proofErr w:type="spellStart"/>
      <w:r w:rsidR="00BD7B41">
        <w:rPr>
          <w:rFonts w:ascii="Calibri" w:hAnsi="Calibri"/>
          <w:sz w:val="22"/>
          <w:szCs w:val="22"/>
        </w:rPr>
        <w:t>i</w:t>
      </w:r>
      <w:proofErr w:type="spellEnd"/>
      <w:r w:rsidR="00BD7B41">
        <w:rPr>
          <w:rFonts w:ascii="Calibri" w:hAnsi="Calibri"/>
          <w:sz w:val="22"/>
          <w:szCs w:val="22"/>
        </w:rPr>
        <w:t>-Read</w:t>
      </w:r>
      <w:r w:rsidR="00BD7B41" w:rsidRPr="00EC5B5A">
        <w:rPr>
          <w:rFonts w:ascii="Calibri" w:hAnsi="Calibri"/>
          <w:sz w:val="22"/>
          <w:szCs w:val="22"/>
        </w:rPr>
        <w:t>y</w:t>
      </w:r>
      <w:r w:rsidRPr="0099269F">
        <w:rPr>
          <w:rFonts w:ascii="Calibri" w:hAnsi="Calibri"/>
          <w:sz w:val="22"/>
          <w:szCs w:val="22"/>
        </w:rPr>
        <w:t xml:space="preserve"> </w:t>
      </w:r>
      <w:r>
        <w:rPr>
          <w:rFonts w:ascii="Calibri" w:hAnsi="Calibri"/>
          <w:sz w:val="22"/>
          <w:szCs w:val="22"/>
        </w:rPr>
        <w:t xml:space="preserve">diagnostic </w:t>
      </w:r>
      <w:r w:rsidRPr="0099269F">
        <w:rPr>
          <w:rFonts w:ascii="Calibri" w:hAnsi="Calibri"/>
          <w:sz w:val="22"/>
          <w:szCs w:val="22"/>
        </w:rPr>
        <w:t>assessment</w:t>
      </w:r>
      <w:r w:rsidRPr="00A67805">
        <w:rPr>
          <w:rFonts w:ascii="Calibri" w:hAnsi="Calibri"/>
          <w:sz w:val="22"/>
          <w:szCs w:val="22"/>
        </w:rPr>
        <w:t>s</w:t>
      </w:r>
      <w:r w:rsidRPr="0099269F">
        <w:rPr>
          <w:rFonts w:ascii="Calibri" w:hAnsi="Calibri"/>
          <w:sz w:val="22"/>
          <w:szCs w:val="22"/>
        </w:rPr>
        <w:t xml:space="preserve"> </w:t>
      </w:r>
      <w:r w:rsidRPr="00A67805">
        <w:rPr>
          <w:rFonts w:ascii="Calibri" w:hAnsi="Calibri"/>
          <w:sz w:val="22"/>
          <w:szCs w:val="22"/>
        </w:rPr>
        <w:t>to</w:t>
      </w:r>
      <w:r w:rsidRPr="0099269F">
        <w:rPr>
          <w:rFonts w:ascii="Calibri" w:hAnsi="Calibri"/>
          <w:sz w:val="22"/>
          <w:szCs w:val="22"/>
        </w:rPr>
        <w:t xml:space="preserve"> </w:t>
      </w:r>
      <w:r w:rsidRPr="00A67805">
        <w:rPr>
          <w:rFonts w:ascii="Calibri" w:hAnsi="Calibri"/>
          <w:sz w:val="22"/>
          <w:szCs w:val="22"/>
        </w:rPr>
        <w:t>measure student progress in reading and math</w:t>
      </w:r>
      <w:r w:rsidR="001B5137">
        <w:rPr>
          <w:rFonts w:ascii="Calibri" w:hAnsi="Calibri"/>
          <w:sz w:val="22"/>
          <w:szCs w:val="22"/>
        </w:rPr>
        <w:t>ematics</w:t>
      </w:r>
      <w:r>
        <w:rPr>
          <w:rFonts w:ascii="Calibri" w:hAnsi="Calibri"/>
          <w:sz w:val="22"/>
          <w:szCs w:val="22"/>
        </w:rPr>
        <w:t xml:space="preserve"> and </w:t>
      </w:r>
      <w:r w:rsidRPr="00EC5B5A">
        <w:rPr>
          <w:rFonts w:ascii="Calibri" w:hAnsi="Calibri"/>
          <w:sz w:val="22"/>
          <w:szCs w:val="22"/>
        </w:rPr>
        <w:t>Imagine Learning</w:t>
      </w:r>
      <w:r>
        <w:rPr>
          <w:rFonts w:ascii="Calibri" w:hAnsi="Calibri"/>
          <w:sz w:val="22"/>
          <w:szCs w:val="22"/>
        </w:rPr>
        <w:t xml:space="preserve"> assessments for English </w:t>
      </w:r>
      <w:r w:rsidR="00BD7B41">
        <w:rPr>
          <w:rFonts w:ascii="Calibri" w:hAnsi="Calibri"/>
          <w:sz w:val="22"/>
          <w:szCs w:val="22"/>
        </w:rPr>
        <w:t>learners</w:t>
      </w:r>
      <w:r w:rsidR="007020C7">
        <w:rPr>
          <w:rFonts w:ascii="Calibri" w:hAnsi="Calibri"/>
          <w:sz w:val="22"/>
          <w:szCs w:val="22"/>
        </w:rPr>
        <w:t xml:space="preserve"> (ELs)</w:t>
      </w:r>
      <w:r>
        <w:rPr>
          <w:rFonts w:ascii="Calibri" w:hAnsi="Calibri"/>
          <w:sz w:val="22"/>
          <w:szCs w:val="22"/>
        </w:rPr>
        <w:t xml:space="preserve">. </w:t>
      </w:r>
      <w:r w:rsidRPr="00A67805">
        <w:rPr>
          <w:rFonts w:ascii="Calibri" w:hAnsi="Calibri"/>
          <w:sz w:val="22"/>
          <w:szCs w:val="22"/>
        </w:rPr>
        <w:t xml:space="preserve">The high school does </w:t>
      </w:r>
      <w:r>
        <w:rPr>
          <w:rFonts w:ascii="Calibri" w:hAnsi="Calibri"/>
          <w:sz w:val="22"/>
          <w:szCs w:val="22"/>
        </w:rPr>
        <w:t>not make extensive use of</w:t>
      </w:r>
      <w:r w:rsidRPr="00A67805">
        <w:rPr>
          <w:rFonts w:ascii="Calibri" w:hAnsi="Calibri"/>
          <w:sz w:val="22"/>
          <w:szCs w:val="22"/>
        </w:rPr>
        <w:t xml:space="preserve"> </w:t>
      </w:r>
      <w:r>
        <w:rPr>
          <w:rFonts w:ascii="Calibri" w:hAnsi="Calibri"/>
          <w:sz w:val="22"/>
          <w:szCs w:val="22"/>
        </w:rPr>
        <w:t xml:space="preserve">common </w:t>
      </w:r>
      <w:r w:rsidRPr="00A67805">
        <w:rPr>
          <w:rFonts w:ascii="Calibri" w:hAnsi="Calibri"/>
          <w:sz w:val="22"/>
          <w:szCs w:val="22"/>
        </w:rPr>
        <w:t>formative</w:t>
      </w:r>
      <w:r w:rsidRPr="0099269F">
        <w:rPr>
          <w:rFonts w:ascii="Calibri" w:hAnsi="Calibri"/>
          <w:sz w:val="22"/>
          <w:szCs w:val="22"/>
        </w:rPr>
        <w:t xml:space="preserve"> assessment </w:t>
      </w:r>
      <w:r w:rsidRPr="00A67805">
        <w:rPr>
          <w:rFonts w:ascii="Calibri" w:hAnsi="Calibri"/>
          <w:sz w:val="22"/>
          <w:szCs w:val="22"/>
        </w:rPr>
        <w:t>tools</w:t>
      </w:r>
      <w:r w:rsidRPr="0099269F">
        <w:rPr>
          <w:rFonts w:ascii="Calibri" w:hAnsi="Calibri"/>
          <w:sz w:val="22"/>
          <w:szCs w:val="22"/>
        </w:rPr>
        <w:t>.</w:t>
      </w:r>
      <w:r>
        <w:rPr>
          <w:rFonts w:ascii="Calibri" w:hAnsi="Calibri"/>
          <w:sz w:val="22"/>
          <w:szCs w:val="22"/>
        </w:rPr>
        <w:t xml:space="preserve"> Instead, curriculum-based lesson and unit exams provide formative feedback, while standardized assessments such as </w:t>
      </w:r>
      <w:r w:rsidR="001B5137">
        <w:rPr>
          <w:rFonts w:ascii="Calibri" w:hAnsi="Calibri"/>
          <w:sz w:val="22"/>
          <w:szCs w:val="22"/>
        </w:rPr>
        <w:t xml:space="preserve">the </w:t>
      </w:r>
      <w:r>
        <w:rPr>
          <w:rFonts w:ascii="Calibri" w:hAnsi="Calibri"/>
          <w:sz w:val="22"/>
          <w:szCs w:val="22"/>
        </w:rPr>
        <w:t>MCAS</w:t>
      </w:r>
      <w:r w:rsidR="001B5137">
        <w:rPr>
          <w:rFonts w:ascii="Calibri" w:hAnsi="Calibri"/>
          <w:sz w:val="22"/>
          <w:szCs w:val="22"/>
        </w:rPr>
        <w:t xml:space="preserve"> tests</w:t>
      </w:r>
      <w:r>
        <w:rPr>
          <w:rFonts w:ascii="Calibri" w:hAnsi="Calibri"/>
          <w:sz w:val="22"/>
          <w:szCs w:val="22"/>
        </w:rPr>
        <w:t xml:space="preserve">, SAT, and AP exams </w:t>
      </w:r>
      <w:r w:rsidR="001B5137">
        <w:rPr>
          <w:rFonts w:ascii="Calibri" w:hAnsi="Calibri"/>
          <w:sz w:val="22"/>
          <w:szCs w:val="22"/>
        </w:rPr>
        <w:t xml:space="preserve">provide </w:t>
      </w:r>
      <w:r>
        <w:rPr>
          <w:rFonts w:ascii="Calibri" w:hAnsi="Calibri"/>
          <w:sz w:val="22"/>
          <w:szCs w:val="22"/>
        </w:rPr>
        <w:t>summative data.</w:t>
      </w:r>
    </w:p>
    <w:p w14:paraId="0C5C8663" w14:textId="7F7D9E5E" w:rsidR="005634AD" w:rsidRDefault="005634AD" w:rsidP="005634AD">
      <w:pPr>
        <w:pStyle w:val="CommentText"/>
        <w:spacing w:after="240" w:line="276" w:lineRule="auto"/>
        <w:rPr>
          <w:rFonts w:ascii="Calibri" w:hAnsi="Calibri"/>
          <w:sz w:val="22"/>
          <w:szCs w:val="22"/>
        </w:rPr>
      </w:pPr>
      <w:r>
        <w:rPr>
          <w:rFonts w:ascii="Calibri" w:hAnsi="Calibri"/>
          <w:sz w:val="22"/>
          <w:szCs w:val="22"/>
        </w:rPr>
        <w:t>D</w:t>
      </w:r>
      <w:r w:rsidRPr="00E37A3E">
        <w:rPr>
          <w:rFonts w:ascii="Calibri" w:hAnsi="Calibri"/>
          <w:sz w:val="22"/>
          <w:szCs w:val="22"/>
        </w:rPr>
        <w:t xml:space="preserve">istrict administrators </w:t>
      </w:r>
      <w:r>
        <w:rPr>
          <w:rFonts w:ascii="Calibri" w:hAnsi="Calibri"/>
          <w:sz w:val="22"/>
          <w:szCs w:val="22"/>
        </w:rPr>
        <w:t>acknowledge</w:t>
      </w:r>
      <w:r w:rsidR="007020C7">
        <w:rPr>
          <w:rFonts w:ascii="Calibri" w:hAnsi="Calibri"/>
          <w:sz w:val="22"/>
          <w:szCs w:val="22"/>
        </w:rPr>
        <w:t>d</w:t>
      </w:r>
      <w:r>
        <w:rPr>
          <w:rFonts w:ascii="Calibri" w:hAnsi="Calibri"/>
          <w:sz w:val="22"/>
          <w:szCs w:val="22"/>
        </w:rPr>
        <w:t xml:space="preserve"> that essential areas of growth remain</w:t>
      </w:r>
      <w:r w:rsidR="007020C7">
        <w:rPr>
          <w:rFonts w:ascii="Calibri" w:hAnsi="Calibri"/>
          <w:sz w:val="22"/>
          <w:szCs w:val="22"/>
        </w:rPr>
        <w:t>ed</w:t>
      </w:r>
      <w:r>
        <w:rPr>
          <w:rFonts w:ascii="Calibri" w:hAnsi="Calibri"/>
          <w:sz w:val="22"/>
          <w:szCs w:val="22"/>
        </w:rPr>
        <w:t xml:space="preserve"> and </w:t>
      </w:r>
      <w:r>
        <w:rPr>
          <w:sz w:val="22"/>
          <w:szCs w:val="22"/>
        </w:rPr>
        <w:t>recognize</w:t>
      </w:r>
      <w:r w:rsidR="007020C7">
        <w:rPr>
          <w:sz w:val="22"/>
          <w:szCs w:val="22"/>
        </w:rPr>
        <w:t>d</w:t>
      </w:r>
      <w:r w:rsidRPr="007A1D25">
        <w:rPr>
          <w:sz w:val="22"/>
          <w:szCs w:val="22"/>
        </w:rPr>
        <w:t xml:space="preserve"> </w:t>
      </w:r>
      <w:r>
        <w:rPr>
          <w:sz w:val="22"/>
          <w:szCs w:val="22"/>
        </w:rPr>
        <w:t xml:space="preserve">that much further advancement </w:t>
      </w:r>
      <w:r w:rsidR="007020C7">
        <w:rPr>
          <w:sz w:val="22"/>
          <w:szCs w:val="22"/>
        </w:rPr>
        <w:t xml:space="preserve">was </w:t>
      </w:r>
      <w:r>
        <w:rPr>
          <w:sz w:val="22"/>
          <w:szCs w:val="22"/>
        </w:rPr>
        <w:t>necessary for the overall school culture around data literacy and methods for using student assessment data to strengthen instructional practice</w:t>
      </w:r>
      <w:r w:rsidR="001B5137">
        <w:rPr>
          <w:sz w:val="22"/>
          <w:szCs w:val="22"/>
        </w:rPr>
        <w:t>s</w:t>
      </w:r>
      <w:r>
        <w:rPr>
          <w:sz w:val="22"/>
          <w:szCs w:val="22"/>
        </w:rPr>
        <w:t>.</w:t>
      </w:r>
    </w:p>
    <w:p w14:paraId="549C29E1" w14:textId="6DC1C292" w:rsidR="005634AD" w:rsidRPr="00136780" w:rsidRDefault="005634AD" w:rsidP="005634AD">
      <w:pPr>
        <w:tabs>
          <w:tab w:val="left" w:pos="360"/>
          <w:tab w:val="left" w:pos="720"/>
          <w:tab w:val="left" w:pos="1080"/>
          <w:tab w:val="left" w:pos="1440"/>
          <w:tab w:val="left" w:pos="1800"/>
          <w:tab w:val="left" w:pos="2160"/>
        </w:tabs>
        <w:rPr>
          <w:rFonts w:ascii="Calibri" w:hAnsi="Calibri"/>
          <w:b/>
          <w:sz w:val="28"/>
          <w:szCs w:val="28"/>
        </w:rPr>
      </w:pPr>
      <w:r w:rsidRPr="00136780">
        <w:rPr>
          <w:rFonts w:ascii="Calibri" w:hAnsi="Calibri"/>
          <w:b/>
          <w:sz w:val="28"/>
          <w:szCs w:val="28"/>
        </w:rPr>
        <w:t xml:space="preserve">Strength Finding </w:t>
      </w:r>
    </w:p>
    <w:p w14:paraId="0483ECCE" w14:textId="43BCB8B1" w:rsidR="005634AD" w:rsidRPr="00A77409" w:rsidRDefault="005634AD" w:rsidP="00A50D17">
      <w:pPr>
        <w:pStyle w:val="ListParagraph"/>
        <w:numPr>
          <w:ilvl w:val="6"/>
          <w:numId w:val="40"/>
        </w:numPr>
        <w:tabs>
          <w:tab w:val="left" w:pos="360"/>
          <w:tab w:val="left" w:pos="720"/>
          <w:tab w:val="left" w:pos="1080"/>
          <w:tab w:val="left" w:pos="1440"/>
          <w:tab w:val="left" w:pos="1800"/>
        </w:tabs>
        <w:ind w:left="360"/>
        <w:contextualSpacing w:val="0"/>
        <w:rPr>
          <w:b/>
        </w:rPr>
      </w:pPr>
      <w:r w:rsidRPr="00A77409">
        <w:rPr>
          <w:b/>
        </w:rPr>
        <w:t xml:space="preserve">The district has made great strides in compiling, organizing, and making available to </w:t>
      </w:r>
      <w:r>
        <w:rPr>
          <w:b/>
        </w:rPr>
        <w:t xml:space="preserve">all </w:t>
      </w:r>
      <w:r w:rsidR="00FA78B9">
        <w:rPr>
          <w:b/>
        </w:rPr>
        <w:t>educators</w:t>
      </w:r>
      <w:r w:rsidR="00FA78B9" w:rsidRPr="00A77409">
        <w:rPr>
          <w:b/>
        </w:rPr>
        <w:t xml:space="preserve"> </w:t>
      </w:r>
      <w:r w:rsidRPr="00A77409">
        <w:rPr>
          <w:b/>
        </w:rPr>
        <w:t>a wide</w:t>
      </w:r>
      <w:r w:rsidR="003046FB">
        <w:rPr>
          <w:b/>
        </w:rPr>
        <w:t xml:space="preserve"> </w:t>
      </w:r>
      <w:r w:rsidRPr="00A77409">
        <w:rPr>
          <w:b/>
        </w:rPr>
        <w:t xml:space="preserve">range of student engagement and academic performance data. </w:t>
      </w:r>
    </w:p>
    <w:p w14:paraId="54205D12" w14:textId="5198160E" w:rsidR="005634AD" w:rsidRPr="00A77409" w:rsidRDefault="005634AD" w:rsidP="00A50D17">
      <w:pPr>
        <w:pStyle w:val="ListParagraph"/>
        <w:numPr>
          <w:ilvl w:val="1"/>
          <w:numId w:val="41"/>
        </w:numPr>
        <w:tabs>
          <w:tab w:val="left" w:pos="1080"/>
          <w:tab w:val="left" w:pos="1440"/>
          <w:tab w:val="left" w:pos="1800"/>
          <w:tab w:val="left" w:pos="2160"/>
        </w:tabs>
        <w:ind w:left="720"/>
        <w:contextualSpacing w:val="0"/>
      </w:pPr>
      <w:r w:rsidRPr="00A77409">
        <w:t xml:space="preserve">The district </w:t>
      </w:r>
      <w:r w:rsidR="001B5137">
        <w:t>collects</w:t>
      </w:r>
      <w:r w:rsidR="001B5137" w:rsidRPr="00A77409">
        <w:t xml:space="preserve"> </w:t>
      </w:r>
      <w:r w:rsidRPr="00A77409">
        <w:t xml:space="preserve">and makes readily available to all principals and their leadership teams a </w:t>
      </w:r>
      <w:r>
        <w:t xml:space="preserve">wide </w:t>
      </w:r>
      <w:r w:rsidR="00263FEA">
        <w:t>range</w:t>
      </w:r>
      <w:r w:rsidR="00263FEA" w:rsidRPr="00A77409">
        <w:t xml:space="preserve"> </w:t>
      </w:r>
      <w:r w:rsidRPr="00A77409">
        <w:t>of information</w:t>
      </w:r>
      <w:r w:rsidR="00263FEA">
        <w:t>,</w:t>
      </w:r>
      <w:r w:rsidRPr="00A77409">
        <w:t xml:space="preserve"> </w:t>
      </w:r>
      <w:r w:rsidR="00CE197E">
        <w:t>including</w:t>
      </w:r>
      <w:r>
        <w:t xml:space="preserve"> </w:t>
      </w:r>
      <w:r w:rsidRPr="00A77409">
        <w:t>social-emotional</w:t>
      </w:r>
      <w:r>
        <w:t xml:space="preserve"> learning (SEL)</w:t>
      </w:r>
      <w:r w:rsidRPr="00A77409">
        <w:t xml:space="preserve">, </w:t>
      </w:r>
      <w:r>
        <w:t xml:space="preserve">school </w:t>
      </w:r>
      <w:r w:rsidRPr="00A77409">
        <w:t xml:space="preserve">attendance, formative </w:t>
      </w:r>
      <w:r>
        <w:t>assessments</w:t>
      </w:r>
      <w:r w:rsidRPr="00A77409">
        <w:t xml:space="preserve">, MCAS </w:t>
      </w:r>
      <w:r w:rsidR="00CE197E">
        <w:t xml:space="preserve">tests </w:t>
      </w:r>
      <w:r>
        <w:t xml:space="preserve">scores and item analysis, </w:t>
      </w:r>
      <w:r w:rsidR="001B5137">
        <w:t xml:space="preserve">and </w:t>
      </w:r>
      <w:r w:rsidR="00607F43">
        <w:t xml:space="preserve">responses from a </w:t>
      </w:r>
      <w:r>
        <w:t>school climate survey</w:t>
      </w:r>
      <w:r w:rsidR="00263FEA">
        <w:t>,</w:t>
      </w:r>
      <w:r w:rsidR="00CE197E">
        <w:t xml:space="preserve"> </w:t>
      </w:r>
      <w:r w:rsidR="001B5137">
        <w:t>that provide</w:t>
      </w:r>
      <w:r w:rsidR="00263FEA">
        <w:t>s</w:t>
      </w:r>
      <w:r w:rsidR="001B5137">
        <w:t xml:space="preserve"> a</w:t>
      </w:r>
      <w:r w:rsidRPr="00A77409">
        <w:t xml:space="preserve"> profile of </w:t>
      </w:r>
      <w:r w:rsidR="001B5137">
        <w:t xml:space="preserve">the </w:t>
      </w:r>
      <w:r w:rsidRPr="00A77409">
        <w:t>students in their school</w:t>
      </w:r>
      <w:r>
        <w:t>s</w:t>
      </w:r>
      <w:r w:rsidRPr="00A77409">
        <w:t>.</w:t>
      </w:r>
    </w:p>
    <w:p w14:paraId="789F6B41" w14:textId="3EB523B4" w:rsidR="005634AD" w:rsidRPr="00A77409" w:rsidRDefault="005634AD" w:rsidP="00A50D17">
      <w:pPr>
        <w:pStyle w:val="ListParagraph"/>
        <w:numPr>
          <w:ilvl w:val="2"/>
          <w:numId w:val="42"/>
        </w:numPr>
        <w:tabs>
          <w:tab w:val="left" w:pos="360"/>
          <w:tab w:val="left" w:pos="1080"/>
          <w:tab w:val="left" w:pos="1440"/>
          <w:tab w:val="left" w:pos="1800"/>
          <w:tab w:val="left" w:pos="2160"/>
        </w:tabs>
        <w:ind w:left="1080"/>
        <w:contextualSpacing w:val="0"/>
      </w:pPr>
      <w:r w:rsidRPr="00A77409">
        <w:lastRenderedPageBreak/>
        <w:t xml:space="preserve">Data is </w:t>
      </w:r>
      <w:r>
        <w:t xml:space="preserve">made </w:t>
      </w:r>
      <w:r w:rsidRPr="00A77409">
        <w:t>available through the district</w:t>
      </w:r>
      <w:r w:rsidR="007F46E6">
        <w:t>’</w:t>
      </w:r>
      <w:r w:rsidRPr="00A77409">
        <w:t>s shared Google Drive folders.</w:t>
      </w:r>
    </w:p>
    <w:p w14:paraId="16E29626" w14:textId="551D0C6E" w:rsidR="005634AD" w:rsidRPr="00A77409" w:rsidRDefault="005634AD" w:rsidP="00A50D17">
      <w:pPr>
        <w:pStyle w:val="ListParagraph"/>
        <w:numPr>
          <w:ilvl w:val="2"/>
          <w:numId w:val="42"/>
        </w:numPr>
        <w:tabs>
          <w:tab w:val="left" w:pos="360"/>
          <w:tab w:val="left" w:pos="1080"/>
          <w:tab w:val="left" w:pos="1440"/>
          <w:tab w:val="left" w:pos="1800"/>
          <w:tab w:val="left" w:pos="2160"/>
        </w:tabs>
        <w:ind w:left="1080"/>
        <w:contextualSpacing w:val="0"/>
      </w:pPr>
      <w:r>
        <w:t>Several sources of d</w:t>
      </w:r>
      <w:r w:rsidRPr="00A77409">
        <w:t xml:space="preserve">ata are aligned </w:t>
      </w:r>
      <w:r w:rsidR="00263FEA">
        <w:t>with</w:t>
      </w:r>
      <w:r w:rsidR="00263FEA" w:rsidRPr="00A77409">
        <w:t xml:space="preserve"> </w:t>
      </w:r>
      <w:r w:rsidRPr="00A77409">
        <w:t xml:space="preserve">the </w:t>
      </w:r>
      <w:r>
        <w:t xml:space="preserve">current </w:t>
      </w:r>
      <w:r w:rsidRPr="00A77409">
        <w:t xml:space="preserve">DESE accountability </w:t>
      </w:r>
      <w:r>
        <w:t>system. As a result, schools have at their disposal a</w:t>
      </w:r>
      <w:r w:rsidRPr="00A77409">
        <w:t xml:space="preserve"> considerable amount of </w:t>
      </w:r>
      <w:r>
        <w:t>information</w:t>
      </w:r>
      <w:r w:rsidRPr="00A77409">
        <w:t xml:space="preserve"> to analyze student </w:t>
      </w:r>
      <w:r>
        <w:t xml:space="preserve">achievement </w:t>
      </w:r>
      <w:r w:rsidRPr="00A77409">
        <w:t xml:space="preserve">results </w:t>
      </w:r>
      <w:r>
        <w:t>and</w:t>
      </w:r>
      <w:r w:rsidRPr="00A77409">
        <w:t xml:space="preserve"> compare </w:t>
      </w:r>
      <w:r>
        <w:t>these</w:t>
      </w:r>
      <w:r w:rsidRPr="00A77409">
        <w:t xml:space="preserve"> </w:t>
      </w:r>
      <w:r w:rsidR="00263FEA">
        <w:t>with</w:t>
      </w:r>
      <w:r w:rsidR="00263FEA" w:rsidRPr="00A77409">
        <w:t xml:space="preserve"> </w:t>
      </w:r>
      <w:r w:rsidRPr="00A77409">
        <w:t>anticipated</w:t>
      </w:r>
      <w:r>
        <w:t xml:space="preserve"> and targeted</w:t>
      </w:r>
      <w:r w:rsidRPr="00A77409">
        <w:t xml:space="preserve"> gains.</w:t>
      </w:r>
    </w:p>
    <w:p w14:paraId="0DA6FB43" w14:textId="722E39B8" w:rsidR="005634AD" w:rsidRPr="00A77409" w:rsidRDefault="005634AD" w:rsidP="00A50D17">
      <w:pPr>
        <w:pStyle w:val="ListParagraph"/>
        <w:numPr>
          <w:ilvl w:val="2"/>
          <w:numId w:val="42"/>
        </w:numPr>
        <w:tabs>
          <w:tab w:val="left" w:pos="360"/>
          <w:tab w:val="left" w:pos="1080"/>
          <w:tab w:val="left" w:pos="1440"/>
          <w:tab w:val="left" w:pos="1800"/>
          <w:tab w:val="left" w:pos="2160"/>
        </w:tabs>
        <w:ind w:left="1080"/>
        <w:contextualSpacing w:val="0"/>
      </w:pPr>
      <w:r>
        <w:t>The district is supporting</w:t>
      </w:r>
      <w:r w:rsidRPr="00A77409">
        <w:t xml:space="preserve"> calibration in data literacy </w:t>
      </w:r>
      <w:r w:rsidR="00ED68BB">
        <w:t>(</w:t>
      </w:r>
      <w:r w:rsidRPr="00A77409">
        <w:t xml:space="preserve">from the district </w:t>
      </w:r>
      <w:r w:rsidR="00ED68BB">
        <w:t xml:space="preserve">level </w:t>
      </w:r>
      <w:r w:rsidRPr="00A77409">
        <w:t>to the school</w:t>
      </w:r>
      <w:r w:rsidR="00ED68BB">
        <w:t>s</w:t>
      </w:r>
      <w:r w:rsidR="001B5137">
        <w:t>;</w:t>
      </w:r>
      <w:r w:rsidR="001B5137" w:rsidRPr="00A77409">
        <w:t xml:space="preserve"> </w:t>
      </w:r>
      <w:r w:rsidR="001B5137">
        <w:t>from the school</w:t>
      </w:r>
      <w:r w:rsidR="00ED68BB">
        <w:t>s</w:t>
      </w:r>
      <w:r w:rsidR="001B5137">
        <w:t xml:space="preserve"> </w:t>
      </w:r>
      <w:r w:rsidRPr="00A77409">
        <w:t>to the</w:t>
      </w:r>
      <w:r w:rsidR="00ED68BB">
        <w:t>ir</w:t>
      </w:r>
      <w:r w:rsidRPr="00A77409">
        <w:t xml:space="preserve"> </w:t>
      </w:r>
      <w:r w:rsidR="001B5137">
        <w:t>i</w:t>
      </w:r>
      <w:r w:rsidR="001B5137" w:rsidRPr="00A77409">
        <w:t xml:space="preserve">nstructional </w:t>
      </w:r>
      <w:r w:rsidR="001B5137">
        <w:t>l</w:t>
      </w:r>
      <w:r w:rsidR="001B5137" w:rsidRPr="00A77409">
        <w:t xml:space="preserve">eadership </w:t>
      </w:r>
      <w:r w:rsidR="001B5137">
        <w:t>t</w:t>
      </w:r>
      <w:r w:rsidR="001B5137" w:rsidRPr="00A77409">
        <w:t>eams</w:t>
      </w:r>
      <w:r w:rsidR="00ED68BB">
        <w:t xml:space="preserve">; </w:t>
      </w:r>
      <w:r w:rsidR="001B5137">
        <w:t>and from the instructional leadership team</w:t>
      </w:r>
      <w:r w:rsidR="00ED68BB">
        <w:t>s</w:t>
      </w:r>
      <w:r w:rsidR="001B5137">
        <w:t xml:space="preserve"> </w:t>
      </w:r>
      <w:r>
        <w:t>to individual teachers</w:t>
      </w:r>
      <w:r w:rsidR="00ED68BB">
        <w:t xml:space="preserve">) </w:t>
      </w:r>
      <w:r>
        <w:t xml:space="preserve">by making these data accessible in a shared, familiar, and well-organized platform. </w:t>
      </w:r>
    </w:p>
    <w:p w14:paraId="5A01E971" w14:textId="72693FF3" w:rsidR="005634AD" w:rsidRPr="00A77409" w:rsidRDefault="005634AD" w:rsidP="00A50D17">
      <w:pPr>
        <w:pStyle w:val="ListParagraph"/>
        <w:numPr>
          <w:ilvl w:val="1"/>
          <w:numId w:val="41"/>
        </w:numPr>
        <w:tabs>
          <w:tab w:val="left" w:pos="1080"/>
          <w:tab w:val="left" w:pos="1440"/>
          <w:tab w:val="left" w:pos="1800"/>
          <w:tab w:val="left" w:pos="2160"/>
        </w:tabs>
        <w:ind w:left="720"/>
        <w:contextualSpacing w:val="0"/>
      </w:pPr>
      <w:r w:rsidRPr="00A77409">
        <w:t xml:space="preserve">The district is in the process of developing a centralized data dashboard. </w:t>
      </w:r>
    </w:p>
    <w:p w14:paraId="1665856C" w14:textId="5BF12E0C" w:rsidR="005634AD" w:rsidRDefault="005634AD" w:rsidP="00A50D17">
      <w:pPr>
        <w:pStyle w:val="ListParagraph"/>
        <w:numPr>
          <w:ilvl w:val="2"/>
          <w:numId w:val="41"/>
        </w:numPr>
        <w:tabs>
          <w:tab w:val="left" w:pos="1080"/>
          <w:tab w:val="left" w:pos="1440"/>
          <w:tab w:val="left" w:pos="1800"/>
          <w:tab w:val="left" w:pos="2160"/>
        </w:tabs>
        <w:ind w:left="1080"/>
        <w:contextualSpacing w:val="0"/>
      </w:pPr>
      <w:r w:rsidRPr="00A77409">
        <w:t xml:space="preserve">The </w:t>
      </w:r>
      <w:r w:rsidR="00263FEA">
        <w:t xml:space="preserve">district’s </w:t>
      </w:r>
      <w:r w:rsidRPr="00A77409">
        <w:t xml:space="preserve">vision is to make data and analysis tools available to schools on a timelier </w:t>
      </w:r>
      <w:r>
        <w:t xml:space="preserve">basis, and to provide a </w:t>
      </w:r>
      <w:r w:rsidRPr="00A77409">
        <w:t xml:space="preserve">central repository of data so users will </w:t>
      </w:r>
      <w:r>
        <w:t>be able to access these in one place</w:t>
      </w:r>
      <w:r w:rsidRPr="00A77409">
        <w:t>.</w:t>
      </w:r>
    </w:p>
    <w:p w14:paraId="4FBC2CE4" w14:textId="154CD185" w:rsidR="005634AD" w:rsidRPr="00A77409" w:rsidRDefault="005634AD" w:rsidP="00A50D17">
      <w:pPr>
        <w:pStyle w:val="ListParagraph"/>
        <w:numPr>
          <w:ilvl w:val="2"/>
          <w:numId w:val="41"/>
        </w:numPr>
        <w:tabs>
          <w:tab w:val="left" w:pos="1080"/>
          <w:tab w:val="left" w:pos="1440"/>
          <w:tab w:val="left" w:pos="1800"/>
          <w:tab w:val="left" w:pos="2160"/>
        </w:tabs>
        <w:ind w:left="1080"/>
        <w:contextualSpacing w:val="0"/>
      </w:pPr>
      <w:r w:rsidRPr="00A77409">
        <w:t xml:space="preserve">School leaders expressed enthusiasm that this </w:t>
      </w:r>
      <w:r>
        <w:t xml:space="preserve">data </w:t>
      </w:r>
      <w:r w:rsidRPr="00A77409">
        <w:t xml:space="preserve">dashboard </w:t>
      </w:r>
      <w:r w:rsidR="00263FEA">
        <w:t>would</w:t>
      </w:r>
      <w:r w:rsidR="00184EDF">
        <w:t xml:space="preserve"> </w:t>
      </w:r>
      <w:r w:rsidRPr="00A77409">
        <w:t>be a more efficient way of diving deeper into the data.</w:t>
      </w:r>
    </w:p>
    <w:p w14:paraId="01130A90" w14:textId="798C64F3" w:rsidR="005634AD" w:rsidRPr="00A77409" w:rsidRDefault="005634AD" w:rsidP="00A50D17">
      <w:pPr>
        <w:pStyle w:val="ListParagraph"/>
        <w:numPr>
          <w:ilvl w:val="1"/>
          <w:numId w:val="41"/>
        </w:numPr>
        <w:tabs>
          <w:tab w:val="left" w:pos="1080"/>
          <w:tab w:val="left" w:pos="1440"/>
          <w:tab w:val="left" w:pos="1800"/>
          <w:tab w:val="left" w:pos="2160"/>
        </w:tabs>
        <w:ind w:left="720"/>
        <w:contextualSpacing w:val="0"/>
      </w:pPr>
      <w:r>
        <w:t>District and s</w:t>
      </w:r>
      <w:r w:rsidRPr="00A77409">
        <w:t>chool leaders have begun the process of analyzing data to guide decision</w:t>
      </w:r>
      <w:r w:rsidR="009F63D5">
        <w:t>-</w:t>
      </w:r>
      <w:r w:rsidRPr="00A77409">
        <w:t>making and provide</w:t>
      </w:r>
      <w:r w:rsidR="00263FEA">
        <w:t>d</w:t>
      </w:r>
      <w:r w:rsidRPr="00A77409">
        <w:t xml:space="preserve"> several recent examples. </w:t>
      </w:r>
    </w:p>
    <w:p w14:paraId="5288E0B9" w14:textId="2A0F8D4F" w:rsidR="005634AD" w:rsidRPr="00A77409" w:rsidRDefault="005634AD" w:rsidP="00A50D17">
      <w:pPr>
        <w:pStyle w:val="ListParagraph"/>
        <w:numPr>
          <w:ilvl w:val="2"/>
          <w:numId w:val="43"/>
        </w:numPr>
        <w:tabs>
          <w:tab w:val="left" w:pos="360"/>
          <w:tab w:val="left" w:pos="1080"/>
          <w:tab w:val="left" w:pos="1440"/>
          <w:tab w:val="left" w:pos="1800"/>
          <w:tab w:val="left" w:pos="2160"/>
        </w:tabs>
        <w:ind w:left="1080"/>
        <w:contextualSpacing w:val="0"/>
      </w:pPr>
      <w:r w:rsidRPr="00A77409">
        <w:t>During the 2017</w:t>
      </w:r>
      <w:r w:rsidR="00286E5E">
        <w:t>–</w:t>
      </w:r>
      <w:r w:rsidR="00263FEA">
        <w:t>20</w:t>
      </w:r>
      <w:r w:rsidRPr="00A77409">
        <w:t xml:space="preserve">18 school year, </w:t>
      </w:r>
      <w:r>
        <w:t xml:space="preserve">the district's curriculum review process </w:t>
      </w:r>
      <w:r w:rsidR="009F63D5">
        <w:t xml:space="preserve">identified </w:t>
      </w:r>
      <w:r>
        <w:t xml:space="preserve">concerns </w:t>
      </w:r>
      <w:r w:rsidR="009F63D5">
        <w:t xml:space="preserve">about </w:t>
      </w:r>
      <w:r>
        <w:t xml:space="preserve">the phonics skills of students in </w:t>
      </w:r>
      <w:r w:rsidR="009F63D5">
        <w:t>g</w:t>
      </w:r>
      <w:r w:rsidR="009F63D5" w:rsidRPr="00A77409">
        <w:t>rade</w:t>
      </w:r>
      <w:r w:rsidR="009F63D5">
        <w:t>s</w:t>
      </w:r>
      <w:r w:rsidR="009F63D5" w:rsidRPr="00A77409">
        <w:t xml:space="preserve"> </w:t>
      </w:r>
      <w:r w:rsidRPr="00A77409">
        <w:t>4 and 5.</w:t>
      </w:r>
      <w:r>
        <w:t xml:space="preserve"> As a result, the district decided to add </w:t>
      </w:r>
      <w:proofErr w:type="spellStart"/>
      <w:r w:rsidRPr="0097328E">
        <w:rPr>
          <w:i/>
        </w:rPr>
        <w:t>Fundations</w:t>
      </w:r>
      <w:proofErr w:type="spellEnd"/>
      <w:r>
        <w:t xml:space="preserve"> </w:t>
      </w:r>
      <w:r w:rsidR="009F63D5">
        <w:t>at g</w:t>
      </w:r>
      <w:r w:rsidR="009F63D5" w:rsidRPr="00A77409">
        <w:t xml:space="preserve">rade </w:t>
      </w:r>
      <w:r w:rsidRPr="00A77409">
        <w:t xml:space="preserve">3 </w:t>
      </w:r>
      <w:r>
        <w:t>and added additional training in p</w:t>
      </w:r>
      <w:r w:rsidRPr="00A77409">
        <w:t xml:space="preserve">honics for </w:t>
      </w:r>
      <w:r>
        <w:t>K</w:t>
      </w:r>
      <w:r w:rsidR="00A462F3">
        <w:t>–</w:t>
      </w:r>
      <w:r>
        <w:t xml:space="preserve">3 </w:t>
      </w:r>
      <w:r w:rsidRPr="00A77409">
        <w:t>teachers.</w:t>
      </w:r>
      <w:r w:rsidR="00607F43" w:rsidRPr="00A77409">
        <w:t xml:space="preserve"> </w:t>
      </w:r>
    </w:p>
    <w:p w14:paraId="6821EBB4" w14:textId="2A378D64" w:rsidR="005634AD" w:rsidRPr="00A77409" w:rsidRDefault="005634AD" w:rsidP="00A50D17">
      <w:pPr>
        <w:pStyle w:val="ListParagraph"/>
        <w:numPr>
          <w:ilvl w:val="2"/>
          <w:numId w:val="43"/>
        </w:numPr>
        <w:tabs>
          <w:tab w:val="left" w:pos="360"/>
          <w:tab w:val="left" w:pos="1080"/>
          <w:tab w:val="left" w:pos="1440"/>
          <w:tab w:val="left" w:pos="1800"/>
          <w:tab w:val="left" w:pos="2160"/>
        </w:tabs>
        <w:ind w:left="1080"/>
        <w:contextualSpacing w:val="0"/>
      </w:pPr>
      <w:r w:rsidRPr="00A77409">
        <w:t xml:space="preserve">One </w:t>
      </w:r>
      <w:r w:rsidR="00286E5E">
        <w:t xml:space="preserve">elementary </w:t>
      </w:r>
      <w:r w:rsidRPr="00A77409">
        <w:t>school rece</w:t>
      </w:r>
      <w:r>
        <w:t xml:space="preserve">ntly looked at </w:t>
      </w:r>
      <w:proofErr w:type="spellStart"/>
      <w:r>
        <w:t>i</w:t>
      </w:r>
      <w:proofErr w:type="spellEnd"/>
      <w:r>
        <w:t xml:space="preserve">-Ready data and </w:t>
      </w:r>
      <w:r w:rsidR="00286E5E">
        <w:t>identified</w:t>
      </w:r>
      <w:r w:rsidR="00286E5E" w:rsidRPr="00A77409">
        <w:t xml:space="preserve"> </w:t>
      </w:r>
      <w:r w:rsidR="00286E5E">
        <w:t>concerns about</w:t>
      </w:r>
      <w:r w:rsidR="00A462F3">
        <w:t xml:space="preserve"> </w:t>
      </w:r>
      <w:r w:rsidRPr="00A77409">
        <w:t>students</w:t>
      </w:r>
      <w:r w:rsidR="00286E5E">
        <w:t>’</w:t>
      </w:r>
      <w:r w:rsidRPr="00A77409">
        <w:t xml:space="preserve"> </w:t>
      </w:r>
      <w:r w:rsidR="00286E5E">
        <w:t>facility</w:t>
      </w:r>
      <w:r w:rsidRPr="00A77409">
        <w:t xml:space="preserve"> with vocabulary. As a result, </w:t>
      </w:r>
      <w:r w:rsidR="00286E5E">
        <w:t>school leaders</w:t>
      </w:r>
      <w:r w:rsidR="00286E5E" w:rsidRPr="00A77409">
        <w:t xml:space="preserve"> </w:t>
      </w:r>
      <w:r w:rsidRPr="00A77409">
        <w:t xml:space="preserve">scheduled a half-day </w:t>
      </w:r>
      <w:r w:rsidR="00A462F3">
        <w:t>of professional development</w:t>
      </w:r>
      <w:r w:rsidRPr="00A77409">
        <w:t xml:space="preserve"> on vocabulary instruction.</w:t>
      </w:r>
    </w:p>
    <w:p w14:paraId="785C3D2B" w14:textId="112ABB10" w:rsidR="005634AD" w:rsidRPr="00A77409" w:rsidRDefault="005634AD" w:rsidP="00A50D17">
      <w:pPr>
        <w:pStyle w:val="ListParagraph"/>
        <w:numPr>
          <w:ilvl w:val="2"/>
          <w:numId w:val="43"/>
        </w:numPr>
        <w:tabs>
          <w:tab w:val="left" w:pos="360"/>
          <w:tab w:val="left" w:pos="1080"/>
          <w:tab w:val="left" w:pos="1440"/>
          <w:tab w:val="left" w:pos="1800"/>
          <w:tab w:val="left" w:pos="2160"/>
        </w:tabs>
        <w:ind w:left="1080"/>
        <w:contextualSpacing w:val="0"/>
      </w:pPr>
      <w:r w:rsidRPr="00A77409">
        <w:t xml:space="preserve">Teachers noted </w:t>
      </w:r>
      <w:r w:rsidR="00A462F3">
        <w:t>in</w:t>
      </w:r>
      <w:r w:rsidRPr="00A77409">
        <w:t>consisten</w:t>
      </w:r>
      <w:r w:rsidR="00A462F3">
        <w:t>t</w:t>
      </w:r>
      <w:r w:rsidRPr="00A77409">
        <w:t xml:space="preserve"> approaches and access to </w:t>
      </w:r>
      <w:r w:rsidR="00ED68BB">
        <w:t xml:space="preserve">social-emotional learning (SEL) </w:t>
      </w:r>
      <w:r>
        <w:t>at the e</w:t>
      </w:r>
      <w:r w:rsidRPr="00A77409">
        <w:t xml:space="preserve">lementary schools. After reviewing the </w:t>
      </w:r>
      <w:r>
        <w:t>School-Wide Information System (</w:t>
      </w:r>
      <w:r w:rsidRPr="00CD069E">
        <w:rPr>
          <w:color w:val="000000" w:themeColor="text1"/>
        </w:rPr>
        <w:t>SWIS</w:t>
      </w:r>
      <w:r>
        <w:t>)</w:t>
      </w:r>
      <w:r w:rsidRPr="00A77409">
        <w:t xml:space="preserve"> d</w:t>
      </w:r>
      <w:r>
        <w:t xml:space="preserve">ata, they realized a need for SEL at all </w:t>
      </w:r>
      <w:r w:rsidR="00AC4DF0">
        <w:t xml:space="preserve">elementary </w:t>
      </w:r>
      <w:r>
        <w:t>schools</w:t>
      </w:r>
      <w:r w:rsidRPr="00A77409">
        <w:t xml:space="preserve"> and the district decided to purchase Second Step for K</w:t>
      </w:r>
      <w:r w:rsidR="00A462F3">
        <w:t>–</w:t>
      </w:r>
      <w:r w:rsidRPr="00A77409">
        <w:t>5</w:t>
      </w:r>
      <w:r w:rsidR="009F63D5">
        <w:t>,</w:t>
      </w:r>
      <w:r w:rsidRPr="00A77409">
        <w:t xml:space="preserve"> </w:t>
      </w:r>
      <w:r w:rsidR="009F63D5">
        <w:t>beginning in 2019</w:t>
      </w:r>
      <w:r w:rsidR="00A462F3">
        <w:t>–</w:t>
      </w:r>
      <w:r w:rsidR="009F63D5">
        <w:t>2020</w:t>
      </w:r>
      <w:r w:rsidRPr="00A77409">
        <w:t xml:space="preserve">. </w:t>
      </w:r>
    </w:p>
    <w:p w14:paraId="05A3803A" w14:textId="57CC4B16" w:rsidR="005634AD" w:rsidRDefault="00A07B67" w:rsidP="00A50D17">
      <w:pPr>
        <w:pStyle w:val="ListParagraph"/>
        <w:numPr>
          <w:ilvl w:val="2"/>
          <w:numId w:val="43"/>
        </w:numPr>
        <w:tabs>
          <w:tab w:val="left" w:pos="360"/>
          <w:tab w:val="left" w:pos="1080"/>
          <w:tab w:val="left" w:pos="1440"/>
          <w:tab w:val="left" w:pos="1800"/>
          <w:tab w:val="left" w:pos="2160"/>
        </w:tabs>
        <w:spacing w:after="240"/>
        <w:ind w:left="1080"/>
        <w:contextualSpacing w:val="0"/>
      </w:pPr>
      <w:r>
        <w:t>After</w:t>
      </w:r>
      <w:r w:rsidR="005634AD" w:rsidRPr="00A77409">
        <w:t xml:space="preserve"> an analysis of classroom instruction and </w:t>
      </w:r>
      <w:r w:rsidR="005634AD">
        <w:t xml:space="preserve">other </w:t>
      </w:r>
      <w:r w:rsidR="005634AD" w:rsidRPr="00A77409">
        <w:t xml:space="preserve">relevant data, the district concluded that many students </w:t>
      </w:r>
      <w:r w:rsidR="005634AD">
        <w:t>were</w:t>
      </w:r>
      <w:r w:rsidR="005634AD" w:rsidRPr="00A77409">
        <w:t xml:space="preserve"> not perform</w:t>
      </w:r>
      <w:r w:rsidR="005634AD">
        <w:t>ing</w:t>
      </w:r>
      <w:r w:rsidR="005634AD" w:rsidRPr="00A77409">
        <w:t xml:space="preserve"> at high levels. After determining the need to enhance rigor in classroom objectives and tasks, the district </w:t>
      </w:r>
      <w:r w:rsidR="00ED68BB">
        <w:t>engaged</w:t>
      </w:r>
      <w:r w:rsidR="005634AD" w:rsidRPr="00A77409">
        <w:t xml:space="preserve"> consultants </w:t>
      </w:r>
      <w:r w:rsidR="00ED68BB">
        <w:t xml:space="preserve">to </w:t>
      </w:r>
      <w:r w:rsidR="005634AD" w:rsidRPr="00A77409">
        <w:t xml:space="preserve">work with coaches to </w:t>
      </w:r>
      <w:r w:rsidR="00ED68BB">
        <w:t>review</w:t>
      </w:r>
      <w:r w:rsidR="005634AD" w:rsidRPr="00A77409">
        <w:t xml:space="preserve"> </w:t>
      </w:r>
      <w:r w:rsidR="005634AD">
        <w:t xml:space="preserve">instructional </w:t>
      </w:r>
      <w:r w:rsidR="005634AD" w:rsidRPr="00A77409">
        <w:t>standards and t</w:t>
      </w:r>
      <w:r w:rsidR="005634AD">
        <w:t>he l</w:t>
      </w:r>
      <w:r w:rsidR="005634AD" w:rsidRPr="00A77409">
        <w:t>evel of rigor in lesson planning.</w:t>
      </w:r>
    </w:p>
    <w:p w14:paraId="435F0C5B" w14:textId="4FAE6A9E" w:rsidR="005634AD" w:rsidRDefault="005634AD" w:rsidP="005634AD">
      <w:pPr>
        <w:tabs>
          <w:tab w:val="left" w:pos="360"/>
          <w:tab w:val="left" w:pos="1080"/>
          <w:tab w:val="left" w:pos="1440"/>
          <w:tab w:val="left" w:pos="1800"/>
          <w:tab w:val="left" w:pos="2160"/>
        </w:tabs>
        <w:rPr>
          <w:rFonts w:ascii="Calibri" w:hAnsi="Calibri"/>
        </w:rPr>
      </w:pPr>
      <w:r w:rsidRPr="009337D3">
        <w:rPr>
          <w:rFonts w:ascii="Calibri" w:hAnsi="Calibri"/>
          <w:b/>
          <w:color w:val="000000" w:themeColor="text1"/>
        </w:rPr>
        <w:t>Impact</w:t>
      </w:r>
      <w:r>
        <w:rPr>
          <w:rFonts w:ascii="Calibri" w:hAnsi="Calibri"/>
          <w:b/>
          <w:color w:val="000000" w:themeColor="text1"/>
        </w:rPr>
        <w:t>:</w:t>
      </w:r>
      <w:r w:rsidRPr="009337D3">
        <w:rPr>
          <w:rFonts w:ascii="Calibri" w:hAnsi="Calibri"/>
        </w:rPr>
        <w:t xml:space="preserve"> A </w:t>
      </w:r>
      <w:r w:rsidR="000111A8">
        <w:rPr>
          <w:rFonts w:ascii="Calibri" w:hAnsi="Calibri"/>
        </w:rPr>
        <w:t>shared</w:t>
      </w:r>
      <w:r w:rsidR="00CD7631">
        <w:rPr>
          <w:rFonts w:ascii="Calibri" w:hAnsi="Calibri"/>
        </w:rPr>
        <w:t xml:space="preserve"> and consistent</w:t>
      </w:r>
      <w:r>
        <w:rPr>
          <w:rFonts w:ascii="Calibri" w:hAnsi="Calibri"/>
        </w:rPr>
        <w:t xml:space="preserve"> system </w:t>
      </w:r>
      <w:r w:rsidR="00054DA9">
        <w:rPr>
          <w:rFonts w:ascii="Calibri" w:hAnsi="Calibri"/>
        </w:rPr>
        <w:t>for</w:t>
      </w:r>
      <w:r w:rsidRPr="009337D3">
        <w:rPr>
          <w:rFonts w:ascii="Calibri" w:hAnsi="Calibri"/>
        </w:rPr>
        <w:t xml:space="preserve"> data collection</w:t>
      </w:r>
      <w:r w:rsidR="007F46E6">
        <w:rPr>
          <w:rFonts w:ascii="Calibri" w:hAnsi="Calibri"/>
        </w:rPr>
        <w:t>, data sharing,</w:t>
      </w:r>
      <w:r w:rsidRPr="009337D3">
        <w:rPr>
          <w:rFonts w:ascii="Calibri" w:hAnsi="Calibri"/>
        </w:rPr>
        <w:t xml:space="preserve"> and </w:t>
      </w:r>
      <w:r w:rsidR="007F46E6">
        <w:rPr>
          <w:rFonts w:ascii="Calibri" w:hAnsi="Calibri"/>
        </w:rPr>
        <w:t xml:space="preserve">informed </w:t>
      </w:r>
      <w:r w:rsidRPr="009337D3">
        <w:rPr>
          <w:rFonts w:ascii="Calibri" w:hAnsi="Calibri"/>
        </w:rPr>
        <w:t>decision-making can lead to higher interest, more confidence, and positive momentum i</w:t>
      </w:r>
      <w:r w:rsidR="00054DA9">
        <w:rPr>
          <w:rFonts w:ascii="Calibri" w:hAnsi="Calibri"/>
        </w:rPr>
        <w:t>n</w:t>
      </w:r>
      <w:r w:rsidRPr="009337D3">
        <w:rPr>
          <w:rFonts w:ascii="Calibri" w:hAnsi="Calibri"/>
        </w:rPr>
        <w:t xml:space="preserve"> using data to help move </w:t>
      </w:r>
      <w:r>
        <w:rPr>
          <w:rFonts w:ascii="Calibri" w:hAnsi="Calibri"/>
        </w:rPr>
        <w:t>the district forward.</w:t>
      </w:r>
    </w:p>
    <w:p w14:paraId="79949374" w14:textId="77777777" w:rsidR="00054DA9" w:rsidRPr="00054DA9" w:rsidRDefault="00054DA9" w:rsidP="00170D3B">
      <w:pPr>
        <w:tabs>
          <w:tab w:val="left" w:pos="1080"/>
          <w:tab w:val="left" w:pos="1440"/>
          <w:tab w:val="left" w:pos="1800"/>
          <w:tab w:val="left" w:pos="2160"/>
        </w:tabs>
        <w:spacing w:after="0"/>
      </w:pPr>
    </w:p>
    <w:p w14:paraId="1420EF33" w14:textId="6202D993" w:rsidR="005634AD" w:rsidRDefault="005634AD" w:rsidP="005634AD">
      <w:pPr>
        <w:tabs>
          <w:tab w:val="left" w:pos="360"/>
          <w:tab w:val="left" w:pos="720"/>
          <w:tab w:val="left" w:pos="1080"/>
          <w:tab w:val="left" w:pos="1440"/>
          <w:tab w:val="left" w:pos="1800"/>
          <w:tab w:val="left" w:pos="2160"/>
        </w:tabs>
        <w:rPr>
          <w:rFonts w:ascii="Calibri" w:hAnsi="Calibri"/>
          <w:b/>
          <w:sz w:val="28"/>
          <w:szCs w:val="28"/>
        </w:rPr>
      </w:pPr>
      <w:r w:rsidRPr="00136780">
        <w:rPr>
          <w:rFonts w:ascii="Calibri" w:hAnsi="Calibri"/>
          <w:b/>
          <w:sz w:val="28"/>
          <w:szCs w:val="28"/>
        </w:rPr>
        <w:lastRenderedPageBreak/>
        <w:t>Challenges and Areas for Growth</w:t>
      </w:r>
    </w:p>
    <w:p w14:paraId="4E8540E2" w14:textId="6EAC3B4A" w:rsidR="005634AD" w:rsidRPr="00EC5B5A" w:rsidRDefault="00796995" w:rsidP="00EC5B5A">
      <w:pPr>
        <w:tabs>
          <w:tab w:val="left" w:pos="360"/>
          <w:tab w:val="left" w:pos="720"/>
          <w:tab w:val="left" w:pos="1080"/>
          <w:tab w:val="left" w:pos="1440"/>
          <w:tab w:val="left" w:pos="1800"/>
        </w:tabs>
        <w:ind w:left="360" w:hanging="360"/>
        <w:rPr>
          <w:b/>
          <w:color w:val="000000" w:themeColor="text1"/>
        </w:rPr>
      </w:pPr>
      <w:r>
        <w:rPr>
          <w:b/>
          <w:color w:val="000000" w:themeColor="text1"/>
        </w:rPr>
        <w:t>2</w:t>
      </w:r>
      <w:r w:rsidR="00762C64">
        <w:rPr>
          <w:b/>
          <w:color w:val="000000" w:themeColor="text1"/>
        </w:rPr>
        <w:t>.</w:t>
      </w:r>
      <w:r w:rsidR="00762C64">
        <w:rPr>
          <w:b/>
          <w:color w:val="000000" w:themeColor="text1"/>
        </w:rPr>
        <w:tab/>
        <w:t>T</w:t>
      </w:r>
      <w:r w:rsidR="005634AD" w:rsidRPr="00EC5B5A">
        <w:rPr>
          <w:b/>
          <w:color w:val="000000" w:themeColor="text1"/>
        </w:rPr>
        <w:t xml:space="preserve">he district has not fully established </w:t>
      </w:r>
      <w:r w:rsidR="005634AD" w:rsidRPr="00EC5B5A">
        <w:rPr>
          <w:rFonts w:cstheme="minorHAnsi"/>
          <w:b/>
          <w:color w:val="000000" w:themeColor="text1"/>
        </w:rPr>
        <w:t xml:space="preserve">a culture that uses data </w:t>
      </w:r>
      <w:r w:rsidR="00054DA9" w:rsidRPr="00EC5B5A">
        <w:rPr>
          <w:rFonts w:cstheme="minorHAnsi"/>
          <w:b/>
          <w:color w:val="000000" w:themeColor="text1"/>
        </w:rPr>
        <w:t>to</w:t>
      </w:r>
      <w:r w:rsidR="005634AD" w:rsidRPr="00EC5B5A">
        <w:rPr>
          <w:rFonts w:cstheme="minorHAnsi"/>
          <w:b/>
          <w:color w:val="000000" w:themeColor="text1"/>
        </w:rPr>
        <w:t xml:space="preserve"> improv</w:t>
      </w:r>
      <w:r w:rsidR="00054DA9" w:rsidRPr="00EC5B5A">
        <w:rPr>
          <w:rFonts w:cstheme="minorHAnsi"/>
          <w:b/>
          <w:color w:val="000000" w:themeColor="text1"/>
        </w:rPr>
        <w:t>e</w:t>
      </w:r>
      <w:r w:rsidR="005634AD" w:rsidRPr="00EC5B5A">
        <w:rPr>
          <w:rFonts w:cstheme="minorHAnsi"/>
          <w:b/>
          <w:color w:val="000000" w:themeColor="text1"/>
        </w:rPr>
        <w:t xml:space="preserve"> teaching, learning, and </w:t>
      </w:r>
      <w:r w:rsidR="005634AD" w:rsidRPr="00EC5B5A">
        <w:rPr>
          <w:b/>
          <w:color w:val="000000" w:themeColor="text1"/>
        </w:rPr>
        <w:t>classroom-level decision making</w:t>
      </w:r>
      <w:r w:rsidR="005634AD" w:rsidRPr="00EC5B5A">
        <w:rPr>
          <w:rFonts w:cstheme="minorHAnsi"/>
          <w:b/>
          <w:color w:val="000000" w:themeColor="text1"/>
        </w:rPr>
        <w:t>.</w:t>
      </w:r>
    </w:p>
    <w:p w14:paraId="6916F145" w14:textId="002E4200" w:rsidR="005634AD" w:rsidRPr="00456B57" w:rsidRDefault="005634AD" w:rsidP="00A50D17">
      <w:pPr>
        <w:pStyle w:val="ListParagraph"/>
        <w:numPr>
          <w:ilvl w:val="1"/>
          <w:numId w:val="44"/>
        </w:numPr>
        <w:tabs>
          <w:tab w:val="left" w:pos="1080"/>
          <w:tab w:val="left" w:pos="1440"/>
          <w:tab w:val="left" w:pos="1800"/>
          <w:tab w:val="left" w:pos="2160"/>
        </w:tabs>
        <w:ind w:left="720"/>
        <w:contextualSpacing w:val="0"/>
      </w:pPr>
      <w:r w:rsidRPr="00456B57">
        <w:t xml:space="preserve">The district is at the preliminary stage in the development and implementation of </w:t>
      </w:r>
      <w:r w:rsidR="00054DA9">
        <w:t>its</w:t>
      </w:r>
      <w:r w:rsidRPr="00456B57">
        <w:t xml:space="preserve"> system for </w:t>
      </w:r>
      <w:r w:rsidRPr="00EC5B5A">
        <w:t>using</w:t>
      </w:r>
      <w:r w:rsidRPr="00456B57">
        <w:t xml:space="preserve"> student assessment results to support all students in making progress toward achieving state and local standards.</w:t>
      </w:r>
    </w:p>
    <w:p w14:paraId="3032D5BC" w14:textId="169C7BFC" w:rsidR="005634AD" w:rsidRPr="004E219D" w:rsidRDefault="005634AD" w:rsidP="00A50D17">
      <w:pPr>
        <w:pStyle w:val="ListParagraph"/>
        <w:numPr>
          <w:ilvl w:val="2"/>
          <w:numId w:val="45"/>
        </w:numPr>
        <w:tabs>
          <w:tab w:val="left" w:pos="360"/>
          <w:tab w:val="left" w:pos="1080"/>
          <w:tab w:val="left" w:pos="1440"/>
          <w:tab w:val="left" w:pos="1800"/>
          <w:tab w:val="left" w:pos="2160"/>
        </w:tabs>
        <w:ind w:left="1080"/>
        <w:contextualSpacing w:val="0"/>
        <w:rPr>
          <w:color w:val="000000" w:themeColor="text1"/>
        </w:rPr>
      </w:pPr>
      <w:r w:rsidRPr="004E219D">
        <w:rPr>
          <w:color w:val="000000" w:themeColor="text1"/>
        </w:rPr>
        <w:t xml:space="preserve">According to interviewees, while </w:t>
      </w:r>
      <w:r w:rsidR="001C5751">
        <w:rPr>
          <w:color w:val="000000" w:themeColor="text1"/>
        </w:rPr>
        <w:t xml:space="preserve">educators </w:t>
      </w:r>
      <w:r w:rsidR="00054DA9">
        <w:rPr>
          <w:color w:val="000000" w:themeColor="text1"/>
        </w:rPr>
        <w:t xml:space="preserve">often use </w:t>
      </w:r>
      <w:r w:rsidRPr="004E219D">
        <w:rPr>
          <w:color w:val="000000" w:themeColor="text1"/>
        </w:rPr>
        <w:t xml:space="preserve">discussions </w:t>
      </w:r>
      <w:r w:rsidR="00054DA9">
        <w:rPr>
          <w:color w:val="000000" w:themeColor="text1"/>
        </w:rPr>
        <w:t>about</w:t>
      </w:r>
      <w:r w:rsidRPr="004E219D">
        <w:rPr>
          <w:color w:val="000000" w:themeColor="text1"/>
        </w:rPr>
        <w:t xml:space="preserve"> student performance and assessment data for classroom grouping and identification of individual students needing interventions, moving these conversations into actionable changes in instructional practice at the classroom level does not usually </w:t>
      </w:r>
      <w:r w:rsidR="00A07B67">
        <w:rPr>
          <w:color w:val="000000" w:themeColor="text1"/>
        </w:rPr>
        <w:t>take place</w:t>
      </w:r>
      <w:r w:rsidRPr="004E219D">
        <w:rPr>
          <w:color w:val="000000" w:themeColor="text1"/>
        </w:rPr>
        <w:t xml:space="preserve">. </w:t>
      </w:r>
    </w:p>
    <w:p w14:paraId="293E55D4" w14:textId="0C4D1D8F" w:rsidR="005634AD" w:rsidRPr="00703341" w:rsidRDefault="005634AD" w:rsidP="00A50D17">
      <w:pPr>
        <w:pStyle w:val="ListParagraph"/>
        <w:numPr>
          <w:ilvl w:val="2"/>
          <w:numId w:val="45"/>
        </w:numPr>
        <w:tabs>
          <w:tab w:val="left" w:pos="360"/>
          <w:tab w:val="left" w:pos="1080"/>
          <w:tab w:val="left" w:pos="1440"/>
          <w:tab w:val="left" w:pos="1800"/>
          <w:tab w:val="left" w:pos="2160"/>
        </w:tabs>
        <w:ind w:left="1080"/>
        <w:contextualSpacing w:val="0"/>
      </w:pPr>
      <w:r w:rsidRPr="00194C6B">
        <w:t>Evidence that teachers use formative assessment data to drive and adjust daily instructional practice varies considerably by school level and class.</w:t>
      </w:r>
      <w:r w:rsidRPr="00703341">
        <w:t xml:space="preserve"> </w:t>
      </w:r>
    </w:p>
    <w:p w14:paraId="576F7943" w14:textId="39444E61" w:rsidR="005634AD" w:rsidRPr="00194C6B" w:rsidRDefault="005634AD" w:rsidP="00A50D17">
      <w:pPr>
        <w:pStyle w:val="ListParagraph"/>
        <w:numPr>
          <w:ilvl w:val="3"/>
          <w:numId w:val="45"/>
        </w:numPr>
        <w:tabs>
          <w:tab w:val="left" w:pos="360"/>
          <w:tab w:val="left" w:pos="1080"/>
          <w:tab w:val="left" w:pos="1440"/>
          <w:tab w:val="left" w:pos="1800"/>
          <w:tab w:val="left" w:pos="2160"/>
        </w:tabs>
        <w:ind w:left="1440"/>
        <w:contextualSpacing w:val="0"/>
      </w:pPr>
      <w:r w:rsidRPr="006803BF">
        <w:t xml:space="preserve">The team saw sufficient </w:t>
      </w:r>
      <w:r w:rsidR="00762C64">
        <w:t>and</w:t>
      </w:r>
      <w:r w:rsidR="00762C64" w:rsidRPr="006803BF">
        <w:t xml:space="preserve"> </w:t>
      </w:r>
      <w:r w:rsidRPr="006803BF">
        <w:t xml:space="preserve">compelling evidence of teachers using a variety of instructional strategies in 73 percent of observed elementary and </w:t>
      </w:r>
      <w:r w:rsidR="00A07B67" w:rsidRPr="006803BF">
        <w:t>middle</w:t>
      </w:r>
      <w:r w:rsidR="00A07B67">
        <w:t>-</w:t>
      </w:r>
      <w:r w:rsidRPr="006803BF">
        <w:t xml:space="preserve">school </w:t>
      </w:r>
      <w:r w:rsidR="00607371" w:rsidRPr="006803BF">
        <w:t>class</w:t>
      </w:r>
      <w:r w:rsidR="00607371">
        <w:t>es</w:t>
      </w:r>
      <w:r w:rsidRPr="00194C6B">
        <w:t xml:space="preserve">, but </w:t>
      </w:r>
      <w:r w:rsidR="00762C64">
        <w:t xml:space="preserve">in </w:t>
      </w:r>
      <w:r w:rsidRPr="00194C6B">
        <w:t xml:space="preserve">just 19 percent of </w:t>
      </w:r>
      <w:r w:rsidR="00607371">
        <w:t xml:space="preserve">observed </w:t>
      </w:r>
      <w:r w:rsidR="00762C64" w:rsidRPr="00194C6B">
        <w:t>high</w:t>
      </w:r>
      <w:r w:rsidR="00762C64">
        <w:t>-</w:t>
      </w:r>
      <w:r w:rsidRPr="00194C6B">
        <w:t xml:space="preserve">school </w:t>
      </w:r>
      <w:r w:rsidR="00607371" w:rsidRPr="00194C6B">
        <w:t>class</w:t>
      </w:r>
      <w:r w:rsidR="00607371">
        <w:t>es</w:t>
      </w:r>
      <w:r w:rsidRPr="00194C6B">
        <w:t>.</w:t>
      </w:r>
    </w:p>
    <w:p w14:paraId="6A8BD19C" w14:textId="7C895780" w:rsidR="005634AD" w:rsidRPr="00194C6B" w:rsidRDefault="005634AD" w:rsidP="00A50D17">
      <w:pPr>
        <w:pStyle w:val="ListParagraph"/>
        <w:numPr>
          <w:ilvl w:val="3"/>
          <w:numId w:val="45"/>
        </w:numPr>
        <w:tabs>
          <w:tab w:val="left" w:pos="360"/>
          <w:tab w:val="left" w:pos="1080"/>
          <w:tab w:val="left" w:pos="1440"/>
          <w:tab w:val="left" w:pos="1800"/>
          <w:tab w:val="left" w:pos="2160"/>
        </w:tabs>
        <w:ind w:left="1440"/>
        <w:contextualSpacing w:val="0"/>
      </w:pPr>
      <w:r w:rsidRPr="00194C6B">
        <w:t xml:space="preserve">The team observed sufficient </w:t>
      </w:r>
      <w:r w:rsidR="00762C64">
        <w:t>and</w:t>
      </w:r>
      <w:r w:rsidR="00A07B67">
        <w:t xml:space="preserve"> </w:t>
      </w:r>
      <w:r w:rsidRPr="00194C6B">
        <w:t xml:space="preserve">compelling evidence of teachers ensuring that students were engaging in challenging tasks regardless of learning needs in 46 percent of elementary </w:t>
      </w:r>
      <w:r w:rsidR="00607371" w:rsidRPr="00194C6B">
        <w:t>clas</w:t>
      </w:r>
      <w:r w:rsidR="00607371">
        <w:t>ses</w:t>
      </w:r>
      <w:r w:rsidRPr="00194C6B">
        <w:t xml:space="preserve">, </w:t>
      </w:r>
      <w:r w:rsidR="00762C64">
        <w:t xml:space="preserve">in </w:t>
      </w:r>
      <w:r w:rsidRPr="00194C6B">
        <w:t xml:space="preserve">39 percent of </w:t>
      </w:r>
      <w:r w:rsidR="00762C64" w:rsidRPr="00194C6B">
        <w:t>middle</w:t>
      </w:r>
      <w:r w:rsidR="00762C64">
        <w:t>-</w:t>
      </w:r>
      <w:r w:rsidRPr="00194C6B">
        <w:t xml:space="preserve">school </w:t>
      </w:r>
      <w:r w:rsidR="00607371" w:rsidRPr="00194C6B">
        <w:t>clas</w:t>
      </w:r>
      <w:r w:rsidR="00607371">
        <w:t>se</w:t>
      </w:r>
      <w:r w:rsidR="00607371" w:rsidRPr="00194C6B">
        <w:t>s</w:t>
      </w:r>
      <w:r w:rsidRPr="00194C6B">
        <w:t xml:space="preserve">, and </w:t>
      </w:r>
      <w:r w:rsidR="00762C64">
        <w:t xml:space="preserve">in </w:t>
      </w:r>
      <w:r w:rsidRPr="00194C6B">
        <w:t xml:space="preserve">35 percent of </w:t>
      </w:r>
      <w:r w:rsidR="00762C64" w:rsidRPr="00194C6B">
        <w:t>high</w:t>
      </w:r>
      <w:r w:rsidR="00762C64">
        <w:t>-</w:t>
      </w:r>
      <w:r w:rsidRPr="00194C6B">
        <w:t>school classes.</w:t>
      </w:r>
    </w:p>
    <w:p w14:paraId="6F3D670A" w14:textId="17D23555" w:rsidR="005634AD" w:rsidRPr="00703341" w:rsidRDefault="00271943" w:rsidP="00406A80">
      <w:pPr>
        <w:pStyle w:val="ListParagraph"/>
        <w:numPr>
          <w:ilvl w:val="2"/>
          <w:numId w:val="45"/>
        </w:numPr>
        <w:tabs>
          <w:tab w:val="left" w:pos="360"/>
          <w:tab w:val="left" w:pos="1080"/>
          <w:tab w:val="left" w:pos="1440"/>
          <w:tab w:val="left" w:pos="1800"/>
          <w:tab w:val="left" w:pos="2160"/>
        </w:tabs>
        <w:ind w:left="1080"/>
        <w:contextualSpacing w:val="0"/>
      </w:pPr>
      <w:r>
        <w:t>T</w:t>
      </w:r>
      <w:r w:rsidRPr="00AA4268">
        <w:t xml:space="preserve">he </w:t>
      </w:r>
      <w:r w:rsidR="005634AD" w:rsidRPr="00AA4268">
        <w:t xml:space="preserve">middle schools and </w:t>
      </w:r>
      <w:r w:rsidR="00A07B67">
        <w:t xml:space="preserve">the </w:t>
      </w:r>
      <w:r w:rsidR="005634AD" w:rsidRPr="00AA4268">
        <w:t>high school have not established consistent or standard practices for collection</w:t>
      </w:r>
      <w:r w:rsidR="005634AD">
        <w:t>, review,</w:t>
      </w:r>
      <w:r w:rsidR="005634AD" w:rsidRPr="00AA4268">
        <w:t xml:space="preserve"> and analysis </w:t>
      </w:r>
      <w:r w:rsidR="005634AD">
        <w:t xml:space="preserve">of district </w:t>
      </w:r>
      <w:r>
        <w:t xml:space="preserve">and </w:t>
      </w:r>
      <w:r w:rsidR="005634AD">
        <w:t xml:space="preserve">school </w:t>
      </w:r>
      <w:r w:rsidR="005634AD" w:rsidRPr="00AA4268">
        <w:t>assessment and outcome data.</w:t>
      </w:r>
      <w:r w:rsidR="00607F43">
        <w:t xml:space="preserve"> </w:t>
      </w:r>
      <w:r w:rsidR="00A07B67">
        <w:t>District and school leaders and teachers told the team that w</w:t>
      </w:r>
      <w:r w:rsidR="00A07B67" w:rsidRPr="00703341">
        <w:t xml:space="preserve">hile </w:t>
      </w:r>
      <w:proofErr w:type="spellStart"/>
      <w:r w:rsidR="005634AD" w:rsidRPr="00703341">
        <w:t>i</w:t>
      </w:r>
      <w:proofErr w:type="spellEnd"/>
      <w:r w:rsidR="005634AD" w:rsidRPr="00703341">
        <w:t xml:space="preserve">-Ready and </w:t>
      </w:r>
      <w:r w:rsidR="00054DA9" w:rsidRPr="00EC5B5A">
        <w:t>I</w:t>
      </w:r>
      <w:r w:rsidR="005634AD" w:rsidRPr="00EC5B5A">
        <w:t xml:space="preserve">magine </w:t>
      </w:r>
      <w:r w:rsidR="00054DA9" w:rsidRPr="00EC5B5A">
        <w:t>L</w:t>
      </w:r>
      <w:r w:rsidR="005634AD" w:rsidRPr="00EC5B5A">
        <w:t>earning</w:t>
      </w:r>
      <w:r w:rsidR="005634AD" w:rsidRPr="00703341">
        <w:t xml:space="preserve"> assessment</w:t>
      </w:r>
      <w:r w:rsidR="005634AD" w:rsidRPr="006803BF">
        <w:t xml:space="preserve">s </w:t>
      </w:r>
      <w:r w:rsidR="00A07B67">
        <w:t xml:space="preserve">were </w:t>
      </w:r>
      <w:r w:rsidR="005634AD" w:rsidRPr="006803BF">
        <w:t xml:space="preserve">available at the middle schools, these </w:t>
      </w:r>
      <w:r w:rsidR="00A07B67">
        <w:t>assessments were</w:t>
      </w:r>
      <w:r w:rsidR="00A07B67" w:rsidRPr="006803BF">
        <w:t xml:space="preserve"> </w:t>
      </w:r>
      <w:r w:rsidR="005634AD" w:rsidRPr="006803BF">
        <w:t xml:space="preserve">used sporadically, and structures for discussing data </w:t>
      </w:r>
      <w:r w:rsidR="00A07B67">
        <w:t>were</w:t>
      </w:r>
      <w:r w:rsidR="00A07B67" w:rsidRPr="006803BF">
        <w:t xml:space="preserve"> </w:t>
      </w:r>
      <w:r w:rsidR="005634AD" w:rsidRPr="006803BF">
        <w:t xml:space="preserve">not </w:t>
      </w:r>
      <w:r w:rsidR="005634AD">
        <w:t>happening</w:t>
      </w:r>
      <w:r w:rsidR="005634AD" w:rsidRPr="00194C6B">
        <w:t xml:space="preserve"> consistently. When </w:t>
      </w:r>
      <w:r w:rsidR="00A07B67">
        <w:t>discussions about</w:t>
      </w:r>
      <w:r w:rsidR="00A07B67" w:rsidRPr="00194C6B">
        <w:t xml:space="preserve"> </w:t>
      </w:r>
      <w:r w:rsidR="00A07B67">
        <w:t xml:space="preserve">data </w:t>
      </w:r>
      <w:r w:rsidR="005634AD" w:rsidRPr="00194C6B">
        <w:t xml:space="preserve">do </w:t>
      </w:r>
      <w:r w:rsidR="00A07B67">
        <w:t>take place</w:t>
      </w:r>
      <w:r w:rsidR="005634AD" w:rsidRPr="00194C6B">
        <w:t xml:space="preserve">, data discussion protocols are not typically followed. Further, the roll-out of </w:t>
      </w:r>
      <w:proofErr w:type="spellStart"/>
      <w:r w:rsidR="005634AD" w:rsidRPr="00194C6B">
        <w:t>i</w:t>
      </w:r>
      <w:proofErr w:type="spellEnd"/>
      <w:r w:rsidR="005634AD" w:rsidRPr="00194C6B">
        <w:t xml:space="preserve">-Ready at the </w:t>
      </w:r>
      <w:r w:rsidR="00F12D19" w:rsidRPr="00194C6B">
        <w:t>middle</w:t>
      </w:r>
      <w:r w:rsidR="00F12D19">
        <w:t>-</w:t>
      </w:r>
      <w:r w:rsidR="005634AD" w:rsidRPr="00194C6B">
        <w:t xml:space="preserve">school level was reportedly </w:t>
      </w:r>
      <w:r w:rsidR="00174247">
        <w:t>hampered</w:t>
      </w:r>
      <w:r w:rsidR="005634AD" w:rsidRPr="00194C6B">
        <w:t xml:space="preserve"> </w:t>
      </w:r>
      <w:r w:rsidR="00174247">
        <w:t>by</w:t>
      </w:r>
      <w:r w:rsidR="005634AD" w:rsidRPr="00194C6B">
        <w:t xml:space="preserve"> </w:t>
      </w:r>
      <w:r w:rsidR="005634AD">
        <w:t>what some perceive</w:t>
      </w:r>
      <w:r w:rsidR="00F12D19">
        <w:t>d</w:t>
      </w:r>
      <w:r w:rsidR="005634AD">
        <w:t xml:space="preserve"> as flawed</w:t>
      </w:r>
      <w:r w:rsidR="005634AD" w:rsidRPr="00194C6B">
        <w:t xml:space="preserve"> timing and limited training offered to educators.</w:t>
      </w:r>
    </w:p>
    <w:p w14:paraId="21A6CE24" w14:textId="4335CD61" w:rsidR="005634AD" w:rsidRDefault="00AF305C" w:rsidP="00406A80">
      <w:pPr>
        <w:pStyle w:val="ListParagraph"/>
        <w:numPr>
          <w:ilvl w:val="2"/>
          <w:numId w:val="45"/>
        </w:numPr>
        <w:tabs>
          <w:tab w:val="left" w:pos="1080"/>
          <w:tab w:val="left" w:pos="1440"/>
          <w:tab w:val="left" w:pos="1800"/>
          <w:tab w:val="left" w:pos="2160"/>
        </w:tabs>
        <w:ind w:left="1080"/>
        <w:contextualSpacing w:val="0"/>
      </w:pPr>
      <w:r>
        <w:t>T</w:t>
      </w:r>
      <w:r w:rsidR="005634AD">
        <w:t xml:space="preserve">he use of common formative </w:t>
      </w:r>
      <w:r w:rsidR="005634AD" w:rsidRPr="00703341">
        <w:t>assessments</w:t>
      </w:r>
      <w:r w:rsidR="005634AD" w:rsidRPr="006803BF">
        <w:t xml:space="preserve"> at the high school </w:t>
      </w:r>
      <w:r w:rsidR="005634AD">
        <w:t>is</w:t>
      </w:r>
      <w:r w:rsidR="005634AD" w:rsidRPr="006803BF">
        <w:t xml:space="preserve"> </w:t>
      </w:r>
      <w:r w:rsidR="005634AD">
        <w:t xml:space="preserve">not widespread and </w:t>
      </w:r>
      <w:r w:rsidR="005634AD" w:rsidRPr="00703341">
        <w:t xml:space="preserve">consistent </w:t>
      </w:r>
      <w:r w:rsidR="00C6311F">
        <w:t>across</w:t>
      </w:r>
      <w:r w:rsidR="005634AD">
        <w:t xml:space="preserve"> departments. Most teachers </w:t>
      </w:r>
      <w:r w:rsidR="005634AD" w:rsidRPr="00826F14">
        <w:t xml:space="preserve">rely </w:t>
      </w:r>
      <w:r w:rsidR="005634AD" w:rsidRPr="006803BF">
        <w:t xml:space="preserve">mainly </w:t>
      </w:r>
      <w:r w:rsidR="005634AD" w:rsidRPr="00703341">
        <w:t>on their</w:t>
      </w:r>
      <w:r w:rsidR="005634AD" w:rsidRPr="00194C6B">
        <w:t xml:space="preserve"> mid-year and final</w:t>
      </w:r>
      <w:r w:rsidR="005634AD" w:rsidRPr="00FA3A64">
        <w:t xml:space="preserve"> </w:t>
      </w:r>
      <w:r w:rsidR="005634AD">
        <w:t>exams</w:t>
      </w:r>
      <w:r w:rsidR="00271943">
        <w:t xml:space="preserve"> and</w:t>
      </w:r>
      <w:r w:rsidR="005634AD" w:rsidRPr="00FA3A64">
        <w:t xml:space="preserve"> standardized assessments such as </w:t>
      </w:r>
      <w:r w:rsidR="00271943">
        <w:t xml:space="preserve">the </w:t>
      </w:r>
      <w:r w:rsidR="005634AD" w:rsidRPr="00FA3A64">
        <w:t>MCAS</w:t>
      </w:r>
      <w:r w:rsidR="00F12D19">
        <w:t xml:space="preserve"> assessment</w:t>
      </w:r>
      <w:r w:rsidR="005634AD" w:rsidRPr="00FA3A64">
        <w:t xml:space="preserve">, </w:t>
      </w:r>
      <w:r w:rsidR="00271943">
        <w:t xml:space="preserve">tests, </w:t>
      </w:r>
      <w:r w:rsidR="00F12D19">
        <w:t xml:space="preserve">the </w:t>
      </w:r>
      <w:r w:rsidR="005634AD" w:rsidRPr="00FA3A64">
        <w:t>PSAT, and AP</w:t>
      </w:r>
      <w:r w:rsidR="00F12D19">
        <w:t xml:space="preserve"> exams</w:t>
      </w:r>
      <w:r w:rsidR="005634AD" w:rsidRPr="00FA3A64">
        <w:t>.</w:t>
      </w:r>
    </w:p>
    <w:p w14:paraId="173EF6F3" w14:textId="1340E191" w:rsidR="005634AD" w:rsidRPr="00ED589E" w:rsidRDefault="005634AD" w:rsidP="00406A80">
      <w:pPr>
        <w:pStyle w:val="ListParagraph"/>
        <w:numPr>
          <w:ilvl w:val="2"/>
          <w:numId w:val="45"/>
        </w:numPr>
        <w:tabs>
          <w:tab w:val="left" w:pos="1080"/>
          <w:tab w:val="left" w:pos="1440"/>
          <w:tab w:val="left" w:pos="1800"/>
          <w:tab w:val="left" w:pos="2160"/>
        </w:tabs>
        <w:ind w:left="1080"/>
        <w:contextualSpacing w:val="0"/>
        <w:rPr>
          <w:color w:val="000000" w:themeColor="text1"/>
        </w:rPr>
      </w:pPr>
      <w:r w:rsidRPr="00ED589E">
        <w:rPr>
          <w:color w:val="000000" w:themeColor="text1"/>
        </w:rPr>
        <w:t xml:space="preserve">Some school leaders and educators identified </w:t>
      </w:r>
      <w:r w:rsidR="00271943">
        <w:rPr>
          <w:color w:val="000000" w:themeColor="text1"/>
        </w:rPr>
        <w:t>the</w:t>
      </w:r>
      <w:r w:rsidR="00271943" w:rsidRPr="00ED589E">
        <w:rPr>
          <w:color w:val="000000" w:themeColor="text1"/>
        </w:rPr>
        <w:t xml:space="preserve"> </w:t>
      </w:r>
      <w:r w:rsidRPr="00ED589E">
        <w:rPr>
          <w:color w:val="000000" w:themeColor="text1"/>
        </w:rPr>
        <w:t>need for more training on data analysis and use.</w:t>
      </w:r>
      <w:r>
        <w:rPr>
          <w:color w:val="000000" w:themeColor="text1"/>
        </w:rPr>
        <w:t xml:space="preserve"> Some s</w:t>
      </w:r>
      <w:r w:rsidRPr="00ED589E">
        <w:rPr>
          <w:color w:val="000000" w:themeColor="text1"/>
        </w:rPr>
        <w:t>econdary</w:t>
      </w:r>
      <w:r>
        <w:rPr>
          <w:color w:val="000000" w:themeColor="text1"/>
        </w:rPr>
        <w:t xml:space="preserve"> school teacher</w:t>
      </w:r>
      <w:r w:rsidR="00C6311F">
        <w:rPr>
          <w:color w:val="000000" w:themeColor="text1"/>
        </w:rPr>
        <w:t>s</w:t>
      </w:r>
      <w:r>
        <w:rPr>
          <w:color w:val="000000" w:themeColor="text1"/>
        </w:rPr>
        <w:t xml:space="preserve"> expressed </w:t>
      </w:r>
      <w:r w:rsidR="00271943">
        <w:rPr>
          <w:color w:val="000000" w:themeColor="text1"/>
        </w:rPr>
        <w:t xml:space="preserve">the view </w:t>
      </w:r>
      <w:r>
        <w:rPr>
          <w:color w:val="000000" w:themeColor="text1"/>
        </w:rPr>
        <w:t xml:space="preserve">that data </w:t>
      </w:r>
      <w:r w:rsidR="00271943">
        <w:rPr>
          <w:color w:val="000000" w:themeColor="text1"/>
        </w:rPr>
        <w:t>analysis led</w:t>
      </w:r>
      <w:r>
        <w:rPr>
          <w:color w:val="000000" w:themeColor="text1"/>
        </w:rPr>
        <w:t xml:space="preserve"> to questions that they </w:t>
      </w:r>
      <w:r w:rsidR="00271943">
        <w:rPr>
          <w:color w:val="000000" w:themeColor="text1"/>
        </w:rPr>
        <w:t xml:space="preserve">could not </w:t>
      </w:r>
      <w:r w:rsidRPr="00ED589E">
        <w:rPr>
          <w:color w:val="000000" w:themeColor="text1"/>
        </w:rPr>
        <w:t>always answer,</w:t>
      </w:r>
      <w:r w:rsidRPr="00ED589E">
        <w:rPr>
          <w:rStyle w:val="FootnoteReference"/>
          <w:color w:val="000000" w:themeColor="text1"/>
        </w:rPr>
        <w:t xml:space="preserve"> </w:t>
      </w:r>
      <w:r>
        <w:rPr>
          <w:color w:val="000000" w:themeColor="text1"/>
        </w:rPr>
        <w:t xml:space="preserve">and that they sometimes </w:t>
      </w:r>
      <w:r w:rsidR="00271943" w:rsidRPr="00ED589E">
        <w:rPr>
          <w:color w:val="000000" w:themeColor="text1"/>
        </w:rPr>
        <w:t>d</w:t>
      </w:r>
      <w:r w:rsidR="00271943">
        <w:rPr>
          <w:color w:val="000000" w:themeColor="text1"/>
        </w:rPr>
        <w:t>id no</w:t>
      </w:r>
      <w:r w:rsidR="00271943" w:rsidRPr="00ED589E">
        <w:rPr>
          <w:color w:val="000000" w:themeColor="text1"/>
        </w:rPr>
        <w:t xml:space="preserve">t </w:t>
      </w:r>
      <w:r w:rsidRPr="00ED589E">
        <w:rPr>
          <w:color w:val="000000" w:themeColor="text1"/>
        </w:rPr>
        <w:t xml:space="preserve">get the </w:t>
      </w:r>
      <w:r w:rsidR="00271943">
        <w:rPr>
          <w:color w:val="000000" w:themeColor="text1"/>
        </w:rPr>
        <w:t xml:space="preserve">full </w:t>
      </w:r>
      <w:r w:rsidRPr="00ED589E">
        <w:rPr>
          <w:color w:val="000000" w:themeColor="text1"/>
        </w:rPr>
        <w:t>pi</w:t>
      </w:r>
      <w:r>
        <w:rPr>
          <w:color w:val="000000" w:themeColor="text1"/>
        </w:rPr>
        <w:t xml:space="preserve">cture </w:t>
      </w:r>
      <w:r w:rsidR="00271943">
        <w:rPr>
          <w:color w:val="000000" w:themeColor="text1"/>
        </w:rPr>
        <w:t xml:space="preserve">because </w:t>
      </w:r>
      <w:r>
        <w:rPr>
          <w:color w:val="000000" w:themeColor="text1"/>
        </w:rPr>
        <w:t xml:space="preserve">the data </w:t>
      </w:r>
      <w:r w:rsidR="00271943">
        <w:rPr>
          <w:color w:val="000000" w:themeColor="text1"/>
        </w:rPr>
        <w:t xml:space="preserve">did not </w:t>
      </w:r>
      <w:r>
        <w:rPr>
          <w:color w:val="000000" w:themeColor="text1"/>
        </w:rPr>
        <w:t xml:space="preserve">always </w:t>
      </w:r>
      <w:r w:rsidR="00C6311F">
        <w:rPr>
          <w:color w:val="000000" w:themeColor="text1"/>
        </w:rPr>
        <w:t>“</w:t>
      </w:r>
      <w:r>
        <w:rPr>
          <w:color w:val="000000" w:themeColor="text1"/>
        </w:rPr>
        <w:t>come together</w:t>
      </w:r>
      <w:r w:rsidR="00C6311F">
        <w:rPr>
          <w:color w:val="000000" w:themeColor="text1"/>
        </w:rPr>
        <w:t>”</w:t>
      </w:r>
      <w:r>
        <w:rPr>
          <w:color w:val="000000" w:themeColor="text1"/>
        </w:rPr>
        <w:t xml:space="preserve"> for them</w:t>
      </w:r>
      <w:r w:rsidRPr="00ED589E">
        <w:rPr>
          <w:color w:val="000000" w:themeColor="text1"/>
        </w:rPr>
        <w:t>.</w:t>
      </w:r>
    </w:p>
    <w:p w14:paraId="659480C5" w14:textId="6C66C90D" w:rsidR="005634AD" w:rsidRPr="008812D9" w:rsidRDefault="005634AD" w:rsidP="00406A80">
      <w:pPr>
        <w:pStyle w:val="ListParagraph"/>
        <w:numPr>
          <w:ilvl w:val="3"/>
          <w:numId w:val="45"/>
        </w:numPr>
        <w:tabs>
          <w:tab w:val="left" w:pos="1080"/>
          <w:tab w:val="left" w:pos="1440"/>
          <w:tab w:val="left" w:pos="1800"/>
          <w:tab w:val="left" w:pos="2160"/>
        </w:tabs>
        <w:ind w:left="1440"/>
        <w:contextualSpacing w:val="0"/>
        <w:rPr>
          <w:color w:val="000000" w:themeColor="text1"/>
        </w:rPr>
      </w:pPr>
      <w:r w:rsidRPr="00C226BF">
        <w:rPr>
          <w:color w:val="000000" w:themeColor="text1"/>
        </w:rPr>
        <w:lastRenderedPageBreak/>
        <w:t xml:space="preserve">During classroom observations, </w:t>
      </w:r>
      <w:r w:rsidR="00C6311F">
        <w:rPr>
          <w:color w:val="000000" w:themeColor="text1"/>
        </w:rPr>
        <w:t>r</w:t>
      </w:r>
      <w:r w:rsidRPr="00C226BF">
        <w:rPr>
          <w:color w:val="000000" w:themeColor="text1"/>
        </w:rPr>
        <w:t xml:space="preserve">eview </w:t>
      </w:r>
      <w:r w:rsidR="00C6311F">
        <w:rPr>
          <w:color w:val="000000" w:themeColor="text1"/>
        </w:rPr>
        <w:t>t</w:t>
      </w:r>
      <w:r w:rsidRPr="00C226BF">
        <w:rPr>
          <w:color w:val="000000" w:themeColor="text1"/>
        </w:rPr>
        <w:t xml:space="preserve">eam members </w:t>
      </w:r>
      <w:r w:rsidR="00AF305C">
        <w:rPr>
          <w:color w:val="000000" w:themeColor="text1"/>
        </w:rPr>
        <w:t xml:space="preserve">observed </w:t>
      </w:r>
      <w:r w:rsidR="00D74260">
        <w:rPr>
          <w:color w:val="000000" w:themeColor="text1"/>
        </w:rPr>
        <w:t>inconsistencies in the administration of</w:t>
      </w:r>
      <w:r w:rsidRPr="00C226BF">
        <w:rPr>
          <w:color w:val="000000" w:themeColor="text1"/>
        </w:rPr>
        <w:t xml:space="preserve"> </w:t>
      </w:r>
      <w:r w:rsidR="00D74260">
        <w:rPr>
          <w:color w:val="000000" w:themeColor="text1"/>
        </w:rPr>
        <w:t>assessment</w:t>
      </w:r>
      <w:r w:rsidR="004B2E61">
        <w:rPr>
          <w:color w:val="000000" w:themeColor="text1"/>
        </w:rPr>
        <w:t>s</w:t>
      </w:r>
      <w:r w:rsidR="00D74260">
        <w:rPr>
          <w:color w:val="000000" w:themeColor="text1"/>
        </w:rPr>
        <w:t>. S</w:t>
      </w:r>
      <w:r w:rsidR="00D74260" w:rsidRPr="00C226BF">
        <w:rPr>
          <w:color w:val="000000" w:themeColor="text1"/>
        </w:rPr>
        <w:t xml:space="preserve">tudents </w:t>
      </w:r>
      <w:r w:rsidRPr="00C226BF">
        <w:rPr>
          <w:color w:val="000000" w:themeColor="text1"/>
        </w:rPr>
        <w:t xml:space="preserve">were sometimes distracted by their peers and </w:t>
      </w:r>
      <w:r w:rsidR="00423C57">
        <w:rPr>
          <w:color w:val="000000" w:themeColor="text1"/>
        </w:rPr>
        <w:t>some</w:t>
      </w:r>
      <w:r w:rsidRPr="00C226BF">
        <w:rPr>
          <w:color w:val="000000" w:themeColor="text1"/>
        </w:rPr>
        <w:t xml:space="preserve"> seemed unable to stay focused for the full length of the assessment.</w:t>
      </w:r>
    </w:p>
    <w:p w14:paraId="2D33EB16" w14:textId="17797EDB" w:rsidR="005634AD" w:rsidRPr="00AE2C11" w:rsidRDefault="005634AD" w:rsidP="005634AD">
      <w:pPr>
        <w:tabs>
          <w:tab w:val="left" w:pos="360"/>
          <w:tab w:val="left" w:pos="1080"/>
          <w:tab w:val="left" w:pos="1440"/>
          <w:tab w:val="left" w:pos="1800"/>
          <w:tab w:val="left" w:pos="2160"/>
        </w:tabs>
        <w:rPr>
          <w:rFonts w:ascii="Calibri" w:hAnsi="Calibri"/>
          <w:color w:val="000000" w:themeColor="text1"/>
        </w:rPr>
      </w:pPr>
      <w:r w:rsidRPr="006F5B70">
        <w:rPr>
          <w:rFonts w:ascii="Calibri" w:hAnsi="Calibri"/>
          <w:b/>
          <w:color w:val="000000" w:themeColor="text1"/>
        </w:rPr>
        <w:t>Impact</w:t>
      </w:r>
      <w:r w:rsidRPr="006F5B70">
        <w:rPr>
          <w:rFonts w:ascii="Calibri" w:hAnsi="Calibri"/>
          <w:color w:val="000000" w:themeColor="text1"/>
        </w:rPr>
        <w:t xml:space="preserve">: Without adequate development and implementation of a system for using student assessment results, the school community is missing a critical opportunity for </w:t>
      </w:r>
      <w:r w:rsidRPr="006F5B70">
        <w:rPr>
          <w:rFonts w:ascii="Calibri" w:hAnsi="Calibri"/>
        </w:rPr>
        <w:t>teachers to act on timely information</w:t>
      </w:r>
      <w:r w:rsidR="00AC4DF0">
        <w:rPr>
          <w:rFonts w:ascii="Calibri" w:hAnsi="Calibri"/>
        </w:rPr>
        <w:t>,</w:t>
      </w:r>
      <w:r w:rsidRPr="006F5B70">
        <w:rPr>
          <w:rFonts w:ascii="Calibri" w:hAnsi="Calibri"/>
        </w:rPr>
        <w:t xml:space="preserve"> which they can use to revise their instructional practices</w:t>
      </w:r>
      <w:r>
        <w:rPr>
          <w:rFonts w:ascii="Calibri" w:hAnsi="Calibri"/>
        </w:rPr>
        <w:t xml:space="preserve"> to ensure </w:t>
      </w:r>
      <w:r w:rsidR="00D74260">
        <w:rPr>
          <w:rFonts w:ascii="Calibri" w:hAnsi="Calibri"/>
        </w:rPr>
        <w:t xml:space="preserve">that </w:t>
      </w:r>
      <w:r>
        <w:rPr>
          <w:rFonts w:ascii="Calibri" w:hAnsi="Calibri"/>
        </w:rPr>
        <w:t xml:space="preserve">all students are </w:t>
      </w:r>
      <w:r w:rsidR="00D74260">
        <w:rPr>
          <w:rFonts w:ascii="Calibri" w:hAnsi="Calibri"/>
        </w:rPr>
        <w:t xml:space="preserve">achieving </w:t>
      </w:r>
      <w:r w:rsidRPr="00703341">
        <w:rPr>
          <w:rFonts w:ascii="Calibri" w:hAnsi="Calibri"/>
        </w:rPr>
        <w:t xml:space="preserve">maximum academic </w:t>
      </w:r>
      <w:r w:rsidRPr="006803BF">
        <w:rPr>
          <w:rFonts w:ascii="Calibri" w:hAnsi="Calibri"/>
        </w:rPr>
        <w:t>growth</w:t>
      </w:r>
      <w:r>
        <w:rPr>
          <w:rFonts w:ascii="Calibri" w:hAnsi="Calibri"/>
          <w:color w:val="000000" w:themeColor="text1"/>
        </w:rPr>
        <w:t>. In addition,</w:t>
      </w:r>
      <w:r w:rsidRPr="00AA4268">
        <w:rPr>
          <w:rFonts w:ascii="Calibri" w:hAnsi="Calibri"/>
          <w:color w:val="000000" w:themeColor="text1"/>
        </w:rPr>
        <w:t xml:space="preserve"> </w:t>
      </w:r>
      <w:r w:rsidRPr="006803BF">
        <w:rPr>
          <w:rFonts w:ascii="Calibri" w:hAnsi="Calibri"/>
          <w:color w:val="000000" w:themeColor="text1"/>
        </w:rPr>
        <w:t xml:space="preserve">stakeholders have limited </w:t>
      </w:r>
      <w:r w:rsidR="00D74260">
        <w:rPr>
          <w:rFonts w:ascii="Calibri" w:hAnsi="Calibri"/>
          <w:color w:val="000000" w:themeColor="text1"/>
        </w:rPr>
        <w:t xml:space="preserve">knowledge of </w:t>
      </w:r>
      <w:r w:rsidRPr="006803BF">
        <w:rPr>
          <w:rFonts w:ascii="Calibri" w:hAnsi="Calibri"/>
          <w:color w:val="000000" w:themeColor="text1"/>
        </w:rPr>
        <w:t>the extent to which progress is being made</w:t>
      </w:r>
      <w:r>
        <w:rPr>
          <w:rFonts w:ascii="Calibri" w:hAnsi="Calibri"/>
          <w:color w:val="000000" w:themeColor="text1"/>
        </w:rPr>
        <w:t xml:space="preserve">, </w:t>
      </w:r>
      <w:r w:rsidRPr="00AA4268">
        <w:rPr>
          <w:rFonts w:ascii="Calibri" w:hAnsi="Calibri"/>
          <w:color w:val="000000" w:themeColor="text1"/>
        </w:rPr>
        <w:t xml:space="preserve">and </w:t>
      </w:r>
      <w:r w:rsidRPr="006803BF">
        <w:rPr>
          <w:rFonts w:ascii="Calibri" w:hAnsi="Calibri"/>
          <w:color w:val="000000" w:themeColor="text1"/>
        </w:rPr>
        <w:t>the district’s ability to make appropriate and timely adjustments to its programs, instruction and professional development offerings</w:t>
      </w:r>
      <w:r>
        <w:rPr>
          <w:rFonts w:ascii="Calibri" w:hAnsi="Calibri"/>
          <w:color w:val="000000" w:themeColor="text1"/>
        </w:rPr>
        <w:t xml:space="preserve"> is hindered</w:t>
      </w:r>
      <w:r w:rsidRPr="006803BF">
        <w:rPr>
          <w:rFonts w:ascii="Calibri" w:hAnsi="Calibri"/>
          <w:color w:val="000000" w:themeColor="text1"/>
        </w:rPr>
        <w:t xml:space="preserve">. </w:t>
      </w:r>
    </w:p>
    <w:p w14:paraId="54D996D5" w14:textId="77777777" w:rsidR="008D5152" w:rsidRDefault="008D5152" w:rsidP="00AE0417">
      <w:pPr>
        <w:tabs>
          <w:tab w:val="left" w:pos="360"/>
          <w:tab w:val="left" w:pos="720"/>
          <w:tab w:val="left" w:pos="1080"/>
          <w:tab w:val="left" w:pos="1440"/>
          <w:tab w:val="left" w:pos="1800"/>
          <w:tab w:val="left" w:pos="2160"/>
        </w:tabs>
        <w:rPr>
          <w:rFonts w:ascii="Calibri" w:hAnsi="Calibri"/>
          <w:b/>
          <w:color w:val="000000" w:themeColor="text1"/>
          <w:sz w:val="28"/>
          <w:szCs w:val="28"/>
        </w:rPr>
      </w:pPr>
    </w:p>
    <w:p w14:paraId="108627B7" w14:textId="040C593D" w:rsidR="003D3B32" w:rsidRPr="00AE0417" w:rsidRDefault="005634AD" w:rsidP="00AE0417">
      <w:pPr>
        <w:tabs>
          <w:tab w:val="left" w:pos="360"/>
          <w:tab w:val="left" w:pos="720"/>
          <w:tab w:val="left" w:pos="1080"/>
          <w:tab w:val="left" w:pos="1440"/>
          <w:tab w:val="left" w:pos="1800"/>
          <w:tab w:val="left" w:pos="2160"/>
        </w:tabs>
        <w:rPr>
          <w:rFonts w:ascii="Calibri" w:hAnsi="Calibri"/>
          <w:b/>
          <w:color w:val="000000" w:themeColor="text1"/>
          <w:sz w:val="28"/>
          <w:szCs w:val="28"/>
        </w:rPr>
      </w:pPr>
      <w:r w:rsidRPr="00F05EDB">
        <w:rPr>
          <w:rFonts w:ascii="Calibri" w:hAnsi="Calibri"/>
          <w:b/>
          <w:color w:val="000000" w:themeColor="text1"/>
          <w:sz w:val="28"/>
          <w:szCs w:val="28"/>
        </w:rPr>
        <w:t>Recommendation</w:t>
      </w:r>
    </w:p>
    <w:p w14:paraId="79105BFC" w14:textId="2994F42E" w:rsidR="005634AD" w:rsidRDefault="005634AD" w:rsidP="005634AD">
      <w:pPr>
        <w:numPr>
          <w:ilvl w:val="6"/>
          <w:numId w:val="7"/>
        </w:numPr>
        <w:tabs>
          <w:tab w:val="left" w:pos="360"/>
          <w:tab w:val="left" w:pos="720"/>
          <w:tab w:val="left" w:pos="1080"/>
          <w:tab w:val="left" w:pos="1440"/>
          <w:tab w:val="left" w:pos="1800"/>
        </w:tabs>
        <w:ind w:left="360"/>
        <w:rPr>
          <w:rFonts w:ascii="Calibri" w:hAnsi="Calibri"/>
          <w:b/>
          <w:color w:val="000000" w:themeColor="text1"/>
        </w:rPr>
      </w:pPr>
      <w:r>
        <w:rPr>
          <w:rFonts w:ascii="Calibri" w:hAnsi="Calibri"/>
          <w:b/>
          <w:color w:val="000000" w:themeColor="text1"/>
        </w:rPr>
        <w:t xml:space="preserve">The district </w:t>
      </w:r>
      <w:r w:rsidR="00F243B2">
        <w:rPr>
          <w:rFonts w:ascii="Calibri" w:hAnsi="Calibri"/>
          <w:b/>
          <w:color w:val="000000" w:themeColor="text1"/>
        </w:rPr>
        <w:t>should develop uniform and integrated policies, structures, and practices for the efficient collection, use, and sharing of a range of assessments at the middle schools and the high school</w:t>
      </w:r>
      <w:r w:rsidRPr="00D92236">
        <w:rPr>
          <w:rFonts w:ascii="Calibri" w:hAnsi="Calibri"/>
          <w:b/>
          <w:color w:val="000000" w:themeColor="text1"/>
        </w:rPr>
        <w:t xml:space="preserve">. </w:t>
      </w:r>
    </w:p>
    <w:p w14:paraId="14D9391D" w14:textId="7309B0B4" w:rsidR="00F243B2" w:rsidRDefault="00F243B2" w:rsidP="00DB7C14">
      <w:pPr>
        <w:tabs>
          <w:tab w:val="left" w:pos="360"/>
          <w:tab w:val="left" w:pos="720"/>
          <w:tab w:val="left" w:pos="1080"/>
          <w:tab w:val="left" w:pos="1440"/>
          <w:tab w:val="left" w:pos="1800"/>
        </w:tabs>
        <w:ind w:left="720" w:hanging="360"/>
        <w:rPr>
          <w:rFonts w:ascii="Calibri" w:hAnsi="Calibri"/>
          <w:b/>
          <w:color w:val="000000" w:themeColor="text1"/>
        </w:rPr>
      </w:pPr>
      <w:r>
        <w:rPr>
          <w:rFonts w:ascii="Calibri" w:hAnsi="Calibri"/>
          <w:b/>
          <w:color w:val="000000" w:themeColor="text1"/>
        </w:rPr>
        <w:t>A.</w:t>
      </w:r>
      <w:r>
        <w:rPr>
          <w:rFonts w:ascii="Calibri" w:hAnsi="Calibri"/>
          <w:b/>
          <w:color w:val="000000" w:themeColor="text1"/>
        </w:rPr>
        <w:tab/>
      </w:r>
      <w:r w:rsidRPr="00EC5B5A">
        <w:rPr>
          <w:rFonts w:ascii="Calibri" w:hAnsi="Calibri"/>
          <w:color w:val="000000" w:themeColor="text1"/>
        </w:rPr>
        <w:t>The superintendent, principals, and program leaders, in collaboration with teachers, should develop specific strategies, timelines, and clear expectations for the use of data in grades 6–12.</w:t>
      </w:r>
    </w:p>
    <w:p w14:paraId="55CCDC68" w14:textId="37FA1780" w:rsidR="00F243B2" w:rsidRPr="00EC5B5A" w:rsidRDefault="00F243B2" w:rsidP="00DB7C14">
      <w:pPr>
        <w:tabs>
          <w:tab w:val="left" w:pos="360"/>
          <w:tab w:val="left" w:pos="720"/>
          <w:tab w:val="left" w:pos="1080"/>
          <w:tab w:val="left" w:pos="1440"/>
          <w:tab w:val="left" w:pos="1800"/>
        </w:tabs>
        <w:ind w:left="1080" w:hanging="720"/>
        <w:rPr>
          <w:rFonts w:ascii="Calibri" w:hAnsi="Calibri"/>
          <w:color w:val="000000" w:themeColor="text1"/>
        </w:rPr>
      </w:pPr>
      <w:r>
        <w:rPr>
          <w:rFonts w:ascii="Calibri" w:hAnsi="Calibri"/>
          <w:b/>
          <w:color w:val="000000" w:themeColor="text1"/>
        </w:rPr>
        <w:tab/>
      </w:r>
      <w:r w:rsidRPr="00EC5B5A">
        <w:rPr>
          <w:rFonts w:ascii="Calibri" w:hAnsi="Calibri"/>
          <w:color w:val="000000" w:themeColor="text1"/>
        </w:rPr>
        <w:t>1.</w:t>
      </w:r>
      <w:r>
        <w:rPr>
          <w:rFonts w:ascii="Calibri" w:hAnsi="Calibri"/>
          <w:color w:val="000000" w:themeColor="text1"/>
        </w:rPr>
        <w:tab/>
        <w:t>The district should ensure that educators in grades 6–12 use data strategically</w:t>
      </w:r>
      <w:r w:rsidR="00DB7C14">
        <w:rPr>
          <w:rFonts w:ascii="Calibri" w:hAnsi="Calibri"/>
          <w:color w:val="000000" w:themeColor="text1"/>
        </w:rPr>
        <w:t xml:space="preserve"> to inform instruction, ongoing curriculum revision, program evaluation, and the educator evaluation system.</w:t>
      </w:r>
    </w:p>
    <w:p w14:paraId="03A5C56A" w14:textId="7E7400AD" w:rsidR="005634AD" w:rsidRPr="00D92236" w:rsidRDefault="003A3B57" w:rsidP="00EC5B5A">
      <w:pPr>
        <w:tabs>
          <w:tab w:val="left" w:pos="360"/>
          <w:tab w:val="left" w:pos="720"/>
          <w:tab w:val="left" w:pos="1080"/>
          <w:tab w:val="left" w:pos="1440"/>
          <w:tab w:val="left" w:pos="1800"/>
          <w:tab w:val="left" w:pos="2160"/>
        </w:tabs>
        <w:ind w:left="720" w:hanging="1080"/>
        <w:rPr>
          <w:rFonts w:ascii="Calibri" w:hAnsi="Calibri"/>
          <w:color w:val="000000" w:themeColor="text1"/>
        </w:rPr>
      </w:pPr>
      <w:r>
        <w:rPr>
          <w:rFonts w:ascii="Calibri" w:hAnsi="Calibri"/>
          <w:color w:val="000000" w:themeColor="text1"/>
        </w:rPr>
        <w:tab/>
      </w:r>
      <w:r w:rsidR="009C25B8" w:rsidRPr="00EC5B5A">
        <w:rPr>
          <w:rFonts w:ascii="Calibri" w:hAnsi="Calibri"/>
          <w:b/>
          <w:color w:val="000000" w:themeColor="text1"/>
        </w:rPr>
        <w:t>B.</w:t>
      </w:r>
      <w:r w:rsidR="009C25B8">
        <w:rPr>
          <w:rFonts w:ascii="Calibri" w:hAnsi="Calibri"/>
          <w:color w:val="000000" w:themeColor="text1"/>
        </w:rPr>
        <w:tab/>
      </w:r>
      <w:r w:rsidR="005763AF">
        <w:rPr>
          <w:rFonts w:ascii="Calibri" w:hAnsi="Calibri"/>
          <w:color w:val="000000" w:themeColor="text1"/>
        </w:rPr>
        <w:t xml:space="preserve">Ongoing targeted training in the collection, analysis, and use of student performance data should be provided to </w:t>
      </w:r>
      <w:r w:rsidR="005634AD" w:rsidRPr="00D92236">
        <w:rPr>
          <w:rFonts w:ascii="Calibri" w:hAnsi="Calibri"/>
          <w:color w:val="000000" w:themeColor="text1"/>
        </w:rPr>
        <w:t>all</w:t>
      </w:r>
      <w:r w:rsidR="005763AF">
        <w:rPr>
          <w:rFonts w:ascii="Calibri" w:hAnsi="Calibri"/>
          <w:color w:val="000000" w:themeColor="text1"/>
        </w:rPr>
        <w:t xml:space="preserve"> 6–12 staff</w:t>
      </w:r>
      <w:r w:rsidR="005634AD" w:rsidRPr="00D92236">
        <w:rPr>
          <w:rFonts w:ascii="Calibri" w:hAnsi="Calibri"/>
          <w:color w:val="000000" w:themeColor="text1"/>
        </w:rPr>
        <w:t>.</w:t>
      </w:r>
    </w:p>
    <w:p w14:paraId="09933885" w14:textId="084DFC7C" w:rsidR="005634AD" w:rsidRDefault="005634AD" w:rsidP="00A50D17">
      <w:pPr>
        <w:pStyle w:val="ListParagraph"/>
        <w:numPr>
          <w:ilvl w:val="0"/>
          <w:numId w:val="39"/>
        </w:numPr>
        <w:tabs>
          <w:tab w:val="left" w:pos="360"/>
          <w:tab w:val="left" w:pos="1080"/>
          <w:tab w:val="left" w:pos="1440"/>
          <w:tab w:val="left" w:pos="1800"/>
          <w:tab w:val="left" w:pos="2160"/>
        </w:tabs>
        <w:ind w:left="1080"/>
        <w:contextualSpacing w:val="0"/>
        <w:rPr>
          <w:rFonts w:ascii="Calibri" w:hAnsi="Calibri"/>
          <w:color w:val="000000" w:themeColor="text1"/>
        </w:rPr>
      </w:pPr>
      <w:r>
        <w:rPr>
          <w:rFonts w:ascii="Calibri" w:hAnsi="Calibri"/>
          <w:color w:val="000000" w:themeColor="text1"/>
        </w:rPr>
        <w:t xml:space="preserve">The district should encourage its </w:t>
      </w:r>
      <w:r w:rsidR="009C25B8">
        <w:rPr>
          <w:rFonts w:ascii="Calibri" w:hAnsi="Calibri"/>
          <w:color w:val="000000" w:themeColor="text1"/>
        </w:rPr>
        <w:t>grade-</w:t>
      </w:r>
      <w:r>
        <w:rPr>
          <w:rFonts w:ascii="Calibri" w:hAnsi="Calibri"/>
          <w:color w:val="000000" w:themeColor="text1"/>
        </w:rPr>
        <w:t xml:space="preserve">level and </w:t>
      </w:r>
      <w:r w:rsidR="009C25B8">
        <w:rPr>
          <w:rFonts w:ascii="Calibri" w:hAnsi="Calibri"/>
          <w:color w:val="000000" w:themeColor="text1"/>
        </w:rPr>
        <w:t>content-</w:t>
      </w:r>
      <w:r>
        <w:rPr>
          <w:rFonts w:ascii="Calibri" w:hAnsi="Calibri"/>
          <w:color w:val="000000" w:themeColor="text1"/>
        </w:rPr>
        <w:t>level teams to t</w:t>
      </w:r>
      <w:r w:rsidRPr="00D92236">
        <w:rPr>
          <w:rFonts w:ascii="Calibri" w:hAnsi="Calibri"/>
          <w:color w:val="000000" w:themeColor="text1"/>
        </w:rPr>
        <w:t>ake advantage of the full range of materials available</w:t>
      </w:r>
      <w:r w:rsidR="00C87FE1">
        <w:rPr>
          <w:rFonts w:ascii="Calibri" w:hAnsi="Calibri"/>
          <w:color w:val="000000" w:themeColor="text1"/>
        </w:rPr>
        <w:t xml:space="preserve"> </w:t>
      </w:r>
      <w:r w:rsidR="00C87FE1" w:rsidRPr="00D92236">
        <w:rPr>
          <w:rFonts w:ascii="Calibri" w:hAnsi="Calibri"/>
          <w:color w:val="000000" w:themeColor="text1"/>
        </w:rPr>
        <w:t>for effective ways of turning data analysis findings into action</w:t>
      </w:r>
      <w:r w:rsidRPr="00D92236">
        <w:rPr>
          <w:rFonts w:ascii="Calibri" w:hAnsi="Calibri"/>
          <w:color w:val="000000" w:themeColor="text1"/>
        </w:rPr>
        <w:t xml:space="preserve"> </w:t>
      </w:r>
      <w:r w:rsidR="00423C57">
        <w:rPr>
          <w:rFonts w:ascii="Calibri" w:hAnsi="Calibri"/>
          <w:color w:val="000000" w:themeColor="text1"/>
        </w:rPr>
        <w:t>plans</w:t>
      </w:r>
      <w:r w:rsidR="00F12D19">
        <w:rPr>
          <w:rFonts w:ascii="Calibri" w:hAnsi="Calibri"/>
          <w:color w:val="000000" w:themeColor="text1"/>
        </w:rPr>
        <w:t>,</w:t>
      </w:r>
      <w:r w:rsidR="00423C57">
        <w:rPr>
          <w:rFonts w:ascii="Calibri" w:hAnsi="Calibri"/>
          <w:color w:val="000000" w:themeColor="text1"/>
        </w:rPr>
        <w:t xml:space="preserve"> </w:t>
      </w:r>
      <w:r w:rsidR="00C87FE1">
        <w:rPr>
          <w:rFonts w:ascii="Calibri" w:hAnsi="Calibri"/>
          <w:color w:val="000000" w:themeColor="text1"/>
        </w:rPr>
        <w:t>including</w:t>
      </w:r>
      <w:r w:rsidRPr="00D92236">
        <w:rPr>
          <w:rFonts w:ascii="Calibri" w:hAnsi="Calibri"/>
          <w:color w:val="000000" w:themeColor="text1"/>
        </w:rPr>
        <w:t xml:space="preserve"> online resources, conferences, </w:t>
      </w:r>
      <w:r>
        <w:rPr>
          <w:rFonts w:ascii="Calibri" w:hAnsi="Calibri"/>
          <w:color w:val="000000" w:themeColor="text1"/>
        </w:rPr>
        <w:t xml:space="preserve">and </w:t>
      </w:r>
      <w:r w:rsidRPr="00D92236">
        <w:rPr>
          <w:rFonts w:ascii="Calibri" w:hAnsi="Calibri"/>
          <w:color w:val="000000" w:themeColor="text1"/>
        </w:rPr>
        <w:t xml:space="preserve">journals. </w:t>
      </w:r>
    </w:p>
    <w:p w14:paraId="6FEC04F4" w14:textId="3424C4FE" w:rsidR="005634AD" w:rsidRDefault="005634AD" w:rsidP="00A50D17">
      <w:pPr>
        <w:pStyle w:val="ListParagraph"/>
        <w:numPr>
          <w:ilvl w:val="0"/>
          <w:numId w:val="39"/>
        </w:numPr>
        <w:tabs>
          <w:tab w:val="left" w:pos="360"/>
          <w:tab w:val="left" w:pos="1080"/>
          <w:tab w:val="left" w:pos="1440"/>
          <w:tab w:val="left" w:pos="1800"/>
          <w:tab w:val="left" w:pos="2160"/>
        </w:tabs>
        <w:ind w:left="1080"/>
        <w:contextualSpacing w:val="0"/>
        <w:rPr>
          <w:rFonts w:ascii="Calibri" w:hAnsi="Calibri"/>
          <w:color w:val="000000" w:themeColor="text1"/>
        </w:rPr>
      </w:pPr>
      <w:r w:rsidRPr="00D92236">
        <w:rPr>
          <w:rFonts w:ascii="Calibri" w:hAnsi="Calibri"/>
          <w:color w:val="000000" w:themeColor="text1"/>
        </w:rPr>
        <w:t>A piece of this work involves using standard protocols for reviewing data. The elementary schools</w:t>
      </w:r>
      <w:r w:rsidR="005763AF">
        <w:rPr>
          <w:rFonts w:ascii="Calibri" w:hAnsi="Calibri"/>
          <w:color w:val="000000" w:themeColor="text1"/>
        </w:rPr>
        <w:t>’</w:t>
      </w:r>
      <w:r w:rsidRPr="00D92236">
        <w:rPr>
          <w:rFonts w:ascii="Calibri" w:hAnsi="Calibri"/>
          <w:color w:val="000000" w:themeColor="text1"/>
        </w:rPr>
        <w:t xml:space="preserve"> use of the </w:t>
      </w:r>
      <w:r w:rsidRPr="00622DB5">
        <w:rPr>
          <w:rFonts w:ascii="Calibri" w:hAnsi="Calibri"/>
          <w:color w:val="000000" w:themeColor="text1"/>
        </w:rPr>
        <w:t>ATLAS Looking at Data</w:t>
      </w:r>
      <w:r w:rsidRPr="00D92236">
        <w:rPr>
          <w:rFonts w:ascii="Calibri" w:hAnsi="Calibri"/>
          <w:color w:val="000000" w:themeColor="text1"/>
        </w:rPr>
        <w:t xml:space="preserve"> protocol is a familiar process that should be considered for use across the </w:t>
      </w:r>
      <w:r>
        <w:rPr>
          <w:rFonts w:ascii="Calibri" w:hAnsi="Calibri"/>
          <w:color w:val="000000" w:themeColor="text1"/>
        </w:rPr>
        <w:t>secondary schools</w:t>
      </w:r>
      <w:r w:rsidRPr="00D92236">
        <w:rPr>
          <w:rFonts w:ascii="Calibri" w:hAnsi="Calibri"/>
          <w:color w:val="000000" w:themeColor="text1"/>
        </w:rPr>
        <w:t>.</w:t>
      </w:r>
      <w:r>
        <w:rPr>
          <w:rFonts w:ascii="Calibri" w:hAnsi="Calibri"/>
          <w:color w:val="000000" w:themeColor="text1"/>
        </w:rPr>
        <w:t xml:space="preserve"> A variety of other excellent and popular data protocols are also available.</w:t>
      </w:r>
    </w:p>
    <w:p w14:paraId="71F72E0B" w14:textId="3E3BDED3" w:rsidR="005634AD" w:rsidRDefault="005634AD" w:rsidP="00A50D17">
      <w:pPr>
        <w:pStyle w:val="ListParagraph"/>
        <w:numPr>
          <w:ilvl w:val="0"/>
          <w:numId w:val="39"/>
        </w:numPr>
        <w:tabs>
          <w:tab w:val="left" w:pos="360"/>
          <w:tab w:val="left" w:pos="1080"/>
          <w:tab w:val="left" w:pos="1440"/>
          <w:tab w:val="left" w:pos="1800"/>
          <w:tab w:val="left" w:pos="2160"/>
        </w:tabs>
        <w:spacing w:after="0"/>
        <w:ind w:left="1080"/>
        <w:contextualSpacing w:val="0"/>
        <w:rPr>
          <w:rFonts w:ascii="Calibri" w:hAnsi="Calibri"/>
          <w:color w:val="000000" w:themeColor="text1"/>
        </w:rPr>
      </w:pPr>
      <w:r>
        <w:rPr>
          <w:rFonts w:ascii="Calibri" w:hAnsi="Calibri"/>
          <w:color w:val="000000" w:themeColor="text1"/>
        </w:rPr>
        <w:t xml:space="preserve">Once educators are better trained and comfortable with using formative assessment and student achievement data, the district should encourage greater use of qualitative data such as </w:t>
      </w:r>
      <w:r w:rsidR="006E5C2D">
        <w:rPr>
          <w:rFonts w:ascii="Calibri" w:hAnsi="Calibri"/>
          <w:color w:val="000000" w:themeColor="text1"/>
        </w:rPr>
        <w:t xml:space="preserve">social emotional data </w:t>
      </w:r>
      <w:r>
        <w:rPr>
          <w:rFonts w:ascii="Calibri" w:hAnsi="Calibri"/>
          <w:color w:val="000000" w:themeColor="text1"/>
        </w:rPr>
        <w:t>and school culture and climate surveys.</w:t>
      </w:r>
    </w:p>
    <w:p w14:paraId="31469977" w14:textId="77777777" w:rsidR="00AE2C11" w:rsidRPr="00AE2C11" w:rsidRDefault="00AE2C11" w:rsidP="00AE2C11">
      <w:pPr>
        <w:pStyle w:val="ListParagraph"/>
        <w:tabs>
          <w:tab w:val="left" w:pos="360"/>
          <w:tab w:val="left" w:pos="1080"/>
          <w:tab w:val="left" w:pos="1440"/>
          <w:tab w:val="left" w:pos="1800"/>
          <w:tab w:val="left" w:pos="2160"/>
        </w:tabs>
        <w:spacing w:after="0"/>
        <w:ind w:left="1080"/>
        <w:contextualSpacing w:val="0"/>
        <w:rPr>
          <w:rFonts w:ascii="Calibri" w:hAnsi="Calibri"/>
          <w:color w:val="000000" w:themeColor="text1"/>
        </w:rPr>
      </w:pPr>
    </w:p>
    <w:p w14:paraId="726B0A5E" w14:textId="624627D6" w:rsidR="005634AD" w:rsidRDefault="005634AD" w:rsidP="00F12D19">
      <w:pPr>
        <w:tabs>
          <w:tab w:val="left" w:pos="-90"/>
          <w:tab w:val="left" w:pos="360"/>
          <w:tab w:val="left" w:pos="1080"/>
          <w:tab w:val="left" w:pos="1440"/>
          <w:tab w:val="left" w:pos="1800"/>
          <w:tab w:val="left" w:pos="2160"/>
        </w:tabs>
        <w:rPr>
          <w:color w:val="BFBFBF" w:themeColor="background1" w:themeShade="BF"/>
        </w:rPr>
      </w:pPr>
      <w:r w:rsidRPr="00205E48">
        <w:rPr>
          <w:rFonts w:ascii="Calibri" w:hAnsi="Calibri"/>
          <w:b/>
          <w:color w:val="000000" w:themeColor="text1"/>
        </w:rPr>
        <w:t>Benefits</w:t>
      </w:r>
      <w:r w:rsidR="00F12D19">
        <w:rPr>
          <w:rFonts w:ascii="Calibri" w:hAnsi="Calibri"/>
          <w:b/>
          <w:color w:val="000000" w:themeColor="text1"/>
        </w:rPr>
        <w:t>:</w:t>
      </w:r>
      <w:r w:rsidRPr="00205E48">
        <w:rPr>
          <w:rFonts w:ascii="Calibri" w:hAnsi="Calibri"/>
          <w:color w:val="000000" w:themeColor="text1"/>
        </w:rPr>
        <w:t xml:space="preserve"> </w:t>
      </w:r>
      <w:r w:rsidR="00423C57">
        <w:rPr>
          <w:rFonts w:ascii="Calibri" w:hAnsi="Calibri"/>
          <w:color w:val="000000" w:themeColor="text1"/>
        </w:rPr>
        <w:t xml:space="preserve">Through implementing this recommendation, </w:t>
      </w:r>
      <w:r w:rsidRPr="00205E48">
        <w:rPr>
          <w:rFonts w:ascii="Calibri" w:hAnsi="Calibri"/>
          <w:color w:val="000000" w:themeColor="text1"/>
        </w:rPr>
        <w:t xml:space="preserve">secondary school educators </w:t>
      </w:r>
      <w:r w:rsidR="00423C57">
        <w:rPr>
          <w:rFonts w:ascii="Calibri" w:hAnsi="Calibri"/>
          <w:color w:val="000000" w:themeColor="text1"/>
        </w:rPr>
        <w:t xml:space="preserve">will </w:t>
      </w:r>
      <w:r w:rsidR="00F12D19">
        <w:rPr>
          <w:rFonts w:ascii="Calibri" w:hAnsi="Calibri"/>
          <w:color w:val="000000" w:themeColor="text1"/>
        </w:rPr>
        <w:t xml:space="preserve">likely </w:t>
      </w:r>
      <w:r w:rsidR="00423C57" w:rsidRPr="00205E48">
        <w:rPr>
          <w:rFonts w:ascii="Calibri" w:hAnsi="Calibri"/>
          <w:color w:val="000000" w:themeColor="text1"/>
        </w:rPr>
        <w:t xml:space="preserve">be </w:t>
      </w:r>
      <w:r w:rsidRPr="00205E48">
        <w:rPr>
          <w:rFonts w:ascii="Calibri" w:hAnsi="Calibri"/>
          <w:color w:val="000000" w:themeColor="text1"/>
        </w:rPr>
        <w:t>better informed about student</w:t>
      </w:r>
      <w:r w:rsidR="00F12D19">
        <w:rPr>
          <w:rFonts w:ascii="Calibri" w:hAnsi="Calibri"/>
          <w:color w:val="000000" w:themeColor="text1"/>
        </w:rPr>
        <w:t>s’</w:t>
      </w:r>
      <w:r w:rsidRPr="00205E48">
        <w:rPr>
          <w:rFonts w:ascii="Calibri" w:hAnsi="Calibri"/>
          <w:color w:val="000000" w:themeColor="text1"/>
        </w:rPr>
        <w:t xml:space="preserve"> progress as well as </w:t>
      </w:r>
      <w:r w:rsidR="00BB54FE">
        <w:rPr>
          <w:rFonts w:ascii="Calibri" w:hAnsi="Calibri"/>
          <w:color w:val="000000" w:themeColor="text1"/>
        </w:rPr>
        <w:t>educators’</w:t>
      </w:r>
      <w:r w:rsidR="00BB54FE" w:rsidRPr="00205E48">
        <w:rPr>
          <w:rFonts w:ascii="Calibri" w:hAnsi="Calibri"/>
          <w:color w:val="000000" w:themeColor="text1"/>
        </w:rPr>
        <w:t xml:space="preserve"> </w:t>
      </w:r>
      <w:r w:rsidRPr="00205E48">
        <w:rPr>
          <w:rFonts w:ascii="Calibri" w:hAnsi="Calibri"/>
          <w:color w:val="000000" w:themeColor="text1"/>
        </w:rPr>
        <w:t>instructional strengths, challenges, and need</w:t>
      </w:r>
      <w:r w:rsidR="00423C57">
        <w:rPr>
          <w:rFonts w:ascii="Calibri" w:hAnsi="Calibri"/>
          <w:color w:val="000000" w:themeColor="text1"/>
        </w:rPr>
        <w:t>s</w:t>
      </w:r>
      <w:r w:rsidRPr="00205E48">
        <w:rPr>
          <w:rFonts w:ascii="Calibri" w:hAnsi="Calibri"/>
          <w:color w:val="000000" w:themeColor="text1"/>
        </w:rPr>
        <w:t xml:space="preserve"> for </w:t>
      </w:r>
      <w:r w:rsidR="00423C57" w:rsidRPr="00205E48">
        <w:rPr>
          <w:rFonts w:ascii="Calibri" w:hAnsi="Calibri"/>
          <w:color w:val="000000" w:themeColor="text1"/>
        </w:rPr>
        <w:t>additional training</w:t>
      </w:r>
      <w:r w:rsidR="00423C57">
        <w:rPr>
          <w:rFonts w:ascii="Calibri" w:hAnsi="Calibri"/>
          <w:color w:val="000000" w:themeColor="text1"/>
        </w:rPr>
        <w:t xml:space="preserve"> and </w:t>
      </w:r>
      <w:r w:rsidR="00423C57" w:rsidRPr="00205E48">
        <w:rPr>
          <w:rFonts w:ascii="Calibri" w:hAnsi="Calibri"/>
          <w:color w:val="000000" w:themeColor="text1"/>
        </w:rPr>
        <w:t xml:space="preserve">support </w:t>
      </w:r>
      <w:r w:rsidR="00423C57">
        <w:rPr>
          <w:rFonts w:ascii="Calibri" w:hAnsi="Calibri"/>
          <w:color w:val="000000" w:themeColor="text1"/>
        </w:rPr>
        <w:t xml:space="preserve">to </w:t>
      </w:r>
      <w:r w:rsidRPr="00205E48">
        <w:rPr>
          <w:rFonts w:ascii="Calibri" w:hAnsi="Calibri"/>
          <w:color w:val="000000" w:themeColor="text1"/>
        </w:rPr>
        <w:t xml:space="preserve">adjust </w:t>
      </w:r>
      <w:r w:rsidR="00423C57">
        <w:rPr>
          <w:rFonts w:ascii="Calibri" w:hAnsi="Calibri"/>
          <w:color w:val="000000" w:themeColor="text1"/>
        </w:rPr>
        <w:t xml:space="preserve">their </w:t>
      </w:r>
      <w:r w:rsidRPr="00205E48">
        <w:rPr>
          <w:rFonts w:ascii="Calibri" w:hAnsi="Calibri"/>
          <w:color w:val="000000" w:themeColor="text1"/>
        </w:rPr>
        <w:t xml:space="preserve">practice. Further, the district stands to benefit from </w:t>
      </w:r>
      <w:r w:rsidRPr="00205E48">
        <w:rPr>
          <w:rFonts w:ascii="Calibri" w:hAnsi="Calibri"/>
          <w:color w:val="000000" w:themeColor="text1"/>
        </w:rPr>
        <w:lastRenderedPageBreak/>
        <w:t>greater K</w:t>
      </w:r>
      <w:r w:rsidR="00F12D19">
        <w:rPr>
          <w:rFonts w:ascii="Calibri" w:hAnsi="Calibri"/>
          <w:color w:val="000000" w:themeColor="text1"/>
        </w:rPr>
        <w:t>–</w:t>
      </w:r>
      <w:r w:rsidRPr="00205E48">
        <w:rPr>
          <w:rFonts w:ascii="Calibri" w:hAnsi="Calibri"/>
          <w:color w:val="000000" w:themeColor="text1"/>
        </w:rPr>
        <w:t xml:space="preserve">12 coordination </w:t>
      </w:r>
      <w:r>
        <w:rPr>
          <w:rFonts w:ascii="Calibri" w:hAnsi="Calibri"/>
          <w:color w:val="000000" w:themeColor="text1"/>
        </w:rPr>
        <w:t>among</w:t>
      </w:r>
      <w:r w:rsidRPr="00205E48">
        <w:rPr>
          <w:rFonts w:ascii="Calibri" w:hAnsi="Calibri"/>
          <w:color w:val="000000" w:themeColor="text1"/>
        </w:rPr>
        <w:t xml:space="preserve"> curriculum, assessment, and instructional practice</w:t>
      </w:r>
      <w:r w:rsidR="00F12D19">
        <w:rPr>
          <w:rFonts w:ascii="Calibri" w:hAnsi="Calibri"/>
          <w:color w:val="000000" w:themeColor="text1"/>
        </w:rPr>
        <w:t>s</w:t>
      </w:r>
      <w:r w:rsidR="00DC29AC">
        <w:rPr>
          <w:rFonts w:ascii="Calibri" w:hAnsi="Calibri"/>
          <w:color w:val="000000" w:themeColor="text1"/>
        </w:rPr>
        <w:t>,</w:t>
      </w:r>
      <w:r w:rsidRPr="00205E48">
        <w:rPr>
          <w:rFonts w:ascii="Calibri" w:hAnsi="Calibri"/>
          <w:color w:val="000000" w:themeColor="text1"/>
        </w:rPr>
        <w:t xml:space="preserve"> which will help maximize the impact of their efforts to improve the academic achievement of all students.</w:t>
      </w:r>
      <w:r w:rsidR="00F12D19">
        <w:rPr>
          <w:color w:val="BFBFBF" w:themeColor="background1" w:themeShade="BF"/>
        </w:rPr>
        <w:t xml:space="preserve"> </w:t>
      </w:r>
    </w:p>
    <w:p w14:paraId="0F79A420" w14:textId="77777777" w:rsidR="005634AD" w:rsidRPr="00136780" w:rsidRDefault="005634AD" w:rsidP="005634AD">
      <w:pPr>
        <w:tabs>
          <w:tab w:val="left" w:pos="360"/>
          <w:tab w:val="left" w:pos="720"/>
          <w:tab w:val="left" w:pos="1080"/>
          <w:tab w:val="left" w:pos="1800"/>
          <w:tab w:val="left" w:pos="2160"/>
        </w:tabs>
        <w:rPr>
          <w:rFonts w:ascii="Calibri" w:hAnsi="Calibri"/>
          <w:b/>
        </w:rPr>
      </w:pPr>
      <w:r w:rsidRPr="00136780">
        <w:rPr>
          <w:rFonts w:ascii="Calibri" w:hAnsi="Calibri"/>
          <w:b/>
        </w:rPr>
        <w:t>Recommended resources:</w:t>
      </w:r>
    </w:p>
    <w:p w14:paraId="489A095C" w14:textId="4C4E62EE" w:rsidR="005634AD" w:rsidRPr="00910462" w:rsidRDefault="00F12D19" w:rsidP="00EC5B5A">
      <w:pPr>
        <w:pStyle w:val="ListParagraph"/>
        <w:numPr>
          <w:ilvl w:val="2"/>
          <w:numId w:val="28"/>
        </w:numPr>
        <w:ind w:left="360"/>
        <w:contextualSpacing w:val="0"/>
        <w:rPr>
          <w:rFonts w:cs="Calibri"/>
        </w:rPr>
      </w:pPr>
      <w:r>
        <w:rPr>
          <w:rFonts w:cs="Calibri"/>
        </w:rPr>
        <w:t>D</w:t>
      </w:r>
      <w:r w:rsidR="005634AD" w:rsidRPr="00910462">
        <w:rPr>
          <w:rFonts w:cs="Calibri"/>
        </w:rPr>
        <w:t xml:space="preserve">ESE’s </w:t>
      </w:r>
      <w:r w:rsidR="005634AD" w:rsidRPr="00910462">
        <w:rPr>
          <w:rFonts w:cs="Calibri"/>
          <w:i/>
        </w:rPr>
        <w:t>Assessment Literacy Self-Assessment and Gap Analysis Tool</w:t>
      </w:r>
      <w:r w:rsidR="005634AD" w:rsidRPr="00910462">
        <w:rPr>
          <w:rFonts w:cs="Calibri"/>
        </w:rPr>
        <w:t xml:space="preserve"> (</w:t>
      </w:r>
      <w:hyperlink r:id="rId25" w:history="1">
        <w:r w:rsidR="005634AD" w:rsidRPr="00910462">
          <w:rPr>
            <w:rStyle w:val="Hyperlink"/>
            <w:rFonts w:cs="Calibri"/>
          </w:rPr>
          <w:t>http://www.doe.mass.edu/edeval/ddm/webinar/PartI-GapAnalysis.pdf</w:t>
        </w:r>
      </w:hyperlink>
      <w:r w:rsidR="005634AD" w:rsidRPr="00910462">
        <w:rPr>
          <w:rFonts w:cs="Calibri"/>
        </w:rPr>
        <w:t xml:space="preserve">) is intended to support districts in understanding where their educators fit overall on a continuum of assessment literacy. After determining where the district </w:t>
      </w:r>
      <w:proofErr w:type="gramStart"/>
      <w:r w:rsidR="005634AD" w:rsidRPr="00910462">
        <w:rPr>
          <w:rFonts w:cs="Calibri"/>
        </w:rPr>
        <w:t>as a whole generally</w:t>
      </w:r>
      <w:proofErr w:type="gramEnd"/>
      <w:r w:rsidR="005634AD" w:rsidRPr="00910462">
        <w:rPr>
          <w:rFonts w:cs="Calibri"/>
        </w:rPr>
        <w:t xml:space="preserve"> falls on the continuum, districts can determine potential next steps. </w:t>
      </w:r>
    </w:p>
    <w:p w14:paraId="5865EEEE" w14:textId="3CA887AB" w:rsidR="005634AD" w:rsidRPr="00910462" w:rsidRDefault="00F12D19" w:rsidP="00EC5B5A">
      <w:pPr>
        <w:pStyle w:val="ListParagraph"/>
        <w:numPr>
          <w:ilvl w:val="2"/>
          <w:numId w:val="28"/>
        </w:numPr>
        <w:ind w:left="360"/>
        <w:contextualSpacing w:val="0"/>
        <w:rPr>
          <w:rFonts w:cs="Calibri"/>
        </w:rPr>
      </w:pPr>
      <w:r>
        <w:rPr>
          <w:rFonts w:cs="Calibri"/>
        </w:rPr>
        <w:t>D</w:t>
      </w:r>
      <w:r w:rsidR="005634AD" w:rsidRPr="00910462">
        <w:rPr>
          <w:rFonts w:cs="Calibri"/>
        </w:rPr>
        <w:t xml:space="preserve">ESE’s </w:t>
      </w:r>
      <w:r w:rsidR="005634AD" w:rsidRPr="00910462">
        <w:rPr>
          <w:rFonts w:cs="Calibri"/>
          <w:i/>
        </w:rPr>
        <w:t>District Data Team Toolkit</w:t>
      </w:r>
      <w:r w:rsidR="005634AD" w:rsidRPr="00910462">
        <w:rPr>
          <w:rFonts w:cs="Calibri"/>
        </w:rPr>
        <w:t xml:space="preserve"> (</w:t>
      </w:r>
      <w:hyperlink r:id="rId26" w:history="1">
        <w:r w:rsidR="00E255EB" w:rsidRPr="00E255EB">
          <w:rPr>
            <w:rStyle w:val="Hyperlink"/>
          </w:rPr>
          <w:t>http://www.doe.mass.edu/accountability/toolkit/district-data-toolkit.pdf</w:t>
        </w:r>
      </w:hyperlink>
      <w:r w:rsidR="005634AD" w:rsidRPr="00910462">
        <w:rPr>
          <w:rFonts w:cs="Calibri"/>
        </w:rPr>
        <w:t>) is a set of r</w:t>
      </w:r>
      <w:r w:rsidR="005634AD" w:rsidRPr="00910462">
        <w:rPr>
          <w:rFonts w:cs="Calibri"/>
          <w:bCs/>
        </w:rPr>
        <w:t>esources to help a district establish, grow, and maintain a culture of inquiry and data use through a District Data Team.</w:t>
      </w:r>
    </w:p>
    <w:p w14:paraId="5638E7C4" w14:textId="77777777" w:rsidR="00342350" w:rsidRDefault="00342350">
      <w:pPr>
        <w:spacing w:after="0" w:line="240" w:lineRule="auto"/>
      </w:pPr>
      <w:r>
        <w:br w:type="page"/>
      </w:r>
    </w:p>
    <w:p w14:paraId="60202DC8" w14:textId="77777777" w:rsidR="0023695F" w:rsidRDefault="00342350" w:rsidP="0023695F">
      <w:pPr>
        <w:pStyle w:val="Section"/>
      </w:pPr>
      <w:bookmarkStart w:id="14" w:name="_Toc536687552"/>
      <w:r>
        <w:lastRenderedPageBreak/>
        <w:t>Human Resources and Professional Development</w:t>
      </w:r>
      <w:bookmarkEnd w:id="14"/>
    </w:p>
    <w:p w14:paraId="06950282" w14:textId="7548E8D9" w:rsidR="002E3BD4" w:rsidRPr="00EF4E91" w:rsidRDefault="00342350" w:rsidP="00C6311F">
      <w:pPr>
        <w:rPr>
          <w:b/>
          <w:sz w:val="28"/>
          <w:szCs w:val="28"/>
        </w:rPr>
      </w:pPr>
      <w:r w:rsidRPr="00C412C4">
        <w:rPr>
          <w:b/>
          <w:i/>
          <w:sz w:val="28"/>
          <w:szCs w:val="28"/>
        </w:rPr>
        <w:t>Contextual Backgroun</w:t>
      </w:r>
      <w:r w:rsidR="00C6311F">
        <w:rPr>
          <w:b/>
          <w:i/>
          <w:sz w:val="28"/>
          <w:szCs w:val="28"/>
        </w:rPr>
        <w:t>d</w:t>
      </w:r>
    </w:p>
    <w:p w14:paraId="355BEDEF" w14:textId="62799A9C" w:rsidR="00E87F07" w:rsidRPr="00406A80" w:rsidRDefault="002E3BD4" w:rsidP="00406A80">
      <w:r>
        <w:t xml:space="preserve">It was clear to the review team that the administration has </w:t>
      </w:r>
      <w:r w:rsidR="00BB6A2C">
        <w:t xml:space="preserve">prioritized </w:t>
      </w:r>
      <w:r>
        <w:t xml:space="preserve">improvements to the district’s </w:t>
      </w:r>
      <w:r w:rsidR="00642557">
        <w:t>professional development (</w:t>
      </w:r>
      <w:r>
        <w:t>PD</w:t>
      </w:r>
      <w:r w:rsidR="00642557">
        <w:t>)</w:t>
      </w:r>
      <w:r>
        <w:t xml:space="preserve"> </w:t>
      </w:r>
      <w:r w:rsidR="00E255EB">
        <w:t>program</w:t>
      </w:r>
      <w:r>
        <w:t xml:space="preserve">. </w:t>
      </w:r>
      <w:r w:rsidRPr="00240481">
        <w:t xml:space="preserve"> PD programming and services </w:t>
      </w:r>
      <w:r w:rsidR="00BB6A2C" w:rsidRPr="00240481">
        <w:t>are</w:t>
      </w:r>
      <w:r w:rsidRPr="00240481">
        <w:t xml:space="preserve"> directly aligned with district priorities</w:t>
      </w:r>
      <w:r w:rsidR="00E27A95" w:rsidRPr="00240481">
        <w:t xml:space="preserve">; </w:t>
      </w:r>
      <w:r w:rsidR="009035B8" w:rsidRPr="00406A80">
        <w:t>t</w:t>
      </w:r>
      <w:r w:rsidR="00E27A95" w:rsidRPr="00406A80">
        <w:t>he district’s PD plan is closely aligned with the goals articulated in the strategic plan, and</w:t>
      </w:r>
      <w:r w:rsidR="009035B8" w:rsidRPr="00406A80">
        <w:t xml:space="preserve"> i</w:t>
      </w:r>
      <w:r w:rsidR="00E27A95" w:rsidRPr="00406A80">
        <w:t>nterviews and a review of documents confirmed that every school improvement plan (SIP) was aligned with the district’s strategic plan and the goals articulated in the PD plan.</w:t>
      </w:r>
      <w:r w:rsidR="00E87F07" w:rsidRPr="00406A80">
        <w:t xml:space="preserve"> District and school leaders said that student data from multiple sources informed decisions about PD needs and programs.  They identified </w:t>
      </w:r>
      <w:proofErr w:type="spellStart"/>
      <w:r w:rsidR="00E87F07" w:rsidRPr="00406A80">
        <w:t>i</w:t>
      </w:r>
      <w:proofErr w:type="spellEnd"/>
      <w:r w:rsidR="00E87F07" w:rsidRPr="00406A80">
        <w:t>-Ready, ACCESS, Panorama, EWIS, SAT, and a variety of other benchmark, common assessments, and writing assignments, as well as student attendance and disciplinary records and demographics, to be among the key data points that they systematically analyze for the purposes of PD planning. In addition to in</w:t>
      </w:r>
      <w:r w:rsidR="009035B8" w:rsidRPr="00406A80">
        <w:t>-</w:t>
      </w:r>
      <w:r w:rsidR="00E87F07" w:rsidRPr="00406A80">
        <w:t>service and early-release days and regular, structured collaborative time during the school day, the district offers extension courses taught by district staff and courses taught by external providers.</w:t>
      </w:r>
      <w:r w:rsidR="009035B8" w:rsidRPr="00406A80">
        <w:t xml:space="preserve"> </w:t>
      </w:r>
      <w:r w:rsidR="00E87F07" w:rsidRPr="00406A80">
        <w:t xml:space="preserve">However, </w:t>
      </w:r>
      <w:r w:rsidR="000E0473" w:rsidRPr="00406A80">
        <w:t>the district’s PD program is missing some essential elements, including measurable goals and collaborative leadership.</w:t>
      </w:r>
    </w:p>
    <w:p w14:paraId="7884DD56" w14:textId="77777777" w:rsidR="009035B8" w:rsidRDefault="009035B8" w:rsidP="009035B8">
      <w:pPr>
        <w:tabs>
          <w:tab w:val="left" w:pos="360"/>
          <w:tab w:val="left" w:pos="720"/>
          <w:tab w:val="left" w:pos="1080"/>
          <w:tab w:val="left" w:pos="1440"/>
          <w:tab w:val="left" w:pos="1800"/>
          <w:tab w:val="left" w:pos="2160"/>
        </w:tabs>
      </w:pPr>
      <w:r>
        <w:t>The district’s educator evaluation system, products, and supervisory practices are missing the overall quality, focus, and consistency needed to make meaningful and lasting improvements to classroom instruction that also addresses student learning needs.</w:t>
      </w:r>
    </w:p>
    <w:p w14:paraId="5BF0E512" w14:textId="1D718B5F" w:rsidR="002E3BD4" w:rsidRDefault="009035B8" w:rsidP="002E3BD4">
      <w:pPr>
        <w:tabs>
          <w:tab w:val="left" w:pos="360"/>
          <w:tab w:val="left" w:pos="720"/>
          <w:tab w:val="left" w:pos="1080"/>
          <w:tab w:val="left" w:pos="1440"/>
          <w:tab w:val="left" w:pos="1800"/>
          <w:tab w:val="left" w:pos="2160"/>
        </w:tabs>
      </w:pPr>
      <w:r>
        <w:t>T</w:t>
      </w:r>
      <w:r w:rsidR="002E3BD4" w:rsidRPr="00861B5E">
        <w:t xml:space="preserve">he district’s commitment to </w:t>
      </w:r>
      <w:r w:rsidR="00861B5E" w:rsidRPr="00406A80">
        <w:t xml:space="preserve">increasing the diversity of its </w:t>
      </w:r>
      <w:r w:rsidR="002E3BD4" w:rsidRPr="00861B5E">
        <w:t xml:space="preserve">faculty is worthy of note.  Embedded in the district’s </w:t>
      </w:r>
      <w:r w:rsidR="00C6311F" w:rsidRPr="00861B5E">
        <w:t>s</w:t>
      </w:r>
      <w:r w:rsidR="002E3BD4" w:rsidRPr="00861B5E">
        <w:t xml:space="preserve">trategic </w:t>
      </w:r>
      <w:r w:rsidR="00C6311F" w:rsidRPr="00861B5E">
        <w:t>p</w:t>
      </w:r>
      <w:r w:rsidR="002E3BD4" w:rsidRPr="00861B5E">
        <w:t xml:space="preserve">lan is the goal of diversifying school and district staff to better reflect the student population. </w:t>
      </w:r>
      <w:proofErr w:type="gramStart"/>
      <w:r w:rsidR="002E3BD4" w:rsidRPr="00861B5E">
        <w:t>A number of</w:t>
      </w:r>
      <w:proofErr w:type="gramEnd"/>
      <w:r w:rsidR="002E3BD4" w:rsidRPr="00861B5E">
        <w:t xml:space="preserve"> highly promising strategies and action steps have been and are being developed to improve and expand recruitment, hiring, and retention policies and practices in order to achieve this important and worthy goal.</w:t>
      </w:r>
      <w:r w:rsidR="002E3BD4">
        <w:t xml:space="preserve">  </w:t>
      </w:r>
    </w:p>
    <w:p w14:paraId="58A5085E" w14:textId="7AA865CA" w:rsidR="002E3BD4" w:rsidRDefault="002E3BD4" w:rsidP="002E3BD4">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p>
    <w:p w14:paraId="4E3EECD1" w14:textId="08ED64BA" w:rsidR="002E3BD4" w:rsidRPr="00D34770" w:rsidRDefault="002E3BD4" w:rsidP="002E3BD4">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demonstrates a genuine commitment to building a </w:t>
      </w:r>
      <w:r w:rsidR="00250115">
        <w:rPr>
          <w:b/>
        </w:rPr>
        <w:t xml:space="preserve">racially </w:t>
      </w:r>
      <w:r>
        <w:rPr>
          <w:b/>
        </w:rPr>
        <w:t>diverse faculty.</w:t>
      </w:r>
      <w:r w:rsidRPr="00D34770">
        <w:rPr>
          <w:b/>
        </w:rPr>
        <w:t xml:space="preserve"> </w:t>
      </w:r>
    </w:p>
    <w:p w14:paraId="5F0FF2A1" w14:textId="6A2273DD" w:rsidR="002E3BD4" w:rsidRPr="002E3BD4" w:rsidRDefault="002E3BD4" w:rsidP="002E3BD4">
      <w:pPr>
        <w:tabs>
          <w:tab w:val="left" w:pos="360"/>
          <w:tab w:val="left" w:pos="720"/>
          <w:tab w:val="left" w:pos="1080"/>
          <w:tab w:val="left" w:pos="1440"/>
          <w:tab w:val="left" w:pos="1800"/>
          <w:tab w:val="left" w:pos="2160"/>
        </w:tabs>
        <w:ind w:left="720" w:hanging="360"/>
        <w:rPr>
          <w:b/>
          <w:i/>
        </w:rPr>
      </w:pPr>
      <w:r>
        <w:rPr>
          <w:b/>
        </w:rPr>
        <w:t xml:space="preserve"> </w:t>
      </w:r>
      <w:r w:rsidRPr="002E3BD4">
        <w:rPr>
          <w:b/>
        </w:rPr>
        <w:t>A.</w:t>
      </w:r>
      <w:r>
        <w:rPr>
          <w:b/>
        </w:rPr>
        <w:t xml:space="preserve">   </w:t>
      </w:r>
      <w:r>
        <w:t>One of the goals articulated in the district’s 201</w:t>
      </w:r>
      <w:r w:rsidR="00460CCE">
        <w:t>7</w:t>
      </w:r>
      <w:r w:rsidR="00E255EB">
        <w:t>–</w:t>
      </w:r>
      <w:r>
        <w:t>20</w:t>
      </w:r>
      <w:r w:rsidR="00460CCE">
        <w:t>20</w:t>
      </w:r>
      <w:r>
        <w:t xml:space="preserve"> </w:t>
      </w:r>
      <w:r w:rsidR="007D7332">
        <w:t xml:space="preserve">Annotated Strategic Plan </w:t>
      </w:r>
      <w:r>
        <w:t xml:space="preserve">is the establishment of hiring practices that diversify district </w:t>
      </w:r>
      <w:r w:rsidR="00CB5BC2">
        <w:t xml:space="preserve">and school </w:t>
      </w:r>
      <w:r>
        <w:t>staff</w:t>
      </w:r>
      <w:r w:rsidRPr="0023504E">
        <w:t xml:space="preserve">. </w:t>
      </w:r>
      <w:r>
        <w:t xml:space="preserve">The specific strategies developed to achieve this goal are </w:t>
      </w:r>
      <w:r w:rsidR="00CB5BC2">
        <w:t>as follows</w:t>
      </w:r>
      <w:r>
        <w:t xml:space="preserve">: establish and support a </w:t>
      </w:r>
      <w:r w:rsidR="00CB5BC2">
        <w:t>h</w:t>
      </w:r>
      <w:r>
        <w:t xml:space="preserve">omegrown </w:t>
      </w:r>
      <w:r w:rsidR="00CB5BC2">
        <w:t>teacher</w:t>
      </w:r>
      <w:r>
        <w:t xml:space="preserve"> program</w:t>
      </w:r>
      <w:r w:rsidR="00E30510">
        <w:t>,</w:t>
      </w:r>
      <w:r>
        <w:t xml:space="preserve"> develop more aggressive and effective recruitment strategies, and revise and improve the teacher induction and mentoring programs to enhance staff retention.</w:t>
      </w:r>
    </w:p>
    <w:p w14:paraId="01DBE920" w14:textId="4B0C83E0" w:rsidR="002E3BD4" w:rsidRDefault="00E255EB" w:rsidP="00EC5B5A">
      <w:pPr>
        <w:tabs>
          <w:tab w:val="left" w:pos="360"/>
          <w:tab w:val="left" w:pos="720"/>
          <w:tab w:val="left" w:pos="1080"/>
          <w:tab w:val="left" w:pos="1440"/>
          <w:tab w:val="left" w:pos="1800"/>
          <w:tab w:val="left" w:pos="2160"/>
        </w:tabs>
        <w:ind w:left="1080" w:hanging="1080"/>
      </w:pPr>
      <w:r>
        <w:tab/>
      </w:r>
      <w:r w:rsidR="003A3B57">
        <w:tab/>
      </w:r>
      <w:r>
        <w:t>1.</w:t>
      </w:r>
      <w:r>
        <w:tab/>
      </w:r>
      <w:r w:rsidR="002E3BD4" w:rsidRPr="00D43D4F">
        <w:t xml:space="preserve">Interviewees reported that plans have been developed to establish a </w:t>
      </w:r>
      <w:r w:rsidR="00CB5BC2">
        <w:t>h</w:t>
      </w:r>
      <w:r w:rsidR="00CB5BC2" w:rsidRPr="00D43D4F">
        <w:t xml:space="preserve">omegrown </w:t>
      </w:r>
      <w:r w:rsidR="00CB5BC2">
        <w:t>t</w:t>
      </w:r>
      <w:r w:rsidR="00CB5BC2" w:rsidRPr="00D43D4F">
        <w:t xml:space="preserve">eacher </w:t>
      </w:r>
      <w:r w:rsidR="00CB5BC2">
        <w:t>p</w:t>
      </w:r>
      <w:r w:rsidR="00CB5BC2" w:rsidRPr="00D43D4F">
        <w:t xml:space="preserve">rogram </w:t>
      </w:r>
      <w:r w:rsidR="002E3BD4" w:rsidRPr="00D43D4F">
        <w:t xml:space="preserve">for </w:t>
      </w:r>
      <w:r w:rsidR="00CB5BC2">
        <w:t xml:space="preserve">district </w:t>
      </w:r>
      <w:r w:rsidR="002E3BD4" w:rsidRPr="00D43D4F">
        <w:t xml:space="preserve">students, paraprofessionals, and other non-teaching staff through which to enter the teaching profession. They </w:t>
      </w:r>
      <w:r>
        <w:t>said</w:t>
      </w:r>
      <w:r w:rsidRPr="00D43D4F">
        <w:t xml:space="preserve"> </w:t>
      </w:r>
      <w:r w:rsidR="002E3BD4" w:rsidRPr="00D43D4F">
        <w:t>that these include</w:t>
      </w:r>
      <w:r>
        <w:t>d</w:t>
      </w:r>
      <w:r w:rsidR="002E3BD4" w:rsidRPr="00D43D4F">
        <w:t xml:space="preserve"> the creation of a mentoring program for </w:t>
      </w:r>
      <w:r w:rsidRPr="00D43D4F">
        <w:t>high</w:t>
      </w:r>
      <w:r>
        <w:t>-</w:t>
      </w:r>
      <w:r w:rsidR="002E3BD4" w:rsidRPr="00D43D4F">
        <w:t xml:space="preserve">school students </w:t>
      </w:r>
      <w:proofErr w:type="gramStart"/>
      <w:r w:rsidR="002E3BD4" w:rsidRPr="00D43D4F">
        <w:t>in order to</w:t>
      </w:r>
      <w:proofErr w:type="gramEnd"/>
      <w:r w:rsidR="002E3BD4" w:rsidRPr="00D43D4F">
        <w:t xml:space="preserve"> develop a cadre of “students in teacher training” and mentoring programs for paraprofessionals interested in becoming teachers.</w:t>
      </w:r>
    </w:p>
    <w:p w14:paraId="7F9B1507" w14:textId="59706D23" w:rsidR="00E255EB" w:rsidRDefault="00E255EB" w:rsidP="00EC5B5A">
      <w:pPr>
        <w:pStyle w:val="ListParagraph"/>
        <w:numPr>
          <w:ilvl w:val="7"/>
          <w:numId w:val="20"/>
        </w:numPr>
        <w:tabs>
          <w:tab w:val="left" w:pos="360"/>
          <w:tab w:val="left" w:pos="720"/>
          <w:tab w:val="left" w:pos="1080"/>
          <w:tab w:val="left" w:pos="1440"/>
          <w:tab w:val="left" w:pos="1800"/>
          <w:tab w:val="left" w:pos="2160"/>
        </w:tabs>
        <w:ind w:left="1440"/>
      </w:pPr>
      <w:r>
        <w:lastRenderedPageBreak/>
        <w:t>District and school l</w:t>
      </w:r>
      <w:r w:rsidR="00CB5BC2">
        <w:t xml:space="preserve">eaders </w:t>
      </w:r>
      <w:r w:rsidR="002E3BD4">
        <w:t xml:space="preserve">expressed the belief that these programs </w:t>
      </w:r>
      <w:r>
        <w:t xml:space="preserve">would </w:t>
      </w:r>
      <w:r w:rsidR="002E3BD4">
        <w:t xml:space="preserve">be implemented and fully operational during the </w:t>
      </w:r>
      <w:r>
        <w:t>2019–</w:t>
      </w:r>
      <w:r w:rsidR="002E3BD4">
        <w:t>2020 school year</w:t>
      </w:r>
      <w:r w:rsidR="002E3BD4" w:rsidRPr="0023504E">
        <w:t>.</w:t>
      </w:r>
      <w:r w:rsidR="002E3BD4">
        <w:t xml:space="preserve"> </w:t>
      </w:r>
    </w:p>
    <w:p w14:paraId="128F8A71" w14:textId="6EEFDA69" w:rsidR="00D43D4F" w:rsidRDefault="00E255EB" w:rsidP="00E255EB">
      <w:pPr>
        <w:tabs>
          <w:tab w:val="left" w:pos="360"/>
          <w:tab w:val="left" w:pos="720"/>
          <w:tab w:val="left" w:pos="1080"/>
          <w:tab w:val="left" w:pos="1440"/>
          <w:tab w:val="left" w:pos="1800"/>
          <w:tab w:val="left" w:pos="2160"/>
        </w:tabs>
        <w:ind w:left="1080" w:hanging="1080"/>
      </w:pPr>
      <w:r>
        <w:tab/>
      </w:r>
      <w:r>
        <w:tab/>
        <w:t>2.</w:t>
      </w:r>
      <w:r>
        <w:tab/>
      </w:r>
      <w:r w:rsidR="002E3BD4">
        <w:t xml:space="preserve">District and school leaders described </w:t>
      </w:r>
      <w:proofErr w:type="gramStart"/>
      <w:r w:rsidR="002E3BD4">
        <w:t>a number of</w:t>
      </w:r>
      <w:proofErr w:type="gramEnd"/>
      <w:r w:rsidR="002E3BD4">
        <w:t xml:space="preserve"> action steps underway, or planned, whose purpose </w:t>
      </w:r>
      <w:r>
        <w:t xml:space="preserve">was </w:t>
      </w:r>
      <w:r w:rsidR="002E3BD4">
        <w:t>to improve and expand district recruitment and hiring policies and practices</w:t>
      </w:r>
      <w:r w:rsidR="002E3BD4" w:rsidRPr="0023504E">
        <w:t xml:space="preserve">. </w:t>
      </w:r>
      <w:r w:rsidR="00CB5BC2">
        <w:t>These include</w:t>
      </w:r>
      <w:r w:rsidR="002E3BD4">
        <w:t xml:space="preserve"> substantially increased attendance at diversity in hiring job fairs</w:t>
      </w:r>
      <w:r w:rsidR="00CB5BC2">
        <w:t xml:space="preserve">; </w:t>
      </w:r>
      <w:r w:rsidR="002E3BD4">
        <w:t xml:space="preserve">enhanced </w:t>
      </w:r>
      <w:r w:rsidR="00D06A91">
        <w:t xml:space="preserve">Framingham Public Schools </w:t>
      </w:r>
      <w:r w:rsidR="002E3BD4">
        <w:t xml:space="preserve">recruitment literature designed to highlight the district’s commitment to staff </w:t>
      </w:r>
      <w:r w:rsidR="00601DA1">
        <w:t>diversity</w:t>
      </w:r>
      <w:r w:rsidR="00CB5BC2">
        <w:t xml:space="preserve">; and </w:t>
      </w:r>
      <w:r w:rsidR="002E3BD4">
        <w:t>expanded partnerships with local colleges and universities</w:t>
      </w:r>
      <w:r w:rsidR="001D7064">
        <w:t xml:space="preserve">—including </w:t>
      </w:r>
      <w:r w:rsidR="002E3BD4">
        <w:t xml:space="preserve">Wellesley College, Simmons College, Clark University, </w:t>
      </w:r>
      <w:r w:rsidR="00D06A91">
        <w:t>Boston University</w:t>
      </w:r>
      <w:r w:rsidR="002E3BD4">
        <w:t xml:space="preserve">, Framingham State University, </w:t>
      </w:r>
      <w:r w:rsidR="007A4EA3">
        <w:t xml:space="preserve">and </w:t>
      </w:r>
      <w:r w:rsidR="002E3BD4">
        <w:t>UMass Boston</w:t>
      </w:r>
      <w:r w:rsidR="001D7064">
        <w:t xml:space="preserve">—in </w:t>
      </w:r>
      <w:r w:rsidR="002E3BD4">
        <w:t>order to recruit a more diverse pool of student teachers.</w:t>
      </w:r>
    </w:p>
    <w:p w14:paraId="1E2A7539" w14:textId="029AE835" w:rsidR="002E3BD4" w:rsidRPr="00112481" w:rsidRDefault="00E255EB" w:rsidP="00EC5B5A">
      <w:pPr>
        <w:tabs>
          <w:tab w:val="left" w:pos="0"/>
          <w:tab w:val="left" w:pos="360"/>
          <w:tab w:val="left" w:pos="720"/>
          <w:tab w:val="left" w:pos="1080"/>
          <w:tab w:val="left" w:pos="1440"/>
          <w:tab w:val="left" w:pos="1800"/>
          <w:tab w:val="left" w:pos="2160"/>
        </w:tabs>
        <w:ind w:left="1080" w:hanging="1080"/>
      </w:pPr>
      <w:r>
        <w:tab/>
      </w:r>
      <w:r w:rsidR="003A3B57">
        <w:tab/>
      </w:r>
      <w:r>
        <w:t>3.</w:t>
      </w:r>
      <w:r>
        <w:tab/>
        <w:t>District and school l</w:t>
      </w:r>
      <w:r w:rsidR="00CB5BC2">
        <w:t xml:space="preserve">eaders </w:t>
      </w:r>
      <w:r>
        <w:t xml:space="preserve">stated </w:t>
      </w:r>
      <w:r w:rsidR="002E3BD4">
        <w:t>that</w:t>
      </w:r>
      <w:r w:rsidR="00E30510">
        <w:t xml:space="preserve"> </w:t>
      </w:r>
      <w:r w:rsidR="002E3BD4">
        <w:t>comprehensive improvements to the new teacher mentoring program, including changes to the mentor training course, new teacher orientation, and new teacher seminar</w:t>
      </w:r>
      <w:r>
        <w:t>,</w:t>
      </w:r>
      <w:r w:rsidR="002E3BD4">
        <w:t xml:space="preserve"> have been implemented </w:t>
      </w:r>
      <w:r>
        <w:t>in 2018–2019</w:t>
      </w:r>
      <w:r w:rsidR="002E3BD4">
        <w:t xml:space="preserve"> and/or </w:t>
      </w:r>
      <w:r>
        <w:t xml:space="preserve">would </w:t>
      </w:r>
      <w:r w:rsidR="002E3BD4">
        <w:t xml:space="preserve">be introduced </w:t>
      </w:r>
      <w:r>
        <w:t>in 2019–2020</w:t>
      </w:r>
      <w:r w:rsidR="002E3BD4">
        <w:t xml:space="preserve">. They </w:t>
      </w:r>
      <w:r>
        <w:t xml:space="preserve">said </w:t>
      </w:r>
      <w:r w:rsidR="002E3BD4">
        <w:t>that these include a revised mentor handbook and mentor training course</w:t>
      </w:r>
      <w:r w:rsidR="00250115">
        <w:t>,</w:t>
      </w:r>
      <w:r w:rsidR="002E3BD4">
        <w:t xml:space="preserve"> and significant enhancements to the new teacher orientation program to incorporate more </w:t>
      </w:r>
      <w:r w:rsidR="007A4EA3">
        <w:t>Sheltered English Immersion</w:t>
      </w:r>
      <w:r w:rsidR="00CB5BC2">
        <w:t xml:space="preserve"> (SEI)</w:t>
      </w:r>
      <w:r w:rsidR="007A4EA3">
        <w:t xml:space="preserve"> </w:t>
      </w:r>
      <w:r w:rsidR="002E3BD4">
        <w:t>support and training in the use of data</w:t>
      </w:r>
      <w:r w:rsidR="002E3BD4" w:rsidRPr="0023504E">
        <w:t xml:space="preserve">. </w:t>
      </w:r>
    </w:p>
    <w:p w14:paraId="6EB5BD37" w14:textId="34206568" w:rsidR="002E3BD4" w:rsidRPr="00112481" w:rsidRDefault="00D43D4F" w:rsidP="00406A80">
      <w:pPr>
        <w:pStyle w:val="ListParagraph"/>
        <w:tabs>
          <w:tab w:val="left" w:pos="0"/>
          <w:tab w:val="left" w:pos="360"/>
          <w:tab w:val="left" w:pos="1080"/>
          <w:tab w:val="left" w:pos="1800"/>
          <w:tab w:val="left" w:pos="2160"/>
        </w:tabs>
        <w:ind w:hanging="360"/>
      </w:pPr>
      <w:r w:rsidRPr="00D43D4F">
        <w:rPr>
          <w:b/>
        </w:rPr>
        <w:t xml:space="preserve">B. </w:t>
      </w:r>
      <w:r>
        <w:t xml:space="preserve">  The </w:t>
      </w:r>
      <w:r w:rsidR="002E3BD4">
        <w:t xml:space="preserve">district’s recent decision to conduct a comprehensive </w:t>
      </w:r>
      <w:r w:rsidR="00CB5BC2">
        <w:t xml:space="preserve">racial equity audit </w:t>
      </w:r>
      <w:r w:rsidR="00250115">
        <w:t xml:space="preserve">was based in part on the goal of reviewing </w:t>
      </w:r>
      <w:r w:rsidR="002E3BD4">
        <w:t xml:space="preserve">current efforts to recruit and retain staff of color and to provide recommendations on how to further improve staff recruitment and support for a diverse professional staff through the creation of a welcoming, </w:t>
      </w:r>
      <w:r w:rsidR="00015F25">
        <w:t>bias-</w:t>
      </w:r>
      <w:r w:rsidR="002E3BD4">
        <w:t>free work environment</w:t>
      </w:r>
      <w:r w:rsidR="002E3BD4" w:rsidRPr="0023504E">
        <w:t xml:space="preserve">. </w:t>
      </w:r>
    </w:p>
    <w:p w14:paraId="31127D33" w14:textId="3A3ABB46" w:rsidR="00E21E66" w:rsidRDefault="002E3BD4" w:rsidP="002E3BD4">
      <w:pPr>
        <w:tabs>
          <w:tab w:val="left" w:pos="360"/>
          <w:tab w:val="left" w:pos="1080"/>
          <w:tab w:val="left" w:pos="1440"/>
          <w:tab w:val="left" w:pos="1800"/>
          <w:tab w:val="left" w:pos="2160"/>
        </w:tabs>
      </w:pPr>
      <w:r w:rsidRPr="004E594D">
        <w:rPr>
          <w:b/>
        </w:rPr>
        <w:t>Impact</w:t>
      </w:r>
      <w:r w:rsidR="00015F25">
        <w:t xml:space="preserve">: </w:t>
      </w:r>
      <w:r>
        <w:t xml:space="preserve">The district’s commitment to building a diverse </w:t>
      </w:r>
      <w:r w:rsidR="00E21E66">
        <w:t>workforce</w:t>
      </w:r>
      <w:r>
        <w:t xml:space="preserve"> is both genuine and well defined</w:t>
      </w:r>
      <w:r w:rsidRPr="004E594D">
        <w:t>.</w:t>
      </w:r>
      <w:r>
        <w:t xml:space="preserve"> It</w:t>
      </w:r>
      <w:r w:rsidR="00E21E66">
        <w:t xml:space="preserve"> reflects the understanding that increasing the number of staff of color, and creating an inclusive environment for staff, will benefit students in many ways.</w:t>
      </w:r>
    </w:p>
    <w:p w14:paraId="25CD337A" w14:textId="77777777" w:rsidR="008D5152" w:rsidRDefault="008D5152" w:rsidP="002E3BD4">
      <w:pPr>
        <w:tabs>
          <w:tab w:val="left" w:pos="360"/>
          <w:tab w:val="left" w:pos="720"/>
          <w:tab w:val="left" w:pos="1080"/>
          <w:tab w:val="left" w:pos="1440"/>
          <w:tab w:val="left" w:pos="1800"/>
          <w:tab w:val="left" w:pos="2160"/>
        </w:tabs>
        <w:rPr>
          <w:b/>
          <w:sz w:val="28"/>
          <w:szCs w:val="28"/>
        </w:rPr>
      </w:pPr>
    </w:p>
    <w:p w14:paraId="4CC4E983" w14:textId="3B2C1923" w:rsidR="002E3BD4" w:rsidRDefault="002E3BD4" w:rsidP="002E3BD4">
      <w:pPr>
        <w:tabs>
          <w:tab w:val="left" w:pos="360"/>
          <w:tab w:val="left" w:pos="720"/>
          <w:tab w:val="left" w:pos="1080"/>
          <w:tab w:val="left" w:pos="1440"/>
          <w:tab w:val="left" w:pos="1800"/>
          <w:tab w:val="left" w:pos="2160"/>
        </w:tabs>
        <w:rPr>
          <w:b/>
          <w:sz w:val="28"/>
          <w:szCs w:val="28"/>
        </w:rPr>
      </w:pPr>
      <w:r>
        <w:rPr>
          <w:b/>
          <w:sz w:val="28"/>
          <w:szCs w:val="28"/>
        </w:rPr>
        <w:t>Challenges and Areas for Growth</w:t>
      </w:r>
    </w:p>
    <w:p w14:paraId="56048396" w14:textId="51123240" w:rsidR="00A25975" w:rsidRDefault="000E0473" w:rsidP="00A25975">
      <w:pPr>
        <w:tabs>
          <w:tab w:val="left" w:pos="360"/>
          <w:tab w:val="left" w:pos="720"/>
          <w:tab w:val="left" w:pos="1080"/>
          <w:tab w:val="left" w:pos="1440"/>
          <w:tab w:val="left" w:pos="1800"/>
        </w:tabs>
        <w:ind w:left="360" w:hanging="360"/>
        <w:rPr>
          <w:b/>
        </w:rPr>
      </w:pPr>
      <w:r>
        <w:rPr>
          <w:b/>
        </w:rPr>
        <w:t>2</w:t>
      </w:r>
      <w:r w:rsidR="007B7B6E">
        <w:rPr>
          <w:b/>
        </w:rPr>
        <w:t xml:space="preserve">.   </w:t>
      </w:r>
      <w:r w:rsidR="00A25975">
        <w:rPr>
          <w:b/>
        </w:rPr>
        <w:t xml:space="preserve">The </w:t>
      </w:r>
      <w:r w:rsidR="002E3BD4" w:rsidRPr="00A25975">
        <w:rPr>
          <w:b/>
        </w:rPr>
        <w:t>district</w:t>
      </w:r>
      <w:r w:rsidR="0036675F">
        <w:rPr>
          <w:b/>
        </w:rPr>
        <w:t>’s</w:t>
      </w:r>
      <w:r w:rsidR="002E3BD4" w:rsidRPr="00A25975">
        <w:rPr>
          <w:b/>
        </w:rPr>
        <w:t xml:space="preserve"> educator evaluation </w:t>
      </w:r>
      <w:r w:rsidR="0036675F">
        <w:rPr>
          <w:b/>
        </w:rPr>
        <w:t>system</w:t>
      </w:r>
      <w:r w:rsidR="0036675F" w:rsidRPr="00A25975">
        <w:rPr>
          <w:b/>
        </w:rPr>
        <w:t xml:space="preserve"> </w:t>
      </w:r>
      <w:r w:rsidR="0036675F">
        <w:rPr>
          <w:b/>
        </w:rPr>
        <w:t>does not prioritize opportunities for educators</w:t>
      </w:r>
      <w:r w:rsidR="002E3BD4" w:rsidRPr="00A25975">
        <w:rPr>
          <w:b/>
        </w:rPr>
        <w:t xml:space="preserve"> </w:t>
      </w:r>
      <w:r w:rsidR="0036675F">
        <w:rPr>
          <w:b/>
        </w:rPr>
        <w:t>to receive high-</w:t>
      </w:r>
      <w:r w:rsidR="002E3BD4" w:rsidRPr="00A25975">
        <w:rPr>
          <w:b/>
        </w:rPr>
        <w:t xml:space="preserve">quality </w:t>
      </w:r>
      <w:r w:rsidR="0036675F">
        <w:rPr>
          <w:b/>
        </w:rPr>
        <w:t>feedback</w:t>
      </w:r>
      <w:r w:rsidR="005359EE">
        <w:rPr>
          <w:rStyle w:val="FootnoteReference"/>
          <w:b/>
        </w:rPr>
        <w:footnoteReference w:id="11"/>
      </w:r>
      <w:r w:rsidR="0036675F">
        <w:rPr>
          <w:b/>
        </w:rPr>
        <w:t xml:space="preserve"> that helps them improve their practice</w:t>
      </w:r>
      <w:r w:rsidR="002E3BD4" w:rsidRPr="00A25975">
        <w:rPr>
          <w:b/>
        </w:rPr>
        <w:t>.</w:t>
      </w:r>
    </w:p>
    <w:p w14:paraId="2500961D" w14:textId="430F1BE9" w:rsidR="00A25975" w:rsidRDefault="00A25975" w:rsidP="003A3B57">
      <w:pPr>
        <w:tabs>
          <w:tab w:val="left" w:pos="360"/>
          <w:tab w:val="left" w:pos="720"/>
          <w:tab w:val="left" w:pos="1080"/>
          <w:tab w:val="left" w:pos="1440"/>
          <w:tab w:val="left" w:pos="1800"/>
        </w:tabs>
        <w:ind w:left="720" w:hanging="360"/>
      </w:pPr>
      <w:r>
        <w:rPr>
          <w:b/>
        </w:rPr>
        <w:t xml:space="preserve">A.    </w:t>
      </w:r>
      <w:r w:rsidR="005359EE">
        <w:t xml:space="preserve">The </w:t>
      </w:r>
      <w:r>
        <w:t xml:space="preserve">team </w:t>
      </w:r>
      <w:r w:rsidR="005359EE">
        <w:t>reviewed</w:t>
      </w:r>
      <w:r w:rsidR="002E3BD4">
        <w:t xml:space="preserve"> the evaluative </w:t>
      </w:r>
      <w:r w:rsidR="005359EE">
        <w:t xml:space="preserve">documentation </w:t>
      </w:r>
      <w:r w:rsidR="002E3BD4">
        <w:t>of 42 randomly selected teachers from across the district for the 2017</w:t>
      </w:r>
      <w:r w:rsidR="005359EE">
        <w:t>–</w:t>
      </w:r>
      <w:r w:rsidR="002E3BD4">
        <w:t>2018 and 2018</w:t>
      </w:r>
      <w:r w:rsidR="005359EE">
        <w:t>–</w:t>
      </w:r>
      <w:r w:rsidR="002E3BD4">
        <w:t xml:space="preserve">2019 school years.  </w:t>
      </w:r>
      <w:r w:rsidR="00B65A5C">
        <w:t>Most</w:t>
      </w:r>
      <w:r w:rsidR="002E3BD4">
        <w:t xml:space="preserve"> teacher</w:t>
      </w:r>
      <w:r w:rsidR="005359EE">
        <w:t>s’</w:t>
      </w:r>
      <w:r w:rsidR="002E3BD4">
        <w:t xml:space="preserve"> formative </w:t>
      </w:r>
      <w:r w:rsidR="005359EE">
        <w:t xml:space="preserve">assessments/evaluations </w:t>
      </w:r>
      <w:r w:rsidR="002E3BD4">
        <w:t xml:space="preserve">and summative evaluations were </w:t>
      </w:r>
      <w:r w:rsidR="00CC5727">
        <w:t>missing instructive feedback</w:t>
      </w:r>
      <w:r w:rsidR="002E3BD4">
        <w:t xml:space="preserve"> to meaningfully improve professional competencies or classroom practice.</w:t>
      </w:r>
    </w:p>
    <w:p w14:paraId="59161038" w14:textId="44692A30" w:rsidR="002E3BD4" w:rsidRDefault="003A3B57" w:rsidP="00EC5B5A">
      <w:pPr>
        <w:tabs>
          <w:tab w:val="left" w:pos="360"/>
          <w:tab w:val="left" w:pos="720"/>
          <w:tab w:val="left" w:pos="1080"/>
          <w:tab w:val="left" w:pos="1440"/>
          <w:tab w:val="left" w:pos="2160"/>
        </w:tabs>
        <w:ind w:left="1080" w:hanging="360"/>
      </w:pPr>
      <w:r>
        <w:lastRenderedPageBreak/>
        <w:t>1.</w:t>
      </w:r>
      <w:r>
        <w:tab/>
      </w:r>
      <w:r w:rsidR="002E3BD4">
        <w:t>Fewer than half of all evaluations could be described as evidence based</w:t>
      </w:r>
      <w:r w:rsidR="002E3BD4" w:rsidRPr="00177DC9">
        <w:t>.</w:t>
      </w:r>
      <w:r w:rsidR="002E3BD4">
        <w:t xml:space="preserve">  Of those, the evidence cited was not concrete or clearly teacher or lesson specific.  Instead, it was typically vague, generic, and/or merely a paraphrased or verbatim restatement of </w:t>
      </w:r>
      <w:r w:rsidR="008C792B">
        <w:t>D</w:t>
      </w:r>
      <w:r w:rsidR="002E3BD4">
        <w:t xml:space="preserve">ESE </w:t>
      </w:r>
      <w:r w:rsidR="00242A09">
        <w:t>performance indicators.</w:t>
      </w:r>
      <w:r w:rsidR="002E3BD4">
        <w:t xml:space="preserve"> </w:t>
      </w:r>
    </w:p>
    <w:p w14:paraId="3E790F62" w14:textId="26168607" w:rsidR="002E3BD4" w:rsidRDefault="003A3B57" w:rsidP="00EC5B5A">
      <w:pPr>
        <w:tabs>
          <w:tab w:val="left" w:pos="360"/>
          <w:tab w:val="left" w:pos="720"/>
          <w:tab w:val="left" w:pos="1080"/>
          <w:tab w:val="left" w:pos="1440"/>
          <w:tab w:val="left" w:pos="2160"/>
        </w:tabs>
        <w:ind w:left="1080" w:hanging="360"/>
      </w:pPr>
      <w:r>
        <w:t>2.</w:t>
      </w:r>
      <w:r>
        <w:tab/>
      </w:r>
      <w:r w:rsidR="002E3BD4">
        <w:t xml:space="preserve">Almost </w:t>
      </w:r>
      <w:r>
        <w:t xml:space="preserve">80 </w:t>
      </w:r>
      <w:r w:rsidR="002E3BD4">
        <w:t xml:space="preserve">percent of teacher evaluations contained little constructive feedback, clear pedagogical suggestions, or specific and actionable recommendations of any kind for improved classroom practice or enhanced lesson design.  </w:t>
      </w:r>
    </w:p>
    <w:p w14:paraId="2AD13CA6" w14:textId="2D2B7B31" w:rsidR="002B5D64" w:rsidRDefault="003A3B57" w:rsidP="00EC5B5A">
      <w:pPr>
        <w:tabs>
          <w:tab w:val="left" w:pos="360"/>
          <w:tab w:val="left" w:pos="720"/>
          <w:tab w:val="left" w:pos="1080"/>
          <w:tab w:val="left" w:pos="1440"/>
          <w:tab w:val="left" w:pos="2160"/>
        </w:tabs>
        <w:ind w:left="720" w:hanging="720"/>
      </w:pPr>
      <w:r>
        <w:rPr>
          <w:b/>
        </w:rPr>
        <w:tab/>
      </w:r>
      <w:r w:rsidR="00AB2C44" w:rsidRPr="00EC5B5A">
        <w:rPr>
          <w:b/>
        </w:rPr>
        <w:t>B.</w:t>
      </w:r>
      <w:r w:rsidR="00AB2C44">
        <w:rPr>
          <w:b/>
        </w:rPr>
        <w:tab/>
      </w:r>
      <w:r w:rsidR="002B5D64">
        <w:t>S</w:t>
      </w:r>
      <w:r w:rsidR="002E3BD4">
        <w:t xml:space="preserve">tate </w:t>
      </w:r>
      <w:r w:rsidR="002B5D64">
        <w:t xml:space="preserve">educator evaluation </w:t>
      </w:r>
      <w:r w:rsidR="002E3BD4">
        <w:t xml:space="preserve">regulations </w:t>
      </w:r>
      <w:r w:rsidR="002B5D64">
        <w:t xml:space="preserve">require that </w:t>
      </w:r>
      <w:r w:rsidR="002E3BD4">
        <w:t>the evaluation of principals mirror the same five</w:t>
      </w:r>
      <w:r w:rsidR="00253118">
        <w:t>-</w:t>
      </w:r>
      <w:r w:rsidR="002E3BD4">
        <w:t xml:space="preserve">step annual cycle that is the basis of the teacher evaluation </w:t>
      </w:r>
      <w:r w:rsidR="00FA5EF4">
        <w:t>system</w:t>
      </w:r>
      <w:r w:rsidR="002E3BD4">
        <w:t xml:space="preserve">.  </w:t>
      </w:r>
    </w:p>
    <w:p w14:paraId="454FF0AD" w14:textId="32B4CA03" w:rsidR="002E3BD4" w:rsidRPr="00112481" w:rsidRDefault="002B5D64" w:rsidP="00EC5B5A">
      <w:pPr>
        <w:tabs>
          <w:tab w:val="left" w:pos="360"/>
          <w:tab w:val="left" w:pos="720"/>
          <w:tab w:val="left" w:pos="1080"/>
          <w:tab w:val="left" w:pos="1440"/>
          <w:tab w:val="left" w:pos="2160"/>
        </w:tabs>
        <w:ind w:left="1080" w:hanging="360"/>
      </w:pPr>
      <w:r w:rsidRPr="002B5D64">
        <w:t>1.</w:t>
      </w:r>
      <w:r>
        <w:rPr>
          <w:b/>
        </w:rPr>
        <w:tab/>
      </w:r>
      <w:r w:rsidR="002E3BD4">
        <w:t xml:space="preserve">Reviewers noted significant </w:t>
      </w:r>
      <w:r w:rsidR="00FA5EF4">
        <w:t xml:space="preserve">challenges </w:t>
      </w:r>
      <w:r w:rsidR="002E3BD4">
        <w:t xml:space="preserve">in the district’s implementation of its principal evaluation </w:t>
      </w:r>
      <w:r w:rsidR="00FA5EF4">
        <w:t>system</w:t>
      </w:r>
      <w:r w:rsidR="002E3BD4">
        <w:t>.  For example, in the case of the district’s five new principals, no formal mid</w:t>
      </w:r>
      <w:r w:rsidR="00253118">
        <w:t>-</w:t>
      </w:r>
      <w:r w:rsidR="002E3BD4">
        <w:t xml:space="preserve">cycle goals review or formative assessments had been completed at the time of </w:t>
      </w:r>
      <w:r w:rsidR="00B65A5C">
        <w:t xml:space="preserve">this review </w:t>
      </w:r>
      <w:r w:rsidR="002E3BD4">
        <w:t xml:space="preserve">(late February 2019).  </w:t>
      </w:r>
      <w:r w:rsidR="00FA5EF4">
        <w:t>In addition</w:t>
      </w:r>
      <w:r w:rsidR="002E3BD4">
        <w:t xml:space="preserve">, for </w:t>
      </w:r>
      <w:r w:rsidR="00460CCE">
        <w:t xml:space="preserve">the </w:t>
      </w:r>
      <w:r w:rsidR="002E3BD4">
        <w:t>2017</w:t>
      </w:r>
      <w:r w:rsidR="00FA5EF4">
        <w:t>–</w:t>
      </w:r>
      <w:r w:rsidR="002E3BD4">
        <w:t>2018 and 2018</w:t>
      </w:r>
      <w:r w:rsidR="00FA5EF4">
        <w:t>–</w:t>
      </w:r>
      <w:r w:rsidR="002E3BD4">
        <w:t>2019</w:t>
      </w:r>
      <w:r w:rsidR="00460CCE">
        <w:t xml:space="preserve"> school years</w:t>
      </w:r>
      <w:r w:rsidR="002E3BD4">
        <w:t xml:space="preserve">, none of the nine other principals had received a formative assessment and only two had </w:t>
      </w:r>
      <w:r w:rsidR="00487C7B">
        <w:t>received</w:t>
      </w:r>
      <w:r w:rsidR="002E3BD4">
        <w:t xml:space="preserve"> a summative performance evaluation throughout that period.</w:t>
      </w:r>
    </w:p>
    <w:p w14:paraId="26D10107" w14:textId="7C158999" w:rsidR="002E3BD4" w:rsidRDefault="00FA5EF4" w:rsidP="00EC5B5A">
      <w:pPr>
        <w:tabs>
          <w:tab w:val="left" w:pos="360"/>
          <w:tab w:val="left" w:pos="720"/>
          <w:tab w:val="left" w:pos="1080"/>
          <w:tab w:val="left" w:pos="1440"/>
          <w:tab w:val="left" w:pos="1800"/>
          <w:tab w:val="left" w:pos="2160"/>
        </w:tabs>
        <w:ind w:left="720" w:hanging="360"/>
      </w:pPr>
      <w:r w:rsidRPr="00EC5B5A">
        <w:rPr>
          <w:b/>
        </w:rPr>
        <w:t>C.</w:t>
      </w:r>
      <w:r>
        <w:rPr>
          <w:b/>
        </w:rPr>
        <w:tab/>
      </w:r>
      <w:r w:rsidR="002E3BD4">
        <w:t xml:space="preserve">The district’s supervisory policies and practices do not appear adequate to properly inform and fully support a </w:t>
      </w:r>
      <w:r w:rsidR="00A05657">
        <w:t>high-</w:t>
      </w:r>
      <w:r w:rsidR="002E3BD4">
        <w:t xml:space="preserve">quality and truly effective educator evaluation </w:t>
      </w:r>
      <w:r>
        <w:t>system</w:t>
      </w:r>
      <w:r w:rsidR="002E3BD4">
        <w:t xml:space="preserve">. </w:t>
      </w:r>
    </w:p>
    <w:p w14:paraId="3B213DC3" w14:textId="36625B13" w:rsidR="002E3BD4" w:rsidRPr="00C900C6" w:rsidRDefault="002E3BD4" w:rsidP="003A3B57">
      <w:pPr>
        <w:pStyle w:val="ListParagraph"/>
        <w:numPr>
          <w:ilvl w:val="6"/>
          <w:numId w:val="8"/>
        </w:numPr>
        <w:tabs>
          <w:tab w:val="left" w:pos="360"/>
          <w:tab w:val="left" w:pos="720"/>
          <w:tab w:val="left" w:pos="1080"/>
          <w:tab w:val="left" w:pos="1440"/>
          <w:tab w:val="left" w:pos="1800"/>
        </w:tabs>
        <w:ind w:left="1080"/>
        <w:contextualSpacing w:val="0"/>
      </w:pPr>
      <w:r>
        <w:t xml:space="preserve">Although the district’s educator evaluation </w:t>
      </w:r>
      <w:r w:rsidR="00FA5EF4">
        <w:t xml:space="preserve">system </w:t>
      </w:r>
      <w:r>
        <w:t xml:space="preserve">is generally aligned with the </w:t>
      </w:r>
      <w:r w:rsidR="00B65A5C">
        <w:t xml:space="preserve">Massachusetts </w:t>
      </w:r>
      <w:r w:rsidR="00FA5EF4">
        <w:t xml:space="preserve">educator evaluation </w:t>
      </w:r>
      <w:r>
        <w:t>framework, reviewers noted some significant differences.  For example, while state regulations require that teachers in their first year of practice receive at least four unannounced classroom observations during the school year, the teacher</w:t>
      </w:r>
      <w:r w:rsidR="00FA5EF4">
        <w:t>s’</w:t>
      </w:r>
      <w:r>
        <w:t xml:space="preserve"> </w:t>
      </w:r>
      <w:r w:rsidR="00FA5EF4">
        <w:t xml:space="preserve">collective bargaining agreement (CBA) </w:t>
      </w:r>
      <w:r>
        <w:t xml:space="preserve">requires only two.  Further, for teachers in their second and third years of practice, the state framework requires that teachers receive at least three unannounced observations, while the </w:t>
      </w:r>
      <w:r w:rsidR="00FA5EF4">
        <w:t xml:space="preserve">teachers’ CBA </w:t>
      </w:r>
      <w:r>
        <w:t>stipulates just two.</w:t>
      </w:r>
      <w:r w:rsidRPr="00C900C6">
        <w:t xml:space="preserve"> </w:t>
      </w:r>
    </w:p>
    <w:p w14:paraId="054B41FA" w14:textId="2E6D0D12" w:rsidR="002E3BD4" w:rsidRPr="004A4EA7" w:rsidRDefault="002E3BD4" w:rsidP="002E3BD4">
      <w:pPr>
        <w:pStyle w:val="ListParagraph"/>
        <w:numPr>
          <w:ilvl w:val="7"/>
          <w:numId w:val="8"/>
        </w:numPr>
        <w:tabs>
          <w:tab w:val="left" w:pos="360"/>
          <w:tab w:val="left" w:pos="720"/>
          <w:tab w:val="left" w:pos="1080"/>
          <w:tab w:val="left" w:pos="1440"/>
          <w:tab w:val="left" w:pos="1800"/>
          <w:tab w:val="left" w:pos="2160"/>
        </w:tabs>
        <w:ind w:left="1440"/>
        <w:contextualSpacing w:val="0"/>
      </w:pPr>
      <w:r>
        <w:t xml:space="preserve">Although some </w:t>
      </w:r>
      <w:r w:rsidR="00242A09">
        <w:t xml:space="preserve">of the teachers from schools across the district </w:t>
      </w:r>
      <w:r>
        <w:t xml:space="preserve">spoke favorably about the frequency of unannounced observations and quality of feedback </w:t>
      </w:r>
      <w:r w:rsidR="00FA5EF4">
        <w:t xml:space="preserve">that </w:t>
      </w:r>
      <w:r>
        <w:t xml:space="preserve">they received, the majority of teachers described a perfunctory, ineffective, “check the box” evaluative system in which supervisors </w:t>
      </w:r>
      <w:r w:rsidR="00FA5EF4">
        <w:t xml:space="preserve">did </w:t>
      </w:r>
      <w:r>
        <w:t>not regularly visit classrooms and typically provide</w:t>
      </w:r>
      <w:r w:rsidR="00FA5EF4">
        <w:t>d</w:t>
      </w:r>
      <w:r>
        <w:t xml:space="preserve"> them with little feedback of value or substance.</w:t>
      </w:r>
    </w:p>
    <w:p w14:paraId="332EC905" w14:textId="289B38DE" w:rsidR="002E3BD4" w:rsidRDefault="002E3BD4" w:rsidP="002E3BD4">
      <w:pPr>
        <w:pStyle w:val="ListParagraph"/>
        <w:numPr>
          <w:ilvl w:val="6"/>
          <w:numId w:val="8"/>
        </w:numPr>
        <w:tabs>
          <w:tab w:val="left" w:pos="360"/>
          <w:tab w:val="left" w:pos="720"/>
          <w:tab w:val="left" w:pos="1080"/>
          <w:tab w:val="left" w:pos="1440"/>
          <w:tab w:val="left" w:pos="1800"/>
        </w:tabs>
        <w:ind w:left="1080"/>
        <w:contextualSpacing w:val="0"/>
      </w:pPr>
      <w:r>
        <w:t xml:space="preserve">Administrators acknowledged that because of the many demands that compete for their time and attention and the number of teachers assigned to evaluators, they found it difficult to meet even the minimum number of classroom observations specified in the </w:t>
      </w:r>
      <w:r w:rsidR="00FA5EF4">
        <w:t xml:space="preserve">CBA </w:t>
      </w:r>
      <w:r w:rsidR="00A91E10">
        <w:t xml:space="preserve">and </w:t>
      </w:r>
      <w:r>
        <w:t>to provide teachers with the ongoing, individualized instructional support required to improve instruction.</w:t>
      </w:r>
    </w:p>
    <w:p w14:paraId="24E29D4F" w14:textId="5B5BFF34" w:rsidR="002E3BD4" w:rsidRPr="00112481" w:rsidRDefault="00FA5EF4" w:rsidP="002E3BD4">
      <w:pPr>
        <w:pStyle w:val="ListParagraph"/>
        <w:numPr>
          <w:ilvl w:val="6"/>
          <w:numId w:val="8"/>
        </w:numPr>
        <w:tabs>
          <w:tab w:val="left" w:pos="360"/>
          <w:tab w:val="left" w:pos="720"/>
          <w:tab w:val="left" w:pos="1080"/>
          <w:tab w:val="left" w:pos="1440"/>
          <w:tab w:val="left" w:pos="1800"/>
        </w:tabs>
        <w:ind w:left="1080"/>
        <w:contextualSpacing w:val="0"/>
      </w:pPr>
      <w:r>
        <w:lastRenderedPageBreak/>
        <w:t>P</w:t>
      </w:r>
      <w:r w:rsidR="002E3BD4">
        <w:t xml:space="preserve">rincipals </w:t>
      </w:r>
      <w:r>
        <w:t xml:space="preserve">told the team </w:t>
      </w:r>
      <w:r w:rsidR="002E3BD4">
        <w:t xml:space="preserve">that formal, comprehensive training for all administrators focusing on </w:t>
      </w:r>
      <w:r w:rsidR="00692D8E">
        <w:t xml:space="preserve">such topics as </w:t>
      </w:r>
      <w:r w:rsidR="002E3BD4">
        <w:t>supervisory practices,</w:t>
      </w:r>
      <w:r w:rsidR="00664579">
        <w:t xml:space="preserve"> </w:t>
      </w:r>
      <w:r w:rsidR="002E3BD4">
        <w:t xml:space="preserve">evidence </w:t>
      </w:r>
      <w:proofErr w:type="gramStart"/>
      <w:r w:rsidR="002E3BD4">
        <w:t>gathering</w:t>
      </w:r>
      <w:proofErr w:type="gramEnd"/>
      <w:r w:rsidR="002E3BD4">
        <w:t xml:space="preserve"> and analysis, calibration, </w:t>
      </w:r>
      <w:r w:rsidR="00692D8E">
        <w:t xml:space="preserve">and </w:t>
      </w:r>
      <w:r w:rsidR="002E3BD4">
        <w:t>document writing ha</w:t>
      </w:r>
      <w:r w:rsidR="00692D8E">
        <w:t>ve</w:t>
      </w:r>
      <w:r w:rsidR="002E3BD4">
        <w:t xml:space="preserve"> not been regularly or systematically provided to all district evaluators</w:t>
      </w:r>
      <w:r w:rsidR="002E3BD4" w:rsidRPr="00412451">
        <w:t>.</w:t>
      </w:r>
    </w:p>
    <w:p w14:paraId="7C03D8F6" w14:textId="735A5630" w:rsidR="00A25975" w:rsidRPr="00A25975" w:rsidRDefault="001F0B2D" w:rsidP="007D7332">
      <w:pPr>
        <w:tabs>
          <w:tab w:val="left" w:pos="360"/>
          <w:tab w:val="left" w:pos="720"/>
          <w:tab w:val="left" w:pos="1080"/>
          <w:tab w:val="left" w:pos="1440"/>
          <w:tab w:val="left" w:pos="1800"/>
          <w:tab w:val="left" w:pos="2160"/>
          <w:tab w:val="left" w:pos="2520"/>
        </w:tabs>
        <w:ind w:left="720" w:hanging="360"/>
        <w:rPr>
          <w:b/>
        </w:rPr>
      </w:pPr>
      <w:r>
        <w:rPr>
          <w:b/>
        </w:rPr>
        <w:t>D</w:t>
      </w:r>
      <w:r w:rsidR="000E51D5">
        <w:rPr>
          <w:b/>
        </w:rPr>
        <w:t>.</w:t>
      </w:r>
      <w:r w:rsidR="007D7332">
        <w:rPr>
          <w:b/>
        </w:rPr>
        <w:tab/>
      </w:r>
      <w:r w:rsidR="00FD0453" w:rsidRPr="00EC5B5A">
        <w:t>As of</w:t>
      </w:r>
      <w:r w:rsidR="00A25975" w:rsidRPr="00FD0453">
        <w:t xml:space="preserve"> </w:t>
      </w:r>
      <w:r w:rsidR="00A25975" w:rsidRPr="00A25975">
        <w:t>the</w:t>
      </w:r>
      <w:r w:rsidR="00A25975">
        <w:t xml:space="preserve"> 2015</w:t>
      </w:r>
      <w:r w:rsidR="00FD0453">
        <w:t>–</w:t>
      </w:r>
      <w:r w:rsidR="00A25975">
        <w:t xml:space="preserve">2016 school year, state </w:t>
      </w:r>
      <w:r w:rsidR="00FD0453">
        <w:t xml:space="preserve">educator evaluation </w:t>
      </w:r>
      <w:r w:rsidR="00A25975">
        <w:t xml:space="preserve">regulations </w:t>
      </w:r>
      <w:r w:rsidR="00FD0453">
        <w:t xml:space="preserve">(603 CMR 35.07) </w:t>
      </w:r>
      <w:r w:rsidR="00A25975">
        <w:t xml:space="preserve">call for districts to collect and </w:t>
      </w:r>
      <w:r w:rsidR="00FD0453">
        <w:t xml:space="preserve">use </w:t>
      </w:r>
      <w:r w:rsidR="00A25975">
        <w:t xml:space="preserve">student feedback as evidence in </w:t>
      </w:r>
      <w:r w:rsidR="00FD0453">
        <w:t>the</w:t>
      </w:r>
      <w:r w:rsidR="00A25975">
        <w:t xml:space="preserve"> teacher </w:t>
      </w:r>
      <w:r w:rsidR="00FD0453">
        <w:t>evaluation process</w:t>
      </w:r>
      <w:r w:rsidR="00A25975">
        <w:t xml:space="preserve"> </w:t>
      </w:r>
      <w:r w:rsidR="00FD0453">
        <w:t>and</w:t>
      </w:r>
      <w:r w:rsidR="00A25975">
        <w:t xml:space="preserve"> staff feedback as </w:t>
      </w:r>
      <w:r w:rsidR="00FD0453">
        <w:t>evidence</w:t>
      </w:r>
      <w:r w:rsidR="00A25975">
        <w:t xml:space="preserve"> </w:t>
      </w:r>
      <w:r w:rsidR="00FD0453">
        <w:t>in the administrator evaluation process</w:t>
      </w:r>
      <w:r w:rsidR="00A25975">
        <w:t xml:space="preserve">.  This feedback may also be used to inform an educator’s self-assessment, </w:t>
      </w:r>
      <w:proofErr w:type="gramStart"/>
      <w:r w:rsidR="00A25975">
        <w:t>goal</w:t>
      </w:r>
      <w:r w:rsidR="00A91E10">
        <w:t>-</w:t>
      </w:r>
      <w:r w:rsidR="00A25975">
        <w:t>setting</w:t>
      </w:r>
      <w:proofErr w:type="gramEnd"/>
      <w:r w:rsidR="00A25975">
        <w:t>, or as evidence to demonstrate growth over time.</w:t>
      </w:r>
    </w:p>
    <w:p w14:paraId="43F1C6CD" w14:textId="6BA969A5" w:rsidR="00A25975" w:rsidRDefault="007D7332" w:rsidP="00EC5B5A">
      <w:pPr>
        <w:tabs>
          <w:tab w:val="left" w:pos="360"/>
          <w:tab w:val="left" w:pos="720"/>
          <w:tab w:val="left" w:pos="1080"/>
          <w:tab w:val="left" w:pos="1440"/>
          <w:tab w:val="left" w:pos="1800"/>
          <w:tab w:val="left" w:pos="2160"/>
        </w:tabs>
        <w:ind w:left="1080" w:hanging="360"/>
      </w:pPr>
      <w:r>
        <w:t>1.</w:t>
      </w:r>
      <w:r>
        <w:tab/>
      </w:r>
      <w:r w:rsidR="00FD0453">
        <w:t>S</w:t>
      </w:r>
      <w:r w:rsidR="002E3BD4">
        <w:t xml:space="preserve">chool </w:t>
      </w:r>
      <w:r w:rsidR="00FD0453">
        <w:t xml:space="preserve">leaders </w:t>
      </w:r>
      <w:r w:rsidR="001F081B">
        <w:t xml:space="preserve">told </w:t>
      </w:r>
      <w:r w:rsidR="002E3BD4">
        <w:t xml:space="preserve">reviewers that the district has not initiated any action or developed any plan to </w:t>
      </w:r>
      <w:r w:rsidR="001F081B">
        <w:t>use</w:t>
      </w:r>
      <w:r w:rsidR="002E3BD4">
        <w:t xml:space="preserve"> feedback </w:t>
      </w:r>
      <w:r w:rsidR="001F081B">
        <w:t>in the educator evaluation process</w:t>
      </w:r>
      <w:r w:rsidR="002E3BD4" w:rsidRPr="00C30A3B">
        <w:t xml:space="preserve">. </w:t>
      </w:r>
    </w:p>
    <w:p w14:paraId="2F05CCF1" w14:textId="330F8214" w:rsidR="009742B7" w:rsidRPr="006C0D00" w:rsidRDefault="007D7332" w:rsidP="00EC5B5A">
      <w:pPr>
        <w:tabs>
          <w:tab w:val="left" w:pos="360"/>
          <w:tab w:val="left" w:pos="720"/>
          <w:tab w:val="left" w:pos="1080"/>
          <w:tab w:val="left" w:pos="1440"/>
          <w:tab w:val="left" w:pos="1800"/>
          <w:tab w:val="left" w:pos="2160"/>
        </w:tabs>
        <w:ind w:left="720" w:hanging="1080"/>
        <w:rPr>
          <w:b/>
        </w:rPr>
      </w:pPr>
      <w:r>
        <w:rPr>
          <w:b/>
        </w:rPr>
        <w:tab/>
      </w:r>
      <w:r w:rsidR="001F0B2D" w:rsidRPr="001F0B2D">
        <w:rPr>
          <w:b/>
        </w:rPr>
        <w:t>E.</w:t>
      </w:r>
      <w:r w:rsidR="001F0B2D">
        <w:tab/>
      </w:r>
      <w:r w:rsidR="000E51D5">
        <w:t xml:space="preserve">The district has not formalized collection and use of multiple measures of student learning as part of its educator evaluation system. </w:t>
      </w:r>
    </w:p>
    <w:p w14:paraId="56AB8DB7" w14:textId="190739C6" w:rsidR="002E3BD4" w:rsidRDefault="009742B7" w:rsidP="007D7332">
      <w:pPr>
        <w:pStyle w:val="ListParagraph"/>
        <w:tabs>
          <w:tab w:val="left" w:pos="360"/>
          <w:tab w:val="left" w:pos="720"/>
          <w:tab w:val="left" w:pos="1080"/>
          <w:tab w:val="left" w:pos="1440"/>
          <w:tab w:val="left" w:pos="1800"/>
          <w:tab w:val="left" w:pos="2160"/>
        </w:tabs>
        <w:ind w:left="1080" w:hanging="360"/>
        <w:contextualSpacing w:val="0"/>
        <w:rPr>
          <w:b/>
        </w:rPr>
      </w:pPr>
      <w:r>
        <w:t>1.</w:t>
      </w:r>
      <w:r>
        <w:tab/>
      </w:r>
      <w:r w:rsidR="00A704AB">
        <w:t>S</w:t>
      </w:r>
      <w:r w:rsidR="00151C1B">
        <w:t xml:space="preserve">tudent learning is embedded as an indicator within one of the Massachusetts Educator Evaluation Framework’s four standards, and evaluators are required to </w:t>
      </w:r>
      <w:proofErr w:type="gramStart"/>
      <w:r w:rsidR="00151C1B">
        <w:t>take into account</w:t>
      </w:r>
      <w:proofErr w:type="gramEnd"/>
      <w:r w:rsidR="002E3BD4" w:rsidRPr="00A25975">
        <w:t xml:space="preserve"> </w:t>
      </w:r>
      <w:r w:rsidR="00151C1B">
        <w:t xml:space="preserve">evidence of impact </w:t>
      </w:r>
      <w:r w:rsidR="002E3BD4" w:rsidRPr="00A25975">
        <w:t xml:space="preserve">from multiple measures of student learning when </w:t>
      </w:r>
      <w:r w:rsidR="00151C1B">
        <w:t>determining performance ratings</w:t>
      </w:r>
      <w:r w:rsidR="002E3BD4" w:rsidRPr="00A25975">
        <w:t>.</w:t>
      </w:r>
      <w:r w:rsidR="002E3BD4" w:rsidRPr="00A25975">
        <w:rPr>
          <w:b/>
        </w:rPr>
        <w:t xml:space="preserve"> </w:t>
      </w:r>
    </w:p>
    <w:p w14:paraId="0E68920E" w14:textId="545D8AD9" w:rsidR="002E3BD4" w:rsidRPr="00C900C6" w:rsidRDefault="007D7332" w:rsidP="00EC5B5A">
      <w:pPr>
        <w:tabs>
          <w:tab w:val="left" w:pos="360"/>
          <w:tab w:val="left" w:pos="720"/>
          <w:tab w:val="left" w:pos="1080"/>
          <w:tab w:val="left" w:pos="1440"/>
          <w:tab w:val="left" w:pos="1800"/>
        </w:tabs>
        <w:ind w:left="1080" w:hanging="720"/>
      </w:pPr>
      <w:r>
        <w:tab/>
      </w:r>
      <w:r w:rsidR="009864F0">
        <w:t>2.</w:t>
      </w:r>
      <w:r w:rsidR="009864F0">
        <w:tab/>
      </w:r>
      <w:r w:rsidR="00604B1B">
        <w:t>D</w:t>
      </w:r>
      <w:r w:rsidR="000B33A6">
        <w:t xml:space="preserve">istrict and school leaders stated </w:t>
      </w:r>
      <w:r w:rsidR="002E3BD4">
        <w:t xml:space="preserve">they were </w:t>
      </w:r>
      <w:r w:rsidR="00604B1B">
        <w:t xml:space="preserve">not </w:t>
      </w:r>
      <w:r w:rsidR="002E3BD4">
        <w:t xml:space="preserve">aware of any district plans to </w:t>
      </w:r>
      <w:r w:rsidR="000B33A6">
        <w:t>use</w:t>
      </w:r>
      <w:r w:rsidR="002E3BD4">
        <w:t xml:space="preserve"> </w:t>
      </w:r>
      <w:r w:rsidR="00517495">
        <w:t>multiple measures of</w:t>
      </w:r>
      <w:r w:rsidR="000B33A6">
        <w:t xml:space="preserve"> </w:t>
      </w:r>
      <w:r w:rsidR="00253118">
        <w:t>s</w:t>
      </w:r>
      <w:r w:rsidR="002E3BD4">
        <w:t xml:space="preserve">tudent </w:t>
      </w:r>
      <w:r w:rsidR="00253118">
        <w:t>l</w:t>
      </w:r>
      <w:r w:rsidR="002E3BD4">
        <w:t xml:space="preserve">earning </w:t>
      </w:r>
      <w:r w:rsidR="00517495">
        <w:t>as</w:t>
      </w:r>
      <w:r w:rsidR="002E3BD4">
        <w:t xml:space="preserve"> </w:t>
      </w:r>
      <w:r w:rsidR="00517495">
        <w:t xml:space="preserve">part of its </w:t>
      </w:r>
      <w:r w:rsidR="002E3BD4">
        <w:t xml:space="preserve">educator evaluation </w:t>
      </w:r>
      <w:r w:rsidR="00517495">
        <w:t>system</w:t>
      </w:r>
      <w:r w:rsidR="002E3BD4">
        <w:t>.</w:t>
      </w:r>
    </w:p>
    <w:p w14:paraId="14D176ED" w14:textId="75D467E6" w:rsidR="002E3BD4" w:rsidRPr="003C277C" w:rsidRDefault="002E3BD4" w:rsidP="002E3BD4">
      <w:pPr>
        <w:tabs>
          <w:tab w:val="left" w:pos="360"/>
          <w:tab w:val="left" w:pos="720"/>
          <w:tab w:val="left" w:pos="1080"/>
          <w:tab w:val="left" w:pos="1440"/>
          <w:tab w:val="left" w:pos="1800"/>
          <w:tab w:val="left" w:pos="2160"/>
        </w:tabs>
      </w:pPr>
      <w:r w:rsidRPr="00F731AA">
        <w:rPr>
          <w:b/>
        </w:rPr>
        <w:t>Impact</w:t>
      </w:r>
      <w:r>
        <w:t xml:space="preserve">: </w:t>
      </w:r>
      <w:r w:rsidR="007B7B6E">
        <w:t>Without</w:t>
      </w:r>
      <w:r>
        <w:t xml:space="preserve"> </w:t>
      </w:r>
      <w:r w:rsidR="007B7B6E">
        <w:t>high-quality (</w:t>
      </w:r>
      <w:r w:rsidR="00517495">
        <w:t>specific, timely, and actionable</w:t>
      </w:r>
      <w:r w:rsidR="007B7B6E">
        <w:t>) feedback</w:t>
      </w:r>
      <w:r>
        <w:t xml:space="preserve">, the district cannot </w:t>
      </w:r>
      <w:r w:rsidR="00517495">
        <w:t>effectively improve educators’ ability to meet the needs of all learners and advance all students’ performance, opportunities, and outcomes</w:t>
      </w:r>
      <w:r>
        <w:t xml:space="preserve">.    </w:t>
      </w:r>
    </w:p>
    <w:p w14:paraId="42CC1AE5" w14:textId="454023B1" w:rsidR="002E3BD4" w:rsidRPr="00A25975" w:rsidRDefault="000E0473" w:rsidP="00A62958">
      <w:pPr>
        <w:tabs>
          <w:tab w:val="left" w:pos="360"/>
          <w:tab w:val="left" w:pos="1080"/>
          <w:tab w:val="left" w:pos="1440"/>
          <w:tab w:val="left" w:pos="1800"/>
          <w:tab w:val="left" w:pos="2160"/>
        </w:tabs>
        <w:ind w:left="360" w:hanging="360"/>
        <w:rPr>
          <w:b/>
        </w:rPr>
      </w:pPr>
      <w:r>
        <w:rPr>
          <w:b/>
        </w:rPr>
        <w:t>3</w:t>
      </w:r>
      <w:r w:rsidR="00A62958">
        <w:rPr>
          <w:b/>
        </w:rPr>
        <w:t xml:space="preserve">.  </w:t>
      </w:r>
      <w:r w:rsidR="004E7B5A">
        <w:rPr>
          <w:b/>
        </w:rPr>
        <w:tab/>
      </w:r>
      <w:r w:rsidR="00A62958">
        <w:rPr>
          <w:b/>
        </w:rPr>
        <w:t>T</w:t>
      </w:r>
      <w:r w:rsidR="002E3BD4" w:rsidRPr="00A25975">
        <w:rPr>
          <w:b/>
        </w:rPr>
        <w:t xml:space="preserve">he district’s </w:t>
      </w:r>
      <w:r w:rsidR="00015F25">
        <w:rPr>
          <w:b/>
        </w:rPr>
        <w:t>professional development (</w:t>
      </w:r>
      <w:r w:rsidR="002E3BD4" w:rsidRPr="00A25975">
        <w:rPr>
          <w:b/>
        </w:rPr>
        <w:t>PD</w:t>
      </w:r>
      <w:r w:rsidR="00941031">
        <w:rPr>
          <w:b/>
        </w:rPr>
        <w:t>)</w:t>
      </w:r>
      <w:r w:rsidR="002E3BD4" w:rsidRPr="00A25975">
        <w:rPr>
          <w:b/>
        </w:rPr>
        <w:t xml:space="preserve"> program is </w:t>
      </w:r>
      <w:r w:rsidR="00015F25">
        <w:rPr>
          <w:b/>
        </w:rPr>
        <w:t>missing</w:t>
      </w:r>
      <w:r w:rsidR="002E3BD4" w:rsidRPr="00A25975">
        <w:rPr>
          <w:b/>
        </w:rPr>
        <w:t xml:space="preserve"> a designated and coordinated leadership structure, measurable goals and objectives, and formal teacher collaboration in PD planning and leadership. </w:t>
      </w:r>
    </w:p>
    <w:p w14:paraId="2B3090E5" w14:textId="3D7AC6F1" w:rsidR="002E3BD4" w:rsidRDefault="002E3BD4" w:rsidP="00A50D17">
      <w:pPr>
        <w:pStyle w:val="ListParagraph"/>
        <w:numPr>
          <w:ilvl w:val="0"/>
          <w:numId w:val="31"/>
        </w:numPr>
        <w:tabs>
          <w:tab w:val="left" w:pos="360"/>
          <w:tab w:val="left" w:pos="720"/>
        </w:tabs>
        <w:ind w:left="720"/>
        <w:contextualSpacing w:val="0"/>
      </w:pPr>
      <w:r>
        <w:t xml:space="preserve">District PD structures are not properly aligned with several key elements of the </w:t>
      </w:r>
      <w:r w:rsidR="00A91E10">
        <w:t xml:space="preserve">Massachusetts </w:t>
      </w:r>
      <w:r>
        <w:t xml:space="preserve">Standards for Professional Development.  Of </w:t>
      </w:r>
      <w:proofErr w:type="gramStart"/>
      <w:r>
        <w:t>particular note</w:t>
      </w:r>
      <w:proofErr w:type="gramEnd"/>
      <w:r>
        <w:t xml:space="preserve"> are those guiding principles that require coordinated and collaborative leadership and stress the need for a district’s PD plan to be developed and monitored according to the SMART goal format</w:t>
      </w:r>
      <w:r w:rsidRPr="00177DC9">
        <w:t>.</w:t>
      </w:r>
      <w:r w:rsidR="00BD3640">
        <w:rPr>
          <w:rStyle w:val="FootnoteReference"/>
        </w:rPr>
        <w:footnoteReference w:id="12"/>
      </w:r>
    </w:p>
    <w:p w14:paraId="01336288" w14:textId="48A61112" w:rsidR="002E3BD4" w:rsidRPr="007B65E6" w:rsidRDefault="00941031" w:rsidP="00A50D17">
      <w:pPr>
        <w:pStyle w:val="ListParagraph"/>
        <w:numPr>
          <w:ilvl w:val="0"/>
          <w:numId w:val="32"/>
        </w:numPr>
        <w:tabs>
          <w:tab w:val="left" w:pos="360"/>
          <w:tab w:val="left" w:pos="720"/>
          <w:tab w:val="left" w:pos="1080"/>
          <w:tab w:val="left" w:pos="1440"/>
          <w:tab w:val="left" w:pos="1800"/>
          <w:tab w:val="left" w:pos="2160"/>
        </w:tabs>
        <w:contextualSpacing w:val="0"/>
      </w:pPr>
      <w:r>
        <w:t xml:space="preserve">District and school leaders said </w:t>
      </w:r>
      <w:r w:rsidR="002E3BD4">
        <w:t>that the</w:t>
      </w:r>
      <w:r>
        <w:t xml:space="preserve"> district did</w:t>
      </w:r>
      <w:r w:rsidR="002E3BD4">
        <w:t xml:space="preserve"> no</w:t>
      </w:r>
      <w:r>
        <w:t xml:space="preserve">t have a </w:t>
      </w:r>
      <w:r w:rsidR="002E3BD4">
        <w:t xml:space="preserve">formal PD committee or designated leadership group at the district or school levels.  Instead, the district’s PD Plan is jointly developed by the assistant superintendent for elementary education and the assistant superintendent for secondary education who, through the </w:t>
      </w:r>
      <w:r w:rsidR="00692D8E">
        <w:t xml:space="preserve">office </w:t>
      </w:r>
      <w:r w:rsidR="002E3BD4">
        <w:t xml:space="preserve">of </w:t>
      </w:r>
      <w:r w:rsidR="00692D8E">
        <w:t xml:space="preserve">teaching </w:t>
      </w:r>
      <w:r w:rsidR="00692D8E">
        <w:lastRenderedPageBreak/>
        <w:t xml:space="preserve">learning, </w:t>
      </w:r>
      <w:r w:rsidR="002E3BD4">
        <w:t xml:space="preserve">oversee and coordinate districtwide PD programs and services. </w:t>
      </w:r>
      <w:r w:rsidR="00692D8E">
        <w:t>P</w:t>
      </w:r>
      <w:r w:rsidR="002E3BD4">
        <w:t xml:space="preserve">rincipals are responsible for planning and implementing all PD activities in their schools during </w:t>
      </w:r>
      <w:r>
        <w:t>early-</w:t>
      </w:r>
      <w:r w:rsidR="002E3BD4">
        <w:t>release sessions.</w:t>
      </w:r>
      <w:r w:rsidR="00A16535" w:rsidRPr="007B65E6">
        <w:t xml:space="preserve"> </w:t>
      </w:r>
    </w:p>
    <w:p w14:paraId="2B57BDDF" w14:textId="0CF0BD9E" w:rsidR="002E3BD4" w:rsidRDefault="002E3BD4" w:rsidP="00A50D17">
      <w:pPr>
        <w:pStyle w:val="ListParagraph"/>
        <w:numPr>
          <w:ilvl w:val="0"/>
          <w:numId w:val="32"/>
        </w:numPr>
        <w:tabs>
          <w:tab w:val="left" w:pos="360"/>
          <w:tab w:val="left" w:pos="720"/>
          <w:tab w:val="left" w:pos="1080"/>
          <w:tab w:val="left" w:pos="1440"/>
          <w:tab w:val="left" w:pos="1800"/>
          <w:tab w:val="left" w:pos="2160"/>
        </w:tabs>
        <w:contextualSpacing w:val="0"/>
      </w:pPr>
      <w:r>
        <w:t>Both teachers</w:t>
      </w:r>
      <w:r w:rsidR="00A16535">
        <w:t xml:space="preserve"> </w:t>
      </w:r>
      <w:r>
        <w:t>and district leaders</w:t>
      </w:r>
      <w:r w:rsidR="00A16535">
        <w:t xml:space="preserve"> </w:t>
      </w:r>
      <w:r w:rsidR="00095236">
        <w:t xml:space="preserve">said </w:t>
      </w:r>
      <w:r>
        <w:t xml:space="preserve">that teachers </w:t>
      </w:r>
      <w:r w:rsidR="00095236">
        <w:t xml:space="preserve">were </w:t>
      </w:r>
      <w:r>
        <w:t xml:space="preserve">not involved in any formal way in PD leadership or collaborative planning at the district or </w:t>
      </w:r>
      <w:r w:rsidR="00692D8E">
        <w:t xml:space="preserve">school </w:t>
      </w:r>
      <w:r>
        <w:t xml:space="preserve">levels.  In focus groups, many teachers expressed the </w:t>
      </w:r>
      <w:r w:rsidR="00692D8E">
        <w:t xml:space="preserve">view </w:t>
      </w:r>
      <w:r>
        <w:t>that they were essentially excluded from having a meaningful role in developing the programs and services that were supposed to support them and promote their professional growth.</w:t>
      </w:r>
    </w:p>
    <w:p w14:paraId="601BCBE8" w14:textId="5C7F51B3" w:rsidR="002E3BD4" w:rsidRDefault="002E3BD4" w:rsidP="00A50D17">
      <w:pPr>
        <w:pStyle w:val="ListParagraph"/>
        <w:numPr>
          <w:ilvl w:val="1"/>
          <w:numId w:val="32"/>
        </w:numPr>
        <w:tabs>
          <w:tab w:val="left" w:pos="360"/>
          <w:tab w:val="left" w:pos="720"/>
          <w:tab w:val="left" w:pos="1080"/>
          <w:tab w:val="left" w:pos="1440"/>
          <w:tab w:val="left" w:pos="1800"/>
          <w:tab w:val="left" w:pos="2160"/>
        </w:tabs>
        <w:ind w:left="1440"/>
      </w:pPr>
      <w:r>
        <w:t xml:space="preserve">By </w:t>
      </w:r>
      <w:r w:rsidR="00095236">
        <w:t xml:space="preserve">the </w:t>
      </w:r>
      <w:r>
        <w:t>teacher</w:t>
      </w:r>
      <w:r w:rsidR="00095236">
        <w:t>s’</w:t>
      </w:r>
      <w:r>
        <w:t xml:space="preserve"> </w:t>
      </w:r>
      <w:r w:rsidR="00095236">
        <w:t>collective bargaining agreement</w:t>
      </w:r>
      <w:r>
        <w:t>, one of the district’s four full PD days is assigned to the Framingham Teachers</w:t>
      </w:r>
      <w:r w:rsidR="00095236">
        <w:t>’</w:t>
      </w:r>
      <w:r>
        <w:t xml:space="preserve"> Association, which assumes responsib</w:t>
      </w:r>
      <w:r w:rsidR="004504D7">
        <w:t>i</w:t>
      </w:r>
      <w:r>
        <w:t xml:space="preserve">lity for planning PD activities and programs for that specific day.  Teachers spoke favorably of the </w:t>
      </w:r>
      <w:r w:rsidR="00EF0D67">
        <w:t>association</w:t>
      </w:r>
      <w:r w:rsidR="00385F16">
        <w:t>-</w:t>
      </w:r>
      <w:r w:rsidR="00EF0D67">
        <w:t>designed</w:t>
      </w:r>
      <w:r>
        <w:t xml:space="preserve"> program</w:t>
      </w:r>
      <w:r w:rsidR="004504D7">
        <w:t>,</w:t>
      </w:r>
      <w:r>
        <w:t xml:space="preserve"> but it was not clear to the review team that it was directly aligned with the district’s strategic priorities or consistent with the goals of the district PD plan.</w:t>
      </w:r>
    </w:p>
    <w:p w14:paraId="256A7BF5" w14:textId="77777777" w:rsidR="002E3BD4" w:rsidRPr="00A40C26" w:rsidRDefault="002E3BD4" w:rsidP="002E3BD4">
      <w:pPr>
        <w:pStyle w:val="ListParagraph"/>
        <w:tabs>
          <w:tab w:val="left" w:pos="360"/>
          <w:tab w:val="left" w:pos="720"/>
          <w:tab w:val="left" w:pos="1080"/>
          <w:tab w:val="left" w:pos="1440"/>
          <w:tab w:val="left" w:pos="1800"/>
          <w:tab w:val="left" w:pos="2160"/>
        </w:tabs>
        <w:ind w:left="1800"/>
      </w:pPr>
    </w:p>
    <w:p w14:paraId="01221AC2" w14:textId="57686C6D" w:rsidR="002E3BD4" w:rsidRDefault="002E3BD4" w:rsidP="00A50D17">
      <w:pPr>
        <w:pStyle w:val="ListParagraph"/>
        <w:numPr>
          <w:ilvl w:val="0"/>
          <w:numId w:val="32"/>
        </w:numPr>
        <w:tabs>
          <w:tab w:val="left" w:pos="360"/>
          <w:tab w:val="left" w:pos="720"/>
          <w:tab w:val="left" w:pos="1080"/>
          <w:tab w:val="left" w:pos="1440"/>
          <w:tab w:val="left" w:pos="1800"/>
          <w:tab w:val="left" w:pos="2160"/>
        </w:tabs>
        <w:contextualSpacing w:val="0"/>
      </w:pPr>
      <w:r>
        <w:t xml:space="preserve">Although the district’s PD plan is directly aligned with and supportive of the goals and objectives articulated in the </w:t>
      </w:r>
      <w:r w:rsidR="00EF0D67">
        <w:t>s</w:t>
      </w:r>
      <w:r>
        <w:t xml:space="preserve">trategic </w:t>
      </w:r>
      <w:r w:rsidR="00EF0D67">
        <w:t>plan</w:t>
      </w:r>
      <w:r>
        <w:t>, its goals are not measurable or constructed in SMART goal format, as recommended by the state’s Standards for Professional Development.</w:t>
      </w:r>
    </w:p>
    <w:p w14:paraId="14693329" w14:textId="2211C0E4" w:rsidR="002E3BD4" w:rsidRPr="008317DC" w:rsidRDefault="00941031" w:rsidP="00A50D17">
      <w:pPr>
        <w:pStyle w:val="ListParagraph"/>
        <w:numPr>
          <w:ilvl w:val="0"/>
          <w:numId w:val="32"/>
        </w:numPr>
        <w:tabs>
          <w:tab w:val="left" w:pos="360"/>
          <w:tab w:val="left" w:pos="720"/>
          <w:tab w:val="left" w:pos="1080"/>
          <w:tab w:val="left" w:pos="1440"/>
          <w:tab w:val="left" w:pos="1800"/>
          <w:tab w:val="left" w:pos="2160"/>
        </w:tabs>
        <w:contextualSpacing w:val="0"/>
      </w:pPr>
      <w:r>
        <w:t xml:space="preserve">District and school leaders </w:t>
      </w:r>
      <w:r w:rsidR="00095236">
        <w:t xml:space="preserve">stated </w:t>
      </w:r>
      <w:r w:rsidR="002E3BD4">
        <w:t>that the district</w:t>
      </w:r>
      <w:r w:rsidR="00095236">
        <w:t>’s</w:t>
      </w:r>
      <w:r w:rsidR="002E3BD4">
        <w:t xml:space="preserve"> PD plan </w:t>
      </w:r>
      <w:r w:rsidR="00095236">
        <w:t xml:space="preserve">served </w:t>
      </w:r>
      <w:r w:rsidR="002E3BD4">
        <w:t xml:space="preserve">as a blueprint for all PD programs and services and that all </w:t>
      </w:r>
      <w:r w:rsidR="00EF0D67">
        <w:t>school</w:t>
      </w:r>
      <w:r w:rsidR="004E7B5A">
        <w:t>-</w:t>
      </w:r>
      <w:r w:rsidR="002E3BD4">
        <w:t xml:space="preserve">level PD activities must be aligned with the district plan and approved by the </w:t>
      </w:r>
      <w:r w:rsidR="00EF0D67">
        <w:t>office for teaching and learning</w:t>
      </w:r>
      <w:r w:rsidR="002E3BD4">
        <w:t xml:space="preserve">.  They </w:t>
      </w:r>
      <w:r w:rsidR="00BA62E9">
        <w:t>reported,</w:t>
      </w:r>
      <w:r w:rsidR="002E3BD4">
        <w:t xml:space="preserve"> however, that coordination among the individual schools was not well established and that PD planning, practices, and leadership structures varied significantly from school to school.</w:t>
      </w:r>
    </w:p>
    <w:p w14:paraId="22DC6598" w14:textId="25E9BC3A" w:rsidR="002E3BD4" w:rsidRPr="00112481" w:rsidRDefault="002E3BD4" w:rsidP="00A50D17">
      <w:pPr>
        <w:pStyle w:val="ListParagraph"/>
        <w:numPr>
          <w:ilvl w:val="7"/>
          <w:numId w:val="33"/>
        </w:numPr>
        <w:tabs>
          <w:tab w:val="left" w:pos="360"/>
          <w:tab w:val="left" w:pos="720"/>
          <w:tab w:val="left" w:pos="1080"/>
          <w:tab w:val="left" w:pos="1440"/>
          <w:tab w:val="left" w:pos="1800"/>
          <w:tab w:val="left" w:pos="2160"/>
        </w:tabs>
        <w:ind w:left="1440"/>
        <w:contextualSpacing w:val="0"/>
      </w:pPr>
      <w:r>
        <w:t xml:space="preserve">The district now </w:t>
      </w:r>
      <w:r w:rsidR="00BA62E9">
        <w:t xml:space="preserve">administers </w:t>
      </w:r>
      <w:r w:rsidR="00930008">
        <w:t>an</w:t>
      </w:r>
      <w:r>
        <w:t xml:space="preserve"> annual PD interest survey</w:t>
      </w:r>
      <w:r w:rsidR="00930008">
        <w:t xml:space="preserve"> to staff and</w:t>
      </w:r>
      <w:r>
        <w:t xml:space="preserve"> </w:t>
      </w:r>
      <w:r w:rsidR="00930008">
        <w:t xml:space="preserve">conducts exit </w:t>
      </w:r>
      <w:r>
        <w:t xml:space="preserve">assessments </w:t>
      </w:r>
      <w:r w:rsidR="00930008">
        <w:t xml:space="preserve">following </w:t>
      </w:r>
      <w:r>
        <w:t xml:space="preserve">all districtwide workshops and programs to determine </w:t>
      </w:r>
      <w:r w:rsidR="00930008">
        <w:t xml:space="preserve">their </w:t>
      </w:r>
      <w:r>
        <w:t xml:space="preserve">effectiveness. Principals </w:t>
      </w:r>
      <w:r w:rsidR="00BA62E9">
        <w:t>reported</w:t>
      </w:r>
      <w:r>
        <w:t xml:space="preserve"> that these important teacher input practices </w:t>
      </w:r>
      <w:r w:rsidR="00095236">
        <w:t xml:space="preserve">were </w:t>
      </w:r>
      <w:r>
        <w:t>not consistently employed at the</w:t>
      </w:r>
      <w:r w:rsidR="00941031">
        <w:t xml:space="preserve"> </w:t>
      </w:r>
      <w:r w:rsidR="00BA62E9">
        <w:t>school</w:t>
      </w:r>
      <w:r>
        <w:t xml:space="preserve"> level.</w:t>
      </w:r>
    </w:p>
    <w:p w14:paraId="2CB3228A" w14:textId="3B066EE1" w:rsidR="002E3BD4" w:rsidRDefault="002E3BD4" w:rsidP="002E3BD4">
      <w:pPr>
        <w:tabs>
          <w:tab w:val="left" w:pos="360"/>
          <w:tab w:val="left" w:pos="720"/>
          <w:tab w:val="left" w:pos="1080"/>
          <w:tab w:val="left" w:pos="1440"/>
          <w:tab w:val="left" w:pos="1800"/>
          <w:tab w:val="left" w:pos="2160"/>
        </w:tabs>
      </w:pPr>
      <w:r w:rsidRPr="00F731AA">
        <w:rPr>
          <w:b/>
        </w:rPr>
        <w:t>Impact</w:t>
      </w:r>
      <w:r>
        <w:t xml:space="preserve">:  Although the district’s PD plan is aligned with and supportive of the </w:t>
      </w:r>
      <w:r w:rsidR="00930008">
        <w:t>strategic plan</w:t>
      </w:r>
      <w:r>
        <w:t>, its goals and objectives are not developed and presented according to the SMART goal format.  Because they are not readily measurable, it is more difficult to accurately monitor progress, assess the overall effectiveness of implementation strategies, an</w:t>
      </w:r>
      <w:r w:rsidR="00930008">
        <w:t>d</w:t>
      </w:r>
      <w:r>
        <w:t xml:space="preserve"> make timely and targeted adjustments to those strategies, thus potentially compromising outcomes.</w:t>
      </w:r>
      <w:r w:rsidR="00072D96">
        <w:t xml:space="preserve"> </w:t>
      </w:r>
      <w:r w:rsidR="00941031">
        <w:t>In addition</w:t>
      </w:r>
      <w:r>
        <w:t xml:space="preserve">, the </w:t>
      </w:r>
      <w:r w:rsidR="00941031">
        <w:t xml:space="preserve">absence </w:t>
      </w:r>
      <w:r>
        <w:t>of formal opportunities for teachers to participate in a direct and meaningful way in PD leadership and planning prevents them from becoming fully invested as true and appropriate partners in school and district improvement initiatives, as well as in their own professional growth.</w:t>
      </w:r>
    </w:p>
    <w:p w14:paraId="7F500CE5" w14:textId="6EF9741E" w:rsidR="00385F16" w:rsidRDefault="00385F16" w:rsidP="002E3BD4">
      <w:pPr>
        <w:tabs>
          <w:tab w:val="left" w:pos="360"/>
          <w:tab w:val="left" w:pos="720"/>
          <w:tab w:val="left" w:pos="1080"/>
          <w:tab w:val="left" w:pos="1440"/>
          <w:tab w:val="left" w:pos="1800"/>
          <w:tab w:val="left" w:pos="2160"/>
        </w:tabs>
      </w:pPr>
    </w:p>
    <w:p w14:paraId="6F40CF89" w14:textId="68C83A58" w:rsidR="002E3BD4" w:rsidRPr="008D5152" w:rsidRDefault="002E3BD4" w:rsidP="002E3BD4">
      <w:pPr>
        <w:tabs>
          <w:tab w:val="left" w:pos="360"/>
          <w:tab w:val="left" w:pos="720"/>
          <w:tab w:val="left" w:pos="1080"/>
          <w:tab w:val="left" w:pos="1440"/>
          <w:tab w:val="left" w:pos="1800"/>
          <w:tab w:val="left" w:pos="2160"/>
        </w:tabs>
      </w:pPr>
      <w:r w:rsidRPr="008D5152">
        <w:rPr>
          <w:b/>
          <w:sz w:val="28"/>
          <w:szCs w:val="28"/>
        </w:rPr>
        <w:lastRenderedPageBreak/>
        <w:t xml:space="preserve">Recommendations                    </w:t>
      </w:r>
    </w:p>
    <w:p w14:paraId="6A09015B" w14:textId="027ACF12" w:rsidR="00A62958" w:rsidRPr="00EC5B5A" w:rsidRDefault="000718E9" w:rsidP="00385F16">
      <w:pPr>
        <w:tabs>
          <w:tab w:val="left" w:pos="360"/>
          <w:tab w:val="left" w:pos="1080"/>
          <w:tab w:val="left" w:pos="1440"/>
          <w:tab w:val="left" w:pos="1800"/>
          <w:tab w:val="left" w:pos="2160"/>
        </w:tabs>
        <w:ind w:left="360" w:hanging="360"/>
        <w:rPr>
          <w:b/>
        </w:rPr>
      </w:pPr>
      <w:r>
        <w:rPr>
          <w:b/>
        </w:rPr>
        <w:t>1.</w:t>
      </w:r>
      <w:r>
        <w:rPr>
          <w:b/>
        </w:rPr>
        <w:tab/>
      </w:r>
      <w:r w:rsidR="002E3BD4" w:rsidRPr="00EC5B5A">
        <w:rPr>
          <w:b/>
        </w:rPr>
        <w:t xml:space="preserve">The district should </w:t>
      </w:r>
      <w:r w:rsidR="00E6367E" w:rsidRPr="00EC5B5A">
        <w:rPr>
          <w:b/>
        </w:rPr>
        <w:t>promote</w:t>
      </w:r>
      <w:r w:rsidR="002E3BD4" w:rsidRPr="00EC5B5A">
        <w:rPr>
          <w:b/>
        </w:rPr>
        <w:t xml:space="preserve"> educator</w:t>
      </w:r>
      <w:r w:rsidR="00E6367E" w:rsidRPr="00EC5B5A">
        <w:rPr>
          <w:b/>
        </w:rPr>
        <w:t xml:space="preserve">s’ growth by fully implementing all components of the educator </w:t>
      </w:r>
      <w:r w:rsidR="002E3BD4" w:rsidRPr="00EC5B5A">
        <w:rPr>
          <w:b/>
        </w:rPr>
        <w:t xml:space="preserve">evaluation </w:t>
      </w:r>
      <w:r w:rsidR="00E6367E" w:rsidRPr="00EC5B5A">
        <w:rPr>
          <w:b/>
        </w:rPr>
        <w:t xml:space="preserve">system, with a </w:t>
      </w:r>
      <w:proofErr w:type="gramStart"/>
      <w:r w:rsidR="00E6367E" w:rsidRPr="00EC5B5A">
        <w:rPr>
          <w:b/>
        </w:rPr>
        <w:t>particular emphasis</w:t>
      </w:r>
      <w:proofErr w:type="gramEnd"/>
      <w:r w:rsidR="00E6367E" w:rsidRPr="00EC5B5A">
        <w:rPr>
          <w:b/>
        </w:rPr>
        <w:t xml:space="preserve"> on ensuring that all educators receive high-quality feedback</w:t>
      </w:r>
      <w:r w:rsidR="002E3BD4" w:rsidRPr="00EC5B5A">
        <w:rPr>
          <w:b/>
        </w:rPr>
        <w:t>.</w:t>
      </w:r>
    </w:p>
    <w:p w14:paraId="527DCB52" w14:textId="453FF4B1" w:rsidR="00E6367E" w:rsidRDefault="00E6367E" w:rsidP="00E6367E">
      <w:pPr>
        <w:pStyle w:val="ListParagraph"/>
        <w:numPr>
          <w:ilvl w:val="1"/>
          <w:numId w:val="6"/>
        </w:numPr>
        <w:tabs>
          <w:tab w:val="left" w:pos="360"/>
          <w:tab w:val="left" w:pos="720"/>
          <w:tab w:val="left" w:pos="1080"/>
          <w:tab w:val="left" w:pos="1440"/>
          <w:tab w:val="left" w:pos="1800"/>
          <w:tab w:val="left" w:pos="2160"/>
        </w:tabs>
        <w:ind w:left="720"/>
        <w:contextualSpacing w:val="0"/>
      </w:pPr>
      <w:r>
        <w:t xml:space="preserve">The district should support and monitor the skills and practices of evaluators to ensure that the feedback that they provide is specific, timely, and actionable and relevant to instructional practice, professional growth, and student outcomes. </w:t>
      </w:r>
    </w:p>
    <w:p w14:paraId="6867B64A" w14:textId="43ADB366" w:rsidR="00A62958" w:rsidRDefault="00E6367E" w:rsidP="00A817F2">
      <w:pPr>
        <w:pStyle w:val="ListParagraph"/>
        <w:tabs>
          <w:tab w:val="left" w:pos="360"/>
          <w:tab w:val="left" w:pos="720"/>
          <w:tab w:val="left" w:pos="1080"/>
          <w:tab w:val="left" w:pos="1440"/>
          <w:tab w:val="left" w:pos="1800"/>
          <w:tab w:val="left" w:pos="2160"/>
        </w:tabs>
        <w:ind w:left="1080" w:hanging="360"/>
        <w:contextualSpacing w:val="0"/>
      </w:pPr>
      <w:r>
        <w:t>1.</w:t>
      </w:r>
      <w:r>
        <w:tab/>
      </w:r>
      <w:r w:rsidR="00A817F2">
        <w:t xml:space="preserve">Evaluators </w:t>
      </w:r>
      <w:r>
        <w:t xml:space="preserve">should </w:t>
      </w:r>
      <w:r w:rsidR="00A817F2">
        <w:t>participate in</w:t>
      </w:r>
      <w:r>
        <w:t xml:space="preserve"> </w:t>
      </w:r>
      <w:r w:rsidR="006B64C4">
        <w:t xml:space="preserve">ongoing </w:t>
      </w:r>
      <w:r>
        <w:t>calibration</w:t>
      </w:r>
      <w:r w:rsidR="00A817F2">
        <w:t xml:space="preserve"> training </w:t>
      </w:r>
      <w:r>
        <w:t xml:space="preserve">and </w:t>
      </w:r>
      <w:r w:rsidR="00A817F2">
        <w:t>other activities to ensure quality, accuracy, and consistency in the evaluation process</w:t>
      </w:r>
      <w:r>
        <w:t>.</w:t>
      </w:r>
      <w:r w:rsidR="00A817F2">
        <w:t xml:space="preserve"> </w:t>
      </w:r>
    </w:p>
    <w:p w14:paraId="6B902EDE" w14:textId="5748FC5A" w:rsidR="00FD5D7A" w:rsidRDefault="00FD5D7A" w:rsidP="00EC5B5A">
      <w:pPr>
        <w:pStyle w:val="ListParagraph"/>
        <w:tabs>
          <w:tab w:val="left" w:pos="360"/>
          <w:tab w:val="left" w:pos="720"/>
          <w:tab w:val="left" w:pos="1080"/>
          <w:tab w:val="left" w:pos="1440"/>
          <w:tab w:val="left" w:pos="1800"/>
          <w:tab w:val="left" w:pos="2160"/>
        </w:tabs>
        <w:ind w:hanging="360"/>
        <w:contextualSpacing w:val="0"/>
        <w:rPr>
          <w:b/>
        </w:rPr>
      </w:pPr>
      <w:r>
        <w:rPr>
          <w:b/>
        </w:rPr>
        <w:t>B.</w:t>
      </w:r>
      <w:r>
        <w:rPr>
          <w:b/>
        </w:rPr>
        <w:tab/>
      </w:r>
      <w:r w:rsidRPr="009806C3">
        <w:t xml:space="preserve">The district should consider widening the pool of evaluators </w:t>
      </w:r>
      <w:r>
        <w:t xml:space="preserve">to </w:t>
      </w:r>
      <w:r w:rsidRPr="009806C3">
        <w:t>provid</w:t>
      </w:r>
      <w:r>
        <w:t>e</w:t>
      </w:r>
      <w:r w:rsidRPr="009806C3">
        <w:t xml:space="preserve"> teachers with more frequent classroom observations, increased support, and </w:t>
      </w:r>
      <w:r>
        <w:t xml:space="preserve">higher quality </w:t>
      </w:r>
      <w:r w:rsidRPr="009806C3">
        <w:t xml:space="preserve">feedback.  Allocating evaluative </w:t>
      </w:r>
      <w:r>
        <w:t>responsibilities</w:t>
      </w:r>
      <w:r w:rsidRPr="009806C3">
        <w:t xml:space="preserve"> to additional qualified personnel is a model of distributed leadership than can reduce or equalize supervisory workloads and build the leadership skills of more educators.</w:t>
      </w:r>
    </w:p>
    <w:p w14:paraId="2AB4CCA4" w14:textId="00D88A34" w:rsidR="002E3BD4" w:rsidRDefault="00FD5D7A" w:rsidP="00406A80">
      <w:pPr>
        <w:pStyle w:val="ListParagraph"/>
        <w:tabs>
          <w:tab w:val="left" w:pos="360"/>
          <w:tab w:val="left" w:pos="720"/>
          <w:tab w:val="left" w:pos="1080"/>
          <w:tab w:val="left" w:pos="1440"/>
          <w:tab w:val="left" w:pos="1800"/>
          <w:tab w:val="left" w:pos="2160"/>
        </w:tabs>
        <w:ind w:hanging="360"/>
        <w:contextualSpacing w:val="0"/>
      </w:pPr>
      <w:r>
        <w:rPr>
          <w:b/>
        </w:rPr>
        <w:t>C</w:t>
      </w:r>
      <w:r w:rsidR="00A62958" w:rsidRPr="00A62958">
        <w:rPr>
          <w:b/>
        </w:rPr>
        <w:t>.</w:t>
      </w:r>
      <w:r w:rsidR="002E3BD4">
        <w:t xml:space="preserve"> </w:t>
      </w:r>
      <w:r>
        <w:t xml:space="preserve"> </w:t>
      </w:r>
      <w:r w:rsidR="00A16535">
        <w:t xml:space="preserve">  </w:t>
      </w:r>
      <w:r w:rsidR="00A62958">
        <w:t>The dis</w:t>
      </w:r>
      <w:r w:rsidR="002E3BD4">
        <w:t xml:space="preserve">trict should </w:t>
      </w:r>
      <w:r>
        <w:t xml:space="preserve">implement systems to ensure that all educators develop student learning and </w:t>
      </w:r>
      <w:r w:rsidRPr="00281533">
        <w:rPr>
          <w:bCs/>
        </w:rPr>
        <w:t>professional</w:t>
      </w:r>
      <w:r>
        <w:t xml:space="preserve"> practice goals that are SMART (Specific and Strategic; Measurable; Action-Oriented; Rigorous, Realistic, and Results-Focused; and Time and Tracked)</w:t>
      </w:r>
      <w:r w:rsidR="002E3BD4" w:rsidRPr="00210D16">
        <w:t xml:space="preserve">. </w:t>
      </w:r>
    </w:p>
    <w:p w14:paraId="24C62DBA" w14:textId="35700126" w:rsidR="00A62958" w:rsidRDefault="00CA34F0" w:rsidP="00A62958">
      <w:pPr>
        <w:pStyle w:val="ListParagraph"/>
        <w:numPr>
          <w:ilvl w:val="6"/>
          <w:numId w:val="5"/>
        </w:numPr>
        <w:tabs>
          <w:tab w:val="left" w:pos="360"/>
          <w:tab w:val="left" w:pos="1080"/>
          <w:tab w:val="left" w:pos="1440"/>
          <w:tab w:val="left" w:pos="1800"/>
          <w:tab w:val="left" w:pos="2160"/>
        </w:tabs>
        <w:ind w:left="1080"/>
      </w:pPr>
      <w:r>
        <w:t>Performance ratings for all educators should be based in part on educators’ impact on student learning.</w:t>
      </w:r>
    </w:p>
    <w:p w14:paraId="24E8D7F0" w14:textId="4D7E9C97" w:rsidR="00545A94" w:rsidRDefault="00545A94" w:rsidP="00406A80">
      <w:pPr>
        <w:tabs>
          <w:tab w:val="left" w:pos="360"/>
          <w:tab w:val="left" w:pos="1080"/>
          <w:tab w:val="left" w:pos="1440"/>
          <w:tab w:val="left" w:pos="1800"/>
          <w:tab w:val="left" w:pos="2160"/>
        </w:tabs>
        <w:ind w:left="720" w:hanging="360"/>
      </w:pPr>
      <w:r w:rsidRPr="00406A80">
        <w:rPr>
          <w:b/>
          <w:bCs/>
        </w:rPr>
        <w:t>D.</w:t>
      </w:r>
      <w:r w:rsidRPr="00406A80">
        <w:rPr>
          <w:b/>
          <w:bCs/>
        </w:rPr>
        <w:tab/>
      </w:r>
      <w:r>
        <w:t>The district should take the necessary steps to meaningfully incorporate student and staff feedback into the educator evaluation system.</w:t>
      </w:r>
    </w:p>
    <w:p w14:paraId="69D16350" w14:textId="26BE8417" w:rsidR="002E3BD4" w:rsidRPr="00674541" w:rsidRDefault="002E3BD4" w:rsidP="002E3BD4">
      <w:pPr>
        <w:tabs>
          <w:tab w:val="left" w:pos="-90"/>
          <w:tab w:val="left" w:pos="360"/>
          <w:tab w:val="left" w:pos="1080"/>
          <w:tab w:val="left" w:pos="1440"/>
          <w:tab w:val="left" w:pos="1800"/>
          <w:tab w:val="left" w:pos="2160"/>
        </w:tabs>
      </w:pPr>
      <w:r w:rsidRPr="00802336">
        <w:rPr>
          <w:b/>
        </w:rPr>
        <w:t>Benefits</w:t>
      </w:r>
      <w:r w:rsidR="004D306D">
        <w:t xml:space="preserve">: </w:t>
      </w:r>
      <w:r>
        <w:t xml:space="preserve">By </w:t>
      </w:r>
      <w:r w:rsidR="004D306D">
        <w:t>implementing an educator evaluation system that prioritizes high-quality feedback</w:t>
      </w:r>
      <w:r>
        <w:t xml:space="preserve">, the district will </w:t>
      </w:r>
      <w:r w:rsidR="004D306D">
        <w:t>help educators improve</w:t>
      </w:r>
      <w:r>
        <w:t xml:space="preserve"> instruction</w:t>
      </w:r>
      <w:r w:rsidR="00782672">
        <w:t>, likely leading to</w:t>
      </w:r>
      <w:r>
        <w:t xml:space="preserve"> enriched learning experiences and increased </w:t>
      </w:r>
      <w:r w:rsidR="00782672">
        <w:t xml:space="preserve">outcomes </w:t>
      </w:r>
      <w:r>
        <w:t>for all students</w:t>
      </w:r>
      <w:r w:rsidR="004D306D">
        <w:t>.</w:t>
      </w:r>
      <w:r w:rsidR="00782672">
        <w:t xml:space="preserve"> </w:t>
      </w:r>
      <w:r>
        <w:t xml:space="preserve">The </w:t>
      </w:r>
      <w:r w:rsidR="004D306D">
        <w:t xml:space="preserve">inclusion of student and staff feedback and student learning indicators as evidence in </w:t>
      </w:r>
      <w:r>
        <w:t xml:space="preserve">the </w:t>
      </w:r>
      <w:r w:rsidR="004D306D">
        <w:t xml:space="preserve">educator </w:t>
      </w:r>
      <w:r>
        <w:t xml:space="preserve">evaluation </w:t>
      </w:r>
      <w:r w:rsidR="004D306D">
        <w:t>process</w:t>
      </w:r>
      <w:r>
        <w:t xml:space="preserve"> will enable teachers and principals to reflect more accurately and comprehensively on their professional efficacy and be better able to identify areas of strength and areas for growth. </w:t>
      </w:r>
    </w:p>
    <w:p w14:paraId="20DBF0F8" w14:textId="77777777" w:rsidR="002E3BD4" w:rsidRDefault="002E3BD4" w:rsidP="002E3BD4">
      <w:pPr>
        <w:tabs>
          <w:tab w:val="left" w:pos="360"/>
          <w:tab w:val="left" w:pos="720"/>
          <w:tab w:val="left" w:pos="1080"/>
          <w:tab w:val="left" w:pos="1800"/>
          <w:tab w:val="left" w:pos="2160"/>
        </w:tabs>
        <w:rPr>
          <w:b/>
        </w:rPr>
      </w:pPr>
      <w:r w:rsidRPr="00484242">
        <w:rPr>
          <w:b/>
        </w:rPr>
        <w:t>Recommended resources</w:t>
      </w:r>
      <w:r>
        <w:rPr>
          <w:b/>
        </w:rPr>
        <w:t>:</w:t>
      </w:r>
    </w:p>
    <w:p w14:paraId="038254B9" w14:textId="55E83755" w:rsidR="004A213A" w:rsidRDefault="004A213A" w:rsidP="00EC5B5A">
      <w:pPr>
        <w:pStyle w:val="ListParagraph"/>
        <w:numPr>
          <w:ilvl w:val="0"/>
          <w:numId w:val="67"/>
        </w:numPr>
        <w:tabs>
          <w:tab w:val="left" w:pos="360"/>
          <w:tab w:val="left" w:pos="720"/>
          <w:tab w:val="left" w:pos="1080"/>
          <w:tab w:val="left" w:pos="1800"/>
          <w:tab w:val="left" w:pos="2160"/>
        </w:tabs>
        <w:ind w:left="360"/>
        <w:contextualSpacing w:val="0"/>
      </w:pPr>
      <w:r w:rsidRPr="00522E18">
        <w:rPr>
          <w:i/>
        </w:rPr>
        <w:t>Quick Reference Guide: Student and Staff Feedback</w:t>
      </w:r>
      <w:r w:rsidRPr="00522E18">
        <w:t xml:space="preserve"> (</w:t>
      </w:r>
      <w:hyperlink r:id="rId27" w:history="1">
        <w:r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3D3D56C0" w14:textId="77777777" w:rsidR="004A213A" w:rsidRPr="000903B8" w:rsidRDefault="004A213A" w:rsidP="00EC5B5A">
      <w:pPr>
        <w:pStyle w:val="ListParagraph"/>
        <w:numPr>
          <w:ilvl w:val="0"/>
          <w:numId w:val="67"/>
        </w:numPr>
        <w:tabs>
          <w:tab w:val="left" w:pos="360"/>
          <w:tab w:val="left" w:pos="720"/>
          <w:tab w:val="left" w:pos="1080"/>
          <w:tab w:val="left" w:pos="1800"/>
          <w:tab w:val="left" w:pos="2160"/>
        </w:tabs>
        <w:ind w:left="360"/>
        <w:contextualSpacing w:val="0"/>
      </w:pPr>
      <w:r>
        <w:t>DESE’s calibration platform (</w:t>
      </w:r>
      <w:hyperlink r:id="rId28" w:history="1">
        <w:r w:rsidRPr="00E70FD8">
          <w:rPr>
            <w:rStyle w:val="Hyperlink"/>
          </w:rPr>
          <w:t>http://www.ma-calibration.com/</w:t>
        </w:r>
      </w:hyperlink>
      <w:r>
        <w:t xml:space="preserve">) includes </w:t>
      </w:r>
      <w:r>
        <w:rPr>
          <w:rFonts w:ascii="Calibri" w:eastAsia="Times New Roman" w:hAnsi="Calibri" w:cs="Calibri"/>
          <w:color w:val="000000"/>
        </w:rPr>
        <w:t>tasks and activities to help educators calibrate their understanding of both content and pedagogy.</w:t>
      </w:r>
    </w:p>
    <w:p w14:paraId="5462E53D" w14:textId="77777777" w:rsidR="00314ECE" w:rsidRDefault="00314ECE" w:rsidP="00314ECE">
      <w:pPr>
        <w:pStyle w:val="ListParagraph"/>
        <w:numPr>
          <w:ilvl w:val="3"/>
          <w:numId w:val="28"/>
        </w:numPr>
        <w:tabs>
          <w:tab w:val="left" w:pos="360"/>
          <w:tab w:val="left" w:pos="720"/>
          <w:tab w:val="left" w:pos="1080"/>
          <w:tab w:val="left" w:pos="1800"/>
          <w:tab w:val="left" w:pos="2160"/>
        </w:tabs>
        <w:ind w:left="360"/>
        <w:contextualSpacing w:val="0"/>
      </w:pPr>
      <w:r w:rsidRPr="00625296">
        <w:rPr>
          <w:i/>
        </w:rPr>
        <w:lastRenderedPageBreak/>
        <w:t xml:space="preserve">A Protocol for developing S.M.A.R.T Goal Statements </w:t>
      </w:r>
      <w:r w:rsidRPr="00522E18">
        <w:t>(</w:t>
      </w:r>
      <w:hyperlink r:id="rId29" w:history="1">
        <w:r w:rsidRPr="00824F5A">
          <w:rPr>
            <w:rStyle w:val="Hyperlink"/>
          </w:rPr>
          <w:t>http://www.doe.mass.edu/edeval/resources/</w:t>
        </w:r>
      </w:hyperlink>
      <w:r w:rsidRPr="00522E18">
        <w:t>)</w:t>
      </w:r>
      <w:r>
        <w:t xml:space="preserve"> </w:t>
      </w:r>
      <w:r w:rsidRPr="00E70FD8">
        <w:rPr>
          <w:rFonts w:cstheme="minorHAnsi"/>
          <w:color w:val="000000"/>
        </w:rPr>
        <w:t>is designed to support educators in developing S.M.A.R.T. goal statements using the appropriate evaluation rubric and a</w:t>
      </w:r>
      <w:r>
        <w:rPr>
          <w:rFonts w:cstheme="minorHAnsi"/>
          <w:color w:val="000000"/>
        </w:rPr>
        <w:t xml:space="preserve"> D</w:t>
      </w:r>
      <w:r w:rsidRPr="00E70FD8">
        <w:rPr>
          <w:rFonts w:cstheme="minorHAnsi"/>
          <w:color w:val="000000"/>
        </w:rPr>
        <w:t xml:space="preserve">ESE-developed protocol. </w:t>
      </w:r>
      <w:r w:rsidRPr="00625296">
        <w:rPr>
          <w:i/>
        </w:rPr>
        <w:t xml:space="preserve">The Evidence Collection Toolkit </w:t>
      </w:r>
      <w:r>
        <w:rPr>
          <w:i/>
        </w:rPr>
        <w:t>(</w:t>
      </w:r>
      <w:hyperlink r:id="rId30" w:history="1">
        <w:r w:rsidRPr="00E34B93">
          <w:rPr>
            <w:rStyle w:val="Hyperlink"/>
            <w:i/>
          </w:rPr>
          <w:t>http://www.doe.mass.edu/edeval/resources/</w:t>
        </w:r>
      </w:hyperlink>
      <w:r>
        <w:rPr>
          <w:i/>
        </w:rPr>
        <w:t>)</w:t>
      </w:r>
      <w:r>
        <w:t xml:space="preserve"> is </w:t>
      </w:r>
      <w:r w:rsidRPr="00E70FD8">
        <w:rPr>
          <w:rFonts w:cstheme="minorHAnsi"/>
          <w:color w:val="000000"/>
        </w:rPr>
        <w:t>designed to help districts establish clear and consistent expectations for evidence collection and promote a meaningful process for the collection, analysis, and sharing of high-quality artifacts. The toolkit Includes: brief guidance, examples of district strategies, a worksheet for district decision-making, and a handout of Evidence Collection Tips for Educators.</w:t>
      </w:r>
    </w:p>
    <w:p w14:paraId="71013511" w14:textId="77777777" w:rsidR="00314ECE" w:rsidRPr="00522E18" w:rsidRDefault="00314ECE" w:rsidP="00314ECE">
      <w:pPr>
        <w:pStyle w:val="ListParagraph"/>
        <w:numPr>
          <w:ilvl w:val="0"/>
          <w:numId w:val="68"/>
        </w:numPr>
        <w:tabs>
          <w:tab w:val="left" w:pos="360"/>
          <w:tab w:val="left" w:pos="450"/>
          <w:tab w:val="left" w:pos="1080"/>
          <w:tab w:val="left" w:pos="1800"/>
          <w:tab w:val="left" w:pos="2160"/>
        </w:tabs>
        <w:ind w:left="360"/>
        <w:contextualSpacing w:val="0"/>
      </w:pPr>
      <w:r w:rsidRPr="00522E18">
        <w:rPr>
          <w:i/>
        </w:rPr>
        <w:t>On Track with Evaluator Capacity</w:t>
      </w:r>
      <w:r w:rsidRPr="00522E18">
        <w:t xml:space="preserve"> (</w:t>
      </w:r>
      <w:hyperlink r:id="rId31" w:history="1">
        <w:r w:rsidRPr="00111E7D">
          <w:rPr>
            <w:rStyle w:val="Hyperlink"/>
          </w:rPr>
          <w:t>http://www.doe.mass.edu/edeval/resources/pln/OnTrack-EvaluatorCapacity.pdf</w:t>
        </w:r>
      </w:hyperlink>
      <w:r w:rsidRPr="00522E18">
        <w:t>) is an interactive document that provides specific strategies, lessons learned, and links to district-created resources. It was produced by eight districts that were part of a Professional Learning Network for Supporting Evaluator Capacity.</w:t>
      </w:r>
    </w:p>
    <w:p w14:paraId="565DBA32" w14:textId="77777777" w:rsidR="00314ECE" w:rsidRDefault="00314ECE" w:rsidP="00314ECE">
      <w:pPr>
        <w:pStyle w:val="ListParagraph"/>
        <w:numPr>
          <w:ilvl w:val="0"/>
          <w:numId w:val="68"/>
        </w:numPr>
        <w:tabs>
          <w:tab w:val="left" w:pos="360"/>
          <w:tab w:val="left" w:pos="450"/>
          <w:tab w:val="left" w:pos="1080"/>
          <w:tab w:val="left" w:pos="1800"/>
          <w:tab w:val="left" w:pos="2160"/>
        </w:tabs>
        <w:ind w:left="360"/>
        <w:contextualSpacing w:val="0"/>
      </w:pPr>
      <w:r w:rsidRPr="00522E18">
        <w:rPr>
          <w:i/>
        </w:rPr>
        <w:t>Quick Reference Guide: Opportunities to Streamline the Evaluation Process</w:t>
      </w:r>
      <w:r w:rsidRPr="00522E18">
        <w:t xml:space="preserve"> (</w:t>
      </w:r>
      <w:hyperlink r:id="rId32" w:history="1">
        <w:r w:rsidRPr="00111E7D">
          <w:rPr>
            <w:rStyle w:val="Hyperlink"/>
          </w:rPr>
          <w:t>http://www.doe.mass.edu/edeval/resources/QRG-Streamline.pdf</w:t>
        </w:r>
      </w:hyperlink>
      <w:r w:rsidRPr="00522E18">
        <w:t>) is designed to help districts reflect on and continuously improve their evaluation systems:</w:t>
      </w:r>
    </w:p>
    <w:p w14:paraId="64BCF517" w14:textId="77777777" w:rsidR="00314ECE" w:rsidRDefault="00314ECE" w:rsidP="00314ECE">
      <w:pPr>
        <w:pStyle w:val="ListParagraph"/>
        <w:numPr>
          <w:ilvl w:val="1"/>
          <w:numId w:val="68"/>
        </w:numPr>
        <w:tabs>
          <w:tab w:val="left" w:pos="360"/>
          <w:tab w:val="left" w:pos="450"/>
          <w:tab w:val="left" w:pos="1080"/>
          <w:tab w:val="left" w:pos="1800"/>
          <w:tab w:val="left" w:pos="2160"/>
        </w:tabs>
        <w:ind w:left="720"/>
        <w:contextualSpacing w:val="0"/>
      </w:pPr>
      <w:proofErr w:type="gramStart"/>
      <w:r w:rsidRPr="00522E18">
        <w:t>What’s</w:t>
      </w:r>
      <w:proofErr w:type="gramEnd"/>
      <w:r w:rsidRPr="00522E18">
        <w:t xml:space="preserve"> working? What are the bright spots?</w:t>
      </w:r>
    </w:p>
    <w:p w14:paraId="401366E5" w14:textId="77777777" w:rsidR="00314ECE" w:rsidRDefault="00314ECE" w:rsidP="00314ECE">
      <w:pPr>
        <w:pStyle w:val="ListParagraph"/>
        <w:numPr>
          <w:ilvl w:val="1"/>
          <w:numId w:val="68"/>
        </w:numPr>
        <w:tabs>
          <w:tab w:val="left" w:pos="360"/>
          <w:tab w:val="left" w:pos="450"/>
          <w:tab w:val="left" w:pos="1080"/>
          <w:tab w:val="left" w:pos="1800"/>
          <w:tab w:val="left" w:pos="2160"/>
        </w:tabs>
        <w:ind w:left="720"/>
        <w:contextualSpacing w:val="0"/>
      </w:pPr>
      <w:r w:rsidRPr="00522E18">
        <w:t>How can we streamline the process to stay focused on professional growth and development?</w:t>
      </w:r>
    </w:p>
    <w:p w14:paraId="435F3C7A" w14:textId="77777777" w:rsidR="00314ECE" w:rsidRPr="00522E18" w:rsidRDefault="00314ECE" w:rsidP="00314ECE">
      <w:pPr>
        <w:pStyle w:val="ListParagraph"/>
        <w:numPr>
          <w:ilvl w:val="1"/>
          <w:numId w:val="68"/>
        </w:numPr>
        <w:tabs>
          <w:tab w:val="left" w:pos="360"/>
          <w:tab w:val="left" w:pos="450"/>
          <w:tab w:val="left" w:pos="1080"/>
          <w:tab w:val="left" w:pos="1800"/>
          <w:tab w:val="left" w:pos="2160"/>
        </w:tabs>
        <w:ind w:left="720"/>
        <w:contextualSpacing w:val="0"/>
      </w:pPr>
      <w:r w:rsidRPr="00522E18">
        <w:t>What do we need to adjust to ensure our system is valuable to educators and students?</w:t>
      </w:r>
    </w:p>
    <w:p w14:paraId="489FA1CA" w14:textId="379FF3A1" w:rsidR="004A213A" w:rsidRDefault="00314ECE" w:rsidP="00EC5B5A">
      <w:pPr>
        <w:pStyle w:val="ListParagraph"/>
        <w:numPr>
          <w:ilvl w:val="0"/>
          <w:numId w:val="67"/>
        </w:numPr>
        <w:tabs>
          <w:tab w:val="left" w:pos="360"/>
          <w:tab w:val="left" w:pos="720"/>
          <w:tab w:val="left" w:pos="1080"/>
          <w:tab w:val="left" w:pos="1800"/>
          <w:tab w:val="left" w:pos="2160"/>
        </w:tabs>
        <w:ind w:left="360"/>
        <w:contextualSpacing w:val="0"/>
      </w:pPr>
      <w:r>
        <w:t xml:space="preserve">DESE’s </w:t>
      </w:r>
      <w:r w:rsidRPr="00522E18">
        <w:t>Ed</w:t>
      </w:r>
      <w:r>
        <w:t>ucator</w:t>
      </w:r>
      <w:r w:rsidRPr="00522E18">
        <w:t xml:space="preserve"> Eval</w:t>
      </w:r>
      <w:r>
        <w:t>uation</w:t>
      </w:r>
      <w:r w:rsidRPr="00522E18">
        <w:t xml:space="preserve"> Training Workshops (</w:t>
      </w:r>
      <w:hyperlink r:id="rId33" w:history="1">
        <w:r w:rsidRPr="00111E7D">
          <w:rPr>
            <w:rStyle w:val="Hyperlink"/>
          </w:rPr>
          <w:t>http://www.doe.mass.edu/edeval/training/teachers/default.html</w:t>
        </w:r>
      </w:hyperlink>
      <w:r w:rsidRPr="00522E18">
        <w:t>) provide a general overview to the ed</w:t>
      </w:r>
      <w:r>
        <w:t>ucator</w:t>
      </w:r>
      <w:r w:rsidRPr="00522E18">
        <w:t xml:space="preserve"> eval</w:t>
      </w:r>
      <w:r>
        <w:t>uation</w:t>
      </w:r>
      <w:r w:rsidRPr="00522E18">
        <w:t xml:space="preserve"> framework </w:t>
      </w:r>
      <w:r>
        <w:t>as well as</w:t>
      </w:r>
      <w:r w:rsidRPr="00522E18">
        <w:t xml:space="preserve"> opportunities to engage in activities associated with the first th</w:t>
      </w:r>
      <w:r w:rsidRPr="009677C6">
        <w:t xml:space="preserve">ree steps of the 5-Step Cycle. This </w:t>
      </w:r>
      <w:r>
        <w:t>is a particularly h</w:t>
      </w:r>
      <w:r w:rsidRPr="00522E18">
        <w:t>elpful resource for educators new to the ed</w:t>
      </w:r>
      <w:r>
        <w:t>ucator</w:t>
      </w:r>
      <w:r w:rsidRPr="00522E18">
        <w:t xml:space="preserve"> eval</w:t>
      </w:r>
      <w:r>
        <w:t>uation</w:t>
      </w:r>
      <w:r w:rsidRPr="00522E18">
        <w:t xml:space="preserve"> framework.</w:t>
      </w:r>
    </w:p>
    <w:p w14:paraId="5A0911FA" w14:textId="1CB4276D" w:rsidR="002E3BD4" w:rsidRPr="00EC5B5A" w:rsidRDefault="006F24A4" w:rsidP="00EC5B5A">
      <w:pPr>
        <w:pStyle w:val="ListParagraph"/>
        <w:tabs>
          <w:tab w:val="left" w:pos="0"/>
          <w:tab w:val="left" w:pos="360"/>
          <w:tab w:val="left" w:pos="1080"/>
          <w:tab w:val="left" w:pos="1440"/>
          <w:tab w:val="left" w:pos="1800"/>
          <w:tab w:val="left" w:pos="2160"/>
        </w:tabs>
        <w:ind w:left="360" w:hanging="360"/>
        <w:contextualSpacing w:val="0"/>
        <w:rPr>
          <w:b/>
        </w:rPr>
      </w:pPr>
      <w:r w:rsidRPr="00EC5B5A">
        <w:rPr>
          <w:b/>
        </w:rPr>
        <w:t>2</w:t>
      </w:r>
      <w:r>
        <w:rPr>
          <w:b/>
        </w:rPr>
        <w:t>.</w:t>
      </w:r>
      <w:r>
        <w:rPr>
          <w:b/>
        </w:rPr>
        <w:tab/>
      </w:r>
      <w:r w:rsidR="002E3BD4" w:rsidRPr="00EC5B5A">
        <w:rPr>
          <w:b/>
        </w:rPr>
        <w:t>The district’s PD program should be directed by a designated and collaborative joint committee</w:t>
      </w:r>
      <w:r w:rsidR="000A0933">
        <w:rPr>
          <w:b/>
        </w:rPr>
        <w:t xml:space="preserve"> or </w:t>
      </w:r>
      <w:r w:rsidR="0023485E">
        <w:rPr>
          <w:b/>
        </w:rPr>
        <w:t>another</w:t>
      </w:r>
      <w:r w:rsidR="000A0933">
        <w:rPr>
          <w:b/>
        </w:rPr>
        <w:t xml:space="preserve"> representative group</w:t>
      </w:r>
      <w:r w:rsidR="002E3BD4" w:rsidRPr="00EC5B5A">
        <w:rPr>
          <w:b/>
        </w:rPr>
        <w:t>.  This leadership team should be responsible for developing, implementing, and monitoring a comprehensive PD plan that includes well</w:t>
      </w:r>
      <w:r w:rsidR="00C8003D" w:rsidRPr="00EC5B5A">
        <w:rPr>
          <w:b/>
        </w:rPr>
        <w:t>-</w:t>
      </w:r>
      <w:r w:rsidR="002E3BD4" w:rsidRPr="00EC5B5A">
        <w:rPr>
          <w:b/>
        </w:rPr>
        <w:t xml:space="preserve">defined and measurable goals, and ensuring that consistent PD policies, practices, and structures are in place in all schools across the district. </w:t>
      </w:r>
      <w:r w:rsidR="002E3BD4" w:rsidRPr="00EC5B5A">
        <w:rPr>
          <w:b/>
        </w:rPr>
        <w:tab/>
      </w:r>
    </w:p>
    <w:p w14:paraId="29038813" w14:textId="5E36F29F" w:rsidR="002E3BD4" w:rsidRDefault="002E3BD4" w:rsidP="002E3BD4">
      <w:pPr>
        <w:pStyle w:val="ListParagraph"/>
        <w:numPr>
          <w:ilvl w:val="0"/>
          <w:numId w:val="19"/>
        </w:numPr>
        <w:tabs>
          <w:tab w:val="left" w:pos="360"/>
          <w:tab w:val="left" w:pos="720"/>
          <w:tab w:val="left" w:pos="1080"/>
          <w:tab w:val="left" w:pos="1440"/>
          <w:tab w:val="left" w:pos="1800"/>
          <w:tab w:val="left" w:pos="2160"/>
        </w:tabs>
        <w:ind w:left="720"/>
        <w:contextualSpacing w:val="0"/>
      </w:pPr>
      <w:r>
        <w:t xml:space="preserve">The district’s improved PD model should systematically incorporate the elements and guidelines articulated in the </w:t>
      </w:r>
      <w:r w:rsidR="00536926">
        <w:t xml:space="preserve">Massachusetts </w:t>
      </w:r>
      <w:r>
        <w:t xml:space="preserve">Standards for Professional Development, with </w:t>
      </w:r>
      <w:proofErr w:type="gramStart"/>
      <w:r>
        <w:t>particular attention</w:t>
      </w:r>
      <w:proofErr w:type="gramEnd"/>
      <w:r>
        <w:t xml:space="preserve"> given to the need for collaborative leadership</w:t>
      </w:r>
      <w:r w:rsidR="00536926">
        <w:t>.</w:t>
      </w:r>
      <w:r w:rsidR="00536926" w:rsidRPr="001C4E99">
        <w:t xml:space="preserve"> </w:t>
      </w:r>
    </w:p>
    <w:p w14:paraId="07881C18" w14:textId="07716913" w:rsidR="002E3BD4" w:rsidRPr="00C91BE4" w:rsidRDefault="002E3BD4" w:rsidP="00385F16">
      <w:pPr>
        <w:pStyle w:val="ListParagraph"/>
        <w:numPr>
          <w:ilvl w:val="2"/>
          <w:numId w:val="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pPr>
      <w:r>
        <w:t>The district’s PD program should be directed by a joint committee</w:t>
      </w:r>
      <w:r w:rsidR="00CF2E09">
        <w:t>/group</w:t>
      </w:r>
      <w:r>
        <w:t xml:space="preserve"> composed of district and school administrators, curriculum leaders, and teacher representatives from the elementary, </w:t>
      </w:r>
      <w:proofErr w:type="gramStart"/>
      <w:r>
        <w:t>middle</w:t>
      </w:r>
      <w:proofErr w:type="gramEnd"/>
      <w:r>
        <w:t xml:space="preserve"> and high schools, thereby creating a designated, centralized, and genuinely collaborative leadership structure.  Its role should be to develop, communicate, </w:t>
      </w:r>
      <w:r>
        <w:lastRenderedPageBreak/>
        <w:t>implement, and evaluate comprehensive PD plans, programs, and support services for the district.</w:t>
      </w:r>
    </w:p>
    <w:p w14:paraId="0BAA7A5F" w14:textId="75DE38B3" w:rsidR="002E3BD4" w:rsidRPr="00C91BE4" w:rsidRDefault="00385F16" w:rsidP="00385F16">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t>2.</w:t>
      </w:r>
      <w:r>
        <w:tab/>
      </w:r>
      <w:r w:rsidR="002E3BD4">
        <w:t>The district PD committee should have the administrative capacity to provide strong and effective leadership.  It should be empowered to make revisions and improvements, as needed, to PD programs, practices, and structures. This should include the coordination of all district PD programming to ensure that high-quality PD policies, procedures, and governance structures are established and maintained in each of the district’s schools.</w:t>
      </w:r>
    </w:p>
    <w:p w14:paraId="26254416" w14:textId="69321CC4" w:rsidR="002E3BD4" w:rsidRPr="00112481" w:rsidRDefault="002E3BD4" w:rsidP="002E3BD4">
      <w:pPr>
        <w:pStyle w:val="ListParagraph"/>
        <w:numPr>
          <w:ilvl w:val="6"/>
          <w:numId w:val="1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Teachers should also be </w:t>
      </w:r>
      <w:r w:rsidR="00CF2E09">
        <w:t xml:space="preserve">actively </w:t>
      </w:r>
      <w:r>
        <w:t xml:space="preserve">included in the PD planning and decision making of every school.  For example, the </w:t>
      </w:r>
      <w:r w:rsidR="00C8003D">
        <w:t xml:space="preserve">instructional leadership team </w:t>
      </w:r>
      <w:r>
        <w:t xml:space="preserve">could assume responsibility for collaborating with the principal to develop and direct all </w:t>
      </w:r>
      <w:r w:rsidR="00FA7E50">
        <w:t xml:space="preserve">school </w:t>
      </w:r>
      <w:r>
        <w:t>level PD programs and activities.</w:t>
      </w:r>
    </w:p>
    <w:p w14:paraId="7EB1D4F5" w14:textId="5FAA2F12" w:rsidR="002E3BD4" w:rsidRDefault="002E3BD4" w:rsidP="002E3BD4">
      <w:pPr>
        <w:pStyle w:val="ListParagraph"/>
        <w:numPr>
          <w:ilvl w:val="0"/>
          <w:numId w:val="19"/>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810"/>
      </w:pPr>
      <w:r>
        <w:t xml:space="preserve">  Among the g</w:t>
      </w:r>
      <w:r w:rsidRPr="00112481">
        <w:t xml:space="preserve">uiding principles of the </w:t>
      </w:r>
      <w:r w:rsidR="00FA7E50" w:rsidRPr="00112481">
        <w:t>M</w:t>
      </w:r>
      <w:r w:rsidR="00FA7E50">
        <w:t>assachusetts</w:t>
      </w:r>
      <w:r w:rsidR="00FA7E50" w:rsidRPr="00112481">
        <w:t xml:space="preserve"> </w:t>
      </w:r>
      <w:r w:rsidR="00C8003D">
        <w:t>S</w:t>
      </w:r>
      <w:r w:rsidR="00C8003D" w:rsidRPr="00112481">
        <w:t xml:space="preserve">tandards </w:t>
      </w:r>
      <w:r w:rsidRPr="00112481">
        <w:t>for Professional Development are that PD is intentional, is a deliberate and consistent process, and that it is evaluated for effectiveness.  The district, therefore, is encouraged to incorporate the following recommendations into its PD program</w:t>
      </w:r>
      <w:r w:rsidR="00FA7E50">
        <w:t>:</w:t>
      </w:r>
    </w:p>
    <w:p w14:paraId="0743BA76" w14:textId="77777777" w:rsidR="002E3BD4" w:rsidRDefault="002E3BD4" w:rsidP="002E3BD4">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0"/>
      </w:pPr>
    </w:p>
    <w:p w14:paraId="4C54F34B" w14:textId="45E4990E" w:rsidR="002E3BD4" w:rsidRDefault="002E3BD4" w:rsidP="00406A80">
      <w:pPr>
        <w:pStyle w:val="ListParagraph"/>
        <w:numPr>
          <w:ilvl w:val="0"/>
          <w:numId w:val="5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rsidRPr="00112481">
        <w:t>The annual goals of the PD plan should be measurable</w:t>
      </w:r>
      <w:r w:rsidR="00CF2E09">
        <w:t xml:space="preserve"> </w:t>
      </w:r>
      <w:r w:rsidRPr="00112481">
        <w:t xml:space="preserve">and informed by </w:t>
      </w:r>
      <w:r w:rsidR="00CF2E09">
        <w:t xml:space="preserve">data on instruction (such as from walkthroughs or other processes) in addition to </w:t>
      </w:r>
      <w:r w:rsidRPr="00112481">
        <w:t>student a</w:t>
      </w:r>
      <w:r w:rsidR="00CF2E09">
        <w:t xml:space="preserve">chievement and outcome </w:t>
      </w:r>
      <w:r w:rsidRPr="00112481">
        <w:t>data.  The PD goals and objectives of the district, as well as those of each school, should be developed and monitored according to the SMART goal format.</w:t>
      </w:r>
    </w:p>
    <w:p w14:paraId="72066773" w14:textId="77777777" w:rsidR="002E3BD4" w:rsidRDefault="002E3BD4" w:rsidP="00A50D17">
      <w:pPr>
        <w:pStyle w:val="ListParagraph"/>
        <w:numPr>
          <w:ilvl w:val="0"/>
          <w:numId w:val="5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rsidRPr="00112481">
        <w:t>All PD programs and activities, at both the school and district levels, should be evaluated by staff and the results of those assessments used to plan and/or make improvements to future PD programming.</w:t>
      </w:r>
    </w:p>
    <w:p w14:paraId="7ABB937F" w14:textId="77777777" w:rsidR="002E3BD4" w:rsidRDefault="002E3BD4" w:rsidP="002E3BD4">
      <w:pPr>
        <w:pStyle w:val="ListParagraph"/>
        <w:tabs>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p>
    <w:p w14:paraId="09165E8F" w14:textId="74B4F47F" w:rsidR="002E3BD4" w:rsidRPr="00112481" w:rsidRDefault="002E3BD4" w:rsidP="00A50D17">
      <w:pPr>
        <w:pStyle w:val="ListParagraph"/>
        <w:numPr>
          <w:ilvl w:val="0"/>
          <w:numId w:val="5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rsidRPr="00112481">
        <w:t>Efforts should be made to ensure that the Framingham Teachers Association’s full</w:t>
      </w:r>
      <w:r w:rsidR="004504D7">
        <w:t>-</w:t>
      </w:r>
      <w:r w:rsidRPr="00112481">
        <w:t>day PD programs are aligned with and supportive of the district’s well</w:t>
      </w:r>
      <w:r w:rsidR="004504D7">
        <w:t>-</w:t>
      </w:r>
      <w:r w:rsidRPr="00112481">
        <w:t>defined and overarching PD priorities and goals.</w:t>
      </w:r>
    </w:p>
    <w:p w14:paraId="3A364B52" w14:textId="6DD08C6B" w:rsidR="002E3BD4" w:rsidRPr="00674541" w:rsidRDefault="002E3BD4" w:rsidP="002E3BD4">
      <w:pPr>
        <w:tabs>
          <w:tab w:val="left" w:pos="360"/>
          <w:tab w:val="left" w:pos="720"/>
          <w:tab w:val="left" w:pos="1080"/>
          <w:tab w:val="left" w:pos="1440"/>
          <w:tab w:val="left" w:pos="1800"/>
          <w:tab w:val="left" w:pos="2160"/>
        </w:tabs>
      </w:pPr>
      <w:r w:rsidRPr="00802336">
        <w:rPr>
          <w:b/>
        </w:rPr>
        <w:t>Benefits</w:t>
      </w:r>
      <w:r>
        <w:t xml:space="preserve">:  The creation of a designated and collaborative PD </w:t>
      </w:r>
      <w:r w:rsidR="00270DBF">
        <w:t xml:space="preserve">leadership structure </w:t>
      </w:r>
      <w:r>
        <w:t xml:space="preserve">will provide a more appropriate mechanism for the district to annually develop a comprehensive and measurable PD Plan. The formal collaboration of teachers in the PD processes of both the district and individual schools is fully consistent with the principles clearly articulated in the state’s Standards for Professional Development. It contributes to the creation of an authentic professional community and promotes a model of shared leadership within the district.  Involving staff directly in the design, implementation, and assessment of PD programming will increase their sense of ownership and enhance their support for and active participation in district and school improvement efforts, as well as their own professional growth. </w:t>
      </w:r>
    </w:p>
    <w:p w14:paraId="35F851A2" w14:textId="77777777" w:rsidR="00170D3B" w:rsidRDefault="00170D3B" w:rsidP="002E3BD4">
      <w:pPr>
        <w:tabs>
          <w:tab w:val="left" w:pos="360"/>
          <w:tab w:val="left" w:pos="720"/>
          <w:tab w:val="left" w:pos="1080"/>
          <w:tab w:val="left" w:pos="1800"/>
          <w:tab w:val="left" w:pos="2160"/>
        </w:tabs>
        <w:rPr>
          <w:b/>
        </w:rPr>
      </w:pPr>
    </w:p>
    <w:p w14:paraId="4FF46B8B" w14:textId="662BB62A" w:rsidR="002E3BD4" w:rsidRDefault="002E3BD4" w:rsidP="002E3BD4">
      <w:pPr>
        <w:tabs>
          <w:tab w:val="left" w:pos="360"/>
          <w:tab w:val="left" w:pos="720"/>
          <w:tab w:val="left" w:pos="1080"/>
          <w:tab w:val="left" w:pos="1800"/>
          <w:tab w:val="left" w:pos="2160"/>
        </w:tabs>
        <w:rPr>
          <w:b/>
        </w:rPr>
      </w:pPr>
      <w:r w:rsidRPr="001D4EB6">
        <w:rPr>
          <w:b/>
        </w:rPr>
        <w:lastRenderedPageBreak/>
        <w:t>Recommended resources</w:t>
      </w:r>
      <w:r>
        <w:rPr>
          <w:b/>
        </w:rPr>
        <w:t>:</w:t>
      </w:r>
    </w:p>
    <w:p w14:paraId="1FEEEF05" w14:textId="4A4400A4" w:rsidR="00FA4265" w:rsidRPr="00910462" w:rsidRDefault="00FA4265" w:rsidP="00EC5B5A">
      <w:pPr>
        <w:numPr>
          <w:ilvl w:val="0"/>
          <w:numId w:val="67"/>
        </w:numPr>
        <w:ind w:left="360"/>
      </w:pPr>
      <w:r w:rsidRPr="00910462">
        <w:rPr>
          <w:i/>
        </w:rPr>
        <w:t>The Massachusetts Standards for Professional Development</w:t>
      </w:r>
      <w:r w:rsidRPr="00910462">
        <w:t xml:space="preserve"> </w:t>
      </w:r>
      <w:r w:rsidR="00D22733">
        <w:t>(</w:t>
      </w:r>
      <w:hyperlink r:id="rId34" w:history="1">
        <w:r w:rsidR="00D22733" w:rsidRPr="00D22733">
          <w:rPr>
            <w:rStyle w:val="Hyperlink"/>
          </w:rPr>
          <w:t>http://www.doe.mass.edu/pd/standards.html</w:t>
        </w:r>
      </w:hyperlink>
      <w:r w:rsidR="00D22733">
        <w:t>)</w:t>
      </w:r>
      <w:r w:rsidRPr="00910462">
        <w:t xml:space="preserve"> describe, identify, and characterize what high quality learning experiences should look like for educators.</w:t>
      </w:r>
    </w:p>
    <w:p w14:paraId="73CECA5D" w14:textId="1D094181" w:rsidR="00FA4265" w:rsidRPr="00910462" w:rsidRDefault="00FA4265" w:rsidP="00EC5B5A">
      <w:pPr>
        <w:pStyle w:val="ListParagraph"/>
        <w:numPr>
          <w:ilvl w:val="0"/>
          <w:numId w:val="71"/>
        </w:numPr>
        <w:ind w:left="360"/>
        <w:contextualSpacing w:val="0"/>
        <w:rPr>
          <w:rFonts w:cs="Calibri"/>
          <w:b/>
        </w:rPr>
      </w:pPr>
      <w:r w:rsidRPr="00910462">
        <w:rPr>
          <w:rFonts w:cs="Calibri"/>
        </w:rPr>
        <w:t>ESE’s</w:t>
      </w:r>
      <w:r w:rsidR="00D22733">
        <w:rPr>
          <w:rFonts w:cs="Calibri"/>
          <w:i/>
        </w:rPr>
        <w:t xml:space="preserve"> Professional Development Self-</w:t>
      </w:r>
      <w:r w:rsidRPr="00910462">
        <w:rPr>
          <w:rFonts w:cs="Calibri"/>
          <w:i/>
        </w:rPr>
        <w:t xml:space="preserve">Assessment Guidebook </w:t>
      </w:r>
      <w:r w:rsidRPr="00910462">
        <w:rPr>
          <w:rFonts w:cs="Calibri"/>
        </w:rPr>
        <w:t>(</w:t>
      </w:r>
      <w:hyperlink r:id="rId35" w:history="1">
        <w:r w:rsidRPr="00910462">
          <w:rPr>
            <w:rStyle w:val="Hyperlink"/>
          </w:rPr>
          <w:t>http://www.mass.gov/edu/docs/ese/accountability/dsac/professional-development-self-assessment-guide.pdf</w:t>
        </w:r>
      </w:hyperlink>
      <w:r w:rsidRPr="00910462">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14:paraId="76EF220E" w14:textId="346A57BF" w:rsidR="00D22733" w:rsidRDefault="00D22733" w:rsidP="00EC5B5A">
      <w:pPr>
        <w:pStyle w:val="ListParagraph"/>
        <w:numPr>
          <w:ilvl w:val="0"/>
          <w:numId w:val="72"/>
        </w:numPr>
        <w:tabs>
          <w:tab w:val="left" w:pos="360"/>
          <w:tab w:val="left" w:pos="720"/>
          <w:tab w:val="left" w:pos="1080"/>
          <w:tab w:val="left" w:pos="1800"/>
          <w:tab w:val="left" w:pos="2160"/>
        </w:tabs>
        <w:ind w:left="360"/>
        <w:contextualSpacing w:val="0"/>
      </w:pPr>
      <w:r w:rsidRPr="00D22733">
        <w:rPr>
          <w:i/>
        </w:rPr>
        <w:t>Identifying Meaningful Professional Development</w:t>
      </w:r>
      <w:r w:rsidRPr="00114C66">
        <w:t xml:space="preserve"> (</w:t>
      </w:r>
      <w:hyperlink r:id="rId36"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p>
    <w:p w14:paraId="79D3855E" w14:textId="77777777" w:rsidR="00D22733" w:rsidRPr="00910462" w:rsidRDefault="00D22733" w:rsidP="00254330">
      <w:pPr>
        <w:pStyle w:val="ListParagraph"/>
        <w:numPr>
          <w:ilvl w:val="2"/>
          <w:numId w:val="28"/>
        </w:numPr>
        <w:ind w:left="360"/>
        <w:contextualSpacing w:val="0"/>
        <w:rPr>
          <w:rFonts w:cs="Calibri"/>
          <w:b/>
        </w:rPr>
      </w:pPr>
      <w:r w:rsidRPr="00DA1086">
        <w:t xml:space="preserve">The </w:t>
      </w:r>
      <w:r w:rsidRPr="00DA1086">
        <w:rPr>
          <w:i/>
        </w:rPr>
        <w:t>2015 Guidelines for Induction &amp; Mentoring Programs</w:t>
      </w:r>
      <w:r w:rsidRPr="00DA1086">
        <w:t xml:space="preserve"> (</w:t>
      </w:r>
      <w:hyperlink r:id="rId37" w:history="1">
        <w:r w:rsidRPr="00DA1086">
          <w:rPr>
            <w:rStyle w:val="Hyperlink"/>
            <w:rFonts w:cs="Calibri"/>
          </w:rPr>
          <w:t>http://www.doe.mass.edu/educators/mentor/guidelines.pdf</w:t>
        </w:r>
      </w:hyperlink>
      <w:r w:rsidRPr="00DA1086">
        <w:t>)</w:t>
      </w:r>
      <w:r>
        <w:t xml:space="preserve"> </w:t>
      </w:r>
      <w:r w:rsidRPr="00DA1086">
        <w:t>provides updated information for how districts can develop, implement, and</w:t>
      </w:r>
      <w:r w:rsidRPr="00910462">
        <w:t xml:space="preserve"> refine induction and mentoring programs for educators new to the profession, the district, and/or their roles. </w:t>
      </w:r>
      <w:r w:rsidRPr="00910462">
        <w:rPr>
          <w:rFonts w:cs="Calibri"/>
          <w:b/>
        </w:rPr>
        <w:t xml:space="preserve"> </w:t>
      </w:r>
    </w:p>
    <w:p w14:paraId="4403C565" w14:textId="77777777" w:rsidR="00D22733" w:rsidRPr="00577358" w:rsidRDefault="00D22733" w:rsidP="002E3BD4">
      <w:pPr>
        <w:tabs>
          <w:tab w:val="left" w:pos="360"/>
          <w:tab w:val="left" w:pos="720"/>
          <w:tab w:val="left" w:pos="1080"/>
          <w:tab w:val="left" w:pos="1800"/>
          <w:tab w:val="left" w:pos="2160"/>
        </w:tabs>
        <w:rPr>
          <w:b/>
        </w:rPr>
      </w:pPr>
    </w:p>
    <w:p w14:paraId="6D0099EB" w14:textId="77777777" w:rsidR="002E3BD4" w:rsidRPr="00123F26" w:rsidRDefault="002E3BD4" w:rsidP="002E3BD4">
      <w:pPr>
        <w:tabs>
          <w:tab w:val="left" w:pos="360"/>
          <w:tab w:val="left" w:pos="1080"/>
          <w:tab w:val="left" w:pos="1440"/>
          <w:tab w:val="left" w:pos="1800"/>
          <w:tab w:val="left" w:pos="2160"/>
        </w:tabs>
      </w:pPr>
    </w:p>
    <w:p w14:paraId="0C08FFAD" w14:textId="77777777" w:rsidR="0023695F" w:rsidRDefault="00342350" w:rsidP="0023695F">
      <w:pPr>
        <w:pStyle w:val="Section"/>
      </w:pPr>
      <w:bookmarkStart w:id="15" w:name="_Toc536687553"/>
      <w:r>
        <w:lastRenderedPageBreak/>
        <w:t>Student Support</w:t>
      </w:r>
      <w:bookmarkEnd w:id="15"/>
    </w:p>
    <w:p w14:paraId="7B6D9EAA" w14:textId="3EB25EB2" w:rsidR="005A7E55" w:rsidRDefault="005A7E55" w:rsidP="005A7E55">
      <w:pPr>
        <w:rPr>
          <w:b/>
          <w:i/>
          <w:sz w:val="28"/>
          <w:szCs w:val="28"/>
        </w:rPr>
      </w:pPr>
      <w:r w:rsidRPr="00C412C4">
        <w:rPr>
          <w:b/>
          <w:i/>
          <w:sz w:val="28"/>
          <w:szCs w:val="28"/>
        </w:rPr>
        <w:t>Contextual Background</w:t>
      </w:r>
    </w:p>
    <w:p w14:paraId="0455B0AA" w14:textId="50975B6A" w:rsidR="00AF155E" w:rsidRDefault="00AF155E" w:rsidP="00AF155E">
      <w:pPr>
        <w:rPr>
          <w:rFonts w:cstheme="minorHAnsi"/>
        </w:rPr>
      </w:pPr>
      <w:r>
        <w:rPr>
          <w:rFonts w:cstheme="minorHAnsi"/>
        </w:rPr>
        <w:t>Framingham is a high growth community. Student enrollment increased by 8.2 percent from 2015 to 2019,</w:t>
      </w:r>
      <w:r w:rsidRPr="00A55ADB">
        <w:t xml:space="preserve"> </w:t>
      </w:r>
      <w:r w:rsidRPr="00D11DA0">
        <w:t xml:space="preserve">from </w:t>
      </w:r>
      <w:r>
        <w:t>8,153</w:t>
      </w:r>
      <w:r w:rsidRPr="00D11DA0">
        <w:t xml:space="preserve"> in 201</w:t>
      </w:r>
      <w:r>
        <w:t>5</w:t>
      </w:r>
      <w:r w:rsidRPr="00D11DA0">
        <w:t xml:space="preserve"> to 8,</w:t>
      </w:r>
      <w:r>
        <w:t>822</w:t>
      </w:r>
      <w:r w:rsidRPr="00D11DA0">
        <w:t xml:space="preserve"> in 201</w:t>
      </w:r>
      <w:r>
        <w:t>9</w:t>
      </w:r>
      <w:r>
        <w:rPr>
          <w:rFonts w:cstheme="minorHAnsi"/>
        </w:rPr>
        <w:t xml:space="preserve">. The district’s rising percentages of </w:t>
      </w:r>
      <w:proofErr w:type="gramStart"/>
      <w:r>
        <w:rPr>
          <w:rFonts w:cstheme="minorHAnsi"/>
        </w:rPr>
        <w:t>economically disadvantaged</w:t>
      </w:r>
      <w:proofErr w:type="gramEnd"/>
      <w:r>
        <w:rPr>
          <w:rFonts w:cstheme="minorHAnsi"/>
        </w:rPr>
        <w:t xml:space="preserve"> students, English learners, and students whose first language is not English exceeded the statewide averages for these student groups in 2018–2019. </w:t>
      </w:r>
      <w:r w:rsidRPr="00AF155E">
        <w:rPr>
          <w:rFonts w:cstheme="minorHAnsi"/>
        </w:rPr>
        <w:t xml:space="preserve">Between 2015 and 2019, the proportion of students with disabilities fluctuated with an overall decrease, from 23.6 percent in 2015 to 22.9 percent in 2019, compared with the 2019 state average of 18.1 </w:t>
      </w:r>
      <w:r w:rsidRPr="00022B64">
        <w:rPr>
          <w:rFonts w:cstheme="minorHAnsi"/>
        </w:rPr>
        <w:t>percent.</w:t>
      </w:r>
      <w:r w:rsidR="00D3587D" w:rsidRPr="00022B64">
        <w:rPr>
          <w:rFonts w:cstheme="minorHAnsi"/>
        </w:rPr>
        <w:t xml:space="preserve"> </w:t>
      </w:r>
      <w:r w:rsidR="00022B64" w:rsidRPr="00406A80">
        <w:t>T</w:t>
      </w:r>
      <w:r w:rsidR="00D3587D" w:rsidRPr="00022B64">
        <w:t xml:space="preserve">here </w:t>
      </w:r>
      <w:r w:rsidR="00D3587D" w:rsidRPr="00022B64">
        <w:rPr>
          <w:rFonts w:cstheme="minorHAnsi"/>
        </w:rPr>
        <w:t xml:space="preserve">are </w:t>
      </w:r>
      <w:r w:rsidR="00022B64" w:rsidRPr="00406A80">
        <w:rPr>
          <w:rFonts w:cstheme="minorHAnsi"/>
        </w:rPr>
        <w:t>more than</w:t>
      </w:r>
      <w:r w:rsidR="00D3587D" w:rsidRPr="00022B64">
        <w:rPr>
          <w:rFonts w:cstheme="minorHAnsi"/>
        </w:rPr>
        <w:t xml:space="preserve"> 400 homeless students enrolled in the district’s schools.</w:t>
      </w:r>
    </w:p>
    <w:p w14:paraId="377ABC36" w14:textId="560DC304" w:rsidR="00170EA9" w:rsidRDefault="00170EA9" w:rsidP="00170EA9">
      <w:pPr>
        <w:rPr>
          <w:rFonts w:cstheme="minorHAnsi"/>
        </w:rPr>
      </w:pPr>
      <w:r w:rsidRPr="00C64CD6">
        <w:rPr>
          <w:rFonts w:cstheme="minorHAnsi"/>
        </w:rPr>
        <w:t>The district implement</w:t>
      </w:r>
      <w:r>
        <w:rPr>
          <w:rFonts w:cstheme="minorHAnsi"/>
        </w:rPr>
        <w:t xml:space="preserve">s a multi-tiered system of support.  Tiers 2 and 3 levels of </w:t>
      </w:r>
      <w:r w:rsidRPr="00C64CD6">
        <w:rPr>
          <w:rFonts w:cstheme="minorHAnsi"/>
        </w:rPr>
        <w:t>support</w:t>
      </w:r>
      <w:r>
        <w:rPr>
          <w:rFonts w:cstheme="minorHAnsi"/>
        </w:rPr>
        <w:t xml:space="preserve"> provide coaches to support teaching </w:t>
      </w:r>
      <w:r w:rsidRPr="00C64CD6">
        <w:rPr>
          <w:rFonts w:cstheme="minorHAnsi"/>
        </w:rPr>
        <w:t>for math</w:t>
      </w:r>
      <w:r>
        <w:rPr>
          <w:rFonts w:cstheme="minorHAnsi"/>
        </w:rPr>
        <w:t>ematics</w:t>
      </w:r>
      <w:r w:rsidRPr="00C64CD6">
        <w:rPr>
          <w:rFonts w:cstheme="minorHAnsi"/>
        </w:rPr>
        <w:t>, ELA</w:t>
      </w:r>
      <w:r>
        <w:rPr>
          <w:rFonts w:cstheme="minorHAnsi"/>
        </w:rPr>
        <w:t>,</w:t>
      </w:r>
      <w:r w:rsidRPr="00C64CD6">
        <w:rPr>
          <w:rFonts w:cstheme="minorHAnsi"/>
        </w:rPr>
        <w:t xml:space="preserve"> and EL</w:t>
      </w:r>
      <w:r>
        <w:rPr>
          <w:rFonts w:cstheme="minorHAnsi"/>
        </w:rPr>
        <w:t>D.</w:t>
      </w:r>
      <w:r w:rsidRPr="00C64CD6">
        <w:rPr>
          <w:rFonts w:cstheme="minorHAnsi"/>
        </w:rPr>
        <w:t xml:space="preserve"> </w:t>
      </w:r>
      <w:r>
        <w:rPr>
          <w:rFonts w:cstheme="minorHAnsi"/>
        </w:rPr>
        <w:t xml:space="preserve"> In the district-defined Tier 2 and 3 schools, there are co-taught classes with general and special education teachers</w:t>
      </w:r>
      <w:r w:rsidRPr="00C64CD6">
        <w:rPr>
          <w:rFonts w:cstheme="minorHAnsi"/>
        </w:rPr>
        <w:t xml:space="preserve">. </w:t>
      </w:r>
      <w:r>
        <w:rPr>
          <w:rFonts w:cstheme="minorHAnsi"/>
        </w:rPr>
        <w:t xml:space="preserve"> However, at the high school, only the history and social studies department uses co-teaching as a strategy.  </w:t>
      </w:r>
      <w:r w:rsidRPr="00C64CD6">
        <w:rPr>
          <w:rFonts w:cstheme="minorHAnsi"/>
        </w:rPr>
        <w:t>The district has recently seen a decline in student referrals for special education at the elementary and middle</w:t>
      </w:r>
      <w:r>
        <w:rPr>
          <w:rFonts w:cstheme="minorHAnsi"/>
        </w:rPr>
        <w:t>-</w:t>
      </w:r>
      <w:r w:rsidRPr="00C64CD6">
        <w:rPr>
          <w:rFonts w:cstheme="minorHAnsi"/>
        </w:rPr>
        <w:t>school level</w:t>
      </w:r>
      <w:r>
        <w:rPr>
          <w:rFonts w:cstheme="minorHAnsi"/>
        </w:rPr>
        <w:t xml:space="preserve">s that district leaders have </w:t>
      </w:r>
      <w:r w:rsidRPr="00C64CD6">
        <w:rPr>
          <w:rFonts w:cstheme="minorHAnsi"/>
        </w:rPr>
        <w:t>attribut</w:t>
      </w:r>
      <w:r>
        <w:rPr>
          <w:rFonts w:cstheme="minorHAnsi"/>
        </w:rPr>
        <w:t>ed</w:t>
      </w:r>
      <w:r w:rsidRPr="00C64CD6">
        <w:rPr>
          <w:rFonts w:cstheme="minorHAnsi"/>
        </w:rPr>
        <w:t xml:space="preserve"> to </w:t>
      </w:r>
      <w:r>
        <w:rPr>
          <w:rFonts w:cstheme="minorHAnsi"/>
        </w:rPr>
        <w:t>the t</w:t>
      </w:r>
      <w:r w:rsidRPr="00C64CD6">
        <w:rPr>
          <w:rFonts w:cstheme="minorHAnsi"/>
        </w:rPr>
        <w:t>iered support</w:t>
      </w:r>
      <w:r>
        <w:rPr>
          <w:rFonts w:cstheme="minorHAnsi"/>
        </w:rPr>
        <w:t xml:space="preserve"> system for students</w:t>
      </w:r>
      <w:r w:rsidRPr="00C64CD6">
        <w:rPr>
          <w:rFonts w:cstheme="minorHAnsi"/>
        </w:rPr>
        <w:t>.</w:t>
      </w:r>
    </w:p>
    <w:p w14:paraId="24D7B0A9" w14:textId="5CF2CD03" w:rsidR="00593550" w:rsidRDefault="00593550" w:rsidP="00593550">
      <w:pPr>
        <w:rPr>
          <w:rFonts w:cstheme="minorHAnsi"/>
        </w:rPr>
      </w:pPr>
      <w:r>
        <w:rPr>
          <w:rFonts w:cstheme="minorHAnsi"/>
        </w:rPr>
        <w:t>In almost all key performance indicators, opportunity and achievement gaps between student groups are evident.  To succeed in school, many students require more intensive academic, social-emotional, and behavioral support and interventions.  These are priorities that the district continues to pursue with an evolving set of strategies. At the high school level, these include</w:t>
      </w:r>
      <w:r w:rsidR="00255FAA" w:rsidRPr="005C1AC7">
        <w:rPr>
          <w:rFonts w:cstheme="minorHAnsi"/>
        </w:rPr>
        <w:t xml:space="preserve">: </w:t>
      </w:r>
      <w:r w:rsidR="00255FAA" w:rsidRPr="00406A80">
        <w:rPr>
          <w:rFonts w:cstheme="minorHAnsi"/>
        </w:rPr>
        <w:t>identifying and supporting students who are old for their grade and therefore at high risk of dropping ou</w:t>
      </w:r>
      <w:r w:rsidR="00255FAA" w:rsidRPr="005C1AC7">
        <w:rPr>
          <w:rFonts w:cstheme="minorHAnsi"/>
        </w:rPr>
        <w:t xml:space="preserve">t; </w:t>
      </w:r>
      <w:r w:rsidR="00255FAA" w:rsidRPr="00406A80">
        <w:rPr>
          <w:rFonts w:cstheme="minorHAnsi"/>
        </w:rPr>
        <w:t>programs such as Step up to Excellence, which provides mentoring and support for economically disadvantaged students</w:t>
      </w:r>
      <w:r w:rsidR="00255FAA" w:rsidRPr="005C1AC7">
        <w:rPr>
          <w:rFonts w:cstheme="minorHAnsi"/>
        </w:rPr>
        <w:t>; an</w:t>
      </w:r>
      <w:r w:rsidR="00255FAA">
        <w:rPr>
          <w:rFonts w:cstheme="minorHAnsi"/>
        </w:rPr>
        <w:t xml:space="preserve"> academic development center for tutoring during the school day; peer tutoring after school; and the Cornerstones Program, through which two teachers and a social worker support retained students.</w:t>
      </w:r>
    </w:p>
    <w:p w14:paraId="7A9336A2" w14:textId="176E5093" w:rsidR="00170EA9" w:rsidRDefault="00170EA9" w:rsidP="00170EA9">
      <w:pPr>
        <w:rPr>
          <w:rFonts w:cstheme="minorHAnsi"/>
          <w:b/>
          <w:sz w:val="28"/>
          <w:szCs w:val="28"/>
        </w:rPr>
      </w:pPr>
      <w:r>
        <w:rPr>
          <w:rFonts w:cstheme="minorHAnsi"/>
        </w:rPr>
        <w:t>Recently, educators have also addressed issues to improve school culture and climate to encourage student</w:t>
      </w:r>
      <w:r w:rsidR="00025466">
        <w:rPr>
          <w:rFonts w:cstheme="minorHAnsi"/>
        </w:rPr>
        <w:t xml:space="preserve"> engagement </w:t>
      </w:r>
      <w:r>
        <w:rPr>
          <w:rFonts w:cstheme="minorHAnsi"/>
        </w:rPr>
        <w:t xml:space="preserve">in all aspects of school life and promote more positive attitudes toward learning.  A new </w:t>
      </w:r>
      <w:r w:rsidRPr="00C64CD6">
        <w:rPr>
          <w:rFonts w:cstheme="minorHAnsi"/>
        </w:rPr>
        <w:t>policy</w:t>
      </w:r>
      <w:r>
        <w:rPr>
          <w:rFonts w:cstheme="minorHAnsi"/>
        </w:rPr>
        <w:t xml:space="preserve"> to eliminate all athletic fees </w:t>
      </w:r>
      <w:r w:rsidR="00C71D92">
        <w:rPr>
          <w:rFonts w:cstheme="minorHAnsi"/>
        </w:rPr>
        <w:t xml:space="preserve">helps provide access to sports for </w:t>
      </w:r>
      <w:r w:rsidRPr="00C64CD6">
        <w:rPr>
          <w:rFonts w:cstheme="minorHAnsi"/>
        </w:rPr>
        <w:t xml:space="preserve">all </w:t>
      </w:r>
      <w:r>
        <w:rPr>
          <w:rFonts w:cstheme="minorHAnsi"/>
        </w:rPr>
        <w:t>students</w:t>
      </w:r>
      <w:r w:rsidRPr="00C64CD6">
        <w:rPr>
          <w:rFonts w:cstheme="minorHAnsi"/>
        </w:rPr>
        <w:t xml:space="preserve">. </w:t>
      </w:r>
      <w:r>
        <w:rPr>
          <w:rFonts w:cstheme="minorHAnsi"/>
        </w:rPr>
        <w:t xml:space="preserve">Added late buses at the high school encourage participation in after-school activities.  The district now provides its diverse student population at the secondary level with programs, activities, and electives that feature topics and texts that enhance students’ awareness and understanding of the district’s rich and varied ethnic and racial student groups and students’ gender </w:t>
      </w:r>
      <w:r w:rsidR="000B3BCE">
        <w:rPr>
          <w:rFonts w:cstheme="minorHAnsi"/>
        </w:rPr>
        <w:t>identity</w:t>
      </w:r>
      <w:r>
        <w:rPr>
          <w:rFonts w:cstheme="minorHAnsi"/>
        </w:rPr>
        <w:t>. For example, t</w:t>
      </w:r>
      <w:r w:rsidRPr="00C64CD6">
        <w:rPr>
          <w:rFonts w:cstheme="minorHAnsi"/>
        </w:rPr>
        <w:t xml:space="preserve">he high school offers over </w:t>
      </w:r>
      <w:r>
        <w:rPr>
          <w:rFonts w:cstheme="minorHAnsi"/>
        </w:rPr>
        <w:t>60</w:t>
      </w:r>
      <w:r w:rsidRPr="00C64CD6">
        <w:rPr>
          <w:rFonts w:cstheme="minorHAnsi"/>
        </w:rPr>
        <w:t xml:space="preserve"> different clubs</w:t>
      </w:r>
      <w:r>
        <w:rPr>
          <w:rFonts w:cstheme="minorHAnsi"/>
        </w:rPr>
        <w:t xml:space="preserve"> such as a </w:t>
      </w:r>
      <w:r w:rsidRPr="00C64CD6">
        <w:rPr>
          <w:rFonts w:cstheme="minorHAnsi"/>
        </w:rPr>
        <w:t xml:space="preserve">Black </w:t>
      </w:r>
      <w:r>
        <w:rPr>
          <w:rFonts w:cstheme="minorHAnsi"/>
        </w:rPr>
        <w:t>s</w:t>
      </w:r>
      <w:r w:rsidRPr="00C64CD6">
        <w:rPr>
          <w:rFonts w:cstheme="minorHAnsi"/>
        </w:rPr>
        <w:t xml:space="preserve">tudent </w:t>
      </w:r>
      <w:r>
        <w:rPr>
          <w:rFonts w:cstheme="minorHAnsi"/>
        </w:rPr>
        <w:t>u</w:t>
      </w:r>
      <w:r w:rsidRPr="00C64CD6">
        <w:rPr>
          <w:rFonts w:cstheme="minorHAnsi"/>
        </w:rPr>
        <w:t xml:space="preserve">nion, Jewish </w:t>
      </w:r>
      <w:r>
        <w:rPr>
          <w:rFonts w:cstheme="minorHAnsi"/>
        </w:rPr>
        <w:t>s</w:t>
      </w:r>
      <w:r w:rsidRPr="00C64CD6">
        <w:rPr>
          <w:rFonts w:cstheme="minorHAnsi"/>
        </w:rPr>
        <w:t xml:space="preserve">tudent </w:t>
      </w:r>
      <w:r>
        <w:rPr>
          <w:rFonts w:cstheme="minorHAnsi"/>
        </w:rPr>
        <w:t>u</w:t>
      </w:r>
      <w:r w:rsidRPr="00C64CD6">
        <w:rPr>
          <w:rFonts w:cstheme="minorHAnsi"/>
        </w:rPr>
        <w:t>nion, and LGBTQ</w:t>
      </w:r>
      <w:r>
        <w:rPr>
          <w:rStyle w:val="FootnoteReference"/>
          <w:rFonts w:cstheme="minorHAnsi"/>
        </w:rPr>
        <w:footnoteReference w:id="13"/>
      </w:r>
      <w:r w:rsidRPr="00C64CD6">
        <w:rPr>
          <w:rFonts w:cstheme="minorHAnsi"/>
        </w:rPr>
        <w:t xml:space="preserve"> club. The high school also provides after</w:t>
      </w:r>
      <w:r>
        <w:rPr>
          <w:rFonts w:cstheme="minorHAnsi"/>
        </w:rPr>
        <w:t>-</w:t>
      </w:r>
      <w:r w:rsidRPr="00C64CD6">
        <w:rPr>
          <w:rFonts w:cstheme="minorHAnsi"/>
        </w:rPr>
        <w:t xml:space="preserve">school peer mentoring programs through the </w:t>
      </w:r>
      <w:r>
        <w:rPr>
          <w:rFonts w:cstheme="minorHAnsi"/>
        </w:rPr>
        <w:t>a</w:t>
      </w:r>
      <w:r w:rsidRPr="00C64CD6">
        <w:rPr>
          <w:rFonts w:cstheme="minorHAnsi"/>
        </w:rPr>
        <w:t xml:space="preserve">cademic </w:t>
      </w:r>
      <w:r>
        <w:rPr>
          <w:rFonts w:cstheme="minorHAnsi"/>
        </w:rPr>
        <w:t>d</w:t>
      </w:r>
      <w:r w:rsidRPr="00C64CD6">
        <w:rPr>
          <w:rFonts w:cstheme="minorHAnsi"/>
        </w:rPr>
        <w:t xml:space="preserve">evelopment </w:t>
      </w:r>
      <w:r>
        <w:rPr>
          <w:rFonts w:cstheme="minorHAnsi"/>
        </w:rPr>
        <w:t>c</w:t>
      </w:r>
      <w:r w:rsidRPr="00C64CD6">
        <w:rPr>
          <w:rFonts w:cstheme="minorHAnsi"/>
        </w:rPr>
        <w:t xml:space="preserve">enter and </w:t>
      </w:r>
      <w:r>
        <w:rPr>
          <w:rFonts w:cstheme="minorHAnsi"/>
        </w:rPr>
        <w:t>the Step Up to Excellence</w:t>
      </w:r>
      <w:r w:rsidRPr="00C64CD6">
        <w:rPr>
          <w:rFonts w:cstheme="minorHAnsi"/>
        </w:rPr>
        <w:t xml:space="preserve"> program</w:t>
      </w:r>
      <w:r>
        <w:rPr>
          <w:rFonts w:cstheme="minorHAnsi"/>
        </w:rPr>
        <w:t>.</w:t>
      </w:r>
    </w:p>
    <w:p w14:paraId="3BF4E9BE" w14:textId="39A4899A" w:rsidR="00D13890" w:rsidRDefault="00D13890" w:rsidP="00D13890">
      <w:pPr>
        <w:rPr>
          <w:rFonts w:cstheme="minorHAnsi"/>
        </w:rPr>
      </w:pPr>
      <w:r>
        <w:rPr>
          <w:rFonts w:cstheme="minorHAnsi"/>
        </w:rPr>
        <w:t xml:space="preserve">In addition to the directors for special education and English language development (ELD), the district has recently created a new role of assistant superintendent for equity, diversity, and community </w:t>
      </w:r>
      <w:r>
        <w:rPr>
          <w:rFonts w:cstheme="minorHAnsi"/>
        </w:rPr>
        <w:lastRenderedPageBreak/>
        <w:t xml:space="preserve">development.  The new assistant superintendent is responsible for creating opportunities to “define, assess and promote diversity, equity, and inclusion.”  He teams with leaders in the office of teaching and learning on curriculum and with the office of human resources to address staff </w:t>
      </w:r>
      <w:r w:rsidR="00034A3B">
        <w:rPr>
          <w:rFonts w:cstheme="minorHAnsi"/>
        </w:rPr>
        <w:t xml:space="preserve">recruitment </w:t>
      </w:r>
      <w:r>
        <w:rPr>
          <w:rFonts w:cstheme="minorHAnsi"/>
        </w:rPr>
        <w:t>and diversity in hiring.  In addition, he oversees and develops the district’s partnerships with local businesses and other community organizations.</w:t>
      </w:r>
    </w:p>
    <w:p w14:paraId="0D22ACB4" w14:textId="46AB8D45" w:rsidR="00D13890" w:rsidRPr="00C64CD6" w:rsidRDefault="00D13890" w:rsidP="00D13890">
      <w:pPr>
        <w:tabs>
          <w:tab w:val="left" w:pos="360"/>
          <w:tab w:val="left" w:pos="720"/>
          <w:tab w:val="left" w:pos="1080"/>
          <w:tab w:val="left" w:pos="1440"/>
          <w:tab w:val="left" w:pos="1800"/>
          <w:tab w:val="left" w:pos="2160"/>
        </w:tabs>
        <w:rPr>
          <w:rFonts w:cstheme="minorHAnsi"/>
          <w:b/>
          <w:sz w:val="28"/>
          <w:szCs w:val="28"/>
        </w:rPr>
      </w:pPr>
      <w:r w:rsidRPr="00C64CD6">
        <w:rPr>
          <w:rFonts w:cstheme="minorHAnsi"/>
          <w:b/>
          <w:sz w:val="28"/>
          <w:szCs w:val="28"/>
        </w:rPr>
        <w:t xml:space="preserve">Strength Findings </w:t>
      </w:r>
    </w:p>
    <w:p w14:paraId="06483588" w14:textId="7F8957FA" w:rsidR="00D13890" w:rsidRPr="00C64CD6" w:rsidRDefault="00D13890" w:rsidP="00D13890">
      <w:pPr>
        <w:tabs>
          <w:tab w:val="left" w:pos="360"/>
          <w:tab w:val="left" w:pos="720"/>
          <w:tab w:val="left" w:pos="1080"/>
          <w:tab w:val="left" w:pos="1440"/>
          <w:tab w:val="left" w:pos="1800"/>
          <w:tab w:val="left" w:pos="2160"/>
        </w:tabs>
        <w:ind w:left="360" w:hanging="360"/>
        <w:rPr>
          <w:rFonts w:cstheme="minorHAnsi"/>
          <w:b/>
          <w:i/>
        </w:rPr>
      </w:pPr>
      <w:r w:rsidRPr="00C64CD6">
        <w:rPr>
          <w:rFonts w:cstheme="minorHAnsi"/>
          <w:b/>
        </w:rPr>
        <w:t xml:space="preserve">1. </w:t>
      </w:r>
      <w:r w:rsidRPr="00C64CD6">
        <w:rPr>
          <w:rFonts w:cstheme="minorHAnsi"/>
          <w:b/>
        </w:rPr>
        <w:tab/>
      </w:r>
      <w:r w:rsidRPr="004938E1">
        <w:rPr>
          <w:rFonts w:cstheme="minorHAnsi"/>
          <w:b/>
        </w:rPr>
        <w:t xml:space="preserve">The district has taken steps to create </w:t>
      </w:r>
      <w:r>
        <w:rPr>
          <w:rFonts w:cstheme="minorHAnsi"/>
          <w:b/>
        </w:rPr>
        <w:t xml:space="preserve">a </w:t>
      </w:r>
      <w:r w:rsidRPr="004938E1">
        <w:rPr>
          <w:rFonts w:cstheme="minorHAnsi"/>
          <w:b/>
        </w:rPr>
        <w:t>school culture and climate characterized by safe, positive, inclusive</w:t>
      </w:r>
      <w:r w:rsidR="001277D3">
        <w:rPr>
          <w:rFonts w:cstheme="minorHAnsi"/>
          <w:b/>
        </w:rPr>
        <w:t>,</w:t>
      </w:r>
      <w:r w:rsidRPr="004938E1">
        <w:rPr>
          <w:rFonts w:cstheme="minorHAnsi"/>
          <w:b/>
        </w:rPr>
        <w:t xml:space="preserve"> and welcoming learning environments </w:t>
      </w:r>
      <w:r w:rsidR="00FA4227">
        <w:rPr>
          <w:rFonts w:cstheme="minorHAnsi"/>
          <w:b/>
        </w:rPr>
        <w:t>in</w:t>
      </w:r>
      <w:r w:rsidRPr="004938E1">
        <w:rPr>
          <w:rFonts w:cstheme="minorHAnsi"/>
          <w:b/>
        </w:rPr>
        <w:t xml:space="preserve"> schools.</w:t>
      </w:r>
      <w:r>
        <w:rPr>
          <w:rFonts w:cstheme="minorHAnsi"/>
        </w:rPr>
        <w:t xml:space="preserve">  </w:t>
      </w:r>
    </w:p>
    <w:p w14:paraId="1B3A6877" w14:textId="229BA891" w:rsidR="00D13890" w:rsidRPr="00C64CD6" w:rsidRDefault="00D13890" w:rsidP="00D13890">
      <w:pPr>
        <w:tabs>
          <w:tab w:val="left" w:pos="720"/>
          <w:tab w:val="left" w:pos="1080"/>
          <w:tab w:val="left" w:pos="1440"/>
          <w:tab w:val="left" w:pos="1800"/>
          <w:tab w:val="left" w:pos="2160"/>
        </w:tabs>
        <w:ind w:left="720" w:hanging="360"/>
        <w:rPr>
          <w:rFonts w:cstheme="minorHAnsi"/>
        </w:rPr>
      </w:pPr>
      <w:r w:rsidRPr="00C737A7">
        <w:rPr>
          <w:rFonts w:cstheme="minorHAnsi"/>
          <w:b/>
        </w:rPr>
        <w:t>A.</w:t>
      </w:r>
      <w:r w:rsidRPr="00C64CD6">
        <w:rPr>
          <w:rFonts w:cstheme="minorHAnsi"/>
        </w:rPr>
        <w:t xml:space="preserve"> </w:t>
      </w:r>
      <w:r>
        <w:rPr>
          <w:rFonts w:cstheme="minorHAnsi"/>
        </w:rPr>
        <w:t xml:space="preserve">   </w:t>
      </w:r>
      <w:r w:rsidR="001277D3">
        <w:rPr>
          <w:rFonts w:cstheme="minorHAnsi"/>
        </w:rPr>
        <w:t>I</w:t>
      </w:r>
      <w:r>
        <w:rPr>
          <w:rFonts w:cstheme="minorHAnsi"/>
        </w:rPr>
        <w:t xml:space="preserve">nterviews and </w:t>
      </w:r>
      <w:r w:rsidR="001277D3">
        <w:rPr>
          <w:rFonts w:cstheme="minorHAnsi"/>
        </w:rPr>
        <w:t xml:space="preserve">a </w:t>
      </w:r>
      <w:r>
        <w:rPr>
          <w:rFonts w:cstheme="minorHAnsi"/>
        </w:rPr>
        <w:t xml:space="preserve">document review </w:t>
      </w:r>
      <w:r w:rsidR="001277D3">
        <w:rPr>
          <w:rFonts w:cstheme="minorHAnsi"/>
        </w:rPr>
        <w:t>indicated</w:t>
      </w:r>
      <w:r>
        <w:rPr>
          <w:rFonts w:cstheme="minorHAnsi"/>
        </w:rPr>
        <w:t xml:space="preserve"> that t</w:t>
      </w:r>
      <w:r w:rsidRPr="00C64CD6">
        <w:rPr>
          <w:rFonts w:cstheme="minorHAnsi"/>
        </w:rPr>
        <w:t>he district has put in place</w:t>
      </w:r>
      <w:r>
        <w:rPr>
          <w:rFonts w:cstheme="minorHAnsi"/>
        </w:rPr>
        <w:t xml:space="preserve"> </w:t>
      </w:r>
      <w:proofErr w:type="gramStart"/>
      <w:r>
        <w:rPr>
          <w:rFonts w:cstheme="minorHAnsi"/>
        </w:rPr>
        <w:t>a number of</w:t>
      </w:r>
      <w:proofErr w:type="gramEnd"/>
      <w:r w:rsidRPr="00C64CD6">
        <w:rPr>
          <w:rFonts w:cstheme="minorHAnsi"/>
        </w:rPr>
        <w:t xml:space="preserve"> </w:t>
      </w:r>
      <w:r>
        <w:rPr>
          <w:rFonts w:cstheme="minorHAnsi"/>
        </w:rPr>
        <w:t xml:space="preserve">positive approaches to establish a </w:t>
      </w:r>
      <w:r w:rsidRPr="00C64CD6">
        <w:rPr>
          <w:rFonts w:cstheme="minorHAnsi"/>
        </w:rPr>
        <w:t xml:space="preserve">safe and supportive </w:t>
      </w:r>
      <w:r>
        <w:rPr>
          <w:rFonts w:cstheme="minorHAnsi"/>
        </w:rPr>
        <w:t xml:space="preserve">school culture and a school climate conducive to learning at all school levels. </w:t>
      </w:r>
    </w:p>
    <w:p w14:paraId="2AC670B4" w14:textId="50214EC8" w:rsidR="00D13890" w:rsidRPr="002A1397" w:rsidRDefault="00D13890" w:rsidP="002C30C3">
      <w:pPr>
        <w:ind w:left="1080" w:hanging="360"/>
        <w:rPr>
          <w:rFonts w:cstheme="minorHAnsi"/>
          <w:color w:val="000000" w:themeColor="text1"/>
        </w:rPr>
      </w:pPr>
      <w:r w:rsidRPr="00C64CD6">
        <w:rPr>
          <w:rFonts w:cstheme="minorHAnsi"/>
        </w:rPr>
        <w:t xml:space="preserve">1. </w:t>
      </w:r>
      <w:r>
        <w:rPr>
          <w:rFonts w:cstheme="minorHAnsi"/>
        </w:rPr>
        <w:tab/>
      </w:r>
      <w:r w:rsidR="00281533">
        <w:rPr>
          <w:rFonts w:cstheme="minorHAnsi"/>
        </w:rPr>
        <w:t>The district has initiated</w:t>
      </w:r>
      <w:r w:rsidRPr="002A1397">
        <w:rPr>
          <w:rFonts w:cstheme="minorHAnsi"/>
          <w:color w:val="000000" w:themeColor="text1"/>
        </w:rPr>
        <w:t xml:space="preserve"> </w:t>
      </w:r>
      <w:r w:rsidR="0012094C">
        <w:rPr>
          <w:rFonts w:cstheme="minorHAnsi"/>
          <w:color w:val="000000" w:themeColor="text1"/>
        </w:rPr>
        <w:t xml:space="preserve">a </w:t>
      </w:r>
      <w:r w:rsidRPr="002A1397">
        <w:rPr>
          <w:rFonts w:cstheme="minorHAnsi"/>
          <w:color w:val="000000" w:themeColor="text1"/>
        </w:rPr>
        <w:t xml:space="preserve">Positive Behavioral Interventions and Support (PBIS) </w:t>
      </w:r>
      <w:r w:rsidR="00281533">
        <w:rPr>
          <w:rFonts w:cstheme="minorHAnsi"/>
          <w:color w:val="000000" w:themeColor="text1"/>
        </w:rPr>
        <w:t>model</w:t>
      </w:r>
      <w:r w:rsidR="00281533" w:rsidRPr="002A1397">
        <w:rPr>
          <w:rFonts w:cstheme="minorHAnsi"/>
          <w:color w:val="000000" w:themeColor="text1"/>
        </w:rPr>
        <w:t xml:space="preserve"> </w:t>
      </w:r>
      <w:r w:rsidRPr="002A1397">
        <w:rPr>
          <w:rFonts w:cstheme="minorHAnsi"/>
          <w:color w:val="000000" w:themeColor="text1"/>
        </w:rPr>
        <w:t xml:space="preserve">in each </w:t>
      </w:r>
      <w:r w:rsidR="00281533">
        <w:rPr>
          <w:rFonts w:cstheme="minorHAnsi"/>
          <w:color w:val="000000" w:themeColor="text1"/>
        </w:rPr>
        <w:t xml:space="preserve">elementary and middle </w:t>
      </w:r>
      <w:r w:rsidRPr="002A1397">
        <w:rPr>
          <w:rFonts w:cstheme="minorHAnsi"/>
          <w:color w:val="000000" w:themeColor="text1"/>
        </w:rPr>
        <w:t xml:space="preserve">school. </w:t>
      </w:r>
    </w:p>
    <w:p w14:paraId="19DE6A35" w14:textId="7BB96A01" w:rsidR="00D13890" w:rsidRDefault="00D13890" w:rsidP="00D13890">
      <w:pPr>
        <w:ind w:left="1440" w:hanging="360"/>
        <w:rPr>
          <w:rFonts w:cstheme="minorHAnsi"/>
          <w:color w:val="000000" w:themeColor="text1"/>
        </w:rPr>
      </w:pPr>
      <w:r w:rsidRPr="002A1397">
        <w:rPr>
          <w:rFonts w:cstheme="minorHAnsi"/>
          <w:color w:val="000000" w:themeColor="text1"/>
        </w:rPr>
        <w:t>a.</w:t>
      </w:r>
      <w:r w:rsidRPr="002A1397">
        <w:rPr>
          <w:rFonts w:cstheme="minorHAnsi"/>
          <w:color w:val="000000" w:themeColor="text1"/>
        </w:rPr>
        <w:tab/>
      </w:r>
      <w:r w:rsidR="001277D3">
        <w:rPr>
          <w:rFonts w:cstheme="minorHAnsi"/>
          <w:color w:val="000000" w:themeColor="text1"/>
        </w:rPr>
        <w:t>A</w:t>
      </w:r>
      <w:r w:rsidRPr="002A1397">
        <w:rPr>
          <w:rFonts w:cstheme="minorHAnsi"/>
          <w:color w:val="000000" w:themeColor="text1"/>
        </w:rPr>
        <w:t xml:space="preserve"> PBIS coordinator/coach provides technical assistance to </w:t>
      </w:r>
      <w:proofErr w:type="gramStart"/>
      <w:r w:rsidR="0012094C">
        <w:rPr>
          <w:rFonts w:cstheme="minorHAnsi"/>
          <w:color w:val="000000" w:themeColor="text1"/>
        </w:rPr>
        <w:t>school</w:t>
      </w:r>
      <w:r w:rsidRPr="002A1397">
        <w:rPr>
          <w:rFonts w:cstheme="minorHAnsi"/>
          <w:color w:val="000000" w:themeColor="text1"/>
        </w:rPr>
        <w:t>-based</w:t>
      </w:r>
      <w:proofErr w:type="gramEnd"/>
      <w:r w:rsidRPr="002A1397">
        <w:rPr>
          <w:rFonts w:cstheme="minorHAnsi"/>
          <w:color w:val="000000" w:themeColor="text1"/>
        </w:rPr>
        <w:t xml:space="preserve"> PBIS teams. The Fuller </w:t>
      </w:r>
      <w:r w:rsidR="00EC4C49">
        <w:rPr>
          <w:rFonts w:cstheme="minorHAnsi"/>
          <w:color w:val="000000" w:themeColor="text1"/>
        </w:rPr>
        <w:t>M</w:t>
      </w:r>
      <w:r w:rsidR="00EC4C49" w:rsidRPr="002A1397">
        <w:rPr>
          <w:rFonts w:cstheme="minorHAnsi"/>
          <w:color w:val="000000" w:themeColor="text1"/>
        </w:rPr>
        <w:t xml:space="preserve">iddle </w:t>
      </w:r>
      <w:r w:rsidR="00EC4C49">
        <w:rPr>
          <w:rFonts w:cstheme="minorHAnsi"/>
          <w:color w:val="000000" w:themeColor="text1"/>
        </w:rPr>
        <w:t>S</w:t>
      </w:r>
      <w:r w:rsidR="00EC4C49" w:rsidRPr="002A1397">
        <w:rPr>
          <w:rFonts w:cstheme="minorHAnsi"/>
          <w:color w:val="000000" w:themeColor="text1"/>
        </w:rPr>
        <w:t xml:space="preserve">chool </w:t>
      </w:r>
      <w:r w:rsidRPr="002A1397">
        <w:rPr>
          <w:rFonts w:cstheme="minorHAnsi"/>
          <w:color w:val="000000" w:themeColor="text1"/>
        </w:rPr>
        <w:t>has a student success coach</w:t>
      </w:r>
      <w:r>
        <w:rPr>
          <w:rFonts w:cstheme="minorHAnsi"/>
          <w:color w:val="000000" w:themeColor="text1"/>
        </w:rPr>
        <w:t>.</w:t>
      </w:r>
      <w:r w:rsidRPr="001B38EF">
        <w:rPr>
          <w:rStyle w:val="FootnoteReference"/>
          <w:rFonts w:cstheme="minorHAnsi"/>
        </w:rPr>
        <w:t xml:space="preserve"> </w:t>
      </w:r>
    </w:p>
    <w:p w14:paraId="049D2B4E" w14:textId="0657502B" w:rsidR="00D13890" w:rsidRDefault="00D13890" w:rsidP="00D13890">
      <w:pPr>
        <w:ind w:left="1440" w:hanging="360"/>
        <w:rPr>
          <w:rFonts w:cstheme="minorHAnsi"/>
        </w:rPr>
      </w:pPr>
      <w:r>
        <w:rPr>
          <w:rFonts w:cstheme="minorHAnsi"/>
          <w:color w:val="000000" w:themeColor="text1"/>
        </w:rPr>
        <w:t>b.</w:t>
      </w:r>
      <w:r>
        <w:rPr>
          <w:rFonts w:cstheme="minorHAnsi"/>
          <w:color w:val="000000" w:themeColor="text1"/>
        </w:rPr>
        <w:tab/>
      </w:r>
      <w:r w:rsidRPr="002A1397">
        <w:rPr>
          <w:rFonts w:cstheme="minorHAnsi"/>
          <w:color w:val="000000" w:themeColor="text1"/>
        </w:rPr>
        <w:t xml:space="preserve">These </w:t>
      </w:r>
      <w:r w:rsidR="00EC4C49">
        <w:rPr>
          <w:rFonts w:cstheme="minorHAnsi"/>
          <w:color w:val="000000" w:themeColor="text1"/>
        </w:rPr>
        <w:t>c</w:t>
      </w:r>
      <w:r w:rsidR="00EC4C49" w:rsidRPr="002A1397">
        <w:rPr>
          <w:rFonts w:cstheme="minorHAnsi"/>
          <w:color w:val="000000" w:themeColor="text1"/>
        </w:rPr>
        <w:t xml:space="preserve">oaches </w:t>
      </w:r>
      <w:r w:rsidRPr="002A1397">
        <w:rPr>
          <w:rFonts w:cstheme="minorHAnsi"/>
          <w:color w:val="000000" w:themeColor="text1"/>
        </w:rPr>
        <w:t>help students with behavior issues and help staff implement behavior</w:t>
      </w:r>
      <w:r w:rsidR="0012094C">
        <w:rPr>
          <w:rFonts w:cstheme="minorHAnsi"/>
          <w:color w:val="000000" w:themeColor="text1"/>
        </w:rPr>
        <w:t>al</w:t>
      </w:r>
      <w:r w:rsidRPr="002A1397">
        <w:rPr>
          <w:rFonts w:cstheme="minorHAnsi"/>
          <w:color w:val="000000" w:themeColor="text1"/>
        </w:rPr>
        <w:t xml:space="preserve"> expectations and tiered interventions through </w:t>
      </w:r>
      <w:r w:rsidR="008B0AD3">
        <w:rPr>
          <w:rFonts w:cstheme="minorHAnsi"/>
          <w:color w:val="000000" w:themeColor="text1"/>
        </w:rPr>
        <w:t xml:space="preserve">proactive </w:t>
      </w:r>
      <w:r>
        <w:rPr>
          <w:rFonts w:cstheme="minorHAnsi"/>
        </w:rPr>
        <w:t>classroom management</w:t>
      </w:r>
      <w:r w:rsidR="008B0AD3">
        <w:rPr>
          <w:rFonts w:cstheme="minorHAnsi"/>
        </w:rPr>
        <w:t xml:space="preserve"> practices</w:t>
      </w:r>
      <w:r w:rsidR="0012094C">
        <w:rPr>
          <w:rFonts w:cstheme="minorHAnsi"/>
        </w:rPr>
        <w:t>,</w:t>
      </w:r>
      <w:r>
        <w:rPr>
          <w:rFonts w:cstheme="minorHAnsi"/>
        </w:rPr>
        <w:t xml:space="preserve"> such as consistent routines and positive reinforcement.</w:t>
      </w:r>
      <w:r w:rsidRPr="0040160E">
        <w:rPr>
          <w:rStyle w:val="FootnoteReference"/>
          <w:rFonts w:cstheme="minorHAnsi"/>
        </w:rPr>
        <w:t xml:space="preserve"> </w:t>
      </w:r>
    </w:p>
    <w:p w14:paraId="4E1C4007" w14:textId="5303D01B" w:rsidR="00D13890" w:rsidRDefault="00C551CD" w:rsidP="00D13890">
      <w:pPr>
        <w:ind w:left="1080" w:hanging="360"/>
        <w:rPr>
          <w:rFonts w:cstheme="minorHAnsi"/>
        </w:rPr>
      </w:pPr>
      <w:r>
        <w:rPr>
          <w:rFonts w:cstheme="minorHAnsi"/>
        </w:rPr>
        <w:t>2</w:t>
      </w:r>
      <w:r w:rsidR="00D13890">
        <w:rPr>
          <w:rFonts w:cstheme="minorHAnsi"/>
        </w:rPr>
        <w:t>.</w:t>
      </w:r>
      <w:r w:rsidR="00D13890">
        <w:rPr>
          <w:rFonts w:cstheme="minorHAnsi"/>
        </w:rPr>
        <w:tab/>
      </w:r>
      <w:r w:rsidR="003124DE">
        <w:rPr>
          <w:rFonts w:cstheme="minorHAnsi"/>
        </w:rPr>
        <w:t>In a</w:t>
      </w:r>
      <w:r w:rsidR="003124DE" w:rsidRPr="00C64CD6">
        <w:rPr>
          <w:rFonts w:cstheme="minorHAnsi"/>
        </w:rPr>
        <w:t>ddi</w:t>
      </w:r>
      <w:r w:rsidR="003124DE">
        <w:rPr>
          <w:rFonts w:cstheme="minorHAnsi"/>
        </w:rPr>
        <w:t>tion</w:t>
      </w:r>
      <w:r w:rsidR="00D13890" w:rsidRPr="00C64CD6">
        <w:rPr>
          <w:rFonts w:cstheme="minorHAnsi"/>
        </w:rPr>
        <w:t xml:space="preserve">, </w:t>
      </w:r>
      <w:r w:rsidR="00D13890">
        <w:rPr>
          <w:rFonts w:cstheme="minorHAnsi"/>
        </w:rPr>
        <w:t xml:space="preserve">leaders and teachers in </w:t>
      </w:r>
      <w:r w:rsidR="00D13890" w:rsidRPr="00C64CD6">
        <w:rPr>
          <w:rFonts w:cstheme="minorHAnsi"/>
        </w:rPr>
        <w:t xml:space="preserve">several elementary schools have </w:t>
      </w:r>
      <w:r w:rsidR="00D13890">
        <w:rPr>
          <w:rFonts w:cstheme="minorHAnsi"/>
        </w:rPr>
        <w:t xml:space="preserve">had </w:t>
      </w:r>
      <w:r w:rsidR="00D13890" w:rsidRPr="00C64CD6">
        <w:rPr>
          <w:rFonts w:cstheme="minorHAnsi"/>
        </w:rPr>
        <w:t xml:space="preserve">training </w:t>
      </w:r>
      <w:r w:rsidR="00D13890">
        <w:rPr>
          <w:rFonts w:cstheme="minorHAnsi"/>
        </w:rPr>
        <w:t xml:space="preserve">to implement </w:t>
      </w:r>
      <w:r w:rsidR="00BC79B9">
        <w:rPr>
          <w:rFonts w:cstheme="minorHAnsi"/>
        </w:rPr>
        <w:t xml:space="preserve">the </w:t>
      </w:r>
      <w:r w:rsidR="00D13890" w:rsidRPr="00C64CD6">
        <w:rPr>
          <w:rFonts w:cstheme="minorHAnsi"/>
        </w:rPr>
        <w:t>Responsive Classroom and Second Step</w:t>
      </w:r>
      <w:r w:rsidR="00BC79B9">
        <w:rPr>
          <w:rFonts w:cstheme="minorHAnsi"/>
        </w:rPr>
        <w:t xml:space="preserve"> programs</w:t>
      </w:r>
      <w:r w:rsidR="00D13890">
        <w:rPr>
          <w:rFonts w:cstheme="minorHAnsi"/>
        </w:rPr>
        <w:t>.  Each program</w:t>
      </w:r>
      <w:r w:rsidR="0072054F">
        <w:rPr>
          <w:rFonts w:cstheme="minorHAnsi"/>
        </w:rPr>
        <w:t xml:space="preserve"> is intended to</w:t>
      </w:r>
      <w:r w:rsidR="00D13890">
        <w:rPr>
          <w:rFonts w:cstheme="minorHAnsi"/>
        </w:rPr>
        <w:t xml:space="preserve"> create safe and welcoming classrooms and</w:t>
      </w:r>
      <w:r w:rsidR="0072054F">
        <w:rPr>
          <w:rFonts w:cstheme="minorHAnsi"/>
        </w:rPr>
        <w:t xml:space="preserve"> to</w:t>
      </w:r>
      <w:r w:rsidR="00D13890">
        <w:rPr>
          <w:rFonts w:cstheme="minorHAnsi"/>
        </w:rPr>
        <w:t xml:space="preserve"> give students the tools to make progress in emotion management, situational awareness, and academic achievement</w:t>
      </w:r>
      <w:r w:rsidR="00D13890" w:rsidRPr="00C64CD6">
        <w:rPr>
          <w:rFonts w:cstheme="minorHAnsi"/>
        </w:rPr>
        <w:t>.</w:t>
      </w:r>
      <w:r w:rsidR="00D13890">
        <w:rPr>
          <w:rFonts w:cstheme="minorHAnsi"/>
        </w:rPr>
        <w:t xml:space="preserve">  </w:t>
      </w:r>
      <w:r w:rsidR="0012094C">
        <w:rPr>
          <w:rFonts w:cstheme="minorHAnsi"/>
        </w:rPr>
        <w:t>The district has planned</w:t>
      </w:r>
      <w:r w:rsidR="00D13890">
        <w:rPr>
          <w:rFonts w:cstheme="minorHAnsi"/>
        </w:rPr>
        <w:t xml:space="preserve"> ongoing training to include every K</w:t>
      </w:r>
      <w:r w:rsidR="003124DE">
        <w:rPr>
          <w:rFonts w:cstheme="minorHAnsi"/>
        </w:rPr>
        <w:t>–</w:t>
      </w:r>
      <w:r w:rsidR="00D13890">
        <w:rPr>
          <w:rFonts w:cstheme="minorHAnsi"/>
        </w:rPr>
        <w:t>5 school over the next few years.</w:t>
      </w:r>
      <w:r w:rsidR="00D13890" w:rsidRPr="00C64CD6">
        <w:rPr>
          <w:rFonts w:cstheme="minorHAnsi"/>
        </w:rPr>
        <w:t xml:space="preserve"> </w:t>
      </w:r>
    </w:p>
    <w:p w14:paraId="70697BDF" w14:textId="24BAC043" w:rsidR="00D13890" w:rsidRDefault="0072054F" w:rsidP="00D13890">
      <w:pPr>
        <w:ind w:left="1440" w:hanging="360"/>
        <w:rPr>
          <w:rFonts w:cstheme="minorHAnsi"/>
        </w:rPr>
      </w:pPr>
      <w:r>
        <w:rPr>
          <w:rFonts w:cstheme="minorHAnsi"/>
        </w:rPr>
        <w:t>a</w:t>
      </w:r>
      <w:r w:rsidR="00D13890">
        <w:rPr>
          <w:rFonts w:cstheme="minorHAnsi"/>
        </w:rPr>
        <w:t>.</w:t>
      </w:r>
      <w:r w:rsidR="00D13890">
        <w:rPr>
          <w:rFonts w:cstheme="minorHAnsi"/>
        </w:rPr>
        <w:tab/>
        <w:t xml:space="preserve">District leaders and teachers are </w:t>
      </w:r>
      <w:r>
        <w:rPr>
          <w:rFonts w:cstheme="minorHAnsi"/>
        </w:rPr>
        <w:t xml:space="preserve">beginning </w:t>
      </w:r>
      <w:r w:rsidR="00D13890">
        <w:rPr>
          <w:rFonts w:cstheme="minorHAnsi"/>
        </w:rPr>
        <w:t xml:space="preserve">to use qualitative and quantitative behavioral data from both </w:t>
      </w:r>
      <w:r w:rsidR="00D13890" w:rsidRPr="002A1397">
        <w:rPr>
          <w:rFonts w:cstheme="minorHAnsi"/>
          <w:color w:val="000000" w:themeColor="text1"/>
        </w:rPr>
        <w:t xml:space="preserve">programs </w:t>
      </w:r>
      <w:r w:rsidR="00D13890">
        <w:rPr>
          <w:rFonts w:cstheme="minorHAnsi"/>
          <w:color w:val="000000" w:themeColor="text1"/>
        </w:rPr>
        <w:t>to track and</w:t>
      </w:r>
      <w:r w:rsidR="00D13890" w:rsidRPr="002A1397">
        <w:rPr>
          <w:rFonts w:cstheme="minorHAnsi"/>
          <w:color w:val="000000" w:themeColor="text1"/>
        </w:rPr>
        <w:t xml:space="preserve"> </w:t>
      </w:r>
      <w:r w:rsidR="00D13890">
        <w:rPr>
          <w:rFonts w:cstheme="minorHAnsi"/>
        </w:rPr>
        <w:t xml:space="preserve">provide evidence of effectiveness and to plan next steps </w:t>
      </w:r>
      <w:proofErr w:type="gramStart"/>
      <w:r w:rsidR="00D13890">
        <w:rPr>
          <w:rFonts w:cstheme="minorHAnsi"/>
        </w:rPr>
        <w:t>in order to</w:t>
      </w:r>
      <w:proofErr w:type="gramEnd"/>
      <w:r w:rsidR="00D13890">
        <w:rPr>
          <w:rFonts w:cstheme="minorHAnsi"/>
        </w:rPr>
        <w:t xml:space="preserve"> ensure continued progress.</w:t>
      </w:r>
    </w:p>
    <w:p w14:paraId="6D0723EC" w14:textId="5818AA95" w:rsidR="00D13890" w:rsidRDefault="00D13890" w:rsidP="00D13890">
      <w:pPr>
        <w:ind w:left="720" w:hanging="360"/>
        <w:rPr>
          <w:rFonts w:cstheme="minorHAnsi"/>
        </w:rPr>
      </w:pPr>
      <w:r>
        <w:rPr>
          <w:rFonts w:cstheme="minorHAnsi"/>
          <w:b/>
        </w:rPr>
        <w:t xml:space="preserve">B.   </w:t>
      </w:r>
      <w:r>
        <w:rPr>
          <w:rFonts w:cstheme="minorHAnsi"/>
        </w:rPr>
        <w:t>The district formed a</w:t>
      </w:r>
      <w:r w:rsidRPr="00C64CD6">
        <w:rPr>
          <w:rFonts w:cstheme="minorHAnsi"/>
        </w:rPr>
        <w:t xml:space="preserve"> </w:t>
      </w:r>
      <w:r w:rsidR="007D0482">
        <w:rPr>
          <w:rFonts w:cstheme="minorHAnsi"/>
        </w:rPr>
        <w:t>s</w:t>
      </w:r>
      <w:r w:rsidR="007D0482" w:rsidRPr="00C64CD6">
        <w:rPr>
          <w:rFonts w:cstheme="minorHAnsi"/>
        </w:rPr>
        <w:t>ocial</w:t>
      </w:r>
      <w:r w:rsidR="00A36B2C">
        <w:rPr>
          <w:rFonts w:cstheme="minorHAnsi"/>
        </w:rPr>
        <w:t>-</w:t>
      </w:r>
      <w:r w:rsidR="007D0482">
        <w:rPr>
          <w:rFonts w:cstheme="minorHAnsi"/>
        </w:rPr>
        <w:t>e</w:t>
      </w:r>
      <w:r w:rsidR="007D0482" w:rsidRPr="00C64CD6">
        <w:rPr>
          <w:rFonts w:cstheme="minorHAnsi"/>
        </w:rPr>
        <w:t xml:space="preserve">motional </w:t>
      </w:r>
      <w:r w:rsidR="007D0482">
        <w:rPr>
          <w:rFonts w:cstheme="minorHAnsi"/>
        </w:rPr>
        <w:t>m</w:t>
      </w:r>
      <w:r w:rsidR="007D0482" w:rsidRPr="00C64CD6">
        <w:rPr>
          <w:rFonts w:cstheme="minorHAnsi"/>
        </w:rPr>
        <w:t xml:space="preserve">ental </w:t>
      </w:r>
      <w:r w:rsidR="007D0482">
        <w:rPr>
          <w:rFonts w:cstheme="minorHAnsi"/>
        </w:rPr>
        <w:t>h</w:t>
      </w:r>
      <w:r w:rsidR="007D0482" w:rsidRPr="00C64CD6">
        <w:rPr>
          <w:rFonts w:cstheme="minorHAnsi"/>
        </w:rPr>
        <w:t xml:space="preserve">ealth </w:t>
      </w:r>
      <w:r w:rsidR="007D0482">
        <w:rPr>
          <w:rFonts w:cstheme="minorHAnsi"/>
        </w:rPr>
        <w:t>t</w:t>
      </w:r>
      <w:r w:rsidR="007D0482" w:rsidRPr="00C64CD6">
        <w:rPr>
          <w:rFonts w:cstheme="minorHAnsi"/>
        </w:rPr>
        <w:t xml:space="preserve">eam </w:t>
      </w:r>
      <w:r>
        <w:rPr>
          <w:rFonts w:cstheme="minorHAnsi"/>
        </w:rPr>
        <w:t xml:space="preserve">consisting of the district’s behavior coordinator and a clinical </w:t>
      </w:r>
      <w:r w:rsidRPr="002A1397">
        <w:rPr>
          <w:rFonts w:cstheme="minorHAnsi"/>
          <w:color w:val="000000" w:themeColor="text1"/>
        </w:rPr>
        <w:t xml:space="preserve">psychologist. </w:t>
      </w:r>
      <w:r>
        <w:rPr>
          <w:rFonts w:cstheme="minorHAnsi"/>
          <w:color w:val="000000" w:themeColor="text1"/>
        </w:rPr>
        <w:t xml:space="preserve"> </w:t>
      </w:r>
      <w:r w:rsidR="007D0482">
        <w:rPr>
          <w:rFonts w:cstheme="minorHAnsi"/>
          <w:color w:val="000000" w:themeColor="text1"/>
        </w:rPr>
        <w:t xml:space="preserve">This </w:t>
      </w:r>
      <w:r>
        <w:rPr>
          <w:rFonts w:cstheme="minorHAnsi"/>
          <w:color w:val="000000" w:themeColor="text1"/>
        </w:rPr>
        <w:t xml:space="preserve">team </w:t>
      </w:r>
      <w:r w:rsidR="007D0482">
        <w:rPr>
          <w:rFonts w:cstheme="minorHAnsi"/>
          <w:color w:val="000000" w:themeColor="text1"/>
        </w:rPr>
        <w:t>helps</w:t>
      </w:r>
      <w:r w:rsidR="007D0482" w:rsidRPr="002A1397">
        <w:rPr>
          <w:rFonts w:cstheme="minorHAnsi"/>
          <w:color w:val="000000" w:themeColor="text1"/>
        </w:rPr>
        <w:t xml:space="preserve"> </w:t>
      </w:r>
      <w:r w:rsidRPr="002A1397">
        <w:rPr>
          <w:rFonts w:cstheme="minorHAnsi"/>
          <w:color w:val="000000" w:themeColor="text1"/>
        </w:rPr>
        <w:t xml:space="preserve">leaders and teachers </w:t>
      </w:r>
      <w:r w:rsidR="00603395">
        <w:rPr>
          <w:rFonts w:cstheme="minorHAnsi"/>
          <w:color w:val="000000" w:themeColor="text1"/>
        </w:rPr>
        <w:t xml:space="preserve">to </w:t>
      </w:r>
      <w:r>
        <w:rPr>
          <w:rFonts w:cstheme="minorHAnsi"/>
          <w:color w:val="000000" w:themeColor="text1"/>
        </w:rPr>
        <w:t>support</w:t>
      </w:r>
      <w:r w:rsidRPr="002A1397">
        <w:rPr>
          <w:rFonts w:cstheme="minorHAnsi"/>
          <w:color w:val="000000" w:themeColor="text1"/>
        </w:rPr>
        <w:t xml:space="preserve"> students and </w:t>
      </w:r>
      <w:r w:rsidR="007D0482" w:rsidRPr="002A1397">
        <w:rPr>
          <w:rFonts w:cstheme="minorHAnsi"/>
          <w:color w:val="000000" w:themeColor="text1"/>
        </w:rPr>
        <w:t>provid</w:t>
      </w:r>
      <w:r w:rsidR="007D0482">
        <w:rPr>
          <w:rFonts w:cstheme="minorHAnsi"/>
          <w:color w:val="000000" w:themeColor="text1"/>
        </w:rPr>
        <w:t>es</w:t>
      </w:r>
      <w:r w:rsidR="007D0482" w:rsidRPr="002A1397">
        <w:rPr>
          <w:rFonts w:cstheme="minorHAnsi"/>
          <w:color w:val="000000" w:themeColor="text1"/>
        </w:rPr>
        <w:t xml:space="preserve"> </w:t>
      </w:r>
      <w:r w:rsidRPr="002A1397">
        <w:rPr>
          <w:rFonts w:cstheme="minorHAnsi"/>
          <w:color w:val="000000" w:themeColor="text1"/>
        </w:rPr>
        <w:t>PD to staff to strengthen</w:t>
      </w:r>
      <w:r w:rsidR="00667A4E">
        <w:rPr>
          <w:rFonts w:cstheme="minorHAnsi"/>
          <w:color w:val="000000" w:themeColor="text1"/>
        </w:rPr>
        <w:t xml:space="preserve"> </w:t>
      </w:r>
      <w:r w:rsidRPr="002A1397">
        <w:rPr>
          <w:rFonts w:cstheme="minorHAnsi"/>
          <w:color w:val="000000" w:themeColor="text1"/>
        </w:rPr>
        <w:t xml:space="preserve">support systemwide for students needing mental health and behavioral interventions. </w:t>
      </w:r>
      <w:r w:rsidRPr="00593550">
        <w:rPr>
          <w:rFonts w:cstheme="minorHAnsi"/>
          <w:color w:val="000000" w:themeColor="text1"/>
        </w:rPr>
        <w:t xml:space="preserve">The district has also formed </w:t>
      </w:r>
      <w:r w:rsidR="00A07DA6" w:rsidRPr="00593550">
        <w:rPr>
          <w:rFonts w:cstheme="minorHAnsi"/>
          <w:color w:val="000000" w:themeColor="text1"/>
        </w:rPr>
        <w:t>student support i</w:t>
      </w:r>
      <w:r w:rsidRPr="00593550">
        <w:rPr>
          <w:rFonts w:cstheme="minorHAnsi"/>
          <w:color w:val="000000" w:themeColor="text1"/>
        </w:rPr>
        <w:t xml:space="preserve">ntervention </w:t>
      </w:r>
      <w:r w:rsidR="00A07DA6" w:rsidRPr="00593550">
        <w:rPr>
          <w:rFonts w:cstheme="minorHAnsi"/>
          <w:color w:val="000000" w:themeColor="text1"/>
        </w:rPr>
        <w:t xml:space="preserve">teams </w:t>
      </w:r>
      <w:r w:rsidRPr="00593550">
        <w:rPr>
          <w:rFonts w:cstheme="minorHAnsi"/>
          <w:color w:val="000000" w:themeColor="text1"/>
        </w:rPr>
        <w:t xml:space="preserve">in partnership with the city </w:t>
      </w:r>
      <w:r w:rsidR="00A07DA6" w:rsidRPr="00593550">
        <w:rPr>
          <w:rFonts w:cstheme="minorHAnsi"/>
          <w:color w:val="000000" w:themeColor="text1"/>
        </w:rPr>
        <w:t>health department</w:t>
      </w:r>
      <w:r w:rsidR="00A36B2C" w:rsidRPr="00593550">
        <w:rPr>
          <w:rFonts w:cstheme="minorHAnsi"/>
          <w:color w:val="000000" w:themeColor="text1"/>
        </w:rPr>
        <w:t>.</w:t>
      </w:r>
      <w:r w:rsidR="00A36B2C">
        <w:rPr>
          <w:rFonts w:cstheme="minorHAnsi"/>
          <w:color w:val="000000" w:themeColor="text1"/>
        </w:rPr>
        <w:t xml:space="preserve"> </w:t>
      </w:r>
    </w:p>
    <w:p w14:paraId="25CE4F44" w14:textId="23FD14C8" w:rsidR="00D13890" w:rsidRPr="0028368C" w:rsidRDefault="00923C5B" w:rsidP="00D13890">
      <w:pPr>
        <w:ind w:left="720" w:hanging="360"/>
        <w:rPr>
          <w:rFonts w:cstheme="minorHAnsi"/>
        </w:rPr>
      </w:pPr>
      <w:r>
        <w:rPr>
          <w:rFonts w:cstheme="minorHAnsi"/>
          <w:b/>
        </w:rPr>
        <w:t>C</w:t>
      </w:r>
      <w:r w:rsidR="00D13890">
        <w:rPr>
          <w:rFonts w:cstheme="minorHAnsi"/>
          <w:b/>
        </w:rPr>
        <w:t xml:space="preserve">.   </w:t>
      </w:r>
      <w:r w:rsidR="00D13890">
        <w:rPr>
          <w:rFonts w:cstheme="minorHAnsi"/>
        </w:rPr>
        <w:t xml:space="preserve">The district has </w:t>
      </w:r>
      <w:r w:rsidR="000467C1">
        <w:rPr>
          <w:rFonts w:cstheme="minorHAnsi"/>
        </w:rPr>
        <w:t xml:space="preserve">conducted or participated </w:t>
      </w:r>
      <w:r w:rsidR="00D13890">
        <w:rPr>
          <w:rFonts w:cstheme="minorHAnsi"/>
        </w:rPr>
        <w:t>in surveys to gather data to help understand students</w:t>
      </w:r>
      <w:r w:rsidR="008009D0">
        <w:rPr>
          <w:rFonts w:cstheme="minorHAnsi"/>
        </w:rPr>
        <w:t>’</w:t>
      </w:r>
      <w:r w:rsidR="00D13890">
        <w:rPr>
          <w:rFonts w:cstheme="minorHAnsi"/>
        </w:rPr>
        <w:t xml:space="preserve"> well</w:t>
      </w:r>
      <w:r w:rsidR="006A077A">
        <w:rPr>
          <w:rFonts w:cstheme="minorHAnsi"/>
        </w:rPr>
        <w:t>–</w:t>
      </w:r>
      <w:r w:rsidR="00D13890">
        <w:rPr>
          <w:rFonts w:cstheme="minorHAnsi"/>
        </w:rPr>
        <w:t xml:space="preserve">being and to guide goalsetting focused on culture, </w:t>
      </w:r>
      <w:r w:rsidR="008009D0">
        <w:rPr>
          <w:rFonts w:cstheme="minorHAnsi"/>
        </w:rPr>
        <w:t>social-emotional learning</w:t>
      </w:r>
      <w:r w:rsidR="00D13890">
        <w:rPr>
          <w:rFonts w:cstheme="minorHAnsi"/>
        </w:rPr>
        <w:t xml:space="preserve">, and safety at the district and school levels. </w:t>
      </w:r>
    </w:p>
    <w:p w14:paraId="76C39B26" w14:textId="01F2532B" w:rsidR="00D13890" w:rsidRDefault="00D13890" w:rsidP="00D13890">
      <w:pPr>
        <w:ind w:left="1080" w:hanging="360"/>
        <w:rPr>
          <w:rFonts w:cstheme="minorHAnsi"/>
        </w:rPr>
      </w:pPr>
      <w:r>
        <w:rPr>
          <w:rFonts w:cstheme="minorHAnsi"/>
        </w:rPr>
        <w:lastRenderedPageBreak/>
        <w:t xml:space="preserve">1.    </w:t>
      </w:r>
      <w:r w:rsidR="008009D0" w:rsidRPr="00075CD4">
        <w:rPr>
          <w:rFonts w:cstheme="minorHAnsi"/>
        </w:rPr>
        <w:t>T</w:t>
      </w:r>
      <w:r w:rsidR="008009D0">
        <w:rPr>
          <w:rFonts w:cstheme="minorHAnsi"/>
        </w:rPr>
        <w:t xml:space="preserve">he district has administered </w:t>
      </w:r>
      <w:r>
        <w:rPr>
          <w:rFonts w:cstheme="minorHAnsi"/>
        </w:rPr>
        <w:t>the</w:t>
      </w:r>
      <w:r w:rsidRPr="00075CD4">
        <w:rPr>
          <w:rFonts w:cstheme="minorHAnsi"/>
        </w:rPr>
        <w:t xml:space="preserve"> Panorama</w:t>
      </w:r>
      <w:r>
        <w:rPr>
          <w:rFonts w:cstheme="minorHAnsi"/>
        </w:rPr>
        <w:t xml:space="preserve"> Education Survey for students, staff</w:t>
      </w:r>
      <w:r w:rsidR="00667A4E">
        <w:rPr>
          <w:rFonts w:cstheme="minorHAnsi"/>
        </w:rPr>
        <w:t>,</w:t>
      </w:r>
      <w:r>
        <w:rPr>
          <w:rFonts w:cstheme="minorHAnsi"/>
        </w:rPr>
        <w:t xml:space="preserve"> and families </w:t>
      </w:r>
      <w:r w:rsidR="008009D0">
        <w:rPr>
          <w:rFonts w:cstheme="minorHAnsi"/>
        </w:rPr>
        <w:t xml:space="preserve">in grades </w:t>
      </w:r>
      <w:r>
        <w:rPr>
          <w:rFonts w:cstheme="minorHAnsi"/>
        </w:rPr>
        <w:t>3</w:t>
      </w:r>
      <w:r w:rsidR="00667A4E">
        <w:rPr>
          <w:rFonts w:cstheme="minorHAnsi"/>
        </w:rPr>
        <w:t>–</w:t>
      </w:r>
      <w:r>
        <w:rPr>
          <w:rFonts w:cstheme="minorHAnsi"/>
        </w:rPr>
        <w:t xml:space="preserve">12 </w:t>
      </w:r>
      <w:r w:rsidR="008009D0">
        <w:rPr>
          <w:rFonts w:cstheme="minorHAnsi"/>
        </w:rPr>
        <w:t xml:space="preserve">for the three years </w:t>
      </w:r>
      <w:r w:rsidR="003124DE">
        <w:rPr>
          <w:rFonts w:cstheme="minorHAnsi"/>
        </w:rPr>
        <w:t xml:space="preserve">before the onsite in February 2019 </w:t>
      </w:r>
      <w:r>
        <w:rPr>
          <w:rFonts w:cstheme="minorHAnsi"/>
        </w:rPr>
        <w:t>to measure engagement in school, relationships, safety, and other indicators.</w:t>
      </w:r>
    </w:p>
    <w:p w14:paraId="4923EA87" w14:textId="78331208" w:rsidR="00D13890" w:rsidRPr="00C64CD6" w:rsidRDefault="00D13890" w:rsidP="00D13890">
      <w:pPr>
        <w:ind w:left="1080" w:hanging="360"/>
        <w:rPr>
          <w:rFonts w:cstheme="minorHAnsi"/>
        </w:rPr>
      </w:pPr>
      <w:r>
        <w:rPr>
          <w:rFonts w:cstheme="minorHAnsi"/>
        </w:rPr>
        <w:t>2.</w:t>
      </w:r>
      <w:r>
        <w:rPr>
          <w:rFonts w:cstheme="minorHAnsi"/>
        </w:rPr>
        <w:tab/>
        <w:t>Secondary schools also participate in the Metro-West Adolescent Health Survey for grades 8</w:t>
      </w:r>
      <w:r w:rsidR="00667A4E">
        <w:rPr>
          <w:rFonts w:cstheme="minorHAnsi"/>
        </w:rPr>
        <w:t>–</w:t>
      </w:r>
      <w:r>
        <w:rPr>
          <w:rFonts w:cstheme="minorHAnsi"/>
        </w:rPr>
        <w:t xml:space="preserve">12 to assess issues related to students’ health and well-being.  </w:t>
      </w:r>
      <w:r w:rsidR="008009D0">
        <w:rPr>
          <w:rFonts w:cstheme="minorHAnsi"/>
        </w:rPr>
        <w:t>High</w:t>
      </w:r>
      <w:r w:rsidR="00667A4E">
        <w:rPr>
          <w:rFonts w:cstheme="minorHAnsi"/>
        </w:rPr>
        <w:t>-</w:t>
      </w:r>
      <w:r w:rsidR="008009D0">
        <w:rPr>
          <w:rFonts w:cstheme="minorHAnsi"/>
        </w:rPr>
        <w:t xml:space="preserve">school </w:t>
      </w:r>
      <w:r>
        <w:rPr>
          <w:rFonts w:cstheme="minorHAnsi"/>
        </w:rPr>
        <w:t xml:space="preserve">teachers use </w:t>
      </w:r>
      <w:r w:rsidR="00A36B2C">
        <w:rPr>
          <w:rFonts w:cstheme="minorHAnsi"/>
        </w:rPr>
        <w:t xml:space="preserve">the </w:t>
      </w:r>
      <w:r>
        <w:rPr>
          <w:rFonts w:cstheme="minorHAnsi"/>
        </w:rPr>
        <w:t>results to help plan the health curriculum</w:t>
      </w:r>
      <w:r w:rsidR="00667A4E">
        <w:rPr>
          <w:rFonts w:cstheme="minorHAnsi"/>
        </w:rPr>
        <w:t>.</w:t>
      </w:r>
      <w:r>
        <w:rPr>
          <w:rFonts w:cstheme="minorHAnsi"/>
        </w:rPr>
        <w:t xml:space="preserve"> </w:t>
      </w:r>
      <w:r w:rsidR="00667A4E">
        <w:rPr>
          <w:rFonts w:cstheme="minorHAnsi"/>
        </w:rPr>
        <w:t xml:space="preserve">In addition, </w:t>
      </w:r>
      <w:r>
        <w:rPr>
          <w:rFonts w:cstheme="minorHAnsi"/>
        </w:rPr>
        <w:t>survey data is shared with administrators and then with the schools to help set SIP goals.</w:t>
      </w:r>
    </w:p>
    <w:p w14:paraId="01E92246" w14:textId="789DE00C" w:rsidR="00D13890" w:rsidRPr="00C64CD6" w:rsidRDefault="00D13890" w:rsidP="00D13890">
      <w:pPr>
        <w:rPr>
          <w:rFonts w:cstheme="minorHAnsi"/>
        </w:rPr>
      </w:pPr>
      <w:r w:rsidRPr="00C64CD6">
        <w:rPr>
          <w:rFonts w:cstheme="minorHAnsi"/>
          <w:b/>
        </w:rPr>
        <w:t>Impact:</w:t>
      </w:r>
      <w:r w:rsidRPr="00C64CD6">
        <w:rPr>
          <w:rFonts w:cstheme="minorHAnsi"/>
        </w:rPr>
        <w:t xml:space="preserve"> </w:t>
      </w:r>
      <w:r>
        <w:rPr>
          <w:rFonts w:cstheme="minorHAnsi"/>
        </w:rPr>
        <w:t>By instituting multi-faceted</w:t>
      </w:r>
      <w:r w:rsidRPr="00C64CD6">
        <w:rPr>
          <w:rFonts w:cstheme="minorHAnsi"/>
        </w:rPr>
        <w:t xml:space="preserve"> system</w:t>
      </w:r>
      <w:r>
        <w:rPr>
          <w:rFonts w:cstheme="minorHAnsi"/>
        </w:rPr>
        <w:t>s</w:t>
      </w:r>
      <w:r w:rsidRPr="00C64CD6">
        <w:rPr>
          <w:rFonts w:cstheme="minorHAnsi"/>
        </w:rPr>
        <w:t xml:space="preserve"> of </w:t>
      </w:r>
      <w:r>
        <w:rPr>
          <w:rFonts w:cstheme="minorHAnsi"/>
        </w:rPr>
        <w:t>social-emotional and behavior</w:t>
      </w:r>
      <w:r w:rsidR="008009D0">
        <w:rPr>
          <w:rFonts w:cstheme="minorHAnsi"/>
        </w:rPr>
        <w:t>al</w:t>
      </w:r>
      <w:r>
        <w:rPr>
          <w:rFonts w:cstheme="minorHAnsi"/>
        </w:rPr>
        <w:t xml:space="preserve"> </w:t>
      </w:r>
      <w:r w:rsidRPr="00C64CD6">
        <w:rPr>
          <w:rFonts w:cstheme="minorHAnsi"/>
        </w:rPr>
        <w:t>supports</w:t>
      </w:r>
      <w:r>
        <w:rPr>
          <w:rFonts w:cstheme="minorHAnsi"/>
        </w:rPr>
        <w:t xml:space="preserve">, </w:t>
      </w:r>
      <w:r w:rsidRPr="00C64CD6">
        <w:rPr>
          <w:rFonts w:cstheme="minorHAnsi"/>
        </w:rPr>
        <w:t>the district</w:t>
      </w:r>
      <w:r>
        <w:rPr>
          <w:rFonts w:cstheme="minorHAnsi"/>
        </w:rPr>
        <w:t xml:space="preserve"> is better positioned</w:t>
      </w:r>
      <w:r w:rsidRPr="00C64CD6">
        <w:rPr>
          <w:rFonts w:cstheme="minorHAnsi"/>
        </w:rPr>
        <w:t xml:space="preserve"> to </w:t>
      </w:r>
      <w:r>
        <w:rPr>
          <w:rFonts w:cstheme="minorHAnsi"/>
        </w:rPr>
        <w:t xml:space="preserve">help develop </w:t>
      </w:r>
      <w:r w:rsidRPr="00C64CD6">
        <w:rPr>
          <w:rFonts w:cstheme="minorHAnsi"/>
        </w:rPr>
        <w:t>students’ social-emotional</w:t>
      </w:r>
      <w:r>
        <w:rPr>
          <w:rFonts w:cstheme="minorHAnsi"/>
        </w:rPr>
        <w:t xml:space="preserve"> self-awareness and</w:t>
      </w:r>
      <w:r w:rsidRPr="00C64CD6">
        <w:rPr>
          <w:rFonts w:cstheme="minorHAnsi"/>
        </w:rPr>
        <w:t xml:space="preserve"> well</w:t>
      </w:r>
      <w:r w:rsidR="006A077A">
        <w:rPr>
          <w:rFonts w:cstheme="minorHAnsi"/>
        </w:rPr>
        <w:t>–</w:t>
      </w:r>
      <w:r w:rsidRPr="00C64CD6">
        <w:rPr>
          <w:rFonts w:cstheme="minorHAnsi"/>
        </w:rPr>
        <w:t>bein</w:t>
      </w:r>
      <w:r>
        <w:rPr>
          <w:rFonts w:cstheme="minorHAnsi"/>
        </w:rPr>
        <w:t xml:space="preserve">g and </w:t>
      </w:r>
      <w:r w:rsidR="008009D0">
        <w:rPr>
          <w:rFonts w:cstheme="minorHAnsi"/>
        </w:rPr>
        <w:t xml:space="preserve">to </w:t>
      </w:r>
      <w:r>
        <w:rPr>
          <w:rFonts w:cstheme="minorHAnsi"/>
        </w:rPr>
        <w:t xml:space="preserve">create safer, more </w:t>
      </w:r>
      <w:proofErr w:type="gramStart"/>
      <w:r>
        <w:rPr>
          <w:rFonts w:cstheme="minorHAnsi"/>
        </w:rPr>
        <w:t>welcoming</w:t>
      </w:r>
      <w:proofErr w:type="gramEnd"/>
      <w:r>
        <w:rPr>
          <w:rFonts w:cstheme="minorHAnsi"/>
        </w:rPr>
        <w:t xml:space="preserve"> and respectful learning environments.  As a result, more students likely </w:t>
      </w:r>
      <w:r w:rsidR="00667A4E">
        <w:rPr>
          <w:rFonts w:cstheme="minorHAnsi"/>
        </w:rPr>
        <w:t xml:space="preserve">are </w:t>
      </w:r>
      <w:r>
        <w:rPr>
          <w:rFonts w:cstheme="minorHAnsi"/>
        </w:rPr>
        <w:t xml:space="preserve">motivated to stay in school, focus </w:t>
      </w:r>
      <w:r w:rsidR="00DD5E94">
        <w:rPr>
          <w:rFonts w:cstheme="minorHAnsi"/>
        </w:rPr>
        <w:t>on learning,</w:t>
      </w:r>
      <w:r>
        <w:rPr>
          <w:rFonts w:cstheme="minorHAnsi"/>
        </w:rPr>
        <w:t xml:space="preserve"> and graduate</w:t>
      </w:r>
      <w:r w:rsidR="003124DE">
        <w:rPr>
          <w:rFonts w:cstheme="minorHAnsi"/>
        </w:rPr>
        <w:t xml:space="preserve"> </w:t>
      </w:r>
      <w:r>
        <w:rPr>
          <w:rFonts w:cstheme="minorHAnsi"/>
        </w:rPr>
        <w:t>from high school</w:t>
      </w:r>
      <w:r w:rsidR="00DD5E94">
        <w:rPr>
          <w:rFonts w:cstheme="minorHAnsi"/>
        </w:rPr>
        <w:t xml:space="preserve"> prepared for college, career, and civic engagement</w:t>
      </w:r>
      <w:r>
        <w:rPr>
          <w:rFonts w:cstheme="minorHAnsi"/>
        </w:rPr>
        <w:t xml:space="preserve">. </w:t>
      </w:r>
    </w:p>
    <w:p w14:paraId="064991D4" w14:textId="0C6552A7" w:rsidR="00D13890" w:rsidRPr="00C64CD6" w:rsidRDefault="008458F6" w:rsidP="00D13890">
      <w:pPr>
        <w:ind w:left="360" w:hanging="360"/>
        <w:rPr>
          <w:rFonts w:cstheme="minorHAnsi"/>
        </w:rPr>
      </w:pPr>
      <w:r>
        <w:rPr>
          <w:rFonts w:cstheme="minorHAnsi"/>
          <w:b/>
        </w:rPr>
        <w:t>2</w:t>
      </w:r>
      <w:r w:rsidR="00D13890" w:rsidRPr="00C64CD6">
        <w:rPr>
          <w:rFonts w:cstheme="minorHAnsi"/>
          <w:b/>
        </w:rPr>
        <w:t xml:space="preserve">. </w:t>
      </w:r>
      <w:r w:rsidR="00D13890">
        <w:rPr>
          <w:rFonts w:cstheme="minorHAnsi"/>
          <w:b/>
        </w:rPr>
        <w:t xml:space="preserve">   </w:t>
      </w:r>
      <w:r w:rsidR="00D13890" w:rsidRPr="00E721F1">
        <w:rPr>
          <w:rFonts w:cstheme="minorHAnsi"/>
          <w:b/>
        </w:rPr>
        <w:t>The district has taken steps to ensure that each school develops strong collaborative relationships with families, community partners, and other stakeholders.</w:t>
      </w:r>
    </w:p>
    <w:p w14:paraId="4F6C1844" w14:textId="49BC5101" w:rsidR="00D13890" w:rsidRPr="00C64CD6" w:rsidRDefault="00D13890" w:rsidP="00D13890">
      <w:pPr>
        <w:ind w:left="720" w:hanging="360"/>
        <w:rPr>
          <w:rFonts w:cstheme="minorHAnsi"/>
        </w:rPr>
      </w:pPr>
      <w:r w:rsidRPr="00C737A7">
        <w:rPr>
          <w:rFonts w:cstheme="minorHAnsi"/>
          <w:b/>
        </w:rPr>
        <w:t>A</w:t>
      </w:r>
      <w:r w:rsidRPr="00C64CD6">
        <w:rPr>
          <w:rFonts w:cstheme="minorHAnsi"/>
        </w:rPr>
        <w:t xml:space="preserve">. </w:t>
      </w:r>
      <w:r>
        <w:rPr>
          <w:rFonts w:cstheme="minorHAnsi"/>
        </w:rPr>
        <w:tab/>
      </w:r>
      <w:r w:rsidRPr="00C64CD6">
        <w:rPr>
          <w:rFonts w:cstheme="minorHAnsi"/>
        </w:rPr>
        <w:t xml:space="preserve">The </w:t>
      </w:r>
      <w:r w:rsidR="00466ED3">
        <w:rPr>
          <w:rFonts w:cstheme="minorHAnsi"/>
        </w:rPr>
        <w:t>district</w:t>
      </w:r>
      <w:r w:rsidR="00466ED3" w:rsidRPr="00C64CD6">
        <w:rPr>
          <w:rFonts w:cstheme="minorHAnsi"/>
        </w:rPr>
        <w:t xml:space="preserve"> </w:t>
      </w:r>
      <w:r w:rsidRPr="00C64CD6">
        <w:rPr>
          <w:rFonts w:cstheme="minorHAnsi"/>
        </w:rPr>
        <w:t>proactive</w:t>
      </w:r>
      <w:r w:rsidR="0013685E">
        <w:rPr>
          <w:rFonts w:cstheme="minorHAnsi"/>
        </w:rPr>
        <w:t>ly</w:t>
      </w:r>
      <w:r w:rsidRPr="00C64CD6">
        <w:rPr>
          <w:rFonts w:cstheme="minorHAnsi"/>
        </w:rPr>
        <w:t xml:space="preserve"> </w:t>
      </w:r>
      <w:r w:rsidR="0013685E">
        <w:rPr>
          <w:rFonts w:cstheme="minorHAnsi"/>
        </w:rPr>
        <w:t>en</w:t>
      </w:r>
      <w:r w:rsidRPr="00C64CD6">
        <w:rPr>
          <w:rFonts w:cstheme="minorHAnsi"/>
        </w:rPr>
        <w:t>sure</w:t>
      </w:r>
      <w:r w:rsidR="0013685E">
        <w:rPr>
          <w:rFonts w:cstheme="minorHAnsi"/>
        </w:rPr>
        <w:t>s</w:t>
      </w:r>
      <w:r w:rsidRPr="00C64CD6">
        <w:rPr>
          <w:rFonts w:cstheme="minorHAnsi"/>
        </w:rPr>
        <w:t xml:space="preserve"> that students and </w:t>
      </w:r>
      <w:r w:rsidR="00D075BD">
        <w:rPr>
          <w:rFonts w:cstheme="minorHAnsi"/>
        </w:rPr>
        <w:t>their families</w:t>
      </w:r>
      <w:r w:rsidR="00D075BD" w:rsidRPr="00C64CD6">
        <w:rPr>
          <w:rFonts w:cstheme="minorHAnsi"/>
        </w:rPr>
        <w:t xml:space="preserve"> </w:t>
      </w:r>
      <w:r w:rsidRPr="00C64CD6">
        <w:rPr>
          <w:rFonts w:cstheme="minorHAnsi"/>
        </w:rPr>
        <w:t>have an opportunity to participate in decision</w:t>
      </w:r>
      <w:r>
        <w:rPr>
          <w:rFonts w:cstheme="minorHAnsi"/>
        </w:rPr>
        <w:t>-</w:t>
      </w:r>
      <w:r w:rsidRPr="00C64CD6">
        <w:rPr>
          <w:rFonts w:cstheme="minorHAnsi"/>
        </w:rPr>
        <w:t>making process</w:t>
      </w:r>
      <w:r>
        <w:rPr>
          <w:rFonts w:cstheme="minorHAnsi"/>
        </w:rPr>
        <w:t>es</w:t>
      </w:r>
      <w:r w:rsidRPr="00C64CD6">
        <w:rPr>
          <w:rFonts w:cstheme="minorHAnsi"/>
        </w:rPr>
        <w:t xml:space="preserve"> within the district.</w:t>
      </w:r>
    </w:p>
    <w:p w14:paraId="00EBCB47" w14:textId="2967E9CB" w:rsidR="00D13890" w:rsidRDefault="00D13890" w:rsidP="00D13890">
      <w:pPr>
        <w:ind w:left="1080" w:hanging="360"/>
        <w:rPr>
          <w:rFonts w:cstheme="minorHAnsi"/>
        </w:rPr>
      </w:pPr>
      <w:r w:rsidRPr="00C64CD6">
        <w:rPr>
          <w:rFonts w:cstheme="minorHAnsi"/>
        </w:rPr>
        <w:t>1.</w:t>
      </w:r>
      <w:r>
        <w:rPr>
          <w:rFonts w:cstheme="minorHAnsi"/>
        </w:rPr>
        <w:tab/>
      </w:r>
      <w:r w:rsidRPr="00C64CD6">
        <w:rPr>
          <w:rFonts w:cstheme="minorHAnsi"/>
        </w:rPr>
        <w:t xml:space="preserve">The district has given a voice and leadership </w:t>
      </w:r>
      <w:r>
        <w:rPr>
          <w:rFonts w:cstheme="minorHAnsi"/>
        </w:rPr>
        <w:t xml:space="preserve">development </w:t>
      </w:r>
      <w:r w:rsidR="00A959B9">
        <w:rPr>
          <w:rFonts w:cstheme="minorHAnsi"/>
        </w:rPr>
        <w:t>opportunities</w:t>
      </w:r>
      <w:r w:rsidR="00A959B9" w:rsidRPr="00C64CD6">
        <w:rPr>
          <w:rFonts w:cstheme="minorHAnsi"/>
        </w:rPr>
        <w:t xml:space="preserve"> </w:t>
      </w:r>
      <w:r w:rsidRPr="00C64CD6">
        <w:rPr>
          <w:rFonts w:cstheme="minorHAnsi"/>
        </w:rPr>
        <w:t xml:space="preserve">to students through </w:t>
      </w:r>
      <w:r w:rsidR="00A959B9">
        <w:rPr>
          <w:rFonts w:cstheme="minorHAnsi"/>
        </w:rPr>
        <w:t>a</w:t>
      </w:r>
      <w:r w:rsidR="00A959B9" w:rsidRPr="00C64CD6">
        <w:rPr>
          <w:rFonts w:cstheme="minorHAnsi"/>
        </w:rPr>
        <w:t xml:space="preserve"> </w:t>
      </w:r>
      <w:r w:rsidR="00A959B9">
        <w:rPr>
          <w:rFonts w:cstheme="minorHAnsi"/>
        </w:rPr>
        <w:t>s</w:t>
      </w:r>
      <w:r w:rsidR="00A959B9" w:rsidRPr="00C64CD6">
        <w:rPr>
          <w:rFonts w:cstheme="minorHAnsi"/>
        </w:rPr>
        <w:t xml:space="preserve">tudent </w:t>
      </w:r>
      <w:r w:rsidR="00A959B9">
        <w:rPr>
          <w:rFonts w:cstheme="minorHAnsi"/>
        </w:rPr>
        <w:t>a</w:t>
      </w:r>
      <w:r w:rsidR="00A959B9" w:rsidRPr="00C64CD6">
        <w:rPr>
          <w:rFonts w:cstheme="minorHAnsi"/>
        </w:rPr>
        <w:t xml:space="preserve">dvisory </w:t>
      </w:r>
      <w:r w:rsidR="00A959B9">
        <w:rPr>
          <w:rFonts w:cstheme="minorHAnsi"/>
        </w:rPr>
        <w:t>c</w:t>
      </w:r>
      <w:r w:rsidR="00A959B9" w:rsidRPr="00C64CD6">
        <w:rPr>
          <w:rFonts w:cstheme="minorHAnsi"/>
        </w:rPr>
        <w:t xml:space="preserve">ommittee </w:t>
      </w:r>
      <w:r w:rsidRPr="00C64CD6">
        <w:rPr>
          <w:rFonts w:cstheme="minorHAnsi"/>
        </w:rPr>
        <w:t>that meets</w:t>
      </w:r>
      <w:r>
        <w:rPr>
          <w:rFonts w:cstheme="minorHAnsi"/>
        </w:rPr>
        <w:t xml:space="preserve"> </w:t>
      </w:r>
      <w:r w:rsidR="00A959B9">
        <w:rPr>
          <w:rFonts w:cstheme="minorHAnsi"/>
        </w:rPr>
        <w:t xml:space="preserve">monthly with the superintendent </w:t>
      </w:r>
      <w:r>
        <w:rPr>
          <w:rFonts w:cstheme="minorHAnsi"/>
        </w:rPr>
        <w:t>to</w:t>
      </w:r>
      <w:r w:rsidRPr="00C64CD6">
        <w:rPr>
          <w:rFonts w:cstheme="minorHAnsi"/>
        </w:rPr>
        <w:t xml:space="preserve"> </w:t>
      </w:r>
      <w:r>
        <w:rPr>
          <w:rFonts w:cstheme="minorHAnsi"/>
        </w:rPr>
        <w:t xml:space="preserve">examine and discuss </w:t>
      </w:r>
      <w:r w:rsidRPr="00C64CD6">
        <w:rPr>
          <w:rFonts w:cstheme="minorHAnsi"/>
        </w:rPr>
        <w:t>school issues</w:t>
      </w:r>
      <w:r>
        <w:rPr>
          <w:rFonts w:cstheme="minorHAnsi"/>
        </w:rPr>
        <w:t>.</w:t>
      </w:r>
      <w:r w:rsidR="006D0158">
        <w:rPr>
          <w:rFonts w:cstheme="minorHAnsi"/>
        </w:rPr>
        <w:t xml:space="preserve">  </w:t>
      </w:r>
      <w:r w:rsidR="00357A5F">
        <w:rPr>
          <w:rFonts w:cstheme="minorHAnsi"/>
        </w:rPr>
        <w:t>At the time of the onsite in February 2019</w:t>
      </w:r>
      <w:r w:rsidR="00A959B9">
        <w:rPr>
          <w:rFonts w:cstheme="minorHAnsi"/>
        </w:rPr>
        <w:t>,</w:t>
      </w:r>
      <w:r>
        <w:rPr>
          <w:rFonts w:cstheme="minorHAnsi"/>
        </w:rPr>
        <w:t xml:space="preserve"> </w:t>
      </w:r>
      <w:r w:rsidR="00A959B9">
        <w:rPr>
          <w:rFonts w:cstheme="minorHAnsi"/>
        </w:rPr>
        <w:t xml:space="preserve">students </w:t>
      </w:r>
      <w:r w:rsidR="00357A5F">
        <w:rPr>
          <w:rFonts w:cstheme="minorHAnsi"/>
        </w:rPr>
        <w:t xml:space="preserve">were </w:t>
      </w:r>
      <w:r>
        <w:rPr>
          <w:rFonts w:cstheme="minorHAnsi"/>
        </w:rPr>
        <w:t>r</w:t>
      </w:r>
      <w:r w:rsidRPr="00C64CD6">
        <w:rPr>
          <w:rFonts w:cstheme="minorHAnsi"/>
        </w:rPr>
        <w:t>esearc</w:t>
      </w:r>
      <w:r>
        <w:rPr>
          <w:rFonts w:cstheme="minorHAnsi"/>
        </w:rPr>
        <w:t>hing</w:t>
      </w:r>
      <w:r w:rsidRPr="00C64CD6">
        <w:rPr>
          <w:rFonts w:cstheme="minorHAnsi"/>
        </w:rPr>
        <w:t xml:space="preserve"> the value of homework.</w:t>
      </w:r>
    </w:p>
    <w:p w14:paraId="70E20110" w14:textId="2CB3A63A" w:rsidR="00D13890" w:rsidRPr="00C64CD6" w:rsidRDefault="00D13890" w:rsidP="00D13890">
      <w:pPr>
        <w:ind w:left="1080" w:hanging="360"/>
        <w:rPr>
          <w:rFonts w:cstheme="minorHAnsi"/>
        </w:rPr>
      </w:pPr>
      <w:r w:rsidRPr="00C64CD6">
        <w:rPr>
          <w:rFonts w:cstheme="minorHAnsi"/>
        </w:rPr>
        <w:t xml:space="preserve">2. </w:t>
      </w:r>
      <w:r>
        <w:rPr>
          <w:rFonts w:cstheme="minorHAnsi"/>
        </w:rPr>
        <w:tab/>
        <w:t xml:space="preserve">The superintendent </w:t>
      </w:r>
      <w:r w:rsidRPr="00C64CD6">
        <w:rPr>
          <w:rFonts w:cstheme="minorHAnsi"/>
        </w:rPr>
        <w:t>also meets monthly with the</w:t>
      </w:r>
      <w:r>
        <w:rPr>
          <w:rFonts w:cstheme="minorHAnsi"/>
        </w:rPr>
        <w:t xml:space="preserve"> schools’</w:t>
      </w:r>
      <w:r w:rsidRPr="00C64CD6">
        <w:rPr>
          <w:rFonts w:cstheme="minorHAnsi"/>
        </w:rPr>
        <w:t xml:space="preserve"> leadership councils</w:t>
      </w:r>
      <w:r>
        <w:rPr>
          <w:rFonts w:cstheme="minorHAnsi"/>
        </w:rPr>
        <w:t xml:space="preserve"> as well as the </w:t>
      </w:r>
      <w:r w:rsidRPr="00C64CD6">
        <w:rPr>
          <w:rFonts w:cstheme="minorHAnsi"/>
        </w:rPr>
        <w:t>PTO leadership</w:t>
      </w:r>
      <w:r>
        <w:rPr>
          <w:rFonts w:cstheme="minorHAnsi"/>
        </w:rPr>
        <w:t xml:space="preserve"> group.</w:t>
      </w:r>
      <w:r w:rsidRPr="00C64CD6">
        <w:rPr>
          <w:rFonts w:cstheme="minorHAnsi"/>
        </w:rPr>
        <w:t xml:space="preserve"> </w:t>
      </w:r>
      <w:r w:rsidR="00357A5F">
        <w:rPr>
          <w:rFonts w:cstheme="minorHAnsi"/>
        </w:rPr>
        <w:t>P</w:t>
      </w:r>
      <w:r w:rsidR="00A959B9">
        <w:rPr>
          <w:rFonts w:cstheme="minorHAnsi"/>
        </w:rPr>
        <w:t xml:space="preserve">arents </w:t>
      </w:r>
      <w:r>
        <w:rPr>
          <w:rFonts w:cstheme="minorHAnsi"/>
        </w:rPr>
        <w:t>stated</w:t>
      </w:r>
      <w:r w:rsidR="00A959B9">
        <w:rPr>
          <w:rFonts w:cstheme="minorHAnsi"/>
        </w:rPr>
        <w:t xml:space="preserve"> </w:t>
      </w:r>
      <w:r w:rsidR="00357A5F">
        <w:rPr>
          <w:rFonts w:cstheme="minorHAnsi"/>
        </w:rPr>
        <w:t xml:space="preserve">that </w:t>
      </w:r>
      <w:r w:rsidR="00A959B9">
        <w:rPr>
          <w:rFonts w:cstheme="minorHAnsi"/>
        </w:rPr>
        <w:t xml:space="preserve">they were confident </w:t>
      </w:r>
      <w:r>
        <w:rPr>
          <w:rFonts w:cstheme="minorHAnsi"/>
        </w:rPr>
        <w:t>that district leaders listened to their views.</w:t>
      </w:r>
      <w:r w:rsidRPr="00C64CD6">
        <w:rPr>
          <w:rFonts w:cstheme="minorHAnsi"/>
        </w:rPr>
        <w:t xml:space="preserve"> </w:t>
      </w:r>
    </w:p>
    <w:p w14:paraId="706CF69A" w14:textId="6ECF0DE7" w:rsidR="00D13890" w:rsidRDefault="00BE7ED7" w:rsidP="00D13890">
      <w:pPr>
        <w:ind w:left="720" w:hanging="360"/>
        <w:rPr>
          <w:rFonts w:cstheme="minorHAnsi"/>
        </w:rPr>
      </w:pPr>
      <w:r>
        <w:rPr>
          <w:rFonts w:cstheme="minorHAnsi"/>
          <w:b/>
        </w:rPr>
        <w:t>B</w:t>
      </w:r>
      <w:r w:rsidR="00D13890" w:rsidRPr="00C737A7">
        <w:rPr>
          <w:rFonts w:cstheme="minorHAnsi"/>
          <w:b/>
        </w:rPr>
        <w:t>.</w:t>
      </w:r>
      <w:r w:rsidR="00D13890" w:rsidRPr="00C64CD6">
        <w:rPr>
          <w:rFonts w:cstheme="minorHAnsi"/>
        </w:rPr>
        <w:t xml:space="preserve"> </w:t>
      </w:r>
      <w:r w:rsidR="00D13890">
        <w:rPr>
          <w:rFonts w:cstheme="minorHAnsi"/>
        </w:rPr>
        <w:tab/>
        <w:t xml:space="preserve">There are multiple online platforms </w:t>
      </w:r>
      <w:r w:rsidR="00A959B9">
        <w:rPr>
          <w:rFonts w:cstheme="minorHAnsi"/>
        </w:rPr>
        <w:t xml:space="preserve">through </w:t>
      </w:r>
      <w:r w:rsidR="00D13890">
        <w:rPr>
          <w:rFonts w:cstheme="minorHAnsi"/>
        </w:rPr>
        <w:t xml:space="preserve">which </w:t>
      </w:r>
      <w:r w:rsidR="00357A5F">
        <w:rPr>
          <w:rFonts w:cstheme="minorHAnsi"/>
        </w:rPr>
        <w:t xml:space="preserve">families </w:t>
      </w:r>
      <w:r w:rsidR="00D13890">
        <w:rPr>
          <w:rFonts w:cstheme="minorHAnsi"/>
        </w:rPr>
        <w:t xml:space="preserve">can monitor students’ work and progress. These include </w:t>
      </w:r>
      <w:r w:rsidR="00D13890" w:rsidRPr="00C64CD6">
        <w:rPr>
          <w:rFonts w:cstheme="minorHAnsi"/>
        </w:rPr>
        <w:t>C</w:t>
      </w:r>
      <w:r w:rsidR="00D13890">
        <w:rPr>
          <w:rFonts w:cstheme="minorHAnsi"/>
        </w:rPr>
        <w:t>anvas, the district’s learning management system, where teachers post lessons and assignments and student results</w:t>
      </w:r>
      <w:r>
        <w:rPr>
          <w:rFonts w:cstheme="minorHAnsi"/>
        </w:rPr>
        <w:t xml:space="preserve"> and</w:t>
      </w:r>
      <w:r w:rsidR="00D13890">
        <w:rPr>
          <w:rFonts w:cstheme="minorHAnsi"/>
        </w:rPr>
        <w:t xml:space="preserve"> </w:t>
      </w:r>
      <w:r w:rsidR="00D13890" w:rsidRPr="00C64CD6">
        <w:rPr>
          <w:rFonts w:cstheme="minorHAnsi"/>
        </w:rPr>
        <w:t>Aspen X2,</w:t>
      </w:r>
      <w:r w:rsidR="00D13890">
        <w:rPr>
          <w:rFonts w:cstheme="minorHAnsi"/>
        </w:rPr>
        <w:t xml:space="preserve"> </w:t>
      </w:r>
      <w:r w:rsidR="00D13890" w:rsidRPr="00C64CD6">
        <w:rPr>
          <w:rFonts w:cstheme="minorHAnsi"/>
        </w:rPr>
        <w:t xml:space="preserve">which records </w:t>
      </w:r>
      <w:r w:rsidR="00D13890">
        <w:rPr>
          <w:rFonts w:cstheme="minorHAnsi"/>
        </w:rPr>
        <w:t xml:space="preserve">student </w:t>
      </w:r>
      <w:r w:rsidR="00D13890" w:rsidRPr="00C64CD6">
        <w:rPr>
          <w:rFonts w:cstheme="minorHAnsi"/>
        </w:rPr>
        <w:t>attendance data</w:t>
      </w:r>
      <w:r w:rsidR="00A959B9">
        <w:rPr>
          <w:rFonts w:cstheme="minorHAnsi"/>
        </w:rPr>
        <w:t>.</w:t>
      </w:r>
      <w:r w:rsidR="00D13890" w:rsidRPr="00C64CD6">
        <w:rPr>
          <w:rFonts w:cstheme="minorHAnsi"/>
        </w:rPr>
        <w:t xml:space="preserve"> </w:t>
      </w:r>
    </w:p>
    <w:p w14:paraId="1F3D7586" w14:textId="185538A1" w:rsidR="00D13890" w:rsidRPr="00C64CD6" w:rsidRDefault="00165943" w:rsidP="00D13890">
      <w:pPr>
        <w:ind w:left="720" w:hanging="360"/>
        <w:rPr>
          <w:rFonts w:cstheme="minorHAnsi"/>
        </w:rPr>
      </w:pPr>
      <w:r>
        <w:rPr>
          <w:rFonts w:cstheme="minorHAnsi"/>
          <w:b/>
        </w:rPr>
        <w:t>C</w:t>
      </w:r>
      <w:r w:rsidR="00D13890" w:rsidRPr="00C737A7">
        <w:rPr>
          <w:rFonts w:cstheme="minorHAnsi"/>
          <w:b/>
        </w:rPr>
        <w:t>.</w:t>
      </w:r>
      <w:r w:rsidR="00D13890" w:rsidRPr="00C64CD6">
        <w:rPr>
          <w:rFonts w:cstheme="minorHAnsi"/>
        </w:rPr>
        <w:t xml:space="preserve"> </w:t>
      </w:r>
      <w:r w:rsidR="00D13890">
        <w:rPr>
          <w:rFonts w:cstheme="minorHAnsi"/>
        </w:rPr>
        <w:tab/>
      </w:r>
      <w:proofErr w:type="gramStart"/>
      <w:r w:rsidR="00357A5F">
        <w:rPr>
          <w:rFonts w:cstheme="minorHAnsi"/>
        </w:rPr>
        <w:t>A</w:t>
      </w:r>
      <w:r w:rsidR="00D13890">
        <w:rPr>
          <w:rFonts w:cstheme="minorHAnsi"/>
        </w:rPr>
        <w:t xml:space="preserve"> number of</w:t>
      </w:r>
      <w:proofErr w:type="gramEnd"/>
      <w:r w:rsidR="00D13890" w:rsidRPr="00C64CD6">
        <w:rPr>
          <w:rFonts w:cstheme="minorHAnsi"/>
        </w:rPr>
        <w:t xml:space="preserve"> partnerships and organizations within the community support families and students.</w:t>
      </w:r>
    </w:p>
    <w:p w14:paraId="13D247A9" w14:textId="57F9D286" w:rsidR="00D13890" w:rsidRDefault="00D13890" w:rsidP="00D13890">
      <w:pPr>
        <w:ind w:left="1080" w:hanging="360"/>
        <w:rPr>
          <w:rFonts w:cstheme="minorHAnsi"/>
        </w:rPr>
      </w:pPr>
      <w:r w:rsidRPr="00C64CD6">
        <w:rPr>
          <w:rFonts w:cstheme="minorHAnsi"/>
        </w:rPr>
        <w:t>1.</w:t>
      </w:r>
      <w:r>
        <w:rPr>
          <w:rFonts w:cstheme="minorHAnsi"/>
        </w:rPr>
        <w:t xml:space="preserve">    </w:t>
      </w:r>
      <w:r w:rsidRPr="00C64CD6">
        <w:rPr>
          <w:rFonts w:cstheme="minorHAnsi"/>
        </w:rPr>
        <w:t xml:space="preserve">The </w:t>
      </w:r>
      <w:r>
        <w:rPr>
          <w:rFonts w:cstheme="minorHAnsi"/>
        </w:rPr>
        <w:t xml:space="preserve">district’s </w:t>
      </w:r>
      <w:r w:rsidRPr="00C64CD6">
        <w:rPr>
          <w:rFonts w:cstheme="minorHAnsi"/>
        </w:rPr>
        <w:t xml:space="preserve">office of </w:t>
      </w:r>
      <w:r>
        <w:rPr>
          <w:rFonts w:cstheme="minorHAnsi"/>
        </w:rPr>
        <w:t>e</w:t>
      </w:r>
      <w:r w:rsidRPr="00C64CD6">
        <w:rPr>
          <w:rFonts w:cstheme="minorHAnsi"/>
        </w:rPr>
        <w:t xml:space="preserve">quity, </w:t>
      </w:r>
      <w:r>
        <w:rPr>
          <w:rFonts w:cstheme="minorHAnsi"/>
        </w:rPr>
        <w:t>d</w:t>
      </w:r>
      <w:r w:rsidRPr="00C64CD6">
        <w:rPr>
          <w:rFonts w:cstheme="minorHAnsi"/>
        </w:rPr>
        <w:t>iversity</w:t>
      </w:r>
      <w:r w:rsidR="00357A5F">
        <w:rPr>
          <w:rFonts w:cstheme="minorHAnsi"/>
        </w:rPr>
        <w:t>,</w:t>
      </w:r>
      <w:r w:rsidRPr="00C64CD6">
        <w:rPr>
          <w:rFonts w:cstheme="minorHAnsi"/>
        </w:rPr>
        <w:t xml:space="preserve"> and </w:t>
      </w:r>
      <w:r>
        <w:rPr>
          <w:rFonts w:cstheme="minorHAnsi"/>
        </w:rPr>
        <w:t>c</w:t>
      </w:r>
      <w:r w:rsidRPr="00C64CD6">
        <w:rPr>
          <w:rFonts w:cstheme="minorHAnsi"/>
        </w:rPr>
        <w:t xml:space="preserve">ommunity </w:t>
      </w:r>
      <w:r>
        <w:rPr>
          <w:rFonts w:cstheme="minorHAnsi"/>
        </w:rPr>
        <w:t>d</w:t>
      </w:r>
      <w:r w:rsidRPr="00C64CD6">
        <w:rPr>
          <w:rFonts w:cstheme="minorHAnsi"/>
        </w:rPr>
        <w:t xml:space="preserve">evelopment has </w:t>
      </w:r>
      <w:r w:rsidR="00A959B9">
        <w:rPr>
          <w:rFonts w:cstheme="minorHAnsi"/>
        </w:rPr>
        <w:t>relationships</w:t>
      </w:r>
      <w:r w:rsidR="00A959B9" w:rsidRPr="00C64CD6">
        <w:rPr>
          <w:rFonts w:cstheme="minorHAnsi"/>
        </w:rPr>
        <w:t xml:space="preserve"> </w:t>
      </w:r>
      <w:r w:rsidRPr="00C64CD6">
        <w:rPr>
          <w:rFonts w:cstheme="minorHAnsi"/>
        </w:rPr>
        <w:t xml:space="preserve">with </w:t>
      </w:r>
      <w:r>
        <w:rPr>
          <w:rFonts w:cstheme="minorHAnsi"/>
        </w:rPr>
        <w:t xml:space="preserve">over 60 community organizations in Framingham. </w:t>
      </w:r>
      <w:r w:rsidRPr="00C64CD6">
        <w:rPr>
          <w:rFonts w:cstheme="minorHAnsi"/>
        </w:rPr>
        <w:t xml:space="preserve"> Some of these organizations have </w:t>
      </w:r>
      <w:r w:rsidR="00A959B9">
        <w:rPr>
          <w:rFonts w:cstheme="minorHAnsi"/>
        </w:rPr>
        <w:t>donated funds</w:t>
      </w:r>
      <w:r w:rsidRPr="00C64CD6">
        <w:rPr>
          <w:rFonts w:cstheme="minorHAnsi"/>
        </w:rPr>
        <w:t xml:space="preserve"> </w:t>
      </w:r>
      <w:r w:rsidR="00F8389C">
        <w:rPr>
          <w:rFonts w:cstheme="minorHAnsi"/>
        </w:rPr>
        <w:t xml:space="preserve">to the district </w:t>
      </w:r>
      <w:r w:rsidRPr="00C64CD6">
        <w:rPr>
          <w:rFonts w:cstheme="minorHAnsi"/>
        </w:rPr>
        <w:t>for family supports, such as</w:t>
      </w:r>
      <w:r w:rsidR="006D0158">
        <w:rPr>
          <w:rFonts w:cstheme="minorHAnsi"/>
        </w:rPr>
        <w:t xml:space="preserve"> </w:t>
      </w:r>
      <w:r w:rsidRPr="00C64CD6">
        <w:rPr>
          <w:rFonts w:cstheme="minorHAnsi"/>
        </w:rPr>
        <w:t>freezer</w:t>
      </w:r>
      <w:r w:rsidR="00F8389C">
        <w:rPr>
          <w:rFonts w:cstheme="minorHAnsi"/>
        </w:rPr>
        <w:t>s</w:t>
      </w:r>
      <w:r w:rsidRPr="00C64CD6">
        <w:rPr>
          <w:rFonts w:cstheme="minorHAnsi"/>
        </w:rPr>
        <w:t xml:space="preserve"> for the</w:t>
      </w:r>
      <w:r>
        <w:rPr>
          <w:rFonts w:cstheme="minorHAnsi"/>
        </w:rPr>
        <w:t xml:space="preserve"> Wilson </w:t>
      </w:r>
      <w:r w:rsidR="006D0158">
        <w:rPr>
          <w:rFonts w:cstheme="minorHAnsi"/>
        </w:rPr>
        <w:t xml:space="preserve">Elementary </w:t>
      </w:r>
      <w:r>
        <w:rPr>
          <w:rFonts w:cstheme="minorHAnsi"/>
        </w:rPr>
        <w:t xml:space="preserve">School and </w:t>
      </w:r>
      <w:r w:rsidR="006D0158">
        <w:rPr>
          <w:rFonts w:cstheme="minorHAnsi"/>
        </w:rPr>
        <w:t>Framingham High S</w:t>
      </w:r>
      <w:r w:rsidR="006D0158" w:rsidRPr="00C64CD6">
        <w:rPr>
          <w:rFonts w:cstheme="minorHAnsi"/>
        </w:rPr>
        <w:t xml:space="preserve">chool </w:t>
      </w:r>
      <w:r w:rsidR="006D0158">
        <w:rPr>
          <w:rFonts w:cstheme="minorHAnsi"/>
        </w:rPr>
        <w:t>to equip the district to</w:t>
      </w:r>
      <w:r w:rsidRPr="00C64CD6">
        <w:rPr>
          <w:rFonts w:cstheme="minorHAnsi"/>
        </w:rPr>
        <w:t xml:space="preserve"> provide families in need with frozen </w:t>
      </w:r>
      <w:r>
        <w:rPr>
          <w:rFonts w:cstheme="minorHAnsi"/>
        </w:rPr>
        <w:t>meals</w:t>
      </w:r>
      <w:r w:rsidRPr="00C64CD6">
        <w:rPr>
          <w:rFonts w:cstheme="minorHAnsi"/>
        </w:rPr>
        <w:t>.</w:t>
      </w:r>
    </w:p>
    <w:p w14:paraId="0513D7CB" w14:textId="5BF5AB1F" w:rsidR="00D13890" w:rsidRDefault="00D13890" w:rsidP="00D13890">
      <w:pPr>
        <w:ind w:left="1080" w:hanging="360"/>
        <w:rPr>
          <w:rFonts w:cstheme="minorHAnsi"/>
        </w:rPr>
      </w:pPr>
      <w:r w:rsidRPr="00C64CD6">
        <w:rPr>
          <w:rFonts w:cstheme="minorHAnsi"/>
        </w:rPr>
        <w:lastRenderedPageBreak/>
        <w:t xml:space="preserve">2. </w:t>
      </w:r>
      <w:r>
        <w:rPr>
          <w:rFonts w:cstheme="minorHAnsi"/>
        </w:rPr>
        <w:tab/>
      </w:r>
      <w:r w:rsidRPr="00C64CD6">
        <w:rPr>
          <w:rFonts w:cstheme="minorHAnsi"/>
        </w:rPr>
        <w:t>The school partners with area colleges</w:t>
      </w:r>
      <w:r>
        <w:rPr>
          <w:rFonts w:cstheme="minorHAnsi"/>
        </w:rPr>
        <w:t xml:space="preserve"> such as</w:t>
      </w:r>
      <w:r w:rsidRPr="00C64CD6">
        <w:rPr>
          <w:rFonts w:cstheme="minorHAnsi"/>
        </w:rPr>
        <w:t xml:space="preserve"> B</w:t>
      </w:r>
      <w:r>
        <w:rPr>
          <w:rFonts w:cstheme="minorHAnsi"/>
        </w:rPr>
        <w:t>oston University</w:t>
      </w:r>
      <w:r w:rsidRPr="00C64CD6">
        <w:rPr>
          <w:rFonts w:cstheme="minorHAnsi"/>
        </w:rPr>
        <w:t>, Well</w:t>
      </w:r>
      <w:r>
        <w:rPr>
          <w:rFonts w:cstheme="minorHAnsi"/>
        </w:rPr>
        <w:t>e</w:t>
      </w:r>
      <w:r w:rsidRPr="00C64CD6">
        <w:rPr>
          <w:rFonts w:cstheme="minorHAnsi"/>
        </w:rPr>
        <w:t>sley</w:t>
      </w:r>
      <w:r>
        <w:rPr>
          <w:rFonts w:cstheme="minorHAnsi"/>
        </w:rPr>
        <w:t xml:space="preserve"> College</w:t>
      </w:r>
      <w:r w:rsidRPr="00C64CD6">
        <w:rPr>
          <w:rFonts w:cstheme="minorHAnsi"/>
        </w:rPr>
        <w:t xml:space="preserve">, and Framingham State University to provide courses for </w:t>
      </w:r>
      <w:r>
        <w:rPr>
          <w:rFonts w:cstheme="minorHAnsi"/>
        </w:rPr>
        <w:t xml:space="preserve">both </w:t>
      </w:r>
      <w:r w:rsidRPr="00C64CD6">
        <w:rPr>
          <w:rFonts w:cstheme="minorHAnsi"/>
        </w:rPr>
        <w:t xml:space="preserve">students and teachers. </w:t>
      </w:r>
      <w:r>
        <w:rPr>
          <w:rFonts w:cstheme="minorHAnsi"/>
        </w:rPr>
        <w:t xml:space="preserve">At no cost, </w:t>
      </w:r>
      <w:r w:rsidR="00F8389C" w:rsidRPr="00C64CD6">
        <w:rPr>
          <w:rFonts w:cstheme="minorHAnsi"/>
        </w:rPr>
        <w:t xml:space="preserve">Framingham State University </w:t>
      </w:r>
      <w:r w:rsidRPr="00C64CD6">
        <w:rPr>
          <w:rFonts w:cstheme="minorHAnsi"/>
        </w:rPr>
        <w:t>will provide a summer program to help</w:t>
      </w:r>
      <w:r>
        <w:rPr>
          <w:rFonts w:cstheme="minorHAnsi"/>
        </w:rPr>
        <w:t xml:space="preserve"> teachers</w:t>
      </w:r>
      <w:r w:rsidRPr="00C64CD6">
        <w:rPr>
          <w:rFonts w:cstheme="minorHAnsi"/>
        </w:rPr>
        <w:t xml:space="preserve"> </w:t>
      </w:r>
      <w:r w:rsidR="006D0158">
        <w:rPr>
          <w:rFonts w:cstheme="minorHAnsi"/>
        </w:rPr>
        <w:t xml:space="preserve">conduct </w:t>
      </w:r>
      <w:r>
        <w:rPr>
          <w:rFonts w:cstheme="minorHAnsi"/>
        </w:rPr>
        <w:t xml:space="preserve">curriculum </w:t>
      </w:r>
      <w:r w:rsidRPr="00C64CD6">
        <w:rPr>
          <w:rFonts w:cstheme="minorHAnsi"/>
        </w:rPr>
        <w:t>research</w:t>
      </w:r>
      <w:r>
        <w:rPr>
          <w:rFonts w:cstheme="minorHAnsi"/>
        </w:rPr>
        <w:t xml:space="preserve">.  </w:t>
      </w:r>
      <w:r w:rsidR="00F8389C">
        <w:rPr>
          <w:rFonts w:cstheme="minorHAnsi"/>
        </w:rPr>
        <w:t xml:space="preserve">The university </w:t>
      </w:r>
      <w:r w:rsidRPr="00C64CD6">
        <w:rPr>
          <w:rFonts w:cstheme="minorHAnsi"/>
        </w:rPr>
        <w:t xml:space="preserve">will </w:t>
      </w:r>
      <w:r>
        <w:rPr>
          <w:rFonts w:cstheme="minorHAnsi"/>
        </w:rPr>
        <w:t xml:space="preserve">also </w:t>
      </w:r>
      <w:r w:rsidR="006D0158">
        <w:rPr>
          <w:rFonts w:cstheme="minorHAnsi"/>
        </w:rPr>
        <w:t>offer</w:t>
      </w:r>
      <w:r w:rsidR="00F8389C" w:rsidRPr="00C64CD6">
        <w:rPr>
          <w:rFonts w:cstheme="minorHAnsi"/>
        </w:rPr>
        <w:t xml:space="preserve"> </w:t>
      </w:r>
      <w:r w:rsidRPr="00C64CD6">
        <w:rPr>
          <w:rFonts w:cstheme="minorHAnsi"/>
        </w:rPr>
        <w:t xml:space="preserve">a </w:t>
      </w:r>
      <w:r w:rsidR="00F8389C">
        <w:rPr>
          <w:rFonts w:cstheme="minorHAnsi"/>
        </w:rPr>
        <w:t xml:space="preserve">tuition-free </w:t>
      </w:r>
      <w:r w:rsidRPr="00C64CD6">
        <w:rPr>
          <w:rFonts w:cstheme="minorHAnsi"/>
        </w:rPr>
        <w:t xml:space="preserve">summer reading program </w:t>
      </w:r>
      <w:r w:rsidR="00F8389C">
        <w:rPr>
          <w:rFonts w:cstheme="minorHAnsi"/>
        </w:rPr>
        <w:t>for</w:t>
      </w:r>
      <w:r w:rsidR="00F8389C" w:rsidRPr="00C64CD6">
        <w:rPr>
          <w:rFonts w:cstheme="minorHAnsi"/>
        </w:rPr>
        <w:t xml:space="preserve"> </w:t>
      </w:r>
      <w:r w:rsidRPr="00C64CD6">
        <w:rPr>
          <w:rFonts w:cstheme="minorHAnsi"/>
        </w:rPr>
        <w:t>the</w:t>
      </w:r>
      <w:r>
        <w:rPr>
          <w:rFonts w:cstheme="minorHAnsi"/>
        </w:rPr>
        <w:t xml:space="preserve"> district’s</w:t>
      </w:r>
      <w:r w:rsidRPr="00C64CD6">
        <w:rPr>
          <w:rFonts w:cstheme="minorHAnsi"/>
        </w:rPr>
        <w:t xml:space="preserve"> lowest performing readers.</w:t>
      </w:r>
      <w:r w:rsidR="00143926">
        <w:rPr>
          <w:rFonts w:cstheme="minorHAnsi"/>
        </w:rPr>
        <w:t xml:space="preserve"> </w:t>
      </w:r>
    </w:p>
    <w:p w14:paraId="654A3F77" w14:textId="741BE48B" w:rsidR="00D13890" w:rsidRDefault="00D13890" w:rsidP="00D13890">
      <w:pPr>
        <w:ind w:left="1080" w:hanging="360"/>
        <w:rPr>
          <w:rFonts w:cstheme="minorHAnsi"/>
        </w:rPr>
      </w:pPr>
      <w:r w:rsidRPr="00C64CD6">
        <w:rPr>
          <w:rFonts w:cstheme="minorHAnsi"/>
        </w:rPr>
        <w:t xml:space="preserve">3. </w:t>
      </w:r>
      <w:r>
        <w:rPr>
          <w:rFonts w:cstheme="minorHAnsi"/>
        </w:rPr>
        <w:tab/>
      </w:r>
      <w:r w:rsidR="00357A5F">
        <w:rPr>
          <w:rFonts w:cstheme="minorHAnsi"/>
        </w:rPr>
        <w:t>In 2018–2019</w:t>
      </w:r>
      <w:r w:rsidR="006D0158">
        <w:rPr>
          <w:rFonts w:cstheme="minorHAnsi"/>
        </w:rPr>
        <w:t>, t</w:t>
      </w:r>
      <w:r w:rsidR="006D0158" w:rsidRPr="00C64CD6">
        <w:rPr>
          <w:rFonts w:cstheme="minorHAnsi"/>
        </w:rPr>
        <w:t xml:space="preserve">he </w:t>
      </w:r>
      <w:r>
        <w:rPr>
          <w:rFonts w:cstheme="minorHAnsi"/>
        </w:rPr>
        <w:t>district</w:t>
      </w:r>
      <w:r w:rsidRPr="00C64CD6">
        <w:rPr>
          <w:rFonts w:cstheme="minorHAnsi"/>
        </w:rPr>
        <w:t xml:space="preserve"> collaborated extensively with the</w:t>
      </w:r>
      <w:r>
        <w:rPr>
          <w:rFonts w:cstheme="minorHAnsi"/>
        </w:rPr>
        <w:t xml:space="preserve"> city </w:t>
      </w:r>
      <w:r w:rsidR="006D0158">
        <w:rPr>
          <w:rFonts w:cstheme="minorHAnsi"/>
        </w:rPr>
        <w:t xml:space="preserve">health </w:t>
      </w:r>
      <w:r w:rsidR="00F8389C">
        <w:rPr>
          <w:rFonts w:cstheme="minorHAnsi"/>
        </w:rPr>
        <w:t>d</w:t>
      </w:r>
      <w:r w:rsidR="00F8389C" w:rsidRPr="00C64CD6">
        <w:rPr>
          <w:rFonts w:cstheme="minorHAnsi"/>
        </w:rPr>
        <w:t xml:space="preserve">epartment </w:t>
      </w:r>
      <w:r w:rsidR="006D0158">
        <w:rPr>
          <w:rFonts w:cstheme="minorHAnsi"/>
        </w:rPr>
        <w:t>on</w:t>
      </w:r>
      <w:r>
        <w:rPr>
          <w:rFonts w:cstheme="minorHAnsi"/>
        </w:rPr>
        <w:t xml:space="preserve"> best practice supports to address students’</w:t>
      </w:r>
      <w:r w:rsidRPr="00C64CD6">
        <w:rPr>
          <w:rFonts w:cstheme="minorHAnsi"/>
        </w:rPr>
        <w:t xml:space="preserve"> social</w:t>
      </w:r>
      <w:r w:rsidR="00F8389C">
        <w:rPr>
          <w:rFonts w:cstheme="minorHAnsi"/>
        </w:rPr>
        <w:t>-</w:t>
      </w:r>
      <w:r w:rsidRPr="00C64CD6">
        <w:rPr>
          <w:rFonts w:cstheme="minorHAnsi"/>
        </w:rPr>
        <w:t>emotional and behavioral</w:t>
      </w:r>
      <w:r>
        <w:rPr>
          <w:rFonts w:cstheme="minorHAnsi"/>
        </w:rPr>
        <w:t xml:space="preserve"> needs</w:t>
      </w:r>
      <w:r w:rsidR="006D0158">
        <w:rPr>
          <w:rFonts w:cstheme="minorHAnsi"/>
        </w:rPr>
        <w:t xml:space="preserve"> </w:t>
      </w:r>
      <w:proofErr w:type="gramStart"/>
      <w:r w:rsidR="006D0158" w:rsidRPr="00C64CD6">
        <w:rPr>
          <w:rFonts w:cstheme="minorHAnsi"/>
        </w:rPr>
        <w:t>in order to</w:t>
      </w:r>
      <w:proofErr w:type="gramEnd"/>
      <w:r w:rsidR="006D0158" w:rsidRPr="00C64CD6">
        <w:rPr>
          <w:rFonts w:cstheme="minorHAnsi"/>
        </w:rPr>
        <w:t xml:space="preserve"> create a </w:t>
      </w:r>
      <w:r w:rsidR="006D0158">
        <w:rPr>
          <w:rFonts w:cstheme="minorHAnsi"/>
        </w:rPr>
        <w:t xml:space="preserve">more </w:t>
      </w:r>
      <w:r w:rsidR="006D0158" w:rsidRPr="00C64CD6">
        <w:rPr>
          <w:rFonts w:cstheme="minorHAnsi"/>
        </w:rPr>
        <w:t xml:space="preserve">comprehensive </w:t>
      </w:r>
      <w:r w:rsidR="006D0158">
        <w:rPr>
          <w:rFonts w:cstheme="minorHAnsi"/>
        </w:rPr>
        <w:t>T</w:t>
      </w:r>
      <w:r w:rsidR="006D0158" w:rsidRPr="00C64CD6">
        <w:rPr>
          <w:rFonts w:cstheme="minorHAnsi"/>
        </w:rPr>
        <w:t xml:space="preserve">ier </w:t>
      </w:r>
      <w:r w:rsidR="0013685E">
        <w:rPr>
          <w:rFonts w:cstheme="minorHAnsi"/>
        </w:rPr>
        <w:t>2</w:t>
      </w:r>
      <w:r w:rsidR="006D0158" w:rsidRPr="00C64CD6">
        <w:rPr>
          <w:rFonts w:cstheme="minorHAnsi"/>
        </w:rPr>
        <w:t xml:space="preserve"> </w:t>
      </w:r>
      <w:r w:rsidR="006D0158">
        <w:rPr>
          <w:rFonts w:cstheme="minorHAnsi"/>
        </w:rPr>
        <w:t xml:space="preserve">and </w:t>
      </w:r>
      <w:r w:rsidR="00D53BB9">
        <w:rPr>
          <w:rFonts w:cstheme="minorHAnsi"/>
        </w:rPr>
        <w:t xml:space="preserve">3 </w:t>
      </w:r>
      <w:r w:rsidR="006D0158" w:rsidRPr="00C64CD6">
        <w:rPr>
          <w:rFonts w:cstheme="minorHAnsi"/>
        </w:rPr>
        <w:t>system</w:t>
      </w:r>
      <w:r w:rsidRPr="00C64CD6">
        <w:rPr>
          <w:rFonts w:cstheme="minorHAnsi"/>
        </w:rPr>
        <w:t xml:space="preserve">. </w:t>
      </w:r>
    </w:p>
    <w:p w14:paraId="6C71A553" w14:textId="5116CD3F" w:rsidR="00D13890" w:rsidRDefault="00D13890" w:rsidP="00D13890">
      <w:pPr>
        <w:rPr>
          <w:rFonts w:cstheme="minorHAnsi"/>
        </w:rPr>
      </w:pPr>
      <w:r w:rsidRPr="00C64CD6">
        <w:rPr>
          <w:rFonts w:cstheme="minorHAnsi"/>
          <w:b/>
        </w:rPr>
        <w:t>Impact:</w:t>
      </w:r>
      <w:r w:rsidRPr="00C64CD6">
        <w:rPr>
          <w:rFonts w:cstheme="minorHAnsi"/>
        </w:rPr>
        <w:t xml:space="preserve"> Strong community relationships and partnerships </w:t>
      </w:r>
      <w:r>
        <w:rPr>
          <w:rFonts w:cstheme="minorHAnsi"/>
        </w:rPr>
        <w:t>can</w:t>
      </w:r>
      <w:r w:rsidRPr="00C64CD6">
        <w:rPr>
          <w:rFonts w:cstheme="minorHAnsi"/>
        </w:rPr>
        <w:t xml:space="preserve"> enable the district to provide students</w:t>
      </w:r>
      <w:r>
        <w:rPr>
          <w:rFonts w:cstheme="minorHAnsi"/>
        </w:rPr>
        <w:t xml:space="preserve"> with the</w:t>
      </w:r>
      <w:r w:rsidRPr="00C64CD6">
        <w:rPr>
          <w:rFonts w:cstheme="minorHAnsi"/>
        </w:rPr>
        <w:t xml:space="preserve"> academic</w:t>
      </w:r>
      <w:r>
        <w:rPr>
          <w:rFonts w:cstheme="minorHAnsi"/>
        </w:rPr>
        <w:t xml:space="preserve">, </w:t>
      </w:r>
      <w:r w:rsidRPr="00C64CD6">
        <w:rPr>
          <w:rFonts w:cstheme="minorHAnsi"/>
        </w:rPr>
        <w:t>social-emotional</w:t>
      </w:r>
      <w:r w:rsidR="003E1B11">
        <w:rPr>
          <w:rFonts w:cstheme="minorHAnsi"/>
        </w:rPr>
        <w:t>,</w:t>
      </w:r>
      <w:r>
        <w:rPr>
          <w:rFonts w:cstheme="minorHAnsi"/>
        </w:rPr>
        <w:t xml:space="preserve"> and behavioral supports that can </w:t>
      </w:r>
      <w:r w:rsidRPr="00C64CD6">
        <w:rPr>
          <w:rFonts w:cstheme="minorHAnsi"/>
        </w:rPr>
        <w:t xml:space="preserve">promote </w:t>
      </w:r>
      <w:r>
        <w:rPr>
          <w:rFonts w:cstheme="minorHAnsi"/>
        </w:rPr>
        <w:t>well</w:t>
      </w:r>
      <w:r w:rsidR="0013685E">
        <w:rPr>
          <w:rFonts w:cstheme="minorHAnsi"/>
        </w:rPr>
        <w:t>–</w:t>
      </w:r>
      <w:r>
        <w:rPr>
          <w:rFonts w:cstheme="minorHAnsi"/>
        </w:rPr>
        <w:t xml:space="preserve">being and higher </w:t>
      </w:r>
      <w:r w:rsidRPr="00C64CD6">
        <w:rPr>
          <w:rFonts w:cstheme="minorHAnsi"/>
        </w:rPr>
        <w:t>academic achievement.</w:t>
      </w:r>
    </w:p>
    <w:p w14:paraId="5BA7FEC2" w14:textId="450A2055" w:rsidR="00030AD1" w:rsidRDefault="00030AD1" w:rsidP="00D13890">
      <w:pPr>
        <w:rPr>
          <w:rFonts w:cstheme="minorHAnsi"/>
        </w:rPr>
      </w:pPr>
    </w:p>
    <w:p w14:paraId="5EE04CF9" w14:textId="472F5A78" w:rsidR="00D13890" w:rsidRPr="00E90C6D" w:rsidRDefault="00D13890" w:rsidP="00D13890">
      <w:pPr>
        <w:rPr>
          <w:rFonts w:cstheme="minorHAnsi"/>
          <w:b/>
          <w:sz w:val="28"/>
          <w:szCs w:val="28"/>
        </w:rPr>
      </w:pPr>
      <w:r w:rsidRPr="00E90C6D">
        <w:rPr>
          <w:rFonts w:cstheme="minorHAnsi"/>
          <w:b/>
          <w:sz w:val="28"/>
          <w:szCs w:val="28"/>
        </w:rPr>
        <w:t>Challenges and Areas of Growth</w:t>
      </w:r>
    </w:p>
    <w:p w14:paraId="5B24DE50" w14:textId="0E3F4AFE" w:rsidR="001341F7" w:rsidRDefault="001146EB" w:rsidP="00406A80">
      <w:pPr>
        <w:tabs>
          <w:tab w:val="left" w:pos="360"/>
          <w:tab w:val="left" w:pos="720"/>
        </w:tabs>
        <w:ind w:left="360" w:hanging="360"/>
        <w:rPr>
          <w:rFonts w:cstheme="minorHAnsi"/>
          <w:b/>
        </w:rPr>
      </w:pPr>
      <w:r w:rsidRPr="003D67D5">
        <w:rPr>
          <w:rFonts w:cstheme="minorHAnsi"/>
          <w:b/>
        </w:rPr>
        <w:t>3</w:t>
      </w:r>
      <w:r w:rsidR="00D03EEC" w:rsidRPr="00406A80">
        <w:rPr>
          <w:rFonts w:cstheme="minorHAnsi"/>
          <w:b/>
        </w:rPr>
        <w:t>.</w:t>
      </w:r>
      <w:r w:rsidR="00D03EEC" w:rsidRPr="00406A80">
        <w:rPr>
          <w:rFonts w:cstheme="minorHAnsi"/>
          <w:b/>
        </w:rPr>
        <w:tab/>
      </w:r>
      <w:r w:rsidR="0013118E" w:rsidRPr="00406A80">
        <w:rPr>
          <w:rFonts w:cstheme="minorHAnsi"/>
          <w:b/>
        </w:rPr>
        <w:t xml:space="preserve">The district’s policies and practices are not </w:t>
      </w:r>
      <w:r w:rsidR="00661991" w:rsidRPr="00406A80">
        <w:rPr>
          <w:rFonts w:cstheme="minorHAnsi"/>
          <w:b/>
        </w:rPr>
        <w:t>improving graduation</w:t>
      </w:r>
      <w:r w:rsidR="009245EF" w:rsidRPr="00406A80">
        <w:rPr>
          <w:rFonts w:cstheme="minorHAnsi"/>
          <w:b/>
        </w:rPr>
        <w:t xml:space="preserve">, </w:t>
      </w:r>
      <w:r w:rsidR="00661991" w:rsidRPr="00406A80">
        <w:rPr>
          <w:rFonts w:cstheme="minorHAnsi"/>
          <w:b/>
        </w:rPr>
        <w:t>dropout</w:t>
      </w:r>
      <w:r w:rsidR="009245EF" w:rsidRPr="00406A80">
        <w:rPr>
          <w:rFonts w:cstheme="minorHAnsi"/>
          <w:b/>
        </w:rPr>
        <w:t>, and chronic absence</w:t>
      </w:r>
      <w:r w:rsidR="00661991" w:rsidRPr="00406A80">
        <w:rPr>
          <w:rFonts w:cstheme="minorHAnsi"/>
          <w:b/>
        </w:rPr>
        <w:t xml:space="preserve"> rates,</w:t>
      </w:r>
      <w:r w:rsidR="0013118E" w:rsidRPr="003D67D5">
        <w:rPr>
          <w:rFonts w:cstheme="minorHAnsi"/>
          <w:b/>
        </w:rPr>
        <w:t xml:space="preserve"> particularly for some </w:t>
      </w:r>
      <w:r w:rsidR="006D7CAA" w:rsidRPr="00406A80">
        <w:rPr>
          <w:rFonts w:cstheme="minorHAnsi"/>
          <w:b/>
        </w:rPr>
        <w:t xml:space="preserve">groups of </w:t>
      </w:r>
      <w:r w:rsidR="0013118E" w:rsidRPr="003D67D5">
        <w:rPr>
          <w:rFonts w:cstheme="minorHAnsi"/>
          <w:b/>
        </w:rPr>
        <w:t>student</w:t>
      </w:r>
      <w:r w:rsidR="006D7CAA" w:rsidRPr="00406A80">
        <w:rPr>
          <w:rFonts w:cstheme="minorHAnsi"/>
          <w:b/>
        </w:rPr>
        <w:t>s</w:t>
      </w:r>
      <w:r w:rsidR="0013118E" w:rsidRPr="003D67D5">
        <w:rPr>
          <w:rFonts w:cstheme="minorHAnsi"/>
          <w:b/>
        </w:rPr>
        <w:t>.</w:t>
      </w:r>
    </w:p>
    <w:p w14:paraId="3AF889EF" w14:textId="4D9361DF" w:rsidR="00D13890" w:rsidRDefault="00EB2B20" w:rsidP="00D13890">
      <w:pPr>
        <w:ind w:left="720" w:hanging="360"/>
        <w:rPr>
          <w:rFonts w:cstheme="minorHAnsi"/>
        </w:rPr>
      </w:pPr>
      <w:r w:rsidRPr="00EB2B20">
        <w:rPr>
          <w:rFonts w:cstheme="minorHAnsi"/>
          <w:b/>
        </w:rPr>
        <w:t>A.</w:t>
      </w:r>
      <w:r>
        <w:rPr>
          <w:rFonts w:cstheme="minorHAnsi"/>
        </w:rPr>
        <w:t xml:space="preserve">   </w:t>
      </w:r>
      <w:r w:rsidR="00D13890">
        <w:rPr>
          <w:rFonts w:cstheme="minorHAnsi"/>
        </w:rPr>
        <w:t xml:space="preserve">Data shows that </w:t>
      </w:r>
      <w:proofErr w:type="gramStart"/>
      <w:r w:rsidR="00D13890">
        <w:rPr>
          <w:rFonts w:cstheme="minorHAnsi"/>
        </w:rPr>
        <w:t>despite the fact that</w:t>
      </w:r>
      <w:proofErr w:type="gramEnd"/>
      <w:r w:rsidR="00D13890">
        <w:rPr>
          <w:rFonts w:cstheme="minorHAnsi"/>
        </w:rPr>
        <w:t xml:space="preserve"> the high school has implemented several </w:t>
      </w:r>
      <w:r w:rsidR="00D0085D">
        <w:rPr>
          <w:rFonts w:cstheme="minorHAnsi"/>
        </w:rPr>
        <w:t>strategies</w:t>
      </w:r>
      <w:r w:rsidR="00D13890">
        <w:rPr>
          <w:rFonts w:cstheme="minorHAnsi"/>
        </w:rPr>
        <w:t xml:space="preserve"> to provide students with academic</w:t>
      </w:r>
      <w:r w:rsidR="00A447C5">
        <w:rPr>
          <w:rFonts w:cstheme="minorHAnsi"/>
        </w:rPr>
        <w:t>,</w:t>
      </w:r>
      <w:r w:rsidR="00D13890">
        <w:rPr>
          <w:rFonts w:cstheme="minorHAnsi"/>
        </w:rPr>
        <w:t xml:space="preserve"> social-emotional and behavior support, t</w:t>
      </w:r>
      <w:r w:rsidR="00D13890" w:rsidRPr="00E90C6D">
        <w:rPr>
          <w:rFonts w:cstheme="minorHAnsi"/>
        </w:rPr>
        <w:t xml:space="preserve">here is </w:t>
      </w:r>
      <w:r w:rsidR="00D0085D">
        <w:rPr>
          <w:rFonts w:cstheme="minorHAnsi"/>
        </w:rPr>
        <w:t>much more to be done</w:t>
      </w:r>
      <w:r w:rsidR="00D13890" w:rsidRPr="00E90C6D">
        <w:rPr>
          <w:rFonts w:cstheme="minorHAnsi"/>
        </w:rPr>
        <w:t xml:space="preserve"> to </w:t>
      </w:r>
      <w:r w:rsidR="00D0085D">
        <w:rPr>
          <w:rFonts w:cstheme="minorHAnsi"/>
        </w:rPr>
        <w:t>improve key outcomes for many students</w:t>
      </w:r>
      <w:r w:rsidR="00D13890">
        <w:rPr>
          <w:rFonts w:cstheme="minorHAnsi"/>
        </w:rPr>
        <w:t xml:space="preserve">.  </w:t>
      </w:r>
    </w:p>
    <w:p w14:paraId="5734A10C" w14:textId="3C882148" w:rsidR="001341F7" w:rsidRPr="00406A80" w:rsidRDefault="00D13890" w:rsidP="001341F7">
      <w:pPr>
        <w:ind w:left="1080" w:hanging="360"/>
        <w:rPr>
          <w:rFonts w:cstheme="minorHAnsi"/>
        </w:rPr>
      </w:pPr>
      <w:r w:rsidRPr="003D67D5">
        <w:rPr>
          <w:rFonts w:cstheme="minorHAnsi"/>
        </w:rPr>
        <w:t xml:space="preserve">1.    </w:t>
      </w:r>
      <w:r w:rsidRPr="00406A80">
        <w:rPr>
          <w:rFonts w:cstheme="minorHAnsi"/>
        </w:rPr>
        <w:t xml:space="preserve">Framingham has </w:t>
      </w:r>
      <w:r w:rsidR="00D85699" w:rsidRPr="00406A80">
        <w:rPr>
          <w:rFonts w:cstheme="minorHAnsi"/>
        </w:rPr>
        <w:t xml:space="preserve">a </w:t>
      </w:r>
      <w:r w:rsidRPr="00406A80">
        <w:rPr>
          <w:rFonts w:cstheme="minorHAnsi"/>
        </w:rPr>
        <w:t xml:space="preserve">lower </w:t>
      </w:r>
      <w:r w:rsidR="00D85699" w:rsidRPr="00406A80">
        <w:rPr>
          <w:rFonts w:cstheme="minorHAnsi"/>
        </w:rPr>
        <w:t>four-year graduation rate and higher</w:t>
      </w:r>
      <w:r w:rsidRPr="00406A80">
        <w:rPr>
          <w:rFonts w:cstheme="minorHAnsi"/>
        </w:rPr>
        <w:t xml:space="preserve"> dropout</w:t>
      </w:r>
      <w:r w:rsidR="000360B1" w:rsidRPr="00406A80">
        <w:rPr>
          <w:rFonts w:cstheme="minorHAnsi"/>
        </w:rPr>
        <w:t xml:space="preserve"> </w:t>
      </w:r>
      <w:r w:rsidRPr="00406A80">
        <w:rPr>
          <w:rFonts w:cstheme="minorHAnsi"/>
        </w:rPr>
        <w:t xml:space="preserve">and </w:t>
      </w:r>
      <w:r w:rsidR="00142EF0" w:rsidRPr="00406A80">
        <w:rPr>
          <w:rFonts w:cstheme="minorHAnsi"/>
        </w:rPr>
        <w:t>chronic absence</w:t>
      </w:r>
      <w:r w:rsidR="00D85699" w:rsidRPr="003D67D5">
        <w:rPr>
          <w:rFonts w:cstheme="minorHAnsi"/>
        </w:rPr>
        <w:t xml:space="preserve"> rates than the state</w:t>
      </w:r>
      <w:r w:rsidR="007B0A58" w:rsidRPr="00406A80">
        <w:rPr>
          <w:rFonts w:cstheme="minorHAnsi"/>
        </w:rPr>
        <w:t xml:space="preserve"> (see Table</w:t>
      </w:r>
      <w:r w:rsidR="000071B6">
        <w:rPr>
          <w:rFonts w:cstheme="minorHAnsi"/>
        </w:rPr>
        <w:t>s</w:t>
      </w:r>
      <w:r w:rsidR="007B0A58" w:rsidRPr="00406A80">
        <w:rPr>
          <w:rFonts w:cstheme="minorHAnsi"/>
        </w:rPr>
        <w:t xml:space="preserve"> 22</w:t>
      </w:r>
      <w:r w:rsidR="000071B6">
        <w:rPr>
          <w:rFonts w:cstheme="minorHAnsi"/>
        </w:rPr>
        <w:t>, 26, and 29</w:t>
      </w:r>
      <w:r w:rsidR="007B0A58" w:rsidRPr="00406A80">
        <w:rPr>
          <w:rFonts w:cstheme="minorHAnsi"/>
        </w:rPr>
        <w:t xml:space="preserve"> in </w:t>
      </w:r>
      <w:r w:rsidR="000071B6">
        <w:rPr>
          <w:rFonts w:cstheme="minorHAnsi"/>
        </w:rPr>
        <w:t xml:space="preserve">the District Overview section of </w:t>
      </w:r>
      <w:r w:rsidR="007B0A58" w:rsidRPr="00406A80">
        <w:rPr>
          <w:rFonts w:cstheme="minorHAnsi"/>
        </w:rPr>
        <w:t>this report)</w:t>
      </w:r>
      <w:r w:rsidR="00EB2B20" w:rsidRPr="003D67D5">
        <w:rPr>
          <w:rFonts w:cstheme="minorHAnsi"/>
        </w:rPr>
        <w:t>.</w:t>
      </w:r>
    </w:p>
    <w:p w14:paraId="30B75B3A" w14:textId="110E696A" w:rsidR="002F6CA0" w:rsidRPr="00406A80" w:rsidRDefault="002F6CA0" w:rsidP="001341F7">
      <w:pPr>
        <w:ind w:left="1080" w:hanging="360"/>
        <w:rPr>
          <w:rFonts w:cstheme="minorHAnsi"/>
        </w:rPr>
      </w:pPr>
      <w:r w:rsidRPr="00406A80">
        <w:rPr>
          <w:rFonts w:cstheme="minorHAnsi"/>
        </w:rPr>
        <w:t>2.</w:t>
      </w:r>
      <w:r w:rsidRPr="00406A80">
        <w:rPr>
          <w:rFonts w:cstheme="minorHAnsi"/>
        </w:rPr>
        <w:tab/>
      </w:r>
      <w:r w:rsidR="006B00DE" w:rsidRPr="00406A80">
        <w:rPr>
          <w:rFonts w:cstheme="minorHAnsi"/>
        </w:rPr>
        <w:t xml:space="preserve">The district’s overall four-year graduation rate decreased from 2016 to 2018, and in 2018 was 81.9 percent. The state rate </w:t>
      </w:r>
      <w:r w:rsidR="00226750">
        <w:rPr>
          <w:rFonts w:cstheme="minorHAnsi"/>
        </w:rPr>
        <w:t xml:space="preserve">in 2018 </w:t>
      </w:r>
      <w:r w:rsidR="006B00DE" w:rsidRPr="00406A80">
        <w:rPr>
          <w:rFonts w:cstheme="minorHAnsi"/>
        </w:rPr>
        <w:t>was 87.9 percent.</w:t>
      </w:r>
    </w:p>
    <w:p w14:paraId="750B2652" w14:textId="04EF42C1" w:rsidR="006B00DE" w:rsidRPr="00406A80" w:rsidRDefault="006B00DE" w:rsidP="006B00DE">
      <w:pPr>
        <w:ind w:left="1440" w:hanging="360"/>
        <w:rPr>
          <w:rFonts w:cstheme="minorHAnsi"/>
        </w:rPr>
      </w:pPr>
      <w:r w:rsidRPr="00406A80">
        <w:rPr>
          <w:rFonts w:cstheme="minorHAnsi"/>
        </w:rPr>
        <w:t>a.</w:t>
      </w:r>
      <w:r w:rsidRPr="00406A80">
        <w:rPr>
          <w:rFonts w:cstheme="minorHAnsi"/>
        </w:rPr>
        <w:tab/>
        <w:t xml:space="preserve">While the graduation rate has increased over time for some student groups, </w:t>
      </w:r>
      <w:r w:rsidR="007B0A58" w:rsidRPr="00406A80">
        <w:rPr>
          <w:rFonts w:cstheme="minorHAnsi"/>
        </w:rPr>
        <w:t xml:space="preserve">there are </w:t>
      </w:r>
      <w:r w:rsidRPr="00406A80">
        <w:rPr>
          <w:rFonts w:cstheme="minorHAnsi"/>
        </w:rPr>
        <w:t xml:space="preserve">substantial gaps among students. </w:t>
      </w:r>
    </w:p>
    <w:p w14:paraId="2DBA3454" w14:textId="3A9ABB79" w:rsidR="006B00DE" w:rsidRDefault="006B00DE" w:rsidP="007B0A58">
      <w:pPr>
        <w:ind w:left="1800" w:hanging="360"/>
        <w:rPr>
          <w:rFonts w:cstheme="minorHAnsi"/>
        </w:rPr>
      </w:pPr>
      <w:proofErr w:type="spellStart"/>
      <w:r w:rsidRPr="00406A80">
        <w:rPr>
          <w:rFonts w:cstheme="minorHAnsi"/>
        </w:rPr>
        <w:t>i</w:t>
      </w:r>
      <w:proofErr w:type="spellEnd"/>
      <w:r w:rsidRPr="00406A80">
        <w:rPr>
          <w:rFonts w:cstheme="minorHAnsi"/>
        </w:rPr>
        <w:t xml:space="preserve">. </w:t>
      </w:r>
      <w:r w:rsidR="007B0A58" w:rsidRPr="00406A80">
        <w:rPr>
          <w:rFonts w:cstheme="minorHAnsi"/>
        </w:rPr>
        <w:tab/>
      </w:r>
      <w:r w:rsidRPr="00406A80">
        <w:rPr>
          <w:rFonts w:cstheme="minorHAnsi"/>
        </w:rPr>
        <w:t xml:space="preserve">For example, </w:t>
      </w:r>
      <w:r w:rsidR="007B0A58" w:rsidRPr="00406A80">
        <w:rPr>
          <w:rFonts w:cstheme="minorHAnsi"/>
        </w:rPr>
        <w:t xml:space="preserve">the graduation rate in the district for English learners was 55.3 percent, compared to 64.1 percent of </w:t>
      </w:r>
      <w:r w:rsidR="00487549">
        <w:rPr>
          <w:rFonts w:cstheme="minorHAnsi"/>
        </w:rPr>
        <w:t>English learners</w:t>
      </w:r>
      <w:r w:rsidR="007B0A58" w:rsidRPr="00406A80">
        <w:rPr>
          <w:rFonts w:cstheme="minorHAnsi"/>
        </w:rPr>
        <w:t xml:space="preserve"> statewide and compared to 94.1 percent of the district’s Asian students and 88.4 percent of the district’s White students.</w:t>
      </w:r>
    </w:p>
    <w:p w14:paraId="6F0F6229" w14:textId="3B89C897" w:rsidR="00AC3C97" w:rsidRDefault="00AC3C97" w:rsidP="00226750">
      <w:pPr>
        <w:ind w:left="1080" w:hanging="360"/>
        <w:rPr>
          <w:rFonts w:cstheme="minorHAnsi"/>
        </w:rPr>
      </w:pPr>
      <w:r>
        <w:rPr>
          <w:rFonts w:cstheme="minorHAnsi"/>
        </w:rPr>
        <w:t>3.</w:t>
      </w:r>
      <w:r>
        <w:rPr>
          <w:rFonts w:cstheme="minorHAnsi"/>
        </w:rPr>
        <w:tab/>
        <w:t xml:space="preserve">The district’s </w:t>
      </w:r>
      <w:r w:rsidR="00226750">
        <w:rPr>
          <w:rFonts w:cstheme="minorHAnsi"/>
        </w:rPr>
        <w:t>overall dropout rate fluctuated with an overall increase from 2016 to 2018, and in 2018 was 2.7 percent. The state rate in 2018 was 1.9 percent.</w:t>
      </w:r>
    </w:p>
    <w:p w14:paraId="2FE12445" w14:textId="3633BBEF" w:rsidR="00BC63B7" w:rsidRDefault="00B6106A" w:rsidP="00B6106A">
      <w:pPr>
        <w:ind w:left="1440" w:hanging="360"/>
        <w:rPr>
          <w:rFonts w:cstheme="minorHAnsi"/>
        </w:rPr>
      </w:pPr>
      <w:r>
        <w:rPr>
          <w:rFonts w:cstheme="minorHAnsi"/>
        </w:rPr>
        <w:t>a.</w:t>
      </w:r>
      <w:r>
        <w:rPr>
          <w:rFonts w:cstheme="minorHAnsi"/>
        </w:rPr>
        <w:tab/>
        <w:t xml:space="preserve">Dropout rates for most student groups increased from 2016 to 2018. Gaps persist between student groups </w:t>
      </w:r>
      <w:proofErr w:type="gramStart"/>
      <w:r>
        <w:rPr>
          <w:rFonts w:cstheme="minorHAnsi"/>
        </w:rPr>
        <w:t xml:space="preserve">and in comparison </w:t>
      </w:r>
      <w:proofErr w:type="gramEnd"/>
      <w:r w:rsidR="00A66BFC">
        <w:rPr>
          <w:rFonts w:cstheme="minorHAnsi"/>
        </w:rPr>
        <w:t>with</w:t>
      </w:r>
      <w:r>
        <w:rPr>
          <w:rFonts w:cstheme="minorHAnsi"/>
        </w:rPr>
        <w:t xml:space="preserve"> state rates.</w:t>
      </w:r>
    </w:p>
    <w:p w14:paraId="5AEFA174" w14:textId="7E561866" w:rsidR="00B6106A" w:rsidRDefault="00B6106A" w:rsidP="00B6106A">
      <w:pPr>
        <w:ind w:left="1800" w:hanging="360"/>
        <w:rPr>
          <w:rFonts w:cstheme="minorHAnsi"/>
        </w:rPr>
      </w:pPr>
      <w:proofErr w:type="spellStart"/>
      <w:r>
        <w:rPr>
          <w:rFonts w:cstheme="minorHAnsi"/>
        </w:rPr>
        <w:lastRenderedPageBreak/>
        <w:t>i</w:t>
      </w:r>
      <w:proofErr w:type="spellEnd"/>
      <w:r>
        <w:rPr>
          <w:rFonts w:cstheme="minorHAnsi"/>
        </w:rPr>
        <w:t>.</w:t>
      </w:r>
      <w:r>
        <w:rPr>
          <w:rFonts w:cstheme="minorHAnsi"/>
        </w:rPr>
        <w:tab/>
        <w:t>The dropout rate for students in the high needs group was 4.6 percent. The statewide rate for high needs students was 3.6 percent. The dropout rate for White students in the district was 1.7 percent.</w:t>
      </w:r>
    </w:p>
    <w:p w14:paraId="47F30E72" w14:textId="3F2E5341" w:rsidR="000071B6" w:rsidRDefault="000071B6" w:rsidP="005B5492">
      <w:pPr>
        <w:ind w:left="1080" w:hanging="360"/>
        <w:rPr>
          <w:rFonts w:cstheme="minorHAnsi"/>
        </w:rPr>
      </w:pPr>
      <w:r>
        <w:rPr>
          <w:rFonts w:cstheme="minorHAnsi"/>
        </w:rPr>
        <w:t>4.</w:t>
      </w:r>
      <w:r>
        <w:rPr>
          <w:rFonts w:cstheme="minorHAnsi"/>
        </w:rPr>
        <w:tab/>
        <w:t xml:space="preserve">The district’s overall </w:t>
      </w:r>
      <w:r w:rsidR="00C20011">
        <w:rPr>
          <w:rFonts w:cstheme="minorHAnsi"/>
        </w:rPr>
        <w:t>chronic absence rate</w:t>
      </w:r>
      <w:r w:rsidR="00C20011">
        <w:rPr>
          <w:rStyle w:val="FootnoteReference"/>
          <w:rFonts w:cstheme="minorHAnsi"/>
        </w:rPr>
        <w:footnoteReference w:id="14"/>
      </w:r>
      <w:r w:rsidR="00C20011">
        <w:rPr>
          <w:rFonts w:cstheme="minorHAnsi"/>
        </w:rPr>
        <w:t xml:space="preserve"> fluctuated with an overall increase from 2016 to 2018, and in 2018 was 13.4 percent</w:t>
      </w:r>
      <w:r w:rsidR="005B5492">
        <w:rPr>
          <w:rFonts w:cstheme="minorHAnsi"/>
        </w:rPr>
        <w:t>; the state rate was 13.2 percent</w:t>
      </w:r>
      <w:r w:rsidR="00C20011">
        <w:rPr>
          <w:rFonts w:cstheme="minorHAnsi"/>
        </w:rPr>
        <w:t>.</w:t>
      </w:r>
    </w:p>
    <w:p w14:paraId="6F3CBFF3" w14:textId="738E3184" w:rsidR="00707FD1" w:rsidRDefault="00707FD1" w:rsidP="00406A80">
      <w:pPr>
        <w:ind w:left="1440" w:hanging="360"/>
        <w:rPr>
          <w:rFonts w:cstheme="minorHAnsi"/>
        </w:rPr>
      </w:pPr>
      <w:r>
        <w:rPr>
          <w:rFonts w:cstheme="minorHAnsi"/>
        </w:rPr>
        <w:t>a.</w:t>
      </w:r>
      <w:r>
        <w:rPr>
          <w:rFonts w:cstheme="minorHAnsi"/>
        </w:rPr>
        <w:tab/>
        <w:t xml:space="preserve">Chronic absence rates for most student groups increased between 2016 and 2018. While rates </w:t>
      </w:r>
      <w:r w:rsidR="00054B9E">
        <w:rPr>
          <w:rFonts w:cstheme="minorHAnsi"/>
        </w:rPr>
        <w:t>we</w:t>
      </w:r>
      <w:r>
        <w:rPr>
          <w:rFonts w:cstheme="minorHAnsi"/>
        </w:rPr>
        <w:t xml:space="preserve">re slightly lower than state rates in many cases, there </w:t>
      </w:r>
      <w:r w:rsidR="00054B9E">
        <w:rPr>
          <w:rFonts w:cstheme="minorHAnsi"/>
        </w:rPr>
        <w:t>was</w:t>
      </w:r>
      <w:r>
        <w:rPr>
          <w:rFonts w:cstheme="minorHAnsi"/>
        </w:rPr>
        <w:t xml:space="preserve"> high </w:t>
      </w:r>
      <w:r w:rsidR="00054B9E">
        <w:rPr>
          <w:rFonts w:cstheme="minorHAnsi"/>
        </w:rPr>
        <w:t>chronic absence</w:t>
      </w:r>
      <w:r>
        <w:rPr>
          <w:rFonts w:cstheme="minorHAnsi"/>
        </w:rPr>
        <w:t xml:space="preserve"> for several student groups. </w:t>
      </w:r>
    </w:p>
    <w:p w14:paraId="5C99B1B2" w14:textId="1D0D3B41" w:rsidR="00707FD1" w:rsidRPr="00406A80" w:rsidRDefault="00707FD1" w:rsidP="00406A80">
      <w:pPr>
        <w:ind w:left="1800" w:hanging="360"/>
        <w:rPr>
          <w:rFonts w:cstheme="minorHAnsi"/>
        </w:rPr>
      </w:pPr>
      <w:proofErr w:type="spellStart"/>
      <w:r>
        <w:rPr>
          <w:rFonts w:cstheme="minorHAnsi"/>
        </w:rPr>
        <w:t>i</w:t>
      </w:r>
      <w:proofErr w:type="spellEnd"/>
      <w:r>
        <w:rPr>
          <w:rFonts w:cstheme="minorHAnsi"/>
        </w:rPr>
        <w:t>.</w:t>
      </w:r>
      <w:r>
        <w:rPr>
          <w:rFonts w:cstheme="minorHAnsi"/>
        </w:rPr>
        <w:tab/>
      </w:r>
      <w:r w:rsidR="00111FA5">
        <w:rPr>
          <w:rFonts w:cstheme="minorHAnsi"/>
        </w:rPr>
        <w:t xml:space="preserve">For example, </w:t>
      </w:r>
      <w:r w:rsidR="0026795F">
        <w:rPr>
          <w:rFonts w:cstheme="minorHAnsi"/>
        </w:rPr>
        <w:t>20.8 percent of students with disabilities were chronically absent in 2018.</w:t>
      </w:r>
    </w:p>
    <w:p w14:paraId="0FED0B54" w14:textId="323D41F9" w:rsidR="00D13890" w:rsidRDefault="006B75AE" w:rsidP="00D13890">
      <w:pPr>
        <w:tabs>
          <w:tab w:val="left" w:pos="360"/>
          <w:tab w:val="left" w:pos="720"/>
        </w:tabs>
        <w:ind w:left="720" w:hanging="360"/>
        <w:rPr>
          <w:rFonts w:cstheme="minorHAnsi"/>
        </w:rPr>
      </w:pPr>
      <w:r>
        <w:rPr>
          <w:rFonts w:cstheme="minorHAnsi"/>
          <w:b/>
        </w:rPr>
        <w:t>B</w:t>
      </w:r>
      <w:r w:rsidR="00D13890">
        <w:rPr>
          <w:rFonts w:cstheme="minorHAnsi"/>
          <w:b/>
        </w:rPr>
        <w:t xml:space="preserve">.   </w:t>
      </w:r>
      <w:r w:rsidR="00085C1A" w:rsidRPr="00406A80">
        <w:rPr>
          <w:rFonts w:cstheme="minorHAnsi"/>
          <w:bCs/>
        </w:rPr>
        <w:t>The team found limited evidence of high student engagement and deeper learning in observed high school classes.</w:t>
      </w:r>
    </w:p>
    <w:p w14:paraId="13D85B94" w14:textId="7318A9D9" w:rsidR="00D13890" w:rsidRDefault="00D13890" w:rsidP="00D13890">
      <w:pPr>
        <w:tabs>
          <w:tab w:val="left" w:pos="360"/>
          <w:tab w:val="left" w:pos="720"/>
        </w:tabs>
        <w:ind w:left="1080" w:hanging="360"/>
        <w:rPr>
          <w:rFonts w:cstheme="minorHAnsi"/>
        </w:rPr>
      </w:pPr>
      <w:r>
        <w:rPr>
          <w:rFonts w:cstheme="minorHAnsi"/>
        </w:rPr>
        <w:t xml:space="preserve">1.    </w:t>
      </w:r>
      <w:r w:rsidR="001C1380">
        <w:rPr>
          <w:rFonts w:cstheme="minorHAnsi"/>
        </w:rPr>
        <w:t>R</w:t>
      </w:r>
      <w:r w:rsidR="00D1559E">
        <w:rPr>
          <w:rFonts w:cstheme="minorHAnsi"/>
        </w:rPr>
        <w:t xml:space="preserve">eview </w:t>
      </w:r>
      <w:r>
        <w:rPr>
          <w:rFonts w:cstheme="minorHAnsi"/>
        </w:rPr>
        <w:t xml:space="preserve">team </w:t>
      </w:r>
      <w:r w:rsidR="00D1559E">
        <w:rPr>
          <w:rFonts w:cstheme="minorHAnsi"/>
        </w:rPr>
        <w:t xml:space="preserve">members found little evidence of students assuming responsibility for their learning, high student engagement, students engaged in </w:t>
      </w:r>
      <w:proofErr w:type="gramStart"/>
      <w:r w:rsidR="00D1559E">
        <w:rPr>
          <w:rFonts w:cstheme="minorHAnsi"/>
        </w:rPr>
        <w:t>higher-order</w:t>
      </w:r>
      <w:proofErr w:type="gramEnd"/>
      <w:r w:rsidR="00D1559E">
        <w:rPr>
          <w:rFonts w:cstheme="minorHAnsi"/>
        </w:rPr>
        <w:t xml:space="preserve"> thinking and students communicating with each other in observed high school classes.</w:t>
      </w:r>
    </w:p>
    <w:p w14:paraId="6E3DE9DF" w14:textId="70AE0D4D" w:rsidR="00D13890" w:rsidRDefault="00D13890" w:rsidP="00D13890">
      <w:pPr>
        <w:tabs>
          <w:tab w:val="left" w:pos="360"/>
          <w:tab w:val="left" w:pos="720"/>
        </w:tabs>
        <w:ind w:left="1080" w:hanging="360"/>
        <w:rPr>
          <w:rFonts w:cstheme="minorHAnsi"/>
        </w:rPr>
      </w:pPr>
      <w:r>
        <w:rPr>
          <w:rFonts w:cstheme="minorHAnsi"/>
        </w:rPr>
        <w:t>2.</w:t>
      </w:r>
      <w:r>
        <w:rPr>
          <w:rFonts w:cstheme="minorHAnsi"/>
        </w:rPr>
        <w:tab/>
      </w:r>
      <w:r w:rsidR="00D1559E">
        <w:rPr>
          <w:rFonts w:cstheme="minorHAnsi"/>
        </w:rPr>
        <w:t xml:space="preserve">The review team found limited evidence of teachers ensuring </w:t>
      </w:r>
      <w:r>
        <w:rPr>
          <w:rFonts w:cstheme="minorHAnsi"/>
        </w:rPr>
        <w:t xml:space="preserve">that students were engaged in challenging tasks regardless of </w:t>
      </w:r>
      <w:r w:rsidR="009F175D">
        <w:rPr>
          <w:rFonts w:cstheme="minorHAnsi"/>
        </w:rPr>
        <w:t xml:space="preserve">their </w:t>
      </w:r>
      <w:r>
        <w:rPr>
          <w:rFonts w:cstheme="minorHAnsi"/>
        </w:rPr>
        <w:t xml:space="preserve">learning needs </w:t>
      </w:r>
      <w:r w:rsidR="009F175D">
        <w:rPr>
          <w:rFonts w:cstheme="minorHAnsi"/>
        </w:rPr>
        <w:t xml:space="preserve">and </w:t>
      </w:r>
      <w:r>
        <w:rPr>
          <w:rFonts w:cstheme="minorHAnsi"/>
        </w:rPr>
        <w:t xml:space="preserve">teachers </w:t>
      </w:r>
      <w:r w:rsidR="00D1559E">
        <w:rPr>
          <w:rFonts w:cstheme="minorHAnsi"/>
        </w:rPr>
        <w:t xml:space="preserve">using </w:t>
      </w:r>
      <w:r>
        <w:rPr>
          <w:rFonts w:cstheme="minorHAnsi"/>
        </w:rPr>
        <w:t xml:space="preserve">a variety of strategies in observed </w:t>
      </w:r>
      <w:r w:rsidR="00D1559E">
        <w:rPr>
          <w:rFonts w:cstheme="minorHAnsi"/>
        </w:rPr>
        <w:t xml:space="preserve">high school </w:t>
      </w:r>
      <w:r>
        <w:rPr>
          <w:rFonts w:cstheme="minorHAnsi"/>
        </w:rPr>
        <w:t>lessons.</w:t>
      </w:r>
    </w:p>
    <w:p w14:paraId="42FFE3FE" w14:textId="4E23C292" w:rsidR="00171D69" w:rsidRDefault="00171D69" w:rsidP="00171D69">
      <w:pPr>
        <w:ind w:left="720" w:hanging="360"/>
        <w:rPr>
          <w:rFonts w:cstheme="minorHAnsi"/>
        </w:rPr>
      </w:pPr>
      <w:r w:rsidRPr="00406A80">
        <w:rPr>
          <w:rFonts w:cstheme="minorHAnsi"/>
          <w:b/>
          <w:bCs/>
        </w:rPr>
        <w:t>C.</w:t>
      </w:r>
      <w:r w:rsidRPr="00406A80">
        <w:rPr>
          <w:rFonts w:cstheme="minorHAnsi"/>
          <w:b/>
          <w:bCs/>
        </w:rPr>
        <w:tab/>
      </w:r>
      <w:r>
        <w:rPr>
          <w:rFonts w:cstheme="minorHAnsi"/>
        </w:rPr>
        <w:t xml:space="preserve">Interviewees and documents indicated that the </w:t>
      </w:r>
      <w:r w:rsidRPr="00C64CD6">
        <w:rPr>
          <w:rFonts w:cstheme="minorHAnsi"/>
        </w:rPr>
        <w:t xml:space="preserve">Thayer </w:t>
      </w:r>
      <w:r>
        <w:rPr>
          <w:rFonts w:cstheme="minorHAnsi"/>
        </w:rPr>
        <w:t>Campus, the district’s alternative high school program, serves</w:t>
      </w:r>
      <w:r w:rsidRPr="00C64CD6">
        <w:rPr>
          <w:rFonts w:cstheme="minorHAnsi"/>
        </w:rPr>
        <w:t xml:space="preserve"> students who are at risk of dropping out and students who have </w:t>
      </w:r>
      <w:r>
        <w:rPr>
          <w:rFonts w:cstheme="minorHAnsi"/>
        </w:rPr>
        <w:t xml:space="preserve">already </w:t>
      </w:r>
      <w:r w:rsidRPr="00C64CD6">
        <w:rPr>
          <w:rFonts w:cstheme="minorHAnsi"/>
        </w:rPr>
        <w:t xml:space="preserve">dropped out and returned. However, </w:t>
      </w:r>
      <w:r>
        <w:rPr>
          <w:rFonts w:cstheme="minorHAnsi"/>
        </w:rPr>
        <w:t xml:space="preserve">although the </w:t>
      </w:r>
      <w:r w:rsidRPr="00C64CD6">
        <w:rPr>
          <w:rFonts w:cstheme="minorHAnsi"/>
        </w:rPr>
        <w:t>program</w:t>
      </w:r>
      <w:r>
        <w:rPr>
          <w:rFonts w:cstheme="minorHAnsi"/>
        </w:rPr>
        <w:t xml:space="preserve"> currently</w:t>
      </w:r>
      <w:r w:rsidRPr="00C64CD6">
        <w:rPr>
          <w:rFonts w:cstheme="minorHAnsi"/>
        </w:rPr>
        <w:t xml:space="preserve"> </w:t>
      </w:r>
      <w:r>
        <w:rPr>
          <w:rFonts w:cstheme="minorHAnsi"/>
        </w:rPr>
        <w:t xml:space="preserve">enrolls 62 </w:t>
      </w:r>
      <w:r w:rsidRPr="00C64CD6">
        <w:rPr>
          <w:rFonts w:cstheme="minorHAnsi"/>
        </w:rPr>
        <w:t>students</w:t>
      </w:r>
      <w:r>
        <w:rPr>
          <w:rFonts w:cstheme="minorHAnsi"/>
        </w:rPr>
        <w:t>, a third of them do not regularly participate in the program, which offers credit recovery</w:t>
      </w:r>
      <w:r w:rsidRPr="00C64CD6">
        <w:rPr>
          <w:rFonts w:cstheme="minorHAnsi"/>
        </w:rPr>
        <w:t xml:space="preserve">. </w:t>
      </w:r>
    </w:p>
    <w:p w14:paraId="75B4CAEB" w14:textId="4FCED23B" w:rsidR="00D13890" w:rsidRPr="00C64CD6" w:rsidRDefault="00D13890" w:rsidP="00D13890">
      <w:pPr>
        <w:rPr>
          <w:rFonts w:cstheme="minorHAnsi"/>
        </w:rPr>
      </w:pPr>
      <w:r w:rsidRPr="00A16535">
        <w:rPr>
          <w:rFonts w:cstheme="minorHAnsi"/>
          <w:b/>
        </w:rPr>
        <w:t>Impact:</w:t>
      </w:r>
      <w:r w:rsidRPr="00A16535">
        <w:rPr>
          <w:rFonts w:cstheme="minorHAnsi"/>
        </w:rPr>
        <w:t xml:space="preserve">  When tiered interventions, support programs, and instructional strategies fail to address the needs of the district’s </w:t>
      </w:r>
      <w:r w:rsidR="00171D69">
        <w:rPr>
          <w:rFonts w:cstheme="minorHAnsi"/>
        </w:rPr>
        <w:t>students</w:t>
      </w:r>
      <w:r w:rsidRPr="00A16535">
        <w:rPr>
          <w:rFonts w:cstheme="minorHAnsi"/>
        </w:rPr>
        <w:t>,</w:t>
      </w:r>
      <w:r>
        <w:rPr>
          <w:rFonts w:cstheme="minorHAnsi"/>
        </w:rPr>
        <w:t xml:space="preserve"> these students may lose interest in schooling and are likely to </w:t>
      </w:r>
      <w:r w:rsidR="00171D69">
        <w:rPr>
          <w:rFonts w:cstheme="minorHAnsi"/>
        </w:rPr>
        <w:t>miss school</w:t>
      </w:r>
      <w:r>
        <w:rPr>
          <w:rFonts w:cstheme="minorHAnsi"/>
        </w:rPr>
        <w:t xml:space="preserve">.  </w:t>
      </w:r>
      <w:r w:rsidR="00161CE9">
        <w:rPr>
          <w:rFonts w:cstheme="minorHAnsi"/>
        </w:rPr>
        <w:t xml:space="preserve">The most </w:t>
      </w:r>
      <w:r>
        <w:rPr>
          <w:rFonts w:cstheme="minorHAnsi"/>
        </w:rPr>
        <w:t xml:space="preserve">severe consequences include many students who drop out of school and fail to graduate with their entering high school class.  </w:t>
      </w:r>
    </w:p>
    <w:p w14:paraId="33D99B73" w14:textId="4C64010B" w:rsidR="00D13890" w:rsidRPr="00C64CD6" w:rsidRDefault="003B593A" w:rsidP="00D13890">
      <w:pPr>
        <w:ind w:left="360" w:hanging="360"/>
        <w:rPr>
          <w:rFonts w:cstheme="minorHAnsi"/>
          <w:b/>
        </w:rPr>
      </w:pPr>
      <w:r>
        <w:rPr>
          <w:rFonts w:cstheme="minorHAnsi"/>
          <w:b/>
        </w:rPr>
        <w:t>4</w:t>
      </w:r>
      <w:r w:rsidR="00D13890" w:rsidRPr="00C64CD6">
        <w:rPr>
          <w:rFonts w:cstheme="minorHAnsi"/>
          <w:b/>
        </w:rPr>
        <w:t xml:space="preserve">. </w:t>
      </w:r>
      <w:r w:rsidR="00D13890">
        <w:rPr>
          <w:rFonts w:cstheme="minorHAnsi"/>
          <w:b/>
        </w:rPr>
        <w:tab/>
        <w:t xml:space="preserve">Although most </w:t>
      </w:r>
      <w:r w:rsidR="00D13890" w:rsidRPr="00C64CD6">
        <w:rPr>
          <w:rFonts w:cstheme="minorHAnsi"/>
          <w:b/>
        </w:rPr>
        <w:t>teachers, students</w:t>
      </w:r>
      <w:r w:rsidR="00143A20">
        <w:rPr>
          <w:rFonts w:cstheme="minorHAnsi"/>
          <w:b/>
        </w:rPr>
        <w:t>,</w:t>
      </w:r>
      <w:r w:rsidR="00D13890" w:rsidRPr="00C64CD6">
        <w:rPr>
          <w:rFonts w:cstheme="minorHAnsi"/>
          <w:b/>
        </w:rPr>
        <w:t xml:space="preserve"> and </w:t>
      </w:r>
      <w:r w:rsidR="00CB547E">
        <w:rPr>
          <w:rFonts w:cstheme="minorHAnsi"/>
          <w:b/>
        </w:rPr>
        <w:t>families</w:t>
      </w:r>
      <w:r w:rsidR="00CB547E" w:rsidRPr="00C64CD6">
        <w:rPr>
          <w:rFonts w:cstheme="minorHAnsi"/>
          <w:b/>
        </w:rPr>
        <w:t xml:space="preserve"> </w:t>
      </w:r>
      <w:r w:rsidR="009F175D">
        <w:rPr>
          <w:rFonts w:cstheme="minorHAnsi"/>
          <w:b/>
        </w:rPr>
        <w:t xml:space="preserve">interviewed by the team </w:t>
      </w:r>
      <w:r w:rsidR="00143A20">
        <w:rPr>
          <w:rFonts w:cstheme="minorHAnsi"/>
          <w:b/>
        </w:rPr>
        <w:t>said that they believed</w:t>
      </w:r>
      <w:r w:rsidR="009F175D">
        <w:rPr>
          <w:rFonts w:cstheme="minorHAnsi"/>
          <w:b/>
        </w:rPr>
        <w:t xml:space="preserve"> </w:t>
      </w:r>
      <w:r w:rsidR="00D13890" w:rsidRPr="00C64CD6">
        <w:rPr>
          <w:rFonts w:cstheme="minorHAnsi"/>
          <w:b/>
        </w:rPr>
        <w:t xml:space="preserve">that the high school </w:t>
      </w:r>
      <w:r w:rsidR="009F175D">
        <w:rPr>
          <w:rFonts w:cstheme="minorHAnsi"/>
          <w:b/>
        </w:rPr>
        <w:t xml:space="preserve">environment </w:t>
      </w:r>
      <w:r w:rsidR="00143A20">
        <w:rPr>
          <w:rFonts w:cstheme="minorHAnsi"/>
          <w:b/>
        </w:rPr>
        <w:t>was</w:t>
      </w:r>
      <w:r w:rsidR="009F175D">
        <w:rPr>
          <w:rFonts w:cstheme="minorHAnsi"/>
          <w:b/>
        </w:rPr>
        <w:t xml:space="preserve"> </w:t>
      </w:r>
      <w:r w:rsidR="00D13890" w:rsidRPr="00C64CD6">
        <w:rPr>
          <w:rFonts w:cstheme="minorHAnsi"/>
          <w:b/>
        </w:rPr>
        <w:t>safe</w:t>
      </w:r>
      <w:r w:rsidR="00D13890">
        <w:rPr>
          <w:rFonts w:cstheme="minorHAnsi"/>
          <w:b/>
        </w:rPr>
        <w:t>,</w:t>
      </w:r>
      <w:r w:rsidR="00D13890" w:rsidRPr="00C64CD6">
        <w:rPr>
          <w:rFonts w:cstheme="minorHAnsi"/>
          <w:b/>
        </w:rPr>
        <w:t xml:space="preserve"> some </w:t>
      </w:r>
      <w:r w:rsidR="00D13890">
        <w:rPr>
          <w:rFonts w:cstheme="minorHAnsi"/>
          <w:b/>
        </w:rPr>
        <w:t xml:space="preserve">expressed a </w:t>
      </w:r>
      <w:r w:rsidR="00D13890" w:rsidRPr="00C64CD6">
        <w:rPr>
          <w:rFonts w:cstheme="minorHAnsi"/>
          <w:b/>
        </w:rPr>
        <w:t>need</w:t>
      </w:r>
      <w:r w:rsidR="00D13890">
        <w:rPr>
          <w:rFonts w:cstheme="minorHAnsi"/>
          <w:b/>
        </w:rPr>
        <w:t xml:space="preserve"> for clarification about</w:t>
      </w:r>
      <w:r w:rsidR="00D13890" w:rsidRPr="00C64CD6">
        <w:rPr>
          <w:rFonts w:cstheme="minorHAnsi"/>
          <w:b/>
        </w:rPr>
        <w:t xml:space="preserve"> the</w:t>
      </w:r>
      <w:r w:rsidR="00D13890">
        <w:rPr>
          <w:rFonts w:cstheme="minorHAnsi"/>
          <w:b/>
        </w:rPr>
        <w:t xml:space="preserve"> response</w:t>
      </w:r>
      <w:r w:rsidR="00D13890" w:rsidRPr="00C64CD6">
        <w:rPr>
          <w:rFonts w:cstheme="minorHAnsi"/>
          <w:b/>
        </w:rPr>
        <w:t xml:space="preserve"> procedures </w:t>
      </w:r>
      <w:r w:rsidR="00D13890">
        <w:rPr>
          <w:rFonts w:cstheme="minorHAnsi"/>
          <w:b/>
        </w:rPr>
        <w:t xml:space="preserve">to follow </w:t>
      </w:r>
      <w:r w:rsidR="00D13890" w:rsidRPr="00C64CD6">
        <w:rPr>
          <w:rFonts w:cstheme="minorHAnsi"/>
          <w:b/>
        </w:rPr>
        <w:t xml:space="preserve">if the school </w:t>
      </w:r>
      <w:r w:rsidR="00D13890">
        <w:rPr>
          <w:rFonts w:cstheme="minorHAnsi"/>
          <w:b/>
        </w:rPr>
        <w:t>were to have</w:t>
      </w:r>
      <w:r w:rsidR="00D13890" w:rsidRPr="00C64CD6">
        <w:rPr>
          <w:rFonts w:cstheme="minorHAnsi"/>
          <w:b/>
        </w:rPr>
        <w:t xml:space="preserve"> a </w:t>
      </w:r>
      <w:r w:rsidR="00D44A0D" w:rsidRPr="00C64CD6">
        <w:rPr>
          <w:rFonts w:cstheme="minorHAnsi"/>
          <w:b/>
        </w:rPr>
        <w:t>crisis</w:t>
      </w:r>
      <w:r w:rsidR="00D13890" w:rsidRPr="00C64CD6">
        <w:rPr>
          <w:rFonts w:cstheme="minorHAnsi"/>
          <w:b/>
        </w:rPr>
        <w:t>.</w:t>
      </w:r>
    </w:p>
    <w:p w14:paraId="3E2D4AD7" w14:textId="06F7A6C3" w:rsidR="00D13890" w:rsidRDefault="00D13890" w:rsidP="00D13890">
      <w:pPr>
        <w:widowControl w:val="0"/>
        <w:autoSpaceDE w:val="0"/>
        <w:autoSpaceDN w:val="0"/>
        <w:adjustRightInd w:val="0"/>
        <w:spacing w:after="240"/>
        <w:ind w:left="720" w:hanging="360"/>
        <w:rPr>
          <w:rFonts w:cstheme="minorHAnsi"/>
        </w:rPr>
      </w:pPr>
      <w:r w:rsidRPr="006A2E1A">
        <w:rPr>
          <w:rFonts w:cstheme="minorHAnsi"/>
          <w:b/>
        </w:rPr>
        <w:t>A.</w:t>
      </w:r>
      <w:r>
        <w:rPr>
          <w:rFonts w:cstheme="minorHAnsi"/>
        </w:rPr>
        <w:t xml:space="preserve"> </w:t>
      </w:r>
      <w:r>
        <w:rPr>
          <w:rFonts w:cstheme="minorHAnsi"/>
        </w:rPr>
        <w:tab/>
      </w:r>
      <w:r w:rsidRPr="00C64CD6">
        <w:rPr>
          <w:rFonts w:cstheme="minorHAnsi"/>
        </w:rPr>
        <w:t xml:space="preserve">According to </w:t>
      </w:r>
      <w:r w:rsidR="00CB547E">
        <w:rPr>
          <w:rFonts w:cstheme="minorHAnsi"/>
        </w:rPr>
        <w:t xml:space="preserve">the results of </w:t>
      </w:r>
      <w:r>
        <w:rPr>
          <w:rFonts w:cstheme="minorHAnsi"/>
        </w:rPr>
        <w:t>a</w:t>
      </w:r>
      <w:r w:rsidRPr="00C64CD6">
        <w:rPr>
          <w:rFonts w:cstheme="minorHAnsi"/>
        </w:rPr>
        <w:t xml:space="preserve"> </w:t>
      </w:r>
      <w:r w:rsidR="00143A20">
        <w:rPr>
          <w:rFonts w:cstheme="minorHAnsi"/>
        </w:rPr>
        <w:t>high-</w:t>
      </w:r>
      <w:r>
        <w:rPr>
          <w:rFonts w:cstheme="minorHAnsi"/>
        </w:rPr>
        <w:t xml:space="preserve">school survey in preparation for </w:t>
      </w:r>
      <w:r w:rsidR="000608DB">
        <w:rPr>
          <w:rFonts w:cstheme="minorHAnsi"/>
        </w:rPr>
        <w:t>the</w:t>
      </w:r>
      <w:r>
        <w:rPr>
          <w:rFonts w:cstheme="minorHAnsi"/>
        </w:rPr>
        <w:t xml:space="preserve"> NEASC</w:t>
      </w:r>
      <w:r w:rsidR="00CB547E">
        <w:rPr>
          <w:rStyle w:val="FootnoteReference"/>
          <w:rFonts w:cstheme="minorHAnsi"/>
        </w:rPr>
        <w:footnoteReference w:id="15"/>
      </w:r>
      <w:r>
        <w:rPr>
          <w:rFonts w:cstheme="minorHAnsi"/>
        </w:rPr>
        <w:t xml:space="preserve"> review</w:t>
      </w:r>
      <w:r w:rsidRPr="00C64CD6">
        <w:rPr>
          <w:rFonts w:cstheme="minorHAnsi"/>
        </w:rPr>
        <w:t>, 18.5</w:t>
      </w:r>
      <w:r>
        <w:rPr>
          <w:rFonts w:cstheme="minorHAnsi"/>
        </w:rPr>
        <w:t xml:space="preserve"> percent of students (</w:t>
      </w:r>
      <w:r w:rsidRPr="00C64CD6">
        <w:rPr>
          <w:rFonts w:cstheme="minorHAnsi"/>
        </w:rPr>
        <w:t>about 400</w:t>
      </w:r>
      <w:r>
        <w:rPr>
          <w:rFonts w:cstheme="minorHAnsi"/>
        </w:rPr>
        <w:t xml:space="preserve"> </w:t>
      </w:r>
      <w:r w:rsidRPr="00C64CD6">
        <w:rPr>
          <w:rFonts w:cstheme="minorHAnsi"/>
        </w:rPr>
        <w:t>students</w:t>
      </w:r>
      <w:r>
        <w:rPr>
          <w:rFonts w:cstheme="minorHAnsi"/>
        </w:rPr>
        <w:t xml:space="preserve">) </w:t>
      </w:r>
      <w:r w:rsidRPr="00C64CD6">
        <w:rPr>
          <w:rFonts w:cstheme="minorHAnsi"/>
        </w:rPr>
        <w:t>and 12.4</w:t>
      </w:r>
      <w:r>
        <w:rPr>
          <w:rFonts w:cstheme="minorHAnsi"/>
        </w:rPr>
        <w:t xml:space="preserve"> </w:t>
      </w:r>
      <w:r w:rsidR="00143A20">
        <w:rPr>
          <w:rFonts w:cstheme="minorHAnsi"/>
        </w:rPr>
        <w:t xml:space="preserve">percent </w:t>
      </w:r>
      <w:r>
        <w:rPr>
          <w:rFonts w:cstheme="minorHAnsi"/>
        </w:rPr>
        <w:t>of teachers (about</w:t>
      </w:r>
      <w:r w:rsidRPr="00C64CD6">
        <w:rPr>
          <w:rFonts w:cstheme="minorHAnsi"/>
        </w:rPr>
        <w:t xml:space="preserve"> 15</w:t>
      </w:r>
      <w:r>
        <w:rPr>
          <w:rFonts w:cstheme="minorHAnsi"/>
        </w:rPr>
        <w:t xml:space="preserve"> f</w:t>
      </w:r>
      <w:r w:rsidRPr="00C64CD6">
        <w:rPr>
          <w:rFonts w:cstheme="minorHAnsi"/>
        </w:rPr>
        <w:t>aculty members</w:t>
      </w:r>
      <w:r>
        <w:rPr>
          <w:rFonts w:cstheme="minorHAnsi"/>
        </w:rPr>
        <w:t>)</w:t>
      </w:r>
      <w:r w:rsidRPr="00C64CD6">
        <w:rPr>
          <w:rFonts w:cstheme="minorHAnsi"/>
        </w:rPr>
        <w:t xml:space="preserve"> </w:t>
      </w:r>
      <w:r w:rsidR="00BE5490">
        <w:rPr>
          <w:rFonts w:cstheme="minorHAnsi"/>
        </w:rPr>
        <w:t>said</w:t>
      </w:r>
      <w:r w:rsidR="00BE5490" w:rsidRPr="00C64CD6">
        <w:rPr>
          <w:rFonts w:cstheme="minorHAnsi"/>
        </w:rPr>
        <w:t xml:space="preserve"> </w:t>
      </w:r>
      <w:r w:rsidRPr="00C64CD6">
        <w:rPr>
          <w:rFonts w:cstheme="minorHAnsi"/>
        </w:rPr>
        <w:t xml:space="preserve">that they </w:t>
      </w:r>
      <w:r>
        <w:rPr>
          <w:rFonts w:cstheme="minorHAnsi"/>
        </w:rPr>
        <w:t xml:space="preserve">were not clear about </w:t>
      </w:r>
      <w:r w:rsidRPr="00C64CD6">
        <w:rPr>
          <w:rFonts w:cstheme="minorHAnsi"/>
        </w:rPr>
        <w:t xml:space="preserve">what to do in a crisis. </w:t>
      </w:r>
      <w:r w:rsidR="00143A20">
        <w:rPr>
          <w:rFonts w:cstheme="minorHAnsi"/>
        </w:rPr>
        <w:t>In addition</w:t>
      </w:r>
      <w:r w:rsidRPr="00C64CD6">
        <w:rPr>
          <w:rFonts w:cstheme="minorHAnsi"/>
        </w:rPr>
        <w:t>, 40.6</w:t>
      </w:r>
      <w:r>
        <w:rPr>
          <w:rFonts w:cstheme="minorHAnsi"/>
        </w:rPr>
        <w:t xml:space="preserve"> percent </w:t>
      </w:r>
      <w:r w:rsidRPr="00C64CD6">
        <w:rPr>
          <w:rFonts w:cstheme="minorHAnsi"/>
        </w:rPr>
        <w:t xml:space="preserve">of </w:t>
      </w:r>
      <w:r w:rsidR="00143A20">
        <w:rPr>
          <w:rFonts w:cstheme="minorHAnsi"/>
        </w:rPr>
        <w:lastRenderedPageBreak/>
        <w:t>families</w:t>
      </w:r>
      <w:r w:rsidR="00143A20" w:rsidRPr="00C64CD6">
        <w:rPr>
          <w:rFonts w:cstheme="minorHAnsi"/>
        </w:rPr>
        <w:t xml:space="preserve"> </w:t>
      </w:r>
      <w:r w:rsidRPr="00C64CD6">
        <w:rPr>
          <w:rFonts w:cstheme="minorHAnsi"/>
        </w:rPr>
        <w:t>reported they did not know what to do in a crisis.</w:t>
      </w:r>
    </w:p>
    <w:p w14:paraId="6A9CFF8E" w14:textId="673C4EFF" w:rsidR="00D13890" w:rsidRDefault="00D13890" w:rsidP="00D13890">
      <w:pPr>
        <w:widowControl w:val="0"/>
        <w:autoSpaceDE w:val="0"/>
        <w:autoSpaceDN w:val="0"/>
        <w:adjustRightInd w:val="0"/>
        <w:spacing w:after="240"/>
        <w:ind w:left="1080" w:hanging="360"/>
        <w:rPr>
          <w:rFonts w:cstheme="minorHAnsi"/>
        </w:rPr>
      </w:pPr>
      <w:r>
        <w:rPr>
          <w:rFonts w:cstheme="minorHAnsi"/>
        </w:rPr>
        <w:t xml:space="preserve">1.  </w:t>
      </w:r>
      <w:r>
        <w:rPr>
          <w:rFonts w:cstheme="minorHAnsi"/>
        </w:rPr>
        <w:tab/>
      </w:r>
      <w:r w:rsidR="00BE5490">
        <w:rPr>
          <w:rFonts w:cstheme="minorHAnsi"/>
        </w:rPr>
        <w:t>T</w:t>
      </w:r>
      <w:r w:rsidR="00143A20">
        <w:rPr>
          <w:rFonts w:cstheme="minorHAnsi"/>
        </w:rPr>
        <w:t>eachers and students</w:t>
      </w:r>
      <w:r>
        <w:rPr>
          <w:rFonts w:cstheme="minorHAnsi"/>
        </w:rPr>
        <w:t xml:space="preserve"> </w:t>
      </w:r>
      <w:r w:rsidR="00143A20">
        <w:rPr>
          <w:rFonts w:cstheme="minorHAnsi"/>
        </w:rPr>
        <w:t>stated that</w:t>
      </w:r>
      <w:r>
        <w:rPr>
          <w:rFonts w:cstheme="minorHAnsi"/>
        </w:rPr>
        <w:t xml:space="preserve"> the</w:t>
      </w:r>
      <w:r w:rsidR="00BE5490">
        <w:rPr>
          <w:rFonts w:cstheme="minorHAnsi"/>
        </w:rPr>
        <w:t xml:space="preserve"> district had not provided</w:t>
      </w:r>
      <w:r>
        <w:rPr>
          <w:rFonts w:cstheme="minorHAnsi"/>
        </w:rPr>
        <w:t xml:space="preserve"> </w:t>
      </w:r>
      <w:r w:rsidR="00BE5490">
        <w:rPr>
          <w:rFonts w:cstheme="minorHAnsi"/>
        </w:rPr>
        <w:t>up-to-date</w:t>
      </w:r>
      <w:r>
        <w:rPr>
          <w:rFonts w:cstheme="minorHAnsi"/>
        </w:rPr>
        <w:t xml:space="preserve"> information about emergency procedures</w:t>
      </w:r>
      <w:r w:rsidR="00BE5490">
        <w:rPr>
          <w:rFonts w:cstheme="minorHAnsi"/>
        </w:rPr>
        <w:t>, expressing</w:t>
      </w:r>
      <w:r>
        <w:rPr>
          <w:rFonts w:cstheme="minorHAnsi"/>
        </w:rPr>
        <w:t xml:space="preserve"> a need to know more about what should be done </w:t>
      </w:r>
      <w:r w:rsidR="00BE5490">
        <w:rPr>
          <w:rFonts w:cstheme="minorHAnsi"/>
        </w:rPr>
        <w:t xml:space="preserve">in the case of </w:t>
      </w:r>
      <w:r>
        <w:rPr>
          <w:rFonts w:cstheme="minorHAnsi"/>
        </w:rPr>
        <w:t>an emergency or crisis.</w:t>
      </w:r>
    </w:p>
    <w:p w14:paraId="2404E88B" w14:textId="367B1D44" w:rsidR="00D13890" w:rsidRPr="00DA11C8" w:rsidRDefault="00D13890" w:rsidP="00D13890">
      <w:pPr>
        <w:widowControl w:val="0"/>
        <w:autoSpaceDE w:val="0"/>
        <w:autoSpaceDN w:val="0"/>
        <w:adjustRightInd w:val="0"/>
        <w:spacing w:after="240"/>
        <w:ind w:left="1080" w:hanging="360"/>
        <w:rPr>
          <w:rFonts w:cstheme="minorHAnsi"/>
        </w:rPr>
      </w:pPr>
      <w:r>
        <w:rPr>
          <w:rFonts w:cstheme="minorHAnsi"/>
        </w:rPr>
        <w:t xml:space="preserve">2.   </w:t>
      </w:r>
      <w:r w:rsidR="00BE5490">
        <w:rPr>
          <w:rFonts w:cstheme="minorHAnsi"/>
        </w:rPr>
        <w:t>Teachers said</w:t>
      </w:r>
      <w:r>
        <w:rPr>
          <w:rFonts w:cstheme="minorHAnsi"/>
        </w:rPr>
        <w:t xml:space="preserve"> that there </w:t>
      </w:r>
      <w:r w:rsidR="00BE5490">
        <w:rPr>
          <w:rFonts w:cstheme="minorHAnsi"/>
        </w:rPr>
        <w:t xml:space="preserve">was </w:t>
      </w:r>
      <w:r>
        <w:rPr>
          <w:rFonts w:cstheme="minorHAnsi"/>
        </w:rPr>
        <w:t>a need for additional training opportunities</w:t>
      </w:r>
      <w:r w:rsidR="00A22D51">
        <w:rPr>
          <w:rFonts w:cstheme="minorHAnsi"/>
        </w:rPr>
        <w:t xml:space="preserve"> to ensure that leaders and teachers </w:t>
      </w:r>
      <w:r w:rsidR="00BE5490">
        <w:rPr>
          <w:rFonts w:cstheme="minorHAnsi"/>
        </w:rPr>
        <w:t xml:space="preserve">were </w:t>
      </w:r>
      <w:r w:rsidR="00A22D51">
        <w:rPr>
          <w:rFonts w:cstheme="minorHAnsi"/>
        </w:rPr>
        <w:t xml:space="preserve">prepared to act </w:t>
      </w:r>
      <w:r w:rsidR="00BE5490">
        <w:rPr>
          <w:rFonts w:cstheme="minorHAnsi"/>
        </w:rPr>
        <w:t>in the event of</w:t>
      </w:r>
      <w:r w:rsidR="00A22D51">
        <w:rPr>
          <w:rFonts w:cstheme="minorHAnsi"/>
        </w:rPr>
        <w:t xml:space="preserve"> an emergency</w:t>
      </w:r>
      <w:r>
        <w:rPr>
          <w:rFonts w:cstheme="minorHAnsi"/>
        </w:rPr>
        <w:t>.</w:t>
      </w:r>
    </w:p>
    <w:p w14:paraId="6B59DCEF" w14:textId="254FA550" w:rsidR="00D13890" w:rsidRDefault="00D13890" w:rsidP="00D13890">
      <w:pPr>
        <w:widowControl w:val="0"/>
        <w:autoSpaceDE w:val="0"/>
        <w:autoSpaceDN w:val="0"/>
        <w:adjustRightInd w:val="0"/>
        <w:spacing w:after="240"/>
        <w:ind w:left="720" w:hanging="360"/>
        <w:rPr>
          <w:rFonts w:cstheme="minorHAnsi"/>
        </w:rPr>
      </w:pPr>
      <w:r>
        <w:rPr>
          <w:rFonts w:cstheme="minorHAnsi"/>
          <w:b/>
        </w:rPr>
        <w:t>B.</w:t>
      </w:r>
      <w:r>
        <w:rPr>
          <w:rFonts w:cstheme="minorHAnsi"/>
        </w:rPr>
        <w:tab/>
      </w:r>
      <w:r w:rsidRPr="00C64CD6">
        <w:rPr>
          <w:rFonts w:cstheme="minorHAnsi"/>
        </w:rPr>
        <w:t xml:space="preserve">The district </w:t>
      </w:r>
      <w:r>
        <w:rPr>
          <w:rFonts w:cstheme="minorHAnsi"/>
        </w:rPr>
        <w:t xml:space="preserve">has initiated </w:t>
      </w:r>
      <w:r w:rsidRPr="00C64CD6">
        <w:rPr>
          <w:rFonts w:cstheme="minorHAnsi"/>
        </w:rPr>
        <w:t xml:space="preserve">safety audits at all schools, but the results </w:t>
      </w:r>
      <w:r>
        <w:rPr>
          <w:rFonts w:cstheme="minorHAnsi"/>
        </w:rPr>
        <w:t>we</w:t>
      </w:r>
      <w:r w:rsidRPr="00C64CD6">
        <w:rPr>
          <w:rFonts w:cstheme="minorHAnsi"/>
        </w:rPr>
        <w:t xml:space="preserve">re </w:t>
      </w:r>
      <w:r>
        <w:rPr>
          <w:rFonts w:cstheme="minorHAnsi"/>
        </w:rPr>
        <w:t xml:space="preserve">incomplete </w:t>
      </w:r>
      <w:r w:rsidRPr="00C64CD6">
        <w:rPr>
          <w:rFonts w:cstheme="minorHAnsi"/>
        </w:rPr>
        <w:t>at th</w:t>
      </w:r>
      <w:r>
        <w:rPr>
          <w:rFonts w:cstheme="minorHAnsi"/>
        </w:rPr>
        <w:t>e</w:t>
      </w:r>
      <w:r w:rsidRPr="00C64CD6">
        <w:rPr>
          <w:rFonts w:cstheme="minorHAnsi"/>
        </w:rPr>
        <w:t xml:space="preserve"> time</w:t>
      </w:r>
      <w:r>
        <w:rPr>
          <w:rFonts w:cstheme="minorHAnsi"/>
        </w:rPr>
        <w:t xml:space="preserve"> of the onsite visit in February 2019.</w:t>
      </w:r>
      <w:r w:rsidRPr="00C64CD6">
        <w:rPr>
          <w:rFonts w:cstheme="minorHAnsi"/>
        </w:rPr>
        <w:t xml:space="preserve"> </w:t>
      </w:r>
    </w:p>
    <w:p w14:paraId="717D9EC1" w14:textId="60093945" w:rsidR="00D13890" w:rsidRPr="00C64CD6" w:rsidRDefault="00D13890" w:rsidP="00D13890">
      <w:pPr>
        <w:widowControl w:val="0"/>
        <w:autoSpaceDE w:val="0"/>
        <w:autoSpaceDN w:val="0"/>
        <w:adjustRightInd w:val="0"/>
        <w:spacing w:after="240"/>
        <w:ind w:left="720" w:hanging="360"/>
        <w:rPr>
          <w:rFonts w:cstheme="minorHAnsi"/>
        </w:rPr>
      </w:pPr>
      <w:r>
        <w:rPr>
          <w:rFonts w:cstheme="minorHAnsi"/>
          <w:b/>
        </w:rPr>
        <w:t>C.</w:t>
      </w:r>
      <w:r>
        <w:rPr>
          <w:rFonts w:cstheme="minorHAnsi"/>
        </w:rPr>
        <w:tab/>
      </w:r>
      <w:r w:rsidR="00BE5490">
        <w:rPr>
          <w:rFonts w:cstheme="minorHAnsi"/>
        </w:rPr>
        <w:t>In 2018–2019</w:t>
      </w:r>
      <w:r>
        <w:rPr>
          <w:rFonts w:cstheme="minorHAnsi"/>
        </w:rPr>
        <w:t>, there are</w:t>
      </w:r>
      <w:r w:rsidRPr="00C64CD6">
        <w:rPr>
          <w:rFonts w:cstheme="minorHAnsi"/>
        </w:rPr>
        <w:t xml:space="preserve"> two new </w:t>
      </w:r>
      <w:r w:rsidR="000608DB">
        <w:rPr>
          <w:rFonts w:cstheme="minorHAnsi"/>
        </w:rPr>
        <w:t>s</w:t>
      </w:r>
      <w:r w:rsidR="000608DB" w:rsidRPr="00C64CD6">
        <w:rPr>
          <w:rFonts w:cstheme="minorHAnsi"/>
        </w:rPr>
        <w:t xml:space="preserve">chool </w:t>
      </w:r>
      <w:r w:rsidR="000608DB">
        <w:rPr>
          <w:rFonts w:cstheme="minorHAnsi"/>
        </w:rPr>
        <w:t>r</w:t>
      </w:r>
      <w:r w:rsidR="000608DB" w:rsidRPr="00C64CD6">
        <w:rPr>
          <w:rFonts w:cstheme="minorHAnsi"/>
        </w:rPr>
        <w:t xml:space="preserve">esource </w:t>
      </w:r>
      <w:r w:rsidR="000608DB">
        <w:rPr>
          <w:rFonts w:cstheme="minorHAnsi"/>
        </w:rPr>
        <w:t>o</w:t>
      </w:r>
      <w:r w:rsidR="000608DB" w:rsidRPr="00C64CD6">
        <w:rPr>
          <w:rFonts w:cstheme="minorHAnsi"/>
        </w:rPr>
        <w:t xml:space="preserve">fficers </w:t>
      </w:r>
      <w:r w:rsidRPr="00C64CD6">
        <w:rPr>
          <w:rFonts w:cstheme="minorHAnsi"/>
        </w:rPr>
        <w:t xml:space="preserve">in the school buildings </w:t>
      </w:r>
      <w:r>
        <w:rPr>
          <w:rFonts w:cstheme="minorHAnsi"/>
        </w:rPr>
        <w:t>a</w:t>
      </w:r>
      <w:r w:rsidRPr="00C64CD6">
        <w:rPr>
          <w:rFonts w:cstheme="minorHAnsi"/>
        </w:rPr>
        <w:t xml:space="preserve">nd a memorandum of understanding with the Framingham </w:t>
      </w:r>
      <w:r w:rsidR="000608DB">
        <w:rPr>
          <w:rFonts w:cstheme="minorHAnsi"/>
        </w:rPr>
        <w:t>p</w:t>
      </w:r>
      <w:r w:rsidR="000608DB" w:rsidRPr="00C64CD6">
        <w:rPr>
          <w:rFonts w:cstheme="minorHAnsi"/>
        </w:rPr>
        <w:t xml:space="preserve">olice </w:t>
      </w:r>
      <w:r w:rsidR="000608DB">
        <w:rPr>
          <w:rFonts w:cstheme="minorHAnsi"/>
        </w:rPr>
        <w:t>d</w:t>
      </w:r>
      <w:r w:rsidR="000608DB" w:rsidRPr="00C64CD6">
        <w:rPr>
          <w:rFonts w:cstheme="minorHAnsi"/>
        </w:rPr>
        <w:t>epartment</w:t>
      </w:r>
      <w:r w:rsidR="000608DB">
        <w:rPr>
          <w:rFonts w:cstheme="minorHAnsi"/>
        </w:rPr>
        <w:t xml:space="preserve"> </w:t>
      </w:r>
      <w:r>
        <w:rPr>
          <w:rFonts w:cstheme="minorHAnsi"/>
        </w:rPr>
        <w:t>about safety</w:t>
      </w:r>
      <w:r w:rsidR="00501812">
        <w:rPr>
          <w:rFonts w:cstheme="minorHAnsi"/>
        </w:rPr>
        <w:t>,</w:t>
      </w:r>
      <w:r>
        <w:rPr>
          <w:rFonts w:cstheme="minorHAnsi"/>
        </w:rPr>
        <w:t xml:space="preserve"> which </w:t>
      </w:r>
      <w:r w:rsidRPr="00C64CD6">
        <w:rPr>
          <w:rFonts w:cstheme="minorHAnsi"/>
        </w:rPr>
        <w:t xml:space="preserve">has helped ease some of the concerns </w:t>
      </w:r>
      <w:r w:rsidR="000608DB">
        <w:rPr>
          <w:rFonts w:cstheme="minorHAnsi"/>
        </w:rPr>
        <w:t>of</w:t>
      </w:r>
      <w:r w:rsidRPr="00C64CD6">
        <w:rPr>
          <w:rFonts w:cstheme="minorHAnsi"/>
        </w:rPr>
        <w:t xml:space="preserve"> students and staff. </w:t>
      </w:r>
    </w:p>
    <w:p w14:paraId="7B403B89" w14:textId="44C63381" w:rsidR="00D13890" w:rsidRPr="00C64CD6" w:rsidRDefault="00D13890" w:rsidP="00D13890">
      <w:pPr>
        <w:rPr>
          <w:rFonts w:cstheme="minorHAnsi"/>
        </w:rPr>
      </w:pPr>
      <w:r w:rsidRPr="00C64CD6">
        <w:rPr>
          <w:rFonts w:cstheme="minorHAnsi"/>
          <w:b/>
        </w:rPr>
        <w:t>Impact:</w:t>
      </w:r>
      <w:r w:rsidRPr="00C64CD6">
        <w:rPr>
          <w:rFonts w:cstheme="minorHAnsi"/>
        </w:rPr>
        <w:t xml:space="preserve"> </w:t>
      </w:r>
      <w:r w:rsidR="000608DB">
        <w:rPr>
          <w:rFonts w:cstheme="minorHAnsi"/>
        </w:rPr>
        <w:t>U</w:t>
      </w:r>
      <w:r w:rsidR="000608DB" w:rsidRPr="00C64CD6">
        <w:rPr>
          <w:rFonts w:cstheme="minorHAnsi"/>
        </w:rPr>
        <w:t>ntil</w:t>
      </w:r>
      <w:r w:rsidR="000608DB">
        <w:rPr>
          <w:rFonts w:cstheme="minorHAnsi"/>
        </w:rPr>
        <w:t xml:space="preserve"> </w:t>
      </w:r>
      <w:r w:rsidRPr="00C64CD6">
        <w:rPr>
          <w:rFonts w:cstheme="minorHAnsi"/>
        </w:rPr>
        <w:t xml:space="preserve">security plans are </w:t>
      </w:r>
      <w:r>
        <w:rPr>
          <w:rFonts w:cstheme="minorHAnsi"/>
        </w:rPr>
        <w:t xml:space="preserve">clarified, some </w:t>
      </w:r>
      <w:r w:rsidRPr="00C64CD6">
        <w:rPr>
          <w:rFonts w:cstheme="minorHAnsi"/>
        </w:rPr>
        <w:t xml:space="preserve">students and staff </w:t>
      </w:r>
      <w:r>
        <w:rPr>
          <w:rFonts w:cstheme="minorHAnsi"/>
        </w:rPr>
        <w:t>can</w:t>
      </w:r>
      <w:r w:rsidRPr="00C64CD6">
        <w:rPr>
          <w:rFonts w:cstheme="minorHAnsi"/>
        </w:rPr>
        <w:t xml:space="preserve"> be </w:t>
      </w:r>
      <w:r>
        <w:rPr>
          <w:rFonts w:cstheme="minorHAnsi"/>
        </w:rPr>
        <w:t xml:space="preserve">anxious and unsure about what to </w:t>
      </w:r>
      <w:r w:rsidR="00713FEF">
        <w:rPr>
          <w:rFonts w:cstheme="minorHAnsi"/>
        </w:rPr>
        <w:t xml:space="preserve">do </w:t>
      </w:r>
      <w:r w:rsidR="000608DB">
        <w:rPr>
          <w:rFonts w:cstheme="minorHAnsi"/>
        </w:rPr>
        <w:t>in the event of an</w:t>
      </w:r>
      <w:r>
        <w:rPr>
          <w:rFonts w:cstheme="minorHAnsi"/>
        </w:rPr>
        <w:t xml:space="preserve"> emergency</w:t>
      </w:r>
      <w:r w:rsidR="000608DB">
        <w:rPr>
          <w:rFonts w:cstheme="minorHAnsi"/>
        </w:rPr>
        <w:t>.</w:t>
      </w:r>
      <w:r>
        <w:rPr>
          <w:rFonts w:cstheme="minorHAnsi"/>
        </w:rPr>
        <w:t xml:space="preserve"> </w:t>
      </w:r>
    </w:p>
    <w:p w14:paraId="49DDAC2D" w14:textId="6B6F9643" w:rsidR="001341F7" w:rsidRDefault="001341F7" w:rsidP="00D13890">
      <w:pPr>
        <w:rPr>
          <w:rFonts w:cstheme="minorHAnsi"/>
          <w:b/>
          <w:sz w:val="28"/>
          <w:szCs w:val="28"/>
        </w:rPr>
      </w:pPr>
    </w:p>
    <w:p w14:paraId="6A38E67C" w14:textId="58230606" w:rsidR="00D13890" w:rsidRPr="00B2415E" w:rsidRDefault="00D13890" w:rsidP="00D13890">
      <w:pPr>
        <w:rPr>
          <w:rFonts w:cstheme="minorHAnsi"/>
          <w:b/>
          <w:sz w:val="28"/>
          <w:szCs w:val="28"/>
        </w:rPr>
      </w:pPr>
      <w:r w:rsidRPr="00B2415E">
        <w:rPr>
          <w:rFonts w:cstheme="minorHAnsi"/>
          <w:b/>
          <w:sz w:val="28"/>
          <w:szCs w:val="28"/>
        </w:rPr>
        <w:t>Recommendations</w:t>
      </w:r>
    </w:p>
    <w:p w14:paraId="15CF1C88" w14:textId="6FCE8CD6" w:rsidR="006E34EF" w:rsidRPr="00406A80" w:rsidRDefault="006E34EF" w:rsidP="00406A80">
      <w:pPr>
        <w:ind w:left="360" w:hanging="360"/>
        <w:rPr>
          <w:rFonts w:cstheme="minorHAnsi"/>
          <w:b/>
        </w:rPr>
      </w:pPr>
      <w:r w:rsidRPr="00406A80">
        <w:rPr>
          <w:rFonts w:cstheme="minorHAnsi"/>
          <w:b/>
        </w:rPr>
        <w:t>1.</w:t>
      </w:r>
      <w:r w:rsidRPr="00406A80">
        <w:rPr>
          <w:rFonts w:cstheme="minorHAnsi"/>
          <w:b/>
        </w:rPr>
        <w:tab/>
        <w:t xml:space="preserve">To better support its most at risk and vulnerable students, the district </w:t>
      </w:r>
      <w:r w:rsidRPr="00406A80">
        <w:rPr>
          <w:rFonts w:cstheme="minorHAnsi"/>
          <w:b/>
          <w:color w:val="000000" w:themeColor="text1"/>
        </w:rPr>
        <w:t xml:space="preserve">should </w:t>
      </w:r>
      <w:r w:rsidRPr="00406A80">
        <w:rPr>
          <w:rFonts w:cstheme="minorHAnsi"/>
          <w:b/>
        </w:rPr>
        <w:t xml:space="preserve">conduct root cause analyses to examine and eliminate obstacles to </w:t>
      </w:r>
      <w:r w:rsidR="002C5935" w:rsidRPr="00406A80">
        <w:rPr>
          <w:rFonts w:cstheme="minorHAnsi"/>
          <w:b/>
        </w:rPr>
        <w:t>attending and staying in school.</w:t>
      </w:r>
    </w:p>
    <w:p w14:paraId="031F5BF1" w14:textId="0D3EA12B" w:rsidR="00092F8E" w:rsidRDefault="006E34EF" w:rsidP="00092F8E">
      <w:pPr>
        <w:tabs>
          <w:tab w:val="left" w:pos="360"/>
          <w:tab w:val="left" w:pos="720"/>
          <w:tab w:val="left" w:pos="1080"/>
          <w:tab w:val="left" w:pos="1440"/>
          <w:tab w:val="left" w:pos="1800"/>
          <w:tab w:val="left" w:pos="2160"/>
        </w:tabs>
        <w:ind w:left="720" w:hanging="360"/>
        <w:rPr>
          <w:rFonts w:ascii="Calibri" w:hAnsi="Calibri" w:cs="Calibri"/>
        </w:rPr>
      </w:pPr>
      <w:r>
        <w:rPr>
          <w:rFonts w:cstheme="minorHAnsi"/>
          <w:b/>
        </w:rPr>
        <w:t xml:space="preserve">A. </w:t>
      </w:r>
      <w:r>
        <w:rPr>
          <w:rFonts w:cstheme="minorHAnsi"/>
          <w:b/>
        </w:rPr>
        <w:tab/>
      </w:r>
      <w:r w:rsidR="00092F8E">
        <w:rPr>
          <w:rFonts w:ascii="Calibri" w:hAnsi="Calibri" w:cs="Calibri"/>
        </w:rPr>
        <w:t>The district should analyze attendance data and determine the root cause(s) of chronic absence.</w:t>
      </w:r>
    </w:p>
    <w:p w14:paraId="6516EBCA" w14:textId="77777777" w:rsidR="00092F8E" w:rsidRDefault="00092F8E" w:rsidP="00092F8E">
      <w:pPr>
        <w:tabs>
          <w:tab w:val="left" w:pos="360"/>
          <w:tab w:val="left" w:pos="720"/>
          <w:tab w:val="left" w:pos="1080"/>
          <w:tab w:val="left" w:pos="1440"/>
          <w:tab w:val="left" w:pos="1800"/>
          <w:tab w:val="left" w:pos="2160"/>
        </w:tabs>
        <w:ind w:left="1080" w:hanging="720"/>
        <w:rPr>
          <w:rFonts w:cstheme="minorHAnsi"/>
        </w:rPr>
      </w:pPr>
      <w:r>
        <w:rPr>
          <w:rFonts w:ascii="Calibri" w:hAnsi="Calibri" w:cs="Calibri"/>
          <w:b/>
        </w:rPr>
        <w:tab/>
      </w:r>
      <w:r w:rsidRPr="0067028C">
        <w:rPr>
          <w:rFonts w:ascii="Calibri" w:hAnsi="Calibri" w:cs="Calibri"/>
        </w:rPr>
        <w:t>1.</w:t>
      </w:r>
      <w:r>
        <w:rPr>
          <w:rFonts w:ascii="Calibri" w:hAnsi="Calibri" w:cs="Calibri"/>
          <w:b/>
        </w:rPr>
        <w:tab/>
      </w:r>
      <w:r>
        <w:rPr>
          <w:rFonts w:cstheme="minorHAnsi"/>
        </w:rPr>
        <w:t>The district should use disaggregated data to examine attendance rates and analyze the extent to which specific student groups have disproportionate rates of chronic absence.</w:t>
      </w:r>
    </w:p>
    <w:p w14:paraId="3B6089EA" w14:textId="77777777" w:rsidR="00092F8E" w:rsidRDefault="00092F8E" w:rsidP="00092F8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Pr="00F53BB3">
        <w:rPr>
          <w:rFonts w:ascii="Calibri" w:hAnsi="Calibri" w:cs="Calibri"/>
        </w:rPr>
        <w:t>2.</w:t>
      </w:r>
      <w:r>
        <w:rPr>
          <w:rFonts w:ascii="Calibri" w:hAnsi="Calibri" w:cs="Calibri"/>
          <w:b/>
        </w:rPr>
        <w:tab/>
      </w:r>
      <w:r w:rsidRPr="00AC48CB">
        <w:rPr>
          <w:rFonts w:ascii="Calibri" w:hAnsi="Calibri" w:cs="Calibri"/>
        </w:rPr>
        <w:t>The district should</w:t>
      </w:r>
      <w:r>
        <w:rPr>
          <w:rFonts w:ascii="Calibri" w:hAnsi="Calibri" w:cs="Calibri"/>
          <w:b/>
        </w:rPr>
        <w:t xml:space="preserve"> </w:t>
      </w:r>
      <w:r>
        <w:rPr>
          <w:rFonts w:ascii="Calibri" w:hAnsi="Calibri" w:cs="Calibri"/>
        </w:rPr>
        <w:t>gather input from students and families through focus groups and surveys about</w:t>
      </w:r>
      <w:r w:rsidRPr="00602308">
        <w:rPr>
          <w:rFonts w:ascii="Calibri" w:hAnsi="Calibri" w:cs="Calibri"/>
        </w:rPr>
        <w:t xml:space="preserve"> </w:t>
      </w:r>
      <w:r>
        <w:rPr>
          <w:rFonts w:ascii="Calibri" w:hAnsi="Calibri" w:cs="Calibri"/>
        </w:rPr>
        <w:t>the</w:t>
      </w:r>
      <w:r w:rsidRPr="00602308">
        <w:rPr>
          <w:rFonts w:ascii="Calibri" w:hAnsi="Calibri" w:cs="Calibri"/>
        </w:rPr>
        <w:t xml:space="preserve"> </w:t>
      </w:r>
      <w:r>
        <w:rPr>
          <w:rFonts w:ascii="Calibri" w:hAnsi="Calibri" w:cs="Calibri"/>
        </w:rPr>
        <w:t>reasons</w:t>
      </w:r>
      <w:r w:rsidRPr="00602308">
        <w:rPr>
          <w:rFonts w:ascii="Calibri" w:hAnsi="Calibri" w:cs="Calibri"/>
        </w:rPr>
        <w:t xml:space="preserve"> </w:t>
      </w:r>
      <w:r>
        <w:rPr>
          <w:rFonts w:ascii="Calibri" w:hAnsi="Calibri" w:cs="Calibri"/>
        </w:rPr>
        <w:t>for high</w:t>
      </w:r>
      <w:r w:rsidRPr="00602308">
        <w:rPr>
          <w:rFonts w:ascii="Calibri" w:hAnsi="Calibri" w:cs="Calibri"/>
        </w:rPr>
        <w:t xml:space="preserve"> </w:t>
      </w:r>
      <w:r>
        <w:rPr>
          <w:rFonts w:ascii="Calibri" w:hAnsi="Calibri" w:cs="Calibri"/>
        </w:rPr>
        <w:t>absence rates and possible ways to address the challenge of students missing too much instruction</w:t>
      </w:r>
      <w:r w:rsidRPr="00602308">
        <w:rPr>
          <w:rFonts w:ascii="Calibri" w:hAnsi="Calibri" w:cs="Calibri"/>
        </w:rPr>
        <w:t>.</w:t>
      </w:r>
      <w:r>
        <w:rPr>
          <w:rFonts w:ascii="Calibri" w:hAnsi="Calibri" w:cs="Calibri"/>
          <w:b/>
        </w:rPr>
        <w:tab/>
      </w:r>
      <w:r w:rsidRPr="00D15295">
        <w:rPr>
          <w:rFonts w:ascii="Calibri" w:hAnsi="Calibri" w:cs="Calibri"/>
          <w:b/>
        </w:rPr>
        <w:t xml:space="preserve"> </w:t>
      </w:r>
    </w:p>
    <w:p w14:paraId="0197A536" w14:textId="77777777" w:rsidR="00092F8E" w:rsidRDefault="00092F8E" w:rsidP="00092F8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rPr>
        <w:tab/>
        <w:t>3.</w:t>
      </w:r>
      <w:r>
        <w:rPr>
          <w:rFonts w:ascii="Calibri" w:hAnsi="Calibri" w:cs="Calibri"/>
        </w:rPr>
        <w:tab/>
        <w:t xml:space="preserve">The district should ensure that schools support two-way communication and access for all students’ families, including providing interpretation and translation services to families, as appropriate. </w:t>
      </w:r>
    </w:p>
    <w:p w14:paraId="31A9BBDF" w14:textId="77777777" w:rsidR="00092F8E" w:rsidRDefault="00092F8E" w:rsidP="00092F8E">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Pr>
          <w:rFonts w:ascii="Calibri" w:hAnsi="Calibri" w:cs="Calibri"/>
        </w:rPr>
        <w:t>4</w:t>
      </w:r>
      <w:r w:rsidRPr="00F53BB3">
        <w:rPr>
          <w:rFonts w:ascii="Calibri" w:hAnsi="Calibri" w:cs="Calibri"/>
        </w:rPr>
        <w:t>.</w:t>
      </w:r>
      <w:r>
        <w:rPr>
          <w:rFonts w:ascii="Calibri" w:hAnsi="Calibri" w:cs="Calibri"/>
          <w:b/>
        </w:rPr>
        <w:tab/>
      </w:r>
      <w:r>
        <w:rPr>
          <w:rFonts w:ascii="Calibri" w:hAnsi="Calibri" w:cs="Calibri"/>
        </w:rPr>
        <w:t>The district should determine the root causes of high and disproportionate absence rates and take steps to address them, including reviewing current</w:t>
      </w:r>
      <w:r w:rsidRPr="00E70DBE">
        <w:rPr>
          <w:rFonts w:ascii="Calibri" w:hAnsi="Calibri" w:cs="Calibri"/>
        </w:rPr>
        <w:t xml:space="preserve"> initiatives to improve </w:t>
      </w:r>
      <w:r>
        <w:rPr>
          <w:rFonts w:ascii="Calibri" w:hAnsi="Calibri" w:cs="Calibri"/>
        </w:rPr>
        <w:t>attendance</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4A6E3008" w14:textId="48E5F891" w:rsidR="006E34EF" w:rsidRDefault="00092F8E" w:rsidP="006E34EF">
      <w:pPr>
        <w:tabs>
          <w:tab w:val="left" w:pos="360"/>
          <w:tab w:val="left" w:pos="720"/>
        </w:tabs>
        <w:ind w:left="720" w:hanging="360"/>
        <w:rPr>
          <w:rFonts w:cstheme="minorHAnsi"/>
        </w:rPr>
      </w:pPr>
      <w:r w:rsidRPr="00406A80">
        <w:rPr>
          <w:rFonts w:cstheme="minorHAnsi"/>
          <w:b/>
          <w:bCs/>
        </w:rPr>
        <w:lastRenderedPageBreak/>
        <w:t>B.</w:t>
      </w:r>
      <w:r>
        <w:rPr>
          <w:rFonts w:cstheme="minorHAnsi"/>
        </w:rPr>
        <w:tab/>
        <w:t>T</w:t>
      </w:r>
      <w:r w:rsidR="006E34EF" w:rsidRPr="00C64CD6">
        <w:rPr>
          <w:rFonts w:cstheme="minorHAnsi"/>
        </w:rPr>
        <w:t>he district should</w:t>
      </w:r>
      <w:r w:rsidR="006E34EF">
        <w:rPr>
          <w:rFonts w:cstheme="minorHAnsi"/>
        </w:rPr>
        <w:t xml:space="preserve"> make systematic and timely</w:t>
      </w:r>
      <w:r w:rsidR="006E34EF" w:rsidRPr="00C64CD6">
        <w:rPr>
          <w:rFonts w:cstheme="minorHAnsi"/>
        </w:rPr>
        <w:t xml:space="preserve"> use </w:t>
      </w:r>
      <w:r w:rsidR="006E34EF">
        <w:rPr>
          <w:rFonts w:cstheme="minorHAnsi"/>
        </w:rPr>
        <w:t>of</w:t>
      </w:r>
      <w:r w:rsidR="006E34EF" w:rsidRPr="00C64CD6">
        <w:rPr>
          <w:rFonts w:cstheme="minorHAnsi"/>
        </w:rPr>
        <w:t xml:space="preserve"> </w:t>
      </w:r>
      <w:r w:rsidR="002C5935">
        <w:rPr>
          <w:rFonts w:cstheme="minorHAnsi"/>
        </w:rPr>
        <w:t>D</w:t>
      </w:r>
      <w:r w:rsidR="006E34EF" w:rsidRPr="00C64CD6">
        <w:rPr>
          <w:rFonts w:cstheme="minorHAnsi"/>
        </w:rPr>
        <w:t>ESE</w:t>
      </w:r>
      <w:r w:rsidR="006E34EF">
        <w:rPr>
          <w:rFonts w:cstheme="minorHAnsi"/>
        </w:rPr>
        <w:t>’s</w:t>
      </w:r>
      <w:r w:rsidR="006E34EF" w:rsidRPr="00C64CD6">
        <w:rPr>
          <w:rFonts w:cstheme="minorHAnsi"/>
        </w:rPr>
        <w:t xml:space="preserve"> early warning indicator system (EWIS)</w:t>
      </w:r>
      <w:r w:rsidR="006E34EF">
        <w:rPr>
          <w:rFonts w:cstheme="minorHAnsi"/>
        </w:rPr>
        <w:t xml:space="preserve"> to </w:t>
      </w:r>
      <w:r w:rsidR="006E34EF" w:rsidRPr="00C64CD6">
        <w:rPr>
          <w:rFonts w:cstheme="minorHAnsi"/>
        </w:rPr>
        <w:t xml:space="preserve">systematically identify students that need additional </w:t>
      </w:r>
      <w:r>
        <w:rPr>
          <w:rFonts w:cstheme="minorHAnsi"/>
        </w:rPr>
        <w:t>support to stay on track to graduate</w:t>
      </w:r>
      <w:r w:rsidR="006E34EF">
        <w:rPr>
          <w:rFonts w:cstheme="minorHAnsi"/>
        </w:rPr>
        <w:t>.</w:t>
      </w:r>
    </w:p>
    <w:p w14:paraId="062E91DD" w14:textId="2A4BCFD8" w:rsidR="00AA45EB" w:rsidRDefault="003D47BC" w:rsidP="00AA45EB">
      <w:pPr>
        <w:tabs>
          <w:tab w:val="left" w:pos="360"/>
          <w:tab w:val="left" w:pos="720"/>
          <w:tab w:val="left" w:pos="1440"/>
          <w:tab w:val="left" w:pos="1800"/>
          <w:tab w:val="left" w:pos="2160"/>
        </w:tabs>
        <w:ind w:left="720" w:hanging="360"/>
        <w:rPr>
          <w:rFonts w:cstheme="minorHAnsi"/>
        </w:rPr>
      </w:pPr>
      <w:r>
        <w:rPr>
          <w:rFonts w:cstheme="minorHAnsi"/>
          <w:b/>
        </w:rPr>
        <w:t>C</w:t>
      </w:r>
      <w:r w:rsidR="006E34EF">
        <w:rPr>
          <w:rFonts w:cstheme="minorHAnsi"/>
          <w:b/>
        </w:rPr>
        <w:t>.</w:t>
      </w:r>
      <w:r w:rsidR="006E34EF">
        <w:rPr>
          <w:rFonts w:cstheme="minorHAnsi"/>
        </w:rPr>
        <w:t xml:space="preserve">   </w:t>
      </w:r>
      <w:r w:rsidR="00AA45EB" w:rsidRPr="00984AC0">
        <w:rPr>
          <w:rFonts w:cstheme="minorHAnsi"/>
        </w:rPr>
        <w:t xml:space="preserve">The district should consider that addressing attendance and </w:t>
      </w:r>
      <w:r w:rsidR="00AA45EB">
        <w:rPr>
          <w:rFonts w:cstheme="minorHAnsi"/>
        </w:rPr>
        <w:t>graduation/dropout</w:t>
      </w:r>
      <w:r w:rsidR="00AA45EB" w:rsidRPr="00984AC0">
        <w:rPr>
          <w:rFonts w:cstheme="minorHAnsi"/>
        </w:rPr>
        <w:t xml:space="preserve"> may involve a range </w:t>
      </w:r>
      <w:r w:rsidR="00AA45EB" w:rsidRPr="00AA5B1E">
        <w:rPr>
          <w:rFonts w:cstheme="minorHAnsi"/>
        </w:rPr>
        <w:t xml:space="preserve">of wider initiatives such as improving instruction and its relevance to post-graduation goals; </w:t>
      </w:r>
      <w:r w:rsidR="00AA45EB" w:rsidRPr="00DF081D">
        <w:rPr>
          <w:rFonts w:cstheme="minorHAnsi"/>
        </w:rPr>
        <w:t>fostering a positive school climate; and building</w:t>
      </w:r>
      <w:r w:rsidR="00AA45EB">
        <w:rPr>
          <w:rFonts w:cstheme="minorHAnsi"/>
        </w:rPr>
        <w:t xml:space="preserve"> or strengthening </w:t>
      </w:r>
      <w:r w:rsidR="00AA45EB" w:rsidRPr="00984AC0">
        <w:rPr>
          <w:rFonts w:cstheme="minorHAnsi"/>
        </w:rPr>
        <w:t>relationships with student</w:t>
      </w:r>
      <w:r w:rsidR="00AA45EB">
        <w:rPr>
          <w:rFonts w:cstheme="minorHAnsi"/>
        </w:rPr>
        <w:t>s and their</w:t>
      </w:r>
      <w:r w:rsidR="00AA45EB" w:rsidRPr="00984AC0">
        <w:rPr>
          <w:rFonts w:cstheme="minorHAnsi"/>
        </w:rPr>
        <w:t xml:space="preserve"> families.</w:t>
      </w:r>
      <w:r w:rsidR="00AA45EB">
        <w:rPr>
          <w:rFonts w:cstheme="minorHAnsi"/>
        </w:rPr>
        <w:tab/>
      </w:r>
    </w:p>
    <w:p w14:paraId="35B27622" w14:textId="77777777" w:rsidR="00AA45EB" w:rsidRDefault="00AA45EB" w:rsidP="00AA45EB">
      <w:pPr>
        <w:tabs>
          <w:tab w:val="left" w:pos="720"/>
        </w:tabs>
        <w:ind w:left="1080" w:hanging="360"/>
      </w:pPr>
      <w:r>
        <w:rPr>
          <w:rFonts w:cstheme="minorHAnsi"/>
        </w:rPr>
        <w:t xml:space="preserve">1. </w:t>
      </w:r>
      <w:r>
        <w:rPr>
          <w:rFonts w:cstheme="minorHAnsi"/>
        </w:rPr>
        <w:tab/>
        <w:t xml:space="preserve">The district might consider ways to increase students’ agency, </w:t>
      </w:r>
      <w:r w:rsidRPr="0014775C">
        <w:rPr>
          <w:rFonts w:cstheme="minorHAnsi"/>
        </w:rPr>
        <w:t xml:space="preserve">personalize </w:t>
      </w:r>
      <w:r>
        <w:rPr>
          <w:rFonts w:cstheme="minorHAnsi"/>
        </w:rPr>
        <w:t xml:space="preserve">their </w:t>
      </w:r>
      <w:r w:rsidRPr="0014775C">
        <w:rPr>
          <w:rFonts w:cstheme="minorHAnsi"/>
        </w:rPr>
        <w:t>learning</w:t>
      </w:r>
      <w:r>
        <w:rPr>
          <w:rFonts w:cstheme="minorHAnsi"/>
        </w:rPr>
        <w:t>,</w:t>
      </w:r>
      <w:r w:rsidRPr="0014775C">
        <w:rPr>
          <w:rFonts w:cstheme="minorHAnsi"/>
        </w:rPr>
        <w:t xml:space="preserve"> and increase </w:t>
      </w:r>
      <w:r>
        <w:rPr>
          <w:rFonts w:cstheme="minorHAnsi"/>
        </w:rPr>
        <w:t>their</w:t>
      </w:r>
      <w:r w:rsidRPr="0014775C">
        <w:rPr>
          <w:rFonts w:cstheme="minorHAnsi"/>
        </w:rPr>
        <w:t xml:space="preserve"> understanding of the connections and relevance of </w:t>
      </w:r>
      <w:r>
        <w:rPr>
          <w:rFonts w:cstheme="minorHAnsi"/>
        </w:rPr>
        <w:t>their current coursework</w:t>
      </w:r>
      <w:r w:rsidRPr="0014775C">
        <w:rPr>
          <w:rFonts w:cstheme="minorHAnsi"/>
        </w:rPr>
        <w:t xml:space="preserve"> to their future success. </w:t>
      </w:r>
      <w:r>
        <w:rPr>
          <w:rFonts w:cstheme="minorHAnsi"/>
        </w:rPr>
        <w:t xml:space="preserve"> </w:t>
      </w:r>
    </w:p>
    <w:p w14:paraId="7D80BF8E" w14:textId="77777777" w:rsidR="00AA45EB" w:rsidRDefault="00AA45EB" w:rsidP="00AA45EB">
      <w:pPr>
        <w:tabs>
          <w:tab w:val="left" w:pos="720"/>
        </w:tabs>
        <w:ind w:left="1080" w:hanging="360"/>
      </w:pPr>
      <w:r>
        <w:t>2.</w:t>
      </w:r>
      <w:r>
        <w:tab/>
      </w:r>
      <w:r>
        <w:rPr>
          <w:rFonts w:cstheme="minorHAnsi"/>
        </w:rPr>
        <w:t xml:space="preserve">The district should continue to explore ways to implement UDL in </w:t>
      </w:r>
      <w:proofErr w:type="gramStart"/>
      <w:r>
        <w:rPr>
          <w:rFonts w:cstheme="minorHAnsi"/>
        </w:rPr>
        <w:t>all of</w:t>
      </w:r>
      <w:proofErr w:type="gramEnd"/>
      <w:r>
        <w:rPr>
          <w:rFonts w:cstheme="minorHAnsi"/>
        </w:rPr>
        <w:t xml:space="preserve"> its schools and classrooms.  This is a research-based, proven set of strategies to eliminate barriers to learning and to improve teaching to address the individual and group needs of students. </w:t>
      </w:r>
    </w:p>
    <w:p w14:paraId="234C9DE5" w14:textId="1D1C2E4B" w:rsidR="006E34EF" w:rsidRPr="00406A80" w:rsidRDefault="00AA45EB" w:rsidP="00406A80">
      <w:pPr>
        <w:tabs>
          <w:tab w:val="left" w:pos="720"/>
        </w:tabs>
        <w:ind w:left="1080" w:hanging="360"/>
      </w:pPr>
      <w:r>
        <w:t>3.</w:t>
      </w:r>
      <w:r>
        <w:tab/>
      </w:r>
      <w:r w:rsidR="006E34EF">
        <w:rPr>
          <w:rFonts w:cstheme="minorHAnsi"/>
        </w:rPr>
        <w:t xml:space="preserve">The district should </w:t>
      </w:r>
      <w:r w:rsidR="00B91EE2">
        <w:rPr>
          <w:rFonts w:cstheme="minorHAnsi"/>
        </w:rPr>
        <w:t xml:space="preserve">prioritize improving </w:t>
      </w:r>
      <w:r w:rsidR="00B91EE2" w:rsidRPr="00B91EE2">
        <w:rPr>
          <w:rFonts w:cstheme="minorHAnsi"/>
        </w:rPr>
        <w:t xml:space="preserve">instruction and its relevance to post-graduation goals </w:t>
      </w:r>
      <w:r w:rsidR="00B91EE2">
        <w:rPr>
          <w:rFonts w:cstheme="minorHAnsi"/>
        </w:rPr>
        <w:t>to promote student engag</w:t>
      </w:r>
      <w:r w:rsidR="00F33E70">
        <w:rPr>
          <w:rFonts w:cstheme="minorHAnsi"/>
        </w:rPr>
        <w:t>e</w:t>
      </w:r>
      <w:r w:rsidR="00B91EE2">
        <w:rPr>
          <w:rFonts w:cstheme="minorHAnsi"/>
        </w:rPr>
        <w:t>ment</w:t>
      </w:r>
      <w:r w:rsidR="006E34EF">
        <w:rPr>
          <w:rFonts w:cstheme="minorHAnsi"/>
        </w:rPr>
        <w:t xml:space="preserve">.  </w:t>
      </w:r>
    </w:p>
    <w:p w14:paraId="4D5220EC" w14:textId="73A0BB9B" w:rsidR="006E34EF" w:rsidRDefault="006E34EF" w:rsidP="006E34EF">
      <w:pPr>
        <w:tabs>
          <w:tab w:val="left" w:pos="360"/>
          <w:tab w:val="left" w:pos="720"/>
        </w:tabs>
        <w:rPr>
          <w:rFonts w:cstheme="minorHAnsi"/>
          <w:b/>
        </w:rPr>
      </w:pPr>
      <w:r w:rsidRPr="006A2E1A">
        <w:rPr>
          <w:rFonts w:cstheme="minorHAnsi"/>
          <w:b/>
        </w:rPr>
        <w:t>Benefit</w:t>
      </w:r>
      <w:r>
        <w:rPr>
          <w:rFonts w:cstheme="minorHAnsi"/>
          <w:b/>
        </w:rPr>
        <w:t>s</w:t>
      </w:r>
      <w:r w:rsidR="00343D87">
        <w:rPr>
          <w:rFonts w:cstheme="minorHAnsi"/>
          <w:b/>
        </w:rPr>
        <w:t>:</w:t>
      </w:r>
      <w:r>
        <w:rPr>
          <w:rFonts w:cstheme="minorHAnsi"/>
          <w:b/>
        </w:rPr>
        <w:t xml:space="preserve"> </w:t>
      </w:r>
      <w:r>
        <w:rPr>
          <w:rFonts w:cstheme="minorHAnsi"/>
        </w:rPr>
        <w:t xml:space="preserve">The district can improve identification and understanding of students and provide more functional strategies to help them be successful in school.  Baseline and actionable data will help the district better understand systemic weaknesses and lead to providing a more coherent school experience for the district’s most at risk and vulnerable students and groups. Finally, these and other already operational strategies can lead to </w:t>
      </w:r>
      <w:r w:rsidR="00EB3026">
        <w:rPr>
          <w:rFonts w:cstheme="minorHAnsi"/>
        </w:rPr>
        <w:t>fewer students missing school and more students graduating on time</w:t>
      </w:r>
      <w:r>
        <w:rPr>
          <w:rFonts w:cstheme="minorHAnsi"/>
        </w:rPr>
        <w:t>.</w:t>
      </w:r>
    </w:p>
    <w:p w14:paraId="62C5E98E" w14:textId="77777777" w:rsidR="006E34EF" w:rsidRDefault="006E34EF" w:rsidP="006E34EF">
      <w:pPr>
        <w:tabs>
          <w:tab w:val="left" w:pos="360"/>
          <w:tab w:val="left" w:pos="720"/>
        </w:tabs>
        <w:rPr>
          <w:rFonts w:cstheme="minorHAnsi"/>
          <w:b/>
        </w:rPr>
      </w:pPr>
      <w:r>
        <w:rPr>
          <w:rFonts w:cstheme="minorHAnsi"/>
          <w:b/>
        </w:rPr>
        <w:t xml:space="preserve">Recommended resources:  </w:t>
      </w:r>
    </w:p>
    <w:p w14:paraId="35E1873B" w14:textId="692AA25B" w:rsidR="0049499E" w:rsidRDefault="0049499E" w:rsidP="006E34EF">
      <w:pPr>
        <w:pStyle w:val="ListParagraph"/>
        <w:numPr>
          <w:ilvl w:val="0"/>
          <w:numId w:val="61"/>
        </w:numPr>
        <w:tabs>
          <w:tab w:val="clear" w:pos="250"/>
          <w:tab w:val="num" w:pos="360"/>
        </w:tabs>
        <w:ind w:left="360"/>
        <w:contextualSpacing w:val="0"/>
        <w:rPr>
          <w:rFonts w:cs="Calibri"/>
        </w:rPr>
      </w:pPr>
      <w:r w:rsidRPr="0049499E">
        <w:rPr>
          <w:rFonts w:cs="Calibri"/>
        </w:rPr>
        <w:t>My Career and Academic Plan (</w:t>
      </w:r>
      <w:proofErr w:type="spellStart"/>
      <w:r w:rsidRPr="0049499E">
        <w:rPr>
          <w:rFonts w:cs="Calibri"/>
        </w:rPr>
        <w:t>MyCAP</w:t>
      </w:r>
      <w:proofErr w:type="spellEnd"/>
      <w:r w:rsidRPr="0049499E">
        <w:rPr>
          <w:rFonts w:cs="Calibri"/>
        </w:rPr>
        <w:t xml:space="preserve">) </w:t>
      </w:r>
      <w:r>
        <w:rPr>
          <w:rFonts w:cs="Calibri"/>
        </w:rPr>
        <w:t>(</w:t>
      </w:r>
      <w:hyperlink r:id="rId38" w:history="1">
        <w:r w:rsidRPr="00FC612C">
          <w:rPr>
            <w:rStyle w:val="Hyperlink"/>
            <w:rFonts w:cs="Calibri"/>
          </w:rPr>
          <w:t>http://www.doe.mass.edu/ccte/ccr/mycap/</w:t>
        </w:r>
      </w:hyperlink>
      <w:r>
        <w:rPr>
          <w:rFonts w:cs="Calibri"/>
        </w:rPr>
        <w:t xml:space="preserve">) </w:t>
      </w:r>
      <w:r w:rsidRPr="0049499E">
        <w:rPr>
          <w:rFonts w:cs="Calibri"/>
        </w:rPr>
        <w:t>is a student-centered, multi-year planning tool designed to provide students with ongoing opportunities to plan for their academic, personal/social and career success.</w:t>
      </w:r>
    </w:p>
    <w:p w14:paraId="13FEC203" w14:textId="77777777" w:rsidR="00115012" w:rsidRDefault="00115012" w:rsidP="00406A80">
      <w:pPr>
        <w:pStyle w:val="ListParagraph"/>
        <w:numPr>
          <w:ilvl w:val="0"/>
          <w:numId w:val="61"/>
        </w:numPr>
        <w:tabs>
          <w:tab w:val="clear" w:pos="250"/>
          <w:tab w:val="num" w:pos="450"/>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39"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14:paraId="325F7B02" w14:textId="37607311" w:rsidR="00115012" w:rsidRPr="00406A80" w:rsidRDefault="00115012" w:rsidP="00406A80">
      <w:pPr>
        <w:pStyle w:val="ListParagraph"/>
        <w:numPr>
          <w:ilvl w:val="0"/>
          <w:numId w:val="61"/>
        </w:numPr>
        <w:tabs>
          <w:tab w:val="clear" w:pos="250"/>
          <w:tab w:val="num" w:pos="360"/>
          <w:tab w:val="left" w:pos="1170"/>
        </w:tabs>
        <w:ind w:left="360"/>
        <w:contextualSpacing w:val="0"/>
        <w:rPr>
          <w:rFonts w:cs="Calibri"/>
        </w:rPr>
      </w:pPr>
      <w:r w:rsidRPr="00406A80">
        <w:rPr>
          <w:rFonts w:cs="Calibri"/>
          <w:bCs/>
        </w:rPr>
        <w:t>The Attendance Works website (</w:t>
      </w:r>
      <w:hyperlink r:id="rId40" w:history="1">
        <w:r w:rsidRPr="00406A80">
          <w:rPr>
            <w:rStyle w:val="Hyperlink"/>
            <w:rFonts w:cs="Calibri"/>
            <w:bCs/>
          </w:rPr>
          <w:t>https://www.attendanceworks.org/resources/</w:t>
        </w:r>
      </w:hyperlink>
      <w:r w:rsidRPr="00406A80">
        <w:rPr>
          <w:rFonts w:cs="Calibri"/>
          <w:bCs/>
        </w:rPr>
        <w:t>) provides several resources to help address chronic absenteeism, including district- and school-level self-assessments and planning tools, webinars, and toolkits.</w:t>
      </w:r>
    </w:p>
    <w:p w14:paraId="31F968EC" w14:textId="5E1A4F42" w:rsidR="006E34EF" w:rsidRPr="00910462" w:rsidRDefault="006E34EF" w:rsidP="006E34EF">
      <w:pPr>
        <w:pStyle w:val="ListParagraph"/>
        <w:numPr>
          <w:ilvl w:val="0"/>
          <w:numId w:val="61"/>
        </w:numPr>
        <w:tabs>
          <w:tab w:val="clear" w:pos="250"/>
          <w:tab w:val="num" w:pos="360"/>
        </w:tabs>
        <w:ind w:left="360"/>
        <w:contextualSpacing w:val="0"/>
        <w:rPr>
          <w:rFonts w:cs="Calibri"/>
        </w:rPr>
      </w:pPr>
      <w:r w:rsidRPr="00910462">
        <w:rPr>
          <w:rFonts w:cs="Calibri"/>
          <w:i/>
        </w:rPr>
        <w:t>Ninth Grade Counts</w:t>
      </w:r>
      <w:r w:rsidRPr="00910462">
        <w:rPr>
          <w:rFonts w:cs="Calibri"/>
        </w:rPr>
        <w:t xml:space="preserve"> (</w:t>
      </w:r>
      <w:hyperlink r:id="rId41" w:history="1">
        <w:r w:rsidRPr="00910462">
          <w:rPr>
            <w:rStyle w:val="Hyperlink"/>
            <w:rFonts w:cs="Calibri"/>
          </w:rPr>
          <w:t>http://www.greatschoolspartnership.org/resources/ninth-grade-counts/</w:t>
        </w:r>
      </w:hyperlink>
      <w:r w:rsidRPr="00910462">
        <w:rPr>
          <w:rFonts w:cs="Calibri"/>
        </w:rPr>
        <w:t xml:space="preserve">) is a resource to help high schools identify weaknesses in their ninth-grade programs, and then develop a </w:t>
      </w:r>
      <w:r w:rsidRPr="00910462">
        <w:rPr>
          <w:rFonts w:cs="Calibri"/>
        </w:rPr>
        <w:lastRenderedPageBreak/>
        <w:t>purposeful, proactive plan to strengthen this critical educational transition. The guide is divided into three areas of focus:</w:t>
      </w:r>
    </w:p>
    <w:p w14:paraId="483AF383" w14:textId="77777777" w:rsidR="006E34EF" w:rsidRPr="00910462" w:rsidRDefault="006E34EF" w:rsidP="006E34EF">
      <w:pPr>
        <w:pStyle w:val="ListParagraph"/>
        <w:numPr>
          <w:ilvl w:val="1"/>
          <w:numId w:val="61"/>
        </w:numPr>
        <w:ind w:left="720"/>
        <w:contextualSpacing w:val="0"/>
        <w:rPr>
          <w:rFonts w:cs="Calibri"/>
        </w:rPr>
      </w:pPr>
      <w:r w:rsidRPr="00910462">
        <w:rPr>
          <w:rFonts w:cs="Calibri"/>
        </w:rPr>
        <w:t>Strengthening the Transition into High School</w:t>
      </w:r>
    </w:p>
    <w:p w14:paraId="189CB0E6" w14:textId="77777777" w:rsidR="006E34EF" w:rsidRPr="00910462" w:rsidRDefault="006E34EF" w:rsidP="006E34EF">
      <w:pPr>
        <w:pStyle w:val="ListParagraph"/>
        <w:numPr>
          <w:ilvl w:val="1"/>
          <w:numId w:val="61"/>
        </w:numPr>
        <w:ind w:left="720"/>
        <w:contextualSpacing w:val="0"/>
        <w:rPr>
          <w:rFonts w:cs="Calibri"/>
        </w:rPr>
      </w:pPr>
      <w:r w:rsidRPr="00910462">
        <w:rPr>
          <w:rFonts w:cs="Calibri"/>
        </w:rPr>
        <w:t>Strengthening the High School Transition for English Language Learners</w:t>
      </w:r>
    </w:p>
    <w:p w14:paraId="4E3B25E5" w14:textId="77777777" w:rsidR="006E34EF" w:rsidRPr="00910462" w:rsidRDefault="006E34EF" w:rsidP="006E34EF">
      <w:pPr>
        <w:pStyle w:val="ListParagraph"/>
        <w:numPr>
          <w:ilvl w:val="1"/>
          <w:numId w:val="61"/>
        </w:numPr>
        <w:ind w:left="720"/>
        <w:contextualSpacing w:val="0"/>
        <w:rPr>
          <w:rFonts w:cs="Calibri"/>
        </w:rPr>
      </w:pPr>
      <w:r w:rsidRPr="00910462">
        <w:rPr>
          <w:rFonts w:cs="Calibri"/>
        </w:rPr>
        <w:t xml:space="preserve">Using Summer Bridge Programs to Strengthen the High School Transition </w:t>
      </w:r>
    </w:p>
    <w:p w14:paraId="4E29A0D3" w14:textId="763005DF" w:rsidR="006E34EF" w:rsidRPr="00406A80" w:rsidRDefault="006E34EF" w:rsidP="00406A80">
      <w:pPr>
        <w:pStyle w:val="ListParagraph"/>
        <w:numPr>
          <w:ilvl w:val="0"/>
          <w:numId w:val="61"/>
        </w:numPr>
        <w:tabs>
          <w:tab w:val="clear" w:pos="250"/>
          <w:tab w:val="num" w:pos="360"/>
        </w:tabs>
        <w:ind w:left="360"/>
        <w:contextualSpacing w:val="0"/>
        <w:rPr>
          <w:rFonts w:cs="Calibri"/>
          <w:bCs/>
        </w:rPr>
      </w:pPr>
      <w:r>
        <w:rPr>
          <w:rFonts w:cs="Calibri"/>
          <w:bCs/>
        </w:rPr>
        <w:t>D</w:t>
      </w:r>
      <w:r w:rsidRPr="00910462">
        <w:rPr>
          <w:rFonts w:cs="Calibri"/>
          <w:bCs/>
        </w:rPr>
        <w:t xml:space="preserve">ESE’s </w:t>
      </w:r>
      <w:r w:rsidRPr="00910462">
        <w:rPr>
          <w:rFonts w:cs="Calibri"/>
          <w:bCs/>
          <w:i/>
        </w:rPr>
        <w:t>High School Exit Intervention Model Protocol</w:t>
      </w:r>
      <w:r w:rsidRPr="00910462">
        <w:rPr>
          <w:rFonts w:cs="Calibri"/>
          <w:bCs/>
        </w:rPr>
        <w:t xml:space="preserve"> (</w:t>
      </w:r>
      <w:hyperlink r:id="rId42" w:history="1">
        <w:r w:rsidR="003A6D2B" w:rsidRPr="00FC612C">
          <w:rPr>
            <w:rStyle w:val="Hyperlink"/>
            <w:rFonts w:cs="Calibri"/>
            <w:bCs/>
          </w:rPr>
          <w:t>http://www.doe.mass.edu/dropout/ExitProtocol.docx</w:t>
        </w:r>
      </w:hyperlink>
      <w:r w:rsidR="003A6D2B">
        <w:rPr>
          <w:rFonts w:cs="Calibri"/>
          <w:bCs/>
        </w:rPr>
        <w:t xml:space="preserve">) </w:t>
      </w:r>
      <w:r w:rsidRPr="003D67D5">
        <w:rPr>
          <w:rFonts w:cs="Calibri"/>
          <w:bCs/>
        </w:rPr>
        <w:t>is based on statutory language, and also incorporates promising examples of existing exit protocols used by some school districts in Massachusetts and nationally. Schools and districts may choose to use this format w</w:t>
      </w:r>
      <w:r w:rsidRPr="00406A80">
        <w:rPr>
          <w:rFonts w:cs="Calibri"/>
          <w:bCs/>
        </w:rPr>
        <w:t>hen creating or adapting their own exit interview protocol for conducting exit intervention interviews or develop an alternative format. The model protocol includes two main sections:</w:t>
      </w:r>
    </w:p>
    <w:p w14:paraId="2E0BA84D" w14:textId="77777777" w:rsidR="006E34EF" w:rsidRPr="00910462" w:rsidRDefault="006E34EF" w:rsidP="006E34EF">
      <w:pPr>
        <w:pStyle w:val="ListParagraph"/>
        <w:numPr>
          <w:ilvl w:val="1"/>
          <w:numId w:val="61"/>
        </w:numPr>
        <w:ind w:left="720"/>
        <w:contextualSpacing w:val="0"/>
        <w:rPr>
          <w:rFonts w:cs="Calibri"/>
        </w:rPr>
      </w:pPr>
      <w:r w:rsidRPr="00910462">
        <w:rPr>
          <w:rFonts w:cs="Calibri"/>
        </w:rPr>
        <w:t>Foundation for Supporting Students: Setting up school and district structures to efficiently and effectively identify and intervene with individual students.</w:t>
      </w:r>
    </w:p>
    <w:p w14:paraId="10447029" w14:textId="77777777" w:rsidR="006E34EF" w:rsidRPr="00910462" w:rsidRDefault="006E34EF" w:rsidP="006E34EF">
      <w:pPr>
        <w:pStyle w:val="ListParagraph"/>
        <w:numPr>
          <w:ilvl w:val="1"/>
          <w:numId w:val="61"/>
        </w:numPr>
        <w:ind w:left="720"/>
        <w:contextualSpacing w:val="0"/>
        <w:rPr>
          <w:rFonts w:cs="Calibri"/>
        </w:rPr>
      </w:pPr>
      <w:r w:rsidRPr="00910462">
        <w:rPr>
          <w:rFonts w:cs="Calibri"/>
        </w:rPr>
        <w:t>Support Process for Individual Students: Hosting an Exit Intervention Interview, creating or revising an Individual Learning Plan, and conducting an Exit Survey.</w:t>
      </w:r>
    </w:p>
    <w:p w14:paraId="2C8F94BC" w14:textId="77777777" w:rsidR="006E34EF" w:rsidRPr="00910462" w:rsidRDefault="006E34EF" w:rsidP="006E34EF">
      <w:pPr>
        <w:pStyle w:val="ListParagraph"/>
        <w:numPr>
          <w:ilvl w:val="0"/>
          <w:numId w:val="61"/>
        </w:numPr>
        <w:tabs>
          <w:tab w:val="clear" w:pos="250"/>
          <w:tab w:val="num" w:pos="360"/>
        </w:tabs>
        <w:ind w:left="360"/>
        <w:contextualSpacing w:val="0"/>
        <w:rPr>
          <w:rFonts w:cs="Calibri"/>
          <w:bCs/>
        </w:rPr>
      </w:pPr>
      <w:r w:rsidRPr="00910462">
        <w:rPr>
          <w:rFonts w:cs="Calibri"/>
          <w:bCs/>
          <w:i/>
        </w:rPr>
        <w:t>Dropout Prevention</w:t>
      </w:r>
      <w:r w:rsidRPr="00910462">
        <w:rPr>
          <w:rFonts w:cs="Calibri"/>
          <w:bCs/>
        </w:rPr>
        <w:t xml:space="preserve"> </w:t>
      </w:r>
      <w:r w:rsidRPr="005A0F48">
        <w:rPr>
          <w:rFonts w:cs="Calibri"/>
          <w:bCs/>
        </w:rPr>
        <w:t>(</w:t>
      </w:r>
      <w:hyperlink r:id="rId43" w:history="1">
        <w:r w:rsidRPr="005A0F48">
          <w:rPr>
            <w:rStyle w:val="Hyperlink"/>
          </w:rPr>
          <w:t>https://ies.ed.gov/ncee/wwc/Docs/PracticeGuide/dp_pg_090308.pdf</w:t>
        </w:r>
      </w:hyperlink>
      <w:r w:rsidRPr="005A0F48">
        <w:rPr>
          <w:rFonts w:cs="Calibri"/>
          <w:bCs/>
        </w:rPr>
        <w:t>) is a practice guide produced by the US Department of</w:t>
      </w:r>
      <w:r w:rsidRPr="00910462">
        <w:rPr>
          <w:rFonts w:cs="Calibri"/>
          <w:bCs/>
        </w:rPr>
        <w:t xml:space="preserve"> Education, the Institute of Education Sciences, and the What Works Clearinghouse. It provides specific and coherent evidence-based recommendations for use by educators addressing the challenge of reducing dropping out. Strategies presented include identifying and advocating for at-risk students, implementing programs to improve behavior and social skills, and keeping students engaged in the school environment.</w:t>
      </w:r>
    </w:p>
    <w:p w14:paraId="1B49C0D9" w14:textId="2290FD32" w:rsidR="006E34EF" w:rsidRPr="003D67D5" w:rsidRDefault="006E34EF">
      <w:pPr>
        <w:pStyle w:val="ListParagraph"/>
        <w:numPr>
          <w:ilvl w:val="1"/>
          <w:numId w:val="63"/>
        </w:numPr>
        <w:ind w:left="360"/>
        <w:contextualSpacing w:val="0"/>
        <w:rPr>
          <w:rFonts w:cs="Calibri"/>
          <w:bCs/>
        </w:rPr>
      </w:pPr>
      <w:r w:rsidRPr="005B0622">
        <w:rPr>
          <w:rFonts w:cs="Calibri"/>
          <w:bCs/>
        </w:rPr>
        <w:t xml:space="preserve">The </w:t>
      </w:r>
      <w:r w:rsidRPr="005B0622">
        <w:rPr>
          <w:rFonts w:cs="Calibri"/>
          <w:bCs/>
          <w:i/>
        </w:rPr>
        <w:t>Impact of Dropping Out Student Flyer</w:t>
      </w:r>
      <w:r w:rsidRPr="005B0622">
        <w:rPr>
          <w:rFonts w:cs="Calibri"/>
          <w:bCs/>
        </w:rPr>
        <w:t xml:space="preserve"> (</w:t>
      </w:r>
      <w:hyperlink r:id="rId44" w:history="1">
        <w:r w:rsidR="00C508A0" w:rsidRPr="00FC612C">
          <w:rPr>
            <w:rStyle w:val="Hyperlink"/>
            <w:rFonts w:cs="Calibri"/>
            <w:bCs/>
          </w:rPr>
          <w:t>http://www.doe.mass.edu/dropout/ImpactFlyer.docx</w:t>
        </w:r>
      </w:hyperlink>
      <w:r w:rsidR="00C508A0">
        <w:rPr>
          <w:rFonts w:cs="Calibri"/>
          <w:bCs/>
        </w:rPr>
        <w:t xml:space="preserve">) </w:t>
      </w:r>
      <w:r w:rsidRPr="003D67D5">
        <w:rPr>
          <w:rFonts w:cs="Calibri"/>
          <w:bCs/>
        </w:rPr>
        <w:t>is a brief resource that can be shared with students and their families as part of the exit intervention process to share the potential negative impacts of dropping out of high school.</w:t>
      </w:r>
    </w:p>
    <w:p w14:paraId="7778026C" w14:textId="354BF634" w:rsidR="006E34EF" w:rsidRPr="00406A80" w:rsidRDefault="006E34EF">
      <w:pPr>
        <w:pStyle w:val="ListParagraph"/>
        <w:numPr>
          <w:ilvl w:val="1"/>
          <w:numId w:val="63"/>
        </w:numPr>
        <w:ind w:left="360"/>
        <w:contextualSpacing w:val="0"/>
        <w:rPr>
          <w:rFonts w:cs="Calibri"/>
          <w:bCs/>
        </w:rPr>
      </w:pPr>
      <w:r w:rsidRPr="00910462">
        <w:rPr>
          <w:rFonts w:cs="Calibri"/>
          <w:bCs/>
        </w:rPr>
        <w:t xml:space="preserve">The </w:t>
      </w:r>
      <w:r w:rsidRPr="00910462">
        <w:rPr>
          <w:rFonts w:cs="Calibri"/>
          <w:bCs/>
          <w:i/>
        </w:rPr>
        <w:t>Impact of Dropping Out Staff Resources Summary</w:t>
      </w:r>
      <w:r w:rsidRPr="00910462">
        <w:rPr>
          <w:rFonts w:cs="Calibri"/>
          <w:bCs/>
        </w:rPr>
        <w:t xml:space="preserve"> (</w:t>
      </w:r>
      <w:hyperlink r:id="rId45" w:history="1">
        <w:r w:rsidR="00441E31" w:rsidRPr="00FC612C">
          <w:rPr>
            <w:rStyle w:val="Hyperlink"/>
            <w:rFonts w:cs="Calibri"/>
            <w:bCs/>
          </w:rPr>
          <w:t>http://www.doe.mass.edu/dropout/ImpactSum.docx</w:t>
        </w:r>
      </w:hyperlink>
      <w:r w:rsidR="00441E31">
        <w:rPr>
          <w:rFonts w:cs="Calibri"/>
          <w:bCs/>
        </w:rPr>
        <w:t xml:space="preserve">) </w:t>
      </w:r>
      <w:r w:rsidRPr="003D67D5">
        <w:rPr>
          <w:rFonts w:cs="Calibri"/>
          <w:bCs/>
        </w:rPr>
        <w:t>provides a summary of research findings on the impacts of dropping out, listed by the following categories: personal income and employment, economy, cr</w:t>
      </w:r>
      <w:r w:rsidRPr="00406A80">
        <w:rPr>
          <w:rFonts w:cs="Calibri"/>
          <w:bCs/>
        </w:rPr>
        <w:t>ime, literacy, health, and family formation. Following the summary of findings is a listing of references.</w:t>
      </w:r>
    </w:p>
    <w:p w14:paraId="2A6BAD38" w14:textId="12BEC175" w:rsidR="006E34EF" w:rsidRPr="00406A80" w:rsidRDefault="006E34EF" w:rsidP="00406A80">
      <w:pPr>
        <w:pStyle w:val="ListParagraph"/>
        <w:numPr>
          <w:ilvl w:val="0"/>
          <w:numId w:val="61"/>
        </w:numPr>
        <w:tabs>
          <w:tab w:val="clear" w:pos="250"/>
          <w:tab w:val="left" w:pos="360"/>
        </w:tabs>
        <w:ind w:left="360"/>
        <w:contextualSpacing w:val="0"/>
        <w:rPr>
          <w:rFonts w:cs="Calibri"/>
          <w:b/>
        </w:rPr>
      </w:pPr>
      <w:r>
        <w:rPr>
          <w:rFonts w:cs="Calibri"/>
        </w:rPr>
        <w:t>D</w:t>
      </w:r>
      <w:r w:rsidRPr="00910462">
        <w:rPr>
          <w:rFonts w:cs="Calibri"/>
        </w:rPr>
        <w:t xml:space="preserve">ESE’s </w:t>
      </w:r>
      <w:r w:rsidRPr="00910462">
        <w:rPr>
          <w:rFonts w:cs="Calibri"/>
          <w:i/>
        </w:rPr>
        <w:t>Early Warning Indicator System</w:t>
      </w:r>
      <w:r w:rsidRPr="00910462">
        <w:rPr>
          <w:rFonts w:cs="Calibri"/>
        </w:rPr>
        <w:t xml:space="preserve"> (</w:t>
      </w:r>
      <w:hyperlink r:id="rId46" w:history="1">
        <w:r w:rsidR="00C63A19" w:rsidRPr="00FC612C">
          <w:rPr>
            <w:rStyle w:val="Hyperlink"/>
            <w:rFonts w:cs="Calibri"/>
          </w:rPr>
          <w:t>http://www.doe.mass.edu/ccte/ccr/ewis/</w:t>
        </w:r>
      </w:hyperlink>
      <w:r w:rsidR="00C63A19">
        <w:rPr>
          <w:rFonts w:cs="Calibri"/>
        </w:rPr>
        <w:t xml:space="preserve">) </w:t>
      </w:r>
      <w:r w:rsidRPr="003D67D5">
        <w:rPr>
          <w:rFonts w:cs="Calibri"/>
        </w:rPr>
        <w:t>is a tool to provide information to districts about the likelihood that their students will reach key academic goals. Districts can use the tool in conjunction with other data and sources of information to better tar</w:t>
      </w:r>
      <w:r w:rsidRPr="00406A80">
        <w:rPr>
          <w:rFonts w:cs="Calibri"/>
        </w:rPr>
        <w:t>get student supports and interventions and to examine school-level patterns over time in order to address systemic issues that may impede students’ ability to meet academic goals.</w:t>
      </w:r>
    </w:p>
    <w:p w14:paraId="741C3F0F" w14:textId="77777777" w:rsidR="006E34EF" w:rsidRPr="00406A80" w:rsidRDefault="006E34EF" w:rsidP="006E34EF">
      <w:pPr>
        <w:pStyle w:val="ListParagraph"/>
        <w:numPr>
          <w:ilvl w:val="0"/>
          <w:numId w:val="61"/>
        </w:numPr>
        <w:tabs>
          <w:tab w:val="clear" w:pos="250"/>
          <w:tab w:val="num" w:pos="360"/>
          <w:tab w:val="left" w:pos="1170"/>
        </w:tabs>
        <w:ind w:left="360"/>
        <w:contextualSpacing w:val="0"/>
        <w:rPr>
          <w:rFonts w:cs="Calibri"/>
          <w:bCs/>
        </w:rPr>
      </w:pPr>
      <w:r w:rsidRPr="00406A80">
        <w:rPr>
          <w:rFonts w:cs="Calibri"/>
          <w:bCs/>
        </w:rPr>
        <w:lastRenderedPageBreak/>
        <w:t xml:space="preserve">The </w:t>
      </w:r>
      <w:r w:rsidRPr="00406A80">
        <w:rPr>
          <w:rFonts w:cs="Calibri"/>
          <w:bCs/>
          <w:i/>
        </w:rPr>
        <w:t>Wraparound Replication Cookbook</w:t>
      </w:r>
      <w:r w:rsidRPr="00406A80">
        <w:rPr>
          <w:rFonts w:cs="Calibri"/>
          <w:bCs/>
        </w:rPr>
        <w:t xml:space="preserve"> (</w:t>
      </w:r>
      <w:hyperlink r:id="rId47" w:history="1">
        <w:r w:rsidRPr="00406A80">
          <w:rPr>
            <w:rStyle w:val="Hyperlink"/>
            <w:rFonts w:cs="Calibri"/>
            <w:bCs/>
          </w:rPr>
          <w:t>https://sites.google.com/site/masswazcookbook/</w:t>
        </w:r>
      </w:hyperlink>
      <w:r w:rsidRPr="00406A80">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7AAC23EC" w14:textId="77777777" w:rsidR="006E34EF" w:rsidRPr="00406A80" w:rsidRDefault="006E34EF" w:rsidP="006E34EF">
      <w:pPr>
        <w:pStyle w:val="ListParagraph"/>
        <w:numPr>
          <w:ilvl w:val="1"/>
          <w:numId w:val="61"/>
        </w:numPr>
        <w:tabs>
          <w:tab w:val="num" w:pos="360"/>
          <w:tab w:val="left" w:pos="1170"/>
        </w:tabs>
        <w:ind w:left="720"/>
        <w:contextualSpacing w:val="0"/>
        <w:rPr>
          <w:rFonts w:cs="Calibri"/>
          <w:bCs/>
        </w:rPr>
      </w:pPr>
      <w:r w:rsidRPr="00406A80">
        <w:rPr>
          <w:rFonts w:cs="Calibri"/>
          <w:bCs/>
        </w:rPr>
        <w:t>Addressing School Culture and the Social Emotional Aspects of Learning</w:t>
      </w:r>
    </w:p>
    <w:p w14:paraId="38EB1024" w14:textId="77777777" w:rsidR="006E34EF" w:rsidRPr="00406A80" w:rsidRDefault="006E34EF" w:rsidP="006E34EF">
      <w:pPr>
        <w:pStyle w:val="ListParagraph"/>
        <w:numPr>
          <w:ilvl w:val="1"/>
          <w:numId w:val="61"/>
        </w:numPr>
        <w:tabs>
          <w:tab w:val="num" w:pos="360"/>
          <w:tab w:val="left" w:pos="1170"/>
        </w:tabs>
        <w:ind w:left="720"/>
        <w:contextualSpacing w:val="0"/>
        <w:rPr>
          <w:rFonts w:cs="Calibri"/>
          <w:bCs/>
        </w:rPr>
      </w:pPr>
      <w:r w:rsidRPr="00406A80">
        <w:rPr>
          <w:rFonts w:cs="Calibri"/>
          <w:bCs/>
        </w:rPr>
        <w:t>Rethinking Systems for Identifying and Addressing Academic and Social Emotional Needs</w:t>
      </w:r>
    </w:p>
    <w:p w14:paraId="2CD71536" w14:textId="77777777" w:rsidR="006E34EF" w:rsidRPr="00406A80" w:rsidRDefault="006E34EF" w:rsidP="006E34EF">
      <w:pPr>
        <w:pStyle w:val="ListParagraph"/>
        <w:numPr>
          <w:ilvl w:val="1"/>
          <w:numId w:val="61"/>
        </w:numPr>
        <w:tabs>
          <w:tab w:val="num" w:pos="360"/>
          <w:tab w:val="left" w:pos="1170"/>
        </w:tabs>
        <w:ind w:left="720"/>
        <w:contextualSpacing w:val="0"/>
        <w:rPr>
          <w:rFonts w:cs="Calibri"/>
          <w:bCs/>
        </w:rPr>
      </w:pPr>
      <w:r w:rsidRPr="00406A80">
        <w:rPr>
          <w:rFonts w:cs="Calibri"/>
          <w:bCs/>
        </w:rPr>
        <w:t>Creating Focused Partnerships &amp; Coalitions</w:t>
      </w:r>
    </w:p>
    <w:p w14:paraId="1EC36F3A" w14:textId="068AB76B" w:rsidR="006E34EF" w:rsidRPr="002A1397" w:rsidRDefault="006E34EF" w:rsidP="006E34EF">
      <w:pPr>
        <w:pStyle w:val="ListParagraph"/>
        <w:numPr>
          <w:ilvl w:val="0"/>
          <w:numId w:val="62"/>
        </w:numPr>
        <w:ind w:left="360"/>
        <w:contextualSpacing w:val="0"/>
        <w:rPr>
          <w:rFonts w:cs="Calibri"/>
          <w:b/>
        </w:rPr>
      </w:pPr>
      <w:r w:rsidRPr="00910462">
        <w:rPr>
          <w:rFonts w:cs="Calibri"/>
          <w:bCs/>
        </w:rPr>
        <w:t>The Office for the Education of Homeless Children and Youth (</w:t>
      </w:r>
      <w:hyperlink r:id="rId48" w:history="1">
        <w:r w:rsidRPr="00910462">
          <w:rPr>
            <w:rStyle w:val="Hyperlink"/>
            <w:rFonts w:cs="Calibri"/>
            <w:bCs/>
          </w:rPr>
          <w:t>http://www.doe.mass.edu/mv/</w:t>
        </w:r>
      </w:hyperlink>
      <w:r w:rsidRPr="00910462">
        <w:rPr>
          <w:rFonts w:cs="Calibri"/>
          <w:bCs/>
        </w:rPr>
        <w:t>) works to ensure the enrollment, attendance, and opportunity to succeed in school for homeless children and youth by providing technical assistance and guidance to school districts and families and collaborating with other state agencies and community providers to support homeless families and their students.</w:t>
      </w:r>
    </w:p>
    <w:p w14:paraId="23EF1CA8" w14:textId="233F5E6B" w:rsidR="00D13890" w:rsidRPr="00C64CD6" w:rsidRDefault="006E34EF" w:rsidP="00D13890">
      <w:pPr>
        <w:ind w:left="360" w:hanging="270"/>
        <w:rPr>
          <w:rFonts w:cstheme="minorHAnsi"/>
          <w:b/>
        </w:rPr>
      </w:pPr>
      <w:r>
        <w:rPr>
          <w:rFonts w:cstheme="minorHAnsi"/>
          <w:b/>
        </w:rPr>
        <w:t>2</w:t>
      </w:r>
      <w:r w:rsidR="00D13890" w:rsidRPr="00C64CD6">
        <w:rPr>
          <w:rFonts w:cstheme="minorHAnsi"/>
          <w:b/>
        </w:rPr>
        <w:t xml:space="preserve">. </w:t>
      </w:r>
      <w:r w:rsidR="00D13890">
        <w:rPr>
          <w:rFonts w:cstheme="minorHAnsi"/>
          <w:b/>
        </w:rPr>
        <w:tab/>
        <w:t xml:space="preserve">The district should </w:t>
      </w:r>
      <w:r w:rsidR="00D13890" w:rsidRPr="00C64CD6">
        <w:rPr>
          <w:rFonts w:cstheme="minorHAnsi"/>
          <w:b/>
        </w:rPr>
        <w:t xml:space="preserve">complete </w:t>
      </w:r>
      <w:r w:rsidR="00D13890">
        <w:rPr>
          <w:rFonts w:cstheme="minorHAnsi"/>
          <w:b/>
        </w:rPr>
        <w:t xml:space="preserve">the schools’ </w:t>
      </w:r>
      <w:r w:rsidR="00D13890" w:rsidRPr="00C64CD6">
        <w:rPr>
          <w:rFonts w:cstheme="minorHAnsi"/>
          <w:b/>
        </w:rPr>
        <w:t>safety audit</w:t>
      </w:r>
      <w:r w:rsidR="00D13890">
        <w:rPr>
          <w:rFonts w:cstheme="minorHAnsi"/>
          <w:b/>
        </w:rPr>
        <w:t>s</w:t>
      </w:r>
      <w:r w:rsidR="00D13890" w:rsidRPr="00C64CD6">
        <w:rPr>
          <w:rFonts w:cstheme="minorHAnsi"/>
          <w:b/>
        </w:rPr>
        <w:t xml:space="preserve"> and</w:t>
      </w:r>
      <w:r w:rsidR="00D13890">
        <w:rPr>
          <w:rFonts w:cstheme="minorHAnsi"/>
          <w:b/>
        </w:rPr>
        <w:t xml:space="preserve"> conduct</w:t>
      </w:r>
      <w:r w:rsidR="00D13890" w:rsidRPr="00C64CD6">
        <w:rPr>
          <w:rFonts w:cstheme="minorHAnsi"/>
          <w:b/>
        </w:rPr>
        <w:t xml:space="preserve"> </w:t>
      </w:r>
      <w:r w:rsidR="00D13890">
        <w:rPr>
          <w:rFonts w:cstheme="minorHAnsi"/>
          <w:b/>
        </w:rPr>
        <w:t xml:space="preserve">periodic up-to-date safety </w:t>
      </w:r>
      <w:r w:rsidR="00D13890" w:rsidRPr="00C64CD6">
        <w:rPr>
          <w:rFonts w:cstheme="minorHAnsi"/>
          <w:b/>
        </w:rPr>
        <w:t>drills at all schools</w:t>
      </w:r>
      <w:r w:rsidR="00D13890">
        <w:rPr>
          <w:rFonts w:cstheme="minorHAnsi"/>
          <w:b/>
        </w:rPr>
        <w:t xml:space="preserve">.  It also </w:t>
      </w:r>
      <w:r w:rsidR="0063286D">
        <w:rPr>
          <w:rFonts w:cstheme="minorHAnsi"/>
          <w:b/>
        </w:rPr>
        <w:t>should consider</w:t>
      </w:r>
      <w:r w:rsidR="00D13890">
        <w:rPr>
          <w:rFonts w:cstheme="minorHAnsi"/>
          <w:b/>
        </w:rPr>
        <w:t xml:space="preserve"> </w:t>
      </w:r>
      <w:r w:rsidR="0063286D">
        <w:rPr>
          <w:rFonts w:cstheme="minorHAnsi"/>
          <w:b/>
        </w:rPr>
        <w:t xml:space="preserve">providing </w:t>
      </w:r>
      <w:r w:rsidR="00D13890">
        <w:rPr>
          <w:rFonts w:cstheme="minorHAnsi"/>
          <w:b/>
        </w:rPr>
        <w:t xml:space="preserve">additional training for faculty and </w:t>
      </w:r>
      <w:r w:rsidR="00D13890" w:rsidRPr="00C64CD6">
        <w:rPr>
          <w:rFonts w:cstheme="minorHAnsi"/>
          <w:b/>
        </w:rPr>
        <w:t>clarify with staff</w:t>
      </w:r>
      <w:r w:rsidR="003A0CFC">
        <w:rPr>
          <w:rFonts w:cstheme="minorHAnsi"/>
          <w:b/>
        </w:rPr>
        <w:t>,</w:t>
      </w:r>
      <w:r w:rsidR="00D13890" w:rsidRPr="00C64CD6">
        <w:rPr>
          <w:rFonts w:cstheme="minorHAnsi"/>
          <w:b/>
        </w:rPr>
        <w:t xml:space="preserve"> students</w:t>
      </w:r>
      <w:r w:rsidR="003A0CFC">
        <w:rPr>
          <w:rFonts w:cstheme="minorHAnsi"/>
          <w:b/>
        </w:rPr>
        <w:t>,</w:t>
      </w:r>
      <w:r w:rsidR="00D13890" w:rsidRPr="00C64CD6">
        <w:rPr>
          <w:rFonts w:cstheme="minorHAnsi"/>
          <w:b/>
        </w:rPr>
        <w:t xml:space="preserve"> </w:t>
      </w:r>
      <w:r w:rsidR="003A0CFC">
        <w:rPr>
          <w:rFonts w:cstheme="minorHAnsi"/>
          <w:b/>
        </w:rPr>
        <w:t xml:space="preserve">and families </w:t>
      </w:r>
      <w:r w:rsidR="00D13890" w:rsidRPr="00C64CD6">
        <w:rPr>
          <w:rFonts w:cstheme="minorHAnsi"/>
          <w:b/>
        </w:rPr>
        <w:t xml:space="preserve">the procedures and protocols for responding to a </w:t>
      </w:r>
      <w:r w:rsidR="00AE7410" w:rsidRPr="00C64CD6">
        <w:rPr>
          <w:rFonts w:cstheme="minorHAnsi"/>
          <w:b/>
        </w:rPr>
        <w:t>crisis</w:t>
      </w:r>
      <w:r w:rsidR="00D13890" w:rsidRPr="00C64CD6">
        <w:rPr>
          <w:rFonts w:cstheme="minorHAnsi"/>
          <w:b/>
        </w:rPr>
        <w:t>.</w:t>
      </w:r>
    </w:p>
    <w:p w14:paraId="272B2B4E" w14:textId="784DA69C" w:rsidR="00D13890" w:rsidRDefault="00D13890" w:rsidP="00D13890">
      <w:pPr>
        <w:tabs>
          <w:tab w:val="left" w:pos="360"/>
        </w:tabs>
        <w:ind w:left="720" w:hanging="360"/>
        <w:rPr>
          <w:rFonts w:cstheme="minorHAnsi"/>
        </w:rPr>
      </w:pPr>
      <w:r w:rsidRPr="006A2E1A">
        <w:rPr>
          <w:rFonts w:cstheme="minorHAnsi"/>
          <w:b/>
        </w:rPr>
        <w:t>A.</w:t>
      </w:r>
      <w:r w:rsidRPr="00C64CD6">
        <w:rPr>
          <w:rFonts w:cstheme="minorHAnsi"/>
        </w:rPr>
        <w:t xml:space="preserve"> </w:t>
      </w:r>
      <w:r>
        <w:rPr>
          <w:rFonts w:cstheme="minorHAnsi"/>
        </w:rPr>
        <w:tab/>
      </w:r>
      <w:r w:rsidRPr="00C64CD6">
        <w:rPr>
          <w:rFonts w:cstheme="minorHAnsi"/>
        </w:rPr>
        <w:t xml:space="preserve">The district should </w:t>
      </w:r>
      <w:r>
        <w:rPr>
          <w:rFonts w:cstheme="minorHAnsi"/>
        </w:rPr>
        <w:t>study</w:t>
      </w:r>
      <w:r w:rsidRPr="00C64CD6">
        <w:rPr>
          <w:rFonts w:cstheme="minorHAnsi"/>
        </w:rPr>
        <w:t xml:space="preserve"> the findings</w:t>
      </w:r>
      <w:r>
        <w:rPr>
          <w:rFonts w:cstheme="minorHAnsi"/>
        </w:rPr>
        <w:t xml:space="preserve"> and recommendations</w:t>
      </w:r>
      <w:r w:rsidRPr="00C64CD6">
        <w:rPr>
          <w:rFonts w:cstheme="minorHAnsi"/>
        </w:rPr>
        <w:t xml:space="preserve"> from the </w:t>
      </w:r>
      <w:r>
        <w:rPr>
          <w:rFonts w:cstheme="minorHAnsi"/>
        </w:rPr>
        <w:t xml:space="preserve">schools’ </w:t>
      </w:r>
      <w:r w:rsidRPr="00C64CD6">
        <w:rPr>
          <w:rFonts w:cstheme="minorHAnsi"/>
        </w:rPr>
        <w:t>safety audit</w:t>
      </w:r>
      <w:r>
        <w:rPr>
          <w:rFonts w:cstheme="minorHAnsi"/>
        </w:rPr>
        <w:t>s, consider other best practices for school safety</w:t>
      </w:r>
      <w:r w:rsidR="0063286D">
        <w:rPr>
          <w:rFonts w:cstheme="minorHAnsi"/>
        </w:rPr>
        <w:t>,</w:t>
      </w:r>
      <w:r>
        <w:rPr>
          <w:rFonts w:cstheme="minorHAnsi"/>
        </w:rPr>
        <w:t xml:space="preserve"> and develop clear security policies and practices to promote school safety.</w:t>
      </w:r>
    </w:p>
    <w:p w14:paraId="3E2913BF" w14:textId="7E35F9E1" w:rsidR="00D13890" w:rsidRDefault="00D13890" w:rsidP="00D13890">
      <w:pPr>
        <w:tabs>
          <w:tab w:val="left" w:pos="360"/>
        </w:tabs>
        <w:ind w:left="1080" w:hanging="360"/>
        <w:rPr>
          <w:rFonts w:cstheme="minorHAnsi"/>
        </w:rPr>
      </w:pPr>
      <w:r>
        <w:rPr>
          <w:rFonts w:cstheme="minorHAnsi"/>
        </w:rPr>
        <w:t xml:space="preserve">1.  </w:t>
      </w:r>
      <w:r>
        <w:rPr>
          <w:rFonts w:cstheme="minorHAnsi"/>
        </w:rPr>
        <w:tab/>
        <w:t xml:space="preserve">Once policies are in place, the district should develop </w:t>
      </w:r>
      <w:r w:rsidR="00052A19">
        <w:rPr>
          <w:rFonts w:cstheme="minorHAnsi"/>
        </w:rPr>
        <w:t xml:space="preserve">with the city of Framingham police and fire chief </w:t>
      </w:r>
      <w:r>
        <w:rPr>
          <w:rFonts w:cstheme="minorHAnsi"/>
        </w:rPr>
        <w:t>a one</w:t>
      </w:r>
      <w:r w:rsidR="00052A19">
        <w:rPr>
          <w:rFonts w:cstheme="minorHAnsi"/>
        </w:rPr>
        <w:t>-</w:t>
      </w:r>
      <w:r>
        <w:rPr>
          <w:rFonts w:cstheme="minorHAnsi"/>
        </w:rPr>
        <w:t xml:space="preserve"> or two-page safety checklist of the actions to take when/if there is an emergency. The checklist should be translated </w:t>
      </w:r>
      <w:r w:rsidR="00436B7B">
        <w:rPr>
          <w:rFonts w:cstheme="minorHAnsi"/>
        </w:rPr>
        <w:t xml:space="preserve">into </w:t>
      </w:r>
      <w:r>
        <w:rPr>
          <w:rFonts w:cstheme="minorHAnsi"/>
        </w:rPr>
        <w:t xml:space="preserve">all </w:t>
      </w:r>
      <w:r w:rsidR="00436B7B">
        <w:rPr>
          <w:rFonts w:cstheme="minorHAnsi"/>
        </w:rPr>
        <w:t>of district families’</w:t>
      </w:r>
      <w:r w:rsidR="00436B7B" w:rsidDel="00436B7B">
        <w:rPr>
          <w:rFonts w:cstheme="minorHAnsi"/>
        </w:rPr>
        <w:t xml:space="preserve"> </w:t>
      </w:r>
      <w:r w:rsidR="00436B7B">
        <w:rPr>
          <w:rFonts w:cstheme="minorHAnsi"/>
        </w:rPr>
        <w:t>home</w:t>
      </w:r>
      <w:r>
        <w:rPr>
          <w:rFonts w:cstheme="minorHAnsi"/>
        </w:rPr>
        <w:t xml:space="preserve"> languages.</w:t>
      </w:r>
    </w:p>
    <w:p w14:paraId="48E75A02" w14:textId="67CD4743" w:rsidR="00D13890" w:rsidRDefault="00D13890" w:rsidP="00D13890">
      <w:pPr>
        <w:tabs>
          <w:tab w:val="left" w:pos="360"/>
        </w:tabs>
        <w:ind w:left="1440" w:hanging="360"/>
        <w:rPr>
          <w:rFonts w:cstheme="minorHAnsi"/>
        </w:rPr>
      </w:pPr>
      <w:r>
        <w:rPr>
          <w:rFonts w:cstheme="minorHAnsi"/>
        </w:rPr>
        <w:t xml:space="preserve">a.    </w:t>
      </w:r>
      <w:r w:rsidR="00052A19">
        <w:rPr>
          <w:rFonts w:cstheme="minorHAnsi"/>
        </w:rPr>
        <w:t xml:space="preserve">The safety </w:t>
      </w:r>
      <w:r>
        <w:rPr>
          <w:rFonts w:cstheme="minorHAnsi"/>
        </w:rPr>
        <w:t xml:space="preserve">checklist </w:t>
      </w:r>
      <w:r w:rsidR="00052A19">
        <w:rPr>
          <w:rFonts w:cstheme="minorHAnsi"/>
        </w:rPr>
        <w:t>should use the appropriate uniform language about responses throughout the district</w:t>
      </w:r>
      <w:r w:rsidR="00BE5490">
        <w:rPr>
          <w:rFonts w:cstheme="minorHAnsi"/>
        </w:rPr>
        <w:t>.</w:t>
      </w:r>
    </w:p>
    <w:p w14:paraId="6E74CD79" w14:textId="2F9F262C" w:rsidR="00D13890" w:rsidRDefault="00D13890" w:rsidP="00D13890">
      <w:pPr>
        <w:tabs>
          <w:tab w:val="left" w:pos="360"/>
        </w:tabs>
        <w:ind w:left="1440" w:hanging="360"/>
        <w:rPr>
          <w:rFonts w:cstheme="minorHAnsi"/>
        </w:rPr>
      </w:pPr>
      <w:r>
        <w:rPr>
          <w:rFonts w:cstheme="minorHAnsi"/>
        </w:rPr>
        <w:t>b.</w:t>
      </w:r>
      <w:r>
        <w:rPr>
          <w:rFonts w:cstheme="minorHAnsi"/>
        </w:rPr>
        <w:tab/>
        <w:t xml:space="preserve">The review team recommends that the district not post safety procedures online, which </w:t>
      </w:r>
      <w:r w:rsidR="00052A19">
        <w:rPr>
          <w:rFonts w:cstheme="minorHAnsi"/>
        </w:rPr>
        <w:t>might jeopardize public safety and cyber security</w:t>
      </w:r>
      <w:r w:rsidR="00772C1C">
        <w:rPr>
          <w:rFonts w:cstheme="minorHAnsi"/>
        </w:rPr>
        <w:t>.</w:t>
      </w:r>
    </w:p>
    <w:p w14:paraId="11FB977E" w14:textId="77C01676" w:rsidR="00D13890" w:rsidRDefault="00D13890" w:rsidP="00D13890">
      <w:pPr>
        <w:tabs>
          <w:tab w:val="left" w:pos="360"/>
        </w:tabs>
        <w:ind w:left="1080" w:hanging="360"/>
        <w:rPr>
          <w:rFonts w:cstheme="minorHAnsi"/>
        </w:rPr>
      </w:pPr>
      <w:r>
        <w:rPr>
          <w:rFonts w:cstheme="minorHAnsi"/>
        </w:rPr>
        <w:t>2.</w:t>
      </w:r>
      <w:r>
        <w:rPr>
          <w:rFonts w:cstheme="minorHAnsi"/>
        </w:rPr>
        <w:tab/>
      </w:r>
      <w:r w:rsidR="00052A19">
        <w:rPr>
          <w:rFonts w:cstheme="minorHAnsi"/>
        </w:rPr>
        <w:t>The district should thoroughly test s</w:t>
      </w:r>
      <w:r w:rsidR="00052A19" w:rsidRPr="002503EC">
        <w:rPr>
          <w:rFonts w:cstheme="minorHAnsi"/>
        </w:rPr>
        <w:t xml:space="preserve">afety </w:t>
      </w:r>
      <w:r w:rsidRPr="002503EC">
        <w:rPr>
          <w:rFonts w:cstheme="minorHAnsi"/>
        </w:rPr>
        <w:t>procedures through drills</w:t>
      </w:r>
      <w:r w:rsidR="0008798E">
        <w:rPr>
          <w:rFonts w:cstheme="minorHAnsi"/>
        </w:rPr>
        <w:t>,</w:t>
      </w:r>
      <w:r w:rsidRPr="002503EC">
        <w:rPr>
          <w:rFonts w:cstheme="minorHAnsi"/>
        </w:rPr>
        <w:t xml:space="preserve"> and </w:t>
      </w:r>
      <w:r w:rsidR="003A0CFC">
        <w:rPr>
          <w:rFonts w:cstheme="minorHAnsi"/>
        </w:rPr>
        <w:t xml:space="preserve">review </w:t>
      </w:r>
      <w:r w:rsidRPr="002503EC">
        <w:rPr>
          <w:rFonts w:cstheme="minorHAnsi"/>
        </w:rPr>
        <w:t xml:space="preserve">and update </w:t>
      </w:r>
      <w:r w:rsidR="003A0CFC">
        <w:rPr>
          <w:rFonts w:cstheme="minorHAnsi"/>
        </w:rPr>
        <w:t xml:space="preserve">them </w:t>
      </w:r>
      <w:r w:rsidRPr="002503EC">
        <w:rPr>
          <w:rFonts w:cstheme="minorHAnsi"/>
        </w:rPr>
        <w:t>periodically to be effective</w:t>
      </w:r>
      <w:r>
        <w:rPr>
          <w:rFonts w:cstheme="minorHAnsi"/>
        </w:rPr>
        <w:t xml:space="preserve"> and </w:t>
      </w:r>
      <w:r w:rsidR="00842EA2">
        <w:rPr>
          <w:rFonts w:cstheme="minorHAnsi"/>
        </w:rPr>
        <w:t>timely</w:t>
      </w:r>
      <w:r w:rsidRPr="002503EC">
        <w:rPr>
          <w:rFonts w:cstheme="minorHAnsi"/>
        </w:rPr>
        <w:t>.</w:t>
      </w:r>
      <w:r>
        <w:rPr>
          <w:rFonts w:cstheme="minorHAnsi"/>
        </w:rPr>
        <w:t xml:space="preserve"> </w:t>
      </w:r>
    </w:p>
    <w:p w14:paraId="7BEF6C0D" w14:textId="10D2ADD8" w:rsidR="00D13890" w:rsidRDefault="00D13890" w:rsidP="00D13890">
      <w:pPr>
        <w:tabs>
          <w:tab w:val="left" w:pos="360"/>
        </w:tabs>
        <w:ind w:left="720" w:hanging="360"/>
        <w:rPr>
          <w:rFonts w:cstheme="minorHAnsi"/>
        </w:rPr>
      </w:pPr>
      <w:r w:rsidRPr="007B3CD6">
        <w:rPr>
          <w:rFonts w:cstheme="minorHAnsi"/>
          <w:b/>
        </w:rPr>
        <w:t>B.</w:t>
      </w:r>
      <w:r>
        <w:rPr>
          <w:rFonts w:cstheme="minorHAnsi"/>
        </w:rPr>
        <w:t xml:space="preserve"> </w:t>
      </w:r>
      <w:r>
        <w:rPr>
          <w:rFonts w:cstheme="minorHAnsi"/>
        </w:rPr>
        <w:tab/>
        <w:t xml:space="preserve">Each school should </w:t>
      </w:r>
      <w:r w:rsidR="006E6F56">
        <w:rPr>
          <w:rFonts w:cstheme="minorHAnsi"/>
        </w:rPr>
        <w:t>have an emergency management planning</w:t>
      </w:r>
      <w:r>
        <w:rPr>
          <w:rFonts w:cstheme="minorHAnsi"/>
        </w:rPr>
        <w:t xml:space="preserve"> team </w:t>
      </w:r>
      <w:r w:rsidR="006E6F56">
        <w:rPr>
          <w:rFonts w:cstheme="minorHAnsi"/>
        </w:rPr>
        <w:t xml:space="preserve">so that each school is represented on the district’s planning team. Each school should also have a trained threat assessment team </w:t>
      </w:r>
      <w:r>
        <w:rPr>
          <w:rFonts w:cstheme="minorHAnsi"/>
        </w:rPr>
        <w:t>of administrators, teachers</w:t>
      </w:r>
      <w:r w:rsidR="00052A19">
        <w:rPr>
          <w:rFonts w:cstheme="minorHAnsi"/>
        </w:rPr>
        <w:t>,</w:t>
      </w:r>
      <w:r>
        <w:rPr>
          <w:rFonts w:cstheme="minorHAnsi"/>
        </w:rPr>
        <w:t xml:space="preserve"> and members of the city’s police and fire departments to conduct a “threat assessment” </w:t>
      </w:r>
      <w:r w:rsidR="003A0CFC">
        <w:rPr>
          <w:rFonts w:cstheme="minorHAnsi"/>
        </w:rPr>
        <w:t>and evaluate threats as quickly as possible</w:t>
      </w:r>
      <w:r w:rsidR="00B84C3C">
        <w:rPr>
          <w:rFonts w:cstheme="minorHAnsi"/>
        </w:rPr>
        <w:t>.</w:t>
      </w:r>
      <w:r>
        <w:rPr>
          <w:rFonts w:cstheme="minorHAnsi"/>
        </w:rPr>
        <w:t xml:space="preserve">  </w:t>
      </w:r>
    </w:p>
    <w:p w14:paraId="2B11202A" w14:textId="1F2A9219" w:rsidR="00D13890" w:rsidRDefault="00D13890" w:rsidP="00D13890">
      <w:pPr>
        <w:tabs>
          <w:tab w:val="left" w:pos="360"/>
        </w:tabs>
        <w:ind w:left="720" w:hanging="360"/>
        <w:rPr>
          <w:rFonts w:cstheme="minorHAnsi"/>
        </w:rPr>
      </w:pPr>
      <w:r>
        <w:rPr>
          <w:rFonts w:cstheme="minorHAnsi"/>
          <w:b/>
        </w:rPr>
        <w:t>C.</w:t>
      </w:r>
      <w:r>
        <w:rPr>
          <w:rFonts w:cstheme="minorHAnsi"/>
        </w:rPr>
        <w:tab/>
      </w:r>
      <w:r w:rsidRPr="002503EC">
        <w:rPr>
          <w:rFonts w:cstheme="minorHAnsi"/>
        </w:rPr>
        <w:t>The</w:t>
      </w:r>
      <w:r>
        <w:rPr>
          <w:rFonts w:cstheme="minorHAnsi"/>
        </w:rPr>
        <w:t xml:space="preserve"> district should </w:t>
      </w:r>
      <w:r w:rsidR="003A0CFC">
        <w:rPr>
          <w:rFonts w:cstheme="minorHAnsi"/>
        </w:rPr>
        <w:t xml:space="preserve">consider </w:t>
      </w:r>
      <w:r w:rsidR="00052A19">
        <w:rPr>
          <w:rFonts w:cstheme="minorHAnsi"/>
        </w:rPr>
        <w:t>conduct</w:t>
      </w:r>
      <w:r w:rsidR="003A0CFC">
        <w:rPr>
          <w:rFonts w:cstheme="minorHAnsi"/>
        </w:rPr>
        <w:t>ing</w:t>
      </w:r>
      <w:r w:rsidR="00A22D51">
        <w:rPr>
          <w:rFonts w:cstheme="minorHAnsi"/>
        </w:rPr>
        <w:t xml:space="preserve"> </w:t>
      </w:r>
      <w:r>
        <w:rPr>
          <w:rFonts w:cstheme="minorHAnsi"/>
        </w:rPr>
        <w:t>training</w:t>
      </w:r>
      <w:r w:rsidR="00052A19">
        <w:rPr>
          <w:rFonts w:cstheme="minorHAnsi"/>
        </w:rPr>
        <w:t xml:space="preserve"> </w:t>
      </w:r>
      <w:r w:rsidR="003A0CFC">
        <w:rPr>
          <w:rFonts w:cstheme="minorHAnsi"/>
        </w:rPr>
        <w:t xml:space="preserve">in each school </w:t>
      </w:r>
      <w:r w:rsidR="00052A19">
        <w:rPr>
          <w:rFonts w:cstheme="minorHAnsi"/>
        </w:rPr>
        <w:t xml:space="preserve">annually and each time </w:t>
      </w:r>
      <w:r w:rsidR="003A0CFC">
        <w:rPr>
          <w:rFonts w:cstheme="minorHAnsi"/>
        </w:rPr>
        <w:t>a school is renovated</w:t>
      </w:r>
      <w:r>
        <w:rPr>
          <w:rFonts w:cstheme="minorHAnsi"/>
        </w:rPr>
        <w:t xml:space="preserve">, to ensure that responsible adults are prepared for </w:t>
      </w:r>
      <w:r w:rsidR="002B5FFC">
        <w:rPr>
          <w:rFonts w:cstheme="minorHAnsi"/>
        </w:rPr>
        <w:t>emergencies</w:t>
      </w:r>
      <w:r w:rsidR="003A0CFC">
        <w:rPr>
          <w:rFonts w:cstheme="minorHAnsi"/>
        </w:rPr>
        <w:t>.</w:t>
      </w:r>
    </w:p>
    <w:p w14:paraId="4B0BC565" w14:textId="63389730" w:rsidR="00D13890" w:rsidRPr="007B3CD6" w:rsidRDefault="00D13890" w:rsidP="00D13890">
      <w:pPr>
        <w:tabs>
          <w:tab w:val="left" w:pos="360"/>
        </w:tabs>
        <w:ind w:left="720" w:hanging="360"/>
        <w:rPr>
          <w:rFonts w:cstheme="minorHAnsi"/>
        </w:rPr>
      </w:pPr>
      <w:r>
        <w:rPr>
          <w:rFonts w:cstheme="minorHAnsi"/>
          <w:b/>
        </w:rPr>
        <w:lastRenderedPageBreak/>
        <w:t>D.</w:t>
      </w:r>
      <w:r>
        <w:rPr>
          <w:rFonts w:cstheme="minorHAnsi"/>
        </w:rPr>
        <w:tab/>
        <w:t xml:space="preserve">The district should consider additional technology such as cameras, video, panic buttons for teachers, and other security-oriented hardware that it can use to ensure safer and more secure </w:t>
      </w:r>
      <w:r w:rsidR="00EE0735">
        <w:rPr>
          <w:rFonts w:cstheme="minorHAnsi"/>
        </w:rPr>
        <w:t>schools</w:t>
      </w:r>
      <w:r>
        <w:rPr>
          <w:rFonts w:cstheme="minorHAnsi"/>
        </w:rPr>
        <w:t>.</w:t>
      </w:r>
      <w:r w:rsidRPr="002503EC">
        <w:rPr>
          <w:rFonts w:cstheme="minorHAnsi"/>
          <w:b/>
        </w:rPr>
        <w:t xml:space="preserve">  </w:t>
      </w:r>
    </w:p>
    <w:p w14:paraId="1DA0A13D" w14:textId="4343CE4D" w:rsidR="00D13890" w:rsidRPr="00C2167A" w:rsidRDefault="00D13890" w:rsidP="00D13890">
      <w:pPr>
        <w:rPr>
          <w:rFonts w:cstheme="minorHAnsi"/>
        </w:rPr>
      </w:pPr>
      <w:r w:rsidRPr="006A2E1A">
        <w:rPr>
          <w:rFonts w:cstheme="minorHAnsi"/>
          <w:b/>
        </w:rPr>
        <w:t>Benefit</w:t>
      </w:r>
      <w:r>
        <w:rPr>
          <w:rFonts w:cstheme="minorHAnsi"/>
          <w:b/>
        </w:rPr>
        <w:t>s</w:t>
      </w:r>
      <w:r w:rsidR="003A0CFC">
        <w:rPr>
          <w:rFonts w:cstheme="minorHAnsi"/>
          <w:b/>
        </w:rPr>
        <w:t>:</w:t>
      </w:r>
      <w:r>
        <w:rPr>
          <w:rFonts w:cstheme="minorHAnsi"/>
          <w:b/>
        </w:rPr>
        <w:t xml:space="preserve"> </w:t>
      </w:r>
      <w:r w:rsidR="003A0CFC">
        <w:rPr>
          <w:rFonts w:cstheme="minorHAnsi"/>
        </w:rPr>
        <w:t xml:space="preserve">Implementing </w:t>
      </w:r>
      <w:r>
        <w:rPr>
          <w:rFonts w:cstheme="minorHAnsi"/>
        </w:rPr>
        <w:t>this recommendation will ensure that all stakeholders will be better informed and trained for emergencies and the schools will be safe</w:t>
      </w:r>
      <w:r w:rsidR="003A0CFC">
        <w:rPr>
          <w:rFonts w:cstheme="minorHAnsi"/>
        </w:rPr>
        <w:t>r</w:t>
      </w:r>
      <w:r>
        <w:rPr>
          <w:rFonts w:cstheme="minorHAnsi"/>
        </w:rPr>
        <w:t xml:space="preserve"> and </w:t>
      </w:r>
      <w:r w:rsidR="003A0CFC">
        <w:rPr>
          <w:rFonts w:cstheme="minorHAnsi"/>
        </w:rPr>
        <w:t xml:space="preserve">more </w:t>
      </w:r>
      <w:r>
        <w:rPr>
          <w:rFonts w:cstheme="minorHAnsi"/>
        </w:rPr>
        <w:t>secure for all.</w:t>
      </w:r>
    </w:p>
    <w:p w14:paraId="2C2FDDE7" w14:textId="2086C3BD" w:rsidR="00D13890" w:rsidRDefault="00D13890" w:rsidP="00D13890">
      <w:pPr>
        <w:rPr>
          <w:rFonts w:cstheme="minorHAnsi"/>
          <w:b/>
        </w:rPr>
      </w:pPr>
      <w:r>
        <w:rPr>
          <w:rFonts w:cstheme="minorHAnsi"/>
          <w:b/>
        </w:rPr>
        <w:t xml:space="preserve">Recommended </w:t>
      </w:r>
      <w:r w:rsidR="003A0CFC">
        <w:rPr>
          <w:rFonts w:cstheme="minorHAnsi"/>
          <w:b/>
        </w:rPr>
        <w:t>r</w:t>
      </w:r>
      <w:r>
        <w:rPr>
          <w:rFonts w:cstheme="minorHAnsi"/>
          <w:b/>
        </w:rPr>
        <w:t xml:space="preserve">esources: </w:t>
      </w:r>
      <w:r w:rsidR="00A22D51">
        <w:rPr>
          <w:rFonts w:cstheme="minorHAnsi"/>
          <w:b/>
        </w:rPr>
        <w:t xml:space="preserve"> </w:t>
      </w:r>
    </w:p>
    <w:p w14:paraId="4360A496" w14:textId="751A287E" w:rsidR="00D13890" w:rsidRDefault="003A0CFC" w:rsidP="00EC5B5A">
      <w:pPr>
        <w:pStyle w:val="ListParagraph"/>
        <w:numPr>
          <w:ilvl w:val="0"/>
          <w:numId w:val="65"/>
        </w:numPr>
        <w:spacing w:before="240"/>
      </w:pPr>
      <w:r>
        <w:t>DESE’s</w:t>
      </w:r>
      <w:r w:rsidRPr="007B3CD6">
        <w:t xml:space="preserve"> </w:t>
      </w:r>
      <w:r w:rsidR="00D13890" w:rsidRPr="007B3CD6">
        <w:t xml:space="preserve">Emergency Management Planning for Schools </w:t>
      </w:r>
      <w:r>
        <w:t>web page (</w:t>
      </w:r>
      <w:hyperlink r:id="rId49" w:history="1">
        <w:r w:rsidRPr="003A0CFC">
          <w:rPr>
            <w:rStyle w:val="Hyperlink"/>
          </w:rPr>
          <w:t>http://www.doe.mass.edu/sfs/emergencyplan/resources.html?section=topic</w:t>
        </w:r>
      </w:hyperlink>
      <w:r>
        <w:t xml:space="preserve">) </w:t>
      </w:r>
      <w:r w:rsidR="00D13890" w:rsidRPr="007B3CD6">
        <w:t>lists a number of considerations and resources that can expedite planning for safe and secure schools in Massachusetts school districts</w:t>
      </w:r>
      <w:r>
        <w:t xml:space="preserve">.  </w:t>
      </w:r>
    </w:p>
    <w:p w14:paraId="6D96D4C6" w14:textId="77777777" w:rsidR="00D13890" w:rsidRDefault="00D13890" w:rsidP="00D13890">
      <w:pPr>
        <w:pStyle w:val="ListParagraph"/>
        <w:ind w:left="360"/>
      </w:pPr>
      <w:r>
        <w:t xml:space="preserve"> </w:t>
      </w:r>
    </w:p>
    <w:p w14:paraId="4E6D984E" w14:textId="74E695A9" w:rsidR="00D13890" w:rsidRDefault="00D13890" w:rsidP="00D13890">
      <w:pPr>
        <w:pStyle w:val="ListParagraph"/>
        <w:numPr>
          <w:ilvl w:val="0"/>
          <w:numId w:val="65"/>
        </w:numPr>
      </w:pPr>
      <w:r>
        <w:t xml:space="preserve">The National School Boards Association (NSBA), National Association of Elementary School Principals (NAESP), and the National Association of School </w:t>
      </w:r>
      <w:r w:rsidR="000A58E9">
        <w:t xml:space="preserve">Psychologists </w:t>
      </w:r>
      <w:r>
        <w:t xml:space="preserve">(NASSP) have prepared safety briefs with annotated resources to help ensure safe and secure schools:  </w:t>
      </w:r>
      <w:hyperlink r:id="rId50" w:history="1">
        <w:r w:rsidRPr="00C2167A">
          <w:rPr>
            <w:rStyle w:val="Hyperlink"/>
          </w:rPr>
          <w:t>https://www.nsba.org/services/school-board-leadership-services/school-safety-and-security</w:t>
        </w:r>
      </w:hyperlink>
      <w:r>
        <w:t xml:space="preserve"> , </w:t>
      </w:r>
      <w:hyperlink r:id="rId51" w:history="1">
        <w:r w:rsidRPr="00C2167A">
          <w:rPr>
            <w:rStyle w:val="Hyperlink"/>
          </w:rPr>
          <w:t>https://www.naesp.org/school-safety-resources</w:t>
        </w:r>
      </w:hyperlink>
      <w:r>
        <w:t xml:space="preserve"> and </w:t>
      </w:r>
      <w:hyperlink r:id="rId52" w:history="1">
        <w:r w:rsidRPr="00C2167A">
          <w:rPr>
            <w:rStyle w:val="Hyperlink"/>
          </w:rPr>
          <w:t>https://www.nasponline.org/resources-and-publications/resources/school-safety-and-crisis</w:t>
        </w:r>
      </w:hyperlink>
      <w:r>
        <w:t xml:space="preserve">   </w:t>
      </w:r>
    </w:p>
    <w:p w14:paraId="099BD121" w14:textId="77777777" w:rsidR="00143926" w:rsidRDefault="00143926" w:rsidP="00143926">
      <w:pPr>
        <w:pStyle w:val="ListParagraph"/>
      </w:pPr>
    </w:p>
    <w:p w14:paraId="4D087C04" w14:textId="77777777" w:rsidR="00143926" w:rsidRDefault="00143926" w:rsidP="00143926"/>
    <w:p w14:paraId="49EF8BE2" w14:textId="77777777" w:rsidR="00D13890" w:rsidRDefault="00D13890" w:rsidP="00D13890">
      <w:pPr>
        <w:ind w:left="360" w:hanging="270"/>
      </w:pPr>
      <w:r>
        <w:rPr>
          <w:rFonts w:cstheme="minorHAnsi"/>
          <w:b/>
        </w:rPr>
        <w:tab/>
      </w:r>
      <w:r>
        <w:t xml:space="preserve"> </w:t>
      </w:r>
    </w:p>
    <w:p w14:paraId="223F3457" w14:textId="77777777" w:rsidR="0023695F" w:rsidRDefault="00342350" w:rsidP="0023695F">
      <w:pPr>
        <w:pStyle w:val="Section"/>
      </w:pPr>
      <w:bookmarkStart w:id="16" w:name="_Toc536687554"/>
      <w:r>
        <w:lastRenderedPageBreak/>
        <w:t>Financial and Asset Management</w:t>
      </w:r>
      <w:bookmarkEnd w:id="16"/>
    </w:p>
    <w:p w14:paraId="6DC7BDB4" w14:textId="4E6417C8" w:rsidR="00342350" w:rsidRDefault="00342350" w:rsidP="00342350">
      <w:pPr>
        <w:rPr>
          <w:b/>
          <w:i/>
          <w:sz w:val="28"/>
          <w:szCs w:val="28"/>
        </w:rPr>
      </w:pPr>
      <w:r w:rsidRPr="00C412C4">
        <w:rPr>
          <w:b/>
          <w:i/>
          <w:sz w:val="28"/>
          <w:szCs w:val="28"/>
        </w:rPr>
        <w:t>Contextual Background</w:t>
      </w:r>
    </w:p>
    <w:p w14:paraId="36197F0B" w14:textId="0F391790" w:rsidR="00F948B2" w:rsidRDefault="00ED7D80" w:rsidP="00F948B2">
      <w:pPr>
        <w:tabs>
          <w:tab w:val="left" w:pos="360"/>
          <w:tab w:val="left" w:pos="720"/>
          <w:tab w:val="left" w:pos="1080"/>
          <w:tab w:val="left" w:pos="1440"/>
          <w:tab w:val="left" w:pos="1800"/>
          <w:tab w:val="left" w:pos="2160"/>
        </w:tabs>
      </w:pPr>
      <w:r>
        <w:t>Between 2008 and 2018</w:t>
      </w:r>
      <w:r w:rsidR="00F948B2">
        <w:t xml:space="preserve">, </w:t>
      </w:r>
      <w:r>
        <w:t xml:space="preserve">according to DESE data, </w:t>
      </w:r>
      <w:r w:rsidR="00F948B2">
        <w:t xml:space="preserve">the </w:t>
      </w:r>
      <w:r w:rsidR="00416292">
        <w:t xml:space="preserve">City </w:t>
      </w:r>
      <w:r w:rsidR="00F948B2">
        <w:t xml:space="preserve">of Framingham consistently funded the </w:t>
      </w:r>
      <w:r w:rsidR="00BC4F7A">
        <w:t>district</w:t>
      </w:r>
      <w:r w:rsidR="00F948B2">
        <w:t xml:space="preserve"> </w:t>
      </w:r>
      <w:r>
        <w:t>above the</w:t>
      </w:r>
      <w:r w:rsidR="00F948B2">
        <w:t xml:space="preserve"> </w:t>
      </w:r>
      <w:r>
        <w:t xml:space="preserve">required </w:t>
      </w:r>
      <w:r w:rsidR="00F948B2">
        <w:t xml:space="preserve">net school spending </w:t>
      </w:r>
      <w:r>
        <w:t>(NSS)</w:t>
      </w:r>
      <w:r w:rsidR="0029450A">
        <w:t xml:space="preserve"> level</w:t>
      </w:r>
      <w:r>
        <w:t xml:space="preserve">, </w:t>
      </w:r>
      <w:r w:rsidR="009C2AD8">
        <w:t xml:space="preserve">by </w:t>
      </w:r>
      <w:r w:rsidR="0088352E">
        <w:t xml:space="preserve">percentages </w:t>
      </w:r>
      <w:r>
        <w:t xml:space="preserve">ranging </w:t>
      </w:r>
      <w:r w:rsidR="00F948B2">
        <w:t xml:space="preserve">from 36 percent </w:t>
      </w:r>
      <w:r w:rsidR="0088352E">
        <w:t xml:space="preserve">above required NSS </w:t>
      </w:r>
      <w:r w:rsidR="00F948B2">
        <w:t xml:space="preserve">in 2008 to 50 percent </w:t>
      </w:r>
      <w:r w:rsidR="0088352E">
        <w:t xml:space="preserve">above required NSS </w:t>
      </w:r>
      <w:r w:rsidR="00F948B2">
        <w:t xml:space="preserve">in 2018.  City officials </w:t>
      </w:r>
      <w:r w:rsidR="0071368B">
        <w:t xml:space="preserve">said that the community understood </w:t>
      </w:r>
      <w:r w:rsidR="00F948B2">
        <w:t xml:space="preserve">the fundamental importance of providing a quality education for Framingham’s young people. They also </w:t>
      </w:r>
      <w:r w:rsidR="0071368B">
        <w:t xml:space="preserve">stated that the community was </w:t>
      </w:r>
      <w:r w:rsidR="00F948B2">
        <w:t xml:space="preserve">aware of the role that quality education </w:t>
      </w:r>
      <w:r w:rsidR="0071368B">
        <w:t xml:space="preserve">played </w:t>
      </w:r>
      <w:r w:rsidR="00F948B2">
        <w:t>in attracting and retaining residents and in supporting real estate values.</w:t>
      </w:r>
    </w:p>
    <w:p w14:paraId="36415DD2" w14:textId="5AFF9109" w:rsidR="004129F2" w:rsidRDefault="004129F2" w:rsidP="00F948B2">
      <w:pPr>
        <w:tabs>
          <w:tab w:val="left" w:pos="360"/>
          <w:tab w:val="left" w:pos="720"/>
          <w:tab w:val="left" w:pos="1080"/>
          <w:tab w:val="left" w:pos="1440"/>
          <w:tab w:val="left" w:pos="1800"/>
          <w:tab w:val="left" w:pos="2160"/>
        </w:tabs>
      </w:pPr>
      <w:r>
        <w:t>To achieve equity among schools, the superintendent instituted a new methodology for allocating school expenses for fiscal year 2019 that used a formula based on the number of classrooms, staff, special education teachers, and support staff in each school to determine an equitable dollar allotment for non-salary expenses.  The same methodology was extended to an analysis of school staff for the fiscal year 2020 budget.</w:t>
      </w:r>
    </w:p>
    <w:p w14:paraId="2FC5466C" w14:textId="2D5198D4" w:rsidR="004129F2" w:rsidRDefault="004129F2" w:rsidP="00F948B2">
      <w:pPr>
        <w:tabs>
          <w:tab w:val="left" w:pos="360"/>
          <w:tab w:val="left" w:pos="720"/>
          <w:tab w:val="left" w:pos="1080"/>
          <w:tab w:val="left" w:pos="1440"/>
          <w:tab w:val="left" w:pos="1800"/>
          <w:tab w:val="left" w:pos="2160"/>
        </w:tabs>
      </w:pPr>
      <w:r>
        <w:t>At the time of the onsite in February 2019, d</w:t>
      </w:r>
      <w:r w:rsidRPr="006A2E1A">
        <w:t xml:space="preserve">istrict administrators </w:t>
      </w:r>
      <w:r>
        <w:t>were</w:t>
      </w:r>
      <w:r w:rsidRPr="006A2E1A">
        <w:t xml:space="preserve"> undertaking the creation of </w:t>
      </w:r>
      <w:r>
        <w:t>a</w:t>
      </w:r>
      <w:r w:rsidRPr="006A2E1A">
        <w:t xml:space="preserve"> lengthier and more comprehensive</w:t>
      </w:r>
      <w:r>
        <w:t xml:space="preserve"> fiscal year 2020</w:t>
      </w:r>
      <w:r w:rsidRPr="006A2E1A">
        <w:t xml:space="preserve"> budget document with the support and encouragement of the school committee</w:t>
      </w:r>
      <w:r>
        <w:t>,</w:t>
      </w:r>
      <w:r w:rsidRPr="006A2E1A">
        <w:t xml:space="preserve"> which requested a transparent and user-friendly document that </w:t>
      </w:r>
      <w:r>
        <w:t>would</w:t>
      </w:r>
      <w:r w:rsidRPr="006A2E1A">
        <w:t xml:space="preserve"> be accessible to all constituents.</w:t>
      </w:r>
      <w:r>
        <w:t xml:space="preserve"> The proposed fiscal year 2020 budget document would include the full detailed budget report from the district’s accounting software; two years of actual historical expenses; allocations from all sources of grant and revolving account revenue; narrative from each department on program priorities and initiatives; and more data on student performance and progress than in the past.</w:t>
      </w:r>
    </w:p>
    <w:p w14:paraId="0B2BA35D" w14:textId="6C190915" w:rsidR="00F948B2" w:rsidRDefault="00F948B2" w:rsidP="00F948B2">
      <w:pPr>
        <w:tabs>
          <w:tab w:val="left" w:pos="360"/>
          <w:tab w:val="left" w:pos="720"/>
          <w:tab w:val="left" w:pos="1080"/>
          <w:tab w:val="left" w:pos="1440"/>
          <w:tab w:val="left" w:pos="1800"/>
          <w:tab w:val="left" w:pos="2160"/>
        </w:tabs>
      </w:pPr>
      <w:r>
        <w:t>The district does not accept school choice students</w:t>
      </w:r>
      <w:r w:rsidR="004504D7">
        <w:t>,</w:t>
      </w:r>
      <w:r>
        <w:t xml:space="preserve"> but </w:t>
      </w:r>
      <w:proofErr w:type="gramStart"/>
      <w:r>
        <w:t>a number of</w:t>
      </w:r>
      <w:proofErr w:type="gramEnd"/>
      <w:r>
        <w:t xml:space="preserve"> Framingham students attend the Christa McAuliffe Charter School</w:t>
      </w:r>
      <w:r w:rsidR="004504D7">
        <w:t>, a middle school,</w:t>
      </w:r>
      <w:r>
        <w:t xml:space="preserve"> located in Framingham.  The charter school serves grades </w:t>
      </w:r>
      <w:r w:rsidR="004504D7">
        <w:t>6</w:t>
      </w:r>
      <w:r w:rsidR="009B3840">
        <w:t>–</w:t>
      </w:r>
      <w:r>
        <w:t>8 with most</w:t>
      </w:r>
      <w:r w:rsidR="004504D7">
        <w:t>ly</w:t>
      </w:r>
      <w:r>
        <w:t xml:space="preserve"> Framingham students</w:t>
      </w:r>
      <w:r w:rsidR="004504D7">
        <w:t xml:space="preserve"> who</w:t>
      </w:r>
      <w:r>
        <w:t xml:space="preserve"> return to the </w:t>
      </w:r>
      <w:r w:rsidR="00416292">
        <w:t xml:space="preserve">City’s </w:t>
      </w:r>
      <w:r>
        <w:t>public high school for grades 9</w:t>
      </w:r>
      <w:r w:rsidR="009B3840">
        <w:t>–</w:t>
      </w:r>
      <w:r>
        <w:t xml:space="preserve">12.  </w:t>
      </w:r>
      <w:r w:rsidR="004504D7">
        <w:t xml:space="preserve">The </w:t>
      </w:r>
      <w:r>
        <w:t>cost to the district for school choice</w:t>
      </w:r>
      <w:r w:rsidR="004504D7">
        <w:t>-</w:t>
      </w:r>
      <w:r>
        <w:t>out and charter tuition</w:t>
      </w:r>
      <w:r w:rsidR="004504D7">
        <w:t xml:space="preserve"> </w:t>
      </w:r>
      <w:r>
        <w:t>was less than four percent of actual net school spending in 2017.</w:t>
      </w:r>
    </w:p>
    <w:p w14:paraId="2426DC83" w14:textId="254575BA" w:rsidR="00F948B2" w:rsidRDefault="002F7F21" w:rsidP="00F948B2">
      <w:pPr>
        <w:tabs>
          <w:tab w:val="left" w:pos="360"/>
          <w:tab w:val="left" w:pos="720"/>
          <w:tab w:val="left" w:pos="1080"/>
          <w:tab w:val="left" w:pos="1440"/>
          <w:tab w:val="left" w:pos="1800"/>
          <w:tab w:val="left" w:pos="2160"/>
        </w:tabs>
      </w:pPr>
      <w:r>
        <w:t>T</w:t>
      </w:r>
      <w:r w:rsidR="00F948B2">
        <w:t xml:space="preserve">he district has offered intra-district choice for elementary and </w:t>
      </w:r>
      <w:r w:rsidR="009B3840">
        <w:t>middle-</w:t>
      </w:r>
      <w:r w:rsidR="00F948B2">
        <w:t xml:space="preserve">school students for many years.  When originally adopted, the </w:t>
      </w:r>
      <w:r w:rsidR="00F84FAD">
        <w:t xml:space="preserve">intra-district choice </w:t>
      </w:r>
      <w:r w:rsidR="00F948B2">
        <w:t xml:space="preserve">program was meant to support the creation of mini-magnet schools within the district.  Those schools did not develop but parents still </w:t>
      </w:r>
      <w:r w:rsidR="00F84FAD">
        <w:t xml:space="preserve">chose </w:t>
      </w:r>
      <w:r w:rsidR="00F948B2">
        <w:t>schools located in any geographic area of the town for their child</w:t>
      </w:r>
      <w:r w:rsidR="00F84FAD">
        <w:t>ren</w:t>
      </w:r>
      <w:r w:rsidR="00F948B2">
        <w:t xml:space="preserve"> to attend.  As a result, intra-district choice has created an additional and significant financial cost to the district for bus transportation that is provided to all students, no matter where they live or which school they attend.  </w:t>
      </w:r>
    </w:p>
    <w:p w14:paraId="01E64A23" w14:textId="0AD0A275" w:rsidR="00F948B2" w:rsidRDefault="00BC4F7A" w:rsidP="00F948B2">
      <w:pPr>
        <w:tabs>
          <w:tab w:val="left" w:pos="360"/>
          <w:tab w:val="left" w:pos="720"/>
          <w:tab w:val="left" w:pos="1080"/>
          <w:tab w:val="left" w:pos="1440"/>
          <w:tab w:val="left" w:pos="1800"/>
          <w:tab w:val="left" w:pos="2160"/>
        </w:tabs>
      </w:pPr>
      <w:r>
        <w:t xml:space="preserve">At the time of the onsite in February 2019, the </w:t>
      </w:r>
      <w:r w:rsidR="00F948B2">
        <w:t xml:space="preserve">district </w:t>
      </w:r>
      <w:r>
        <w:t xml:space="preserve">was </w:t>
      </w:r>
      <w:r w:rsidR="00F948B2">
        <w:t xml:space="preserve">in the </w:t>
      </w:r>
      <w:r w:rsidR="00F948B2" w:rsidRPr="00624744">
        <w:t>third year of a five-year contract</w:t>
      </w:r>
      <w:r w:rsidR="00F948B2">
        <w:t xml:space="preserve"> with </w:t>
      </w:r>
      <w:r w:rsidR="0086304D">
        <w:t>a company that</w:t>
      </w:r>
      <w:r w:rsidR="00F948B2">
        <w:t xml:space="preserve"> provid</w:t>
      </w:r>
      <w:r w:rsidR="0086304D">
        <w:t>ed</w:t>
      </w:r>
      <w:r w:rsidR="00F948B2">
        <w:t xml:space="preserve"> bus services to the district.  </w:t>
      </w:r>
      <w:r w:rsidR="0086304D">
        <w:t xml:space="preserve">The company </w:t>
      </w:r>
      <w:r w:rsidR="00F948B2">
        <w:t>owns the buses and hires the drivers. However, it has had difficulty finding and hiring enough qualified drivers this school year (2018</w:t>
      </w:r>
      <w:r w:rsidR="009B3840">
        <w:t>–</w:t>
      </w:r>
      <w:r w:rsidR="00460CCE">
        <w:t>20</w:t>
      </w:r>
      <w:r w:rsidR="00F948B2">
        <w:t xml:space="preserve">19).  Without enough drivers and substitute drivers, buses have frequently arrived late for school start times.  </w:t>
      </w:r>
      <w:r w:rsidR="00F948B2">
        <w:lastRenderedPageBreak/>
        <w:t>This has been a major issue for parents, school administrators, and the school committee since September</w:t>
      </w:r>
      <w:r w:rsidR="004504D7">
        <w:t xml:space="preserve"> </w:t>
      </w:r>
      <w:r w:rsidR="00F948B2">
        <w:t>2018.</w:t>
      </w:r>
    </w:p>
    <w:p w14:paraId="051AA93B" w14:textId="4D7CAA06" w:rsidR="001341F7" w:rsidRDefault="004504D7" w:rsidP="00F948B2">
      <w:pPr>
        <w:tabs>
          <w:tab w:val="left" w:pos="360"/>
          <w:tab w:val="left" w:pos="720"/>
          <w:tab w:val="left" w:pos="1080"/>
          <w:tab w:val="left" w:pos="1440"/>
          <w:tab w:val="left" w:pos="1800"/>
          <w:tab w:val="left" w:pos="2160"/>
        </w:tabs>
      </w:pPr>
      <w:r>
        <w:t>The dist</w:t>
      </w:r>
      <w:r w:rsidR="00460CCE">
        <w:t>r</w:t>
      </w:r>
      <w:r>
        <w:t>ict hired a</w:t>
      </w:r>
      <w:r w:rsidR="00F948B2">
        <w:t xml:space="preserve"> new </w:t>
      </w:r>
      <w:r>
        <w:t>e</w:t>
      </w:r>
      <w:r w:rsidR="00F948B2">
        <w:t xml:space="preserve">xecutive </w:t>
      </w:r>
      <w:r>
        <w:t>d</w:t>
      </w:r>
      <w:r w:rsidR="00F948B2">
        <w:t xml:space="preserve">irector of </w:t>
      </w:r>
      <w:r>
        <w:t>f</w:t>
      </w:r>
      <w:r w:rsidR="00F948B2">
        <w:t xml:space="preserve">inance and </w:t>
      </w:r>
      <w:r>
        <w:t>o</w:t>
      </w:r>
      <w:r w:rsidR="00F948B2">
        <w:t xml:space="preserve">perations on July 1, 2018.  He followed a </w:t>
      </w:r>
      <w:r>
        <w:t>c</w:t>
      </w:r>
      <w:r w:rsidR="00F948B2">
        <w:t xml:space="preserve">hief </w:t>
      </w:r>
      <w:r>
        <w:t>f</w:t>
      </w:r>
      <w:r w:rsidR="00F948B2">
        <w:t xml:space="preserve">inancial </w:t>
      </w:r>
      <w:r>
        <w:t>o</w:t>
      </w:r>
      <w:r w:rsidR="00F948B2">
        <w:t>fficer who had also served as interim superintendent for the period between September 2016 and April 2017</w:t>
      </w:r>
      <w:r w:rsidR="00416292">
        <w:t xml:space="preserve">. </w:t>
      </w:r>
      <w:r w:rsidR="00F948B2">
        <w:t>Other business office staff have been in their positions for many years, assuring a level of continuity and institutional knowledge.</w:t>
      </w:r>
    </w:p>
    <w:p w14:paraId="12D9648E" w14:textId="0B58174E" w:rsidR="00057B42" w:rsidRDefault="00057B42" w:rsidP="00057B42">
      <w:pPr>
        <w:tabs>
          <w:tab w:val="left" w:pos="360"/>
          <w:tab w:val="left" w:pos="720"/>
          <w:tab w:val="left" w:pos="1080"/>
          <w:tab w:val="left" w:pos="1440"/>
          <w:tab w:val="left" w:pos="1800"/>
          <w:tab w:val="left" w:pos="2160"/>
        </w:tabs>
      </w:pPr>
      <w:r>
        <w:t>Of t</w:t>
      </w:r>
      <w:r w:rsidRPr="006A2E1A">
        <w:t>he district</w:t>
      </w:r>
      <w:r>
        <w:t>’s 14 schools, 10 have not undergone a major renovation in the past 50 years, the lifespan expected by the Massachusetts School Building Authority (MSBA). Some have been updated as recently as 2008; others have not been renovated or replaced. A document review indicated that 6 schools had roofs that were 20 or more years old,</w:t>
      </w:r>
      <w:r>
        <w:rPr>
          <w:rStyle w:val="FootnoteReference"/>
        </w:rPr>
        <w:footnoteReference w:id="16"/>
      </w:r>
      <w:r>
        <w:t xml:space="preserve"> which is the typical term of a roof warranty.  </w:t>
      </w:r>
    </w:p>
    <w:p w14:paraId="48161967" w14:textId="562A6C8A" w:rsidR="00057B42" w:rsidRDefault="00057B42" w:rsidP="00057B42">
      <w:pPr>
        <w:tabs>
          <w:tab w:val="left" w:pos="360"/>
          <w:tab w:val="left" w:pos="720"/>
          <w:tab w:val="left" w:pos="1080"/>
          <w:tab w:val="left" w:pos="1440"/>
          <w:tab w:val="left" w:pos="1800"/>
          <w:tab w:val="left" w:pos="2160"/>
        </w:tabs>
      </w:pPr>
      <w:r>
        <w:t>District administrators said that roof repairs and replacements were a priority.  They noted that many roofs leaked and, rather than replacing them, the district has made temporary repairs that will add approximately five years to their useful life.</w:t>
      </w:r>
    </w:p>
    <w:p w14:paraId="29AE47F5" w14:textId="34EEF537" w:rsidR="00057B42" w:rsidRDefault="00057B42" w:rsidP="00057B42">
      <w:pPr>
        <w:tabs>
          <w:tab w:val="left" w:pos="360"/>
          <w:tab w:val="left" w:pos="720"/>
          <w:tab w:val="left" w:pos="1080"/>
          <w:tab w:val="left" w:pos="1440"/>
          <w:tab w:val="left" w:pos="1800"/>
          <w:tab w:val="left" w:pos="2160"/>
        </w:tabs>
      </w:pPr>
      <w:r>
        <w:t xml:space="preserve">Overcrowding is a </w:t>
      </w:r>
      <w:proofErr w:type="gramStart"/>
      <w:r>
        <w:t>particular issue</w:t>
      </w:r>
      <w:proofErr w:type="gramEnd"/>
      <w:r>
        <w:t xml:space="preserve"> at the high school. At the time of the review in February 2019, the high school had more students and staff than the building was designed to accommodate. The superintendent is exploring options such as adding modular classrooms, leasing an unused private school, or adopting distance learning to alleviate the space restrictions at the high school.</w:t>
      </w:r>
    </w:p>
    <w:p w14:paraId="757634C5" w14:textId="3D9069EC" w:rsidR="00E20675" w:rsidRDefault="00E20675" w:rsidP="00057B42">
      <w:pPr>
        <w:tabs>
          <w:tab w:val="left" w:pos="360"/>
          <w:tab w:val="left" w:pos="720"/>
          <w:tab w:val="left" w:pos="1080"/>
          <w:tab w:val="left" w:pos="1440"/>
          <w:tab w:val="left" w:pos="1800"/>
          <w:tab w:val="left" w:pos="2160"/>
        </w:tabs>
      </w:pPr>
      <w:r>
        <w:t>When asked to describe the condition of school buildings, district leaders said that “Antiquated but [with] well-maintained mechanical systems</w:t>
      </w:r>
      <w:r w:rsidRPr="00C900C6">
        <w:t>.</w:t>
      </w:r>
      <w:r>
        <w:t>”</w:t>
      </w:r>
      <w:r w:rsidR="007E4D82">
        <w:t xml:space="preserve"> </w:t>
      </w:r>
      <w:r>
        <w:t>District leaders</w:t>
      </w:r>
      <w:r w:rsidRPr="00457F3D">
        <w:t xml:space="preserve">, school committee members, and city officials </w:t>
      </w:r>
      <w:r>
        <w:t>told the team that</w:t>
      </w:r>
      <w:r w:rsidRPr="00457F3D">
        <w:t xml:space="preserve"> </w:t>
      </w:r>
      <w:r>
        <w:t xml:space="preserve">the district should make </w:t>
      </w:r>
      <w:r w:rsidRPr="00457F3D">
        <w:t>facilities and building maintenance</w:t>
      </w:r>
      <w:r>
        <w:t xml:space="preserve"> priorities for spending</w:t>
      </w:r>
      <w:r w:rsidRPr="00457F3D">
        <w:t xml:space="preserve">.  </w:t>
      </w:r>
    </w:p>
    <w:p w14:paraId="3492CBEA" w14:textId="77777777" w:rsidR="00057B42" w:rsidRDefault="00057B42" w:rsidP="00057B42">
      <w:pPr>
        <w:tabs>
          <w:tab w:val="left" w:pos="360"/>
          <w:tab w:val="left" w:pos="720"/>
          <w:tab w:val="left" w:pos="1080"/>
          <w:tab w:val="left" w:pos="1440"/>
          <w:tab w:val="left" w:pos="1800"/>
          <w:tab w:val="left" w:pos="2160"/>
        </w:tabs>
      </w:pPr>
    </w:p>
    <w:p w14:paraId="1CFE0E5A" w14:textId="77777777" w:rsidR="00F948B2" w:rsidRDefault="00F948B2" w:rsidP="00F948B2">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5351ED7D" w14:textId="623DD1B5" w:rsidR="00F948B2" w:rsidRDefault="007E4D82" w:rsidP="002E2DBE">
      <w:pPr>
        <w:tabs>
          <w:tab w:val="left" w:pos="360"/>
          <w:tab w:val="left" w:pos="720"/>
          <w:tab w:val="left" w:pos="1080"/>
          <w:tab w:val="left" w:pos="1440"/>
          <w:tab w:val="left" w:pos="1800"/>
        </w:tabs>
        <w:ind w:left="360" w:hanging="360"/>
        <w:rPr>
          <w:rFonts w:cstheme="minorHAnsi"/>
          <w:b/>
          <w:color w:val="000000"/>
          <w:sz w:val="20"/>
          <w:szCs w:val="20"/>
          <w:shd w:val="clear" w:color="auto" w:fill="FFFFFF"/>
        </w:rPr>
      </w:pPr>
      <w:r>
        <w:rPr>
          <w:b/>
        </w:rPr>
        <w:t>1</w:t>
      </w:r>
      <w:r w:rsidR="002E2DBE">
        <w:rPr>
          <w:b/>
        </w:rPr>
        <w:t xml:space="preserve">. </w:t>
      </w:r>
      <w:r w:rsidR="00677F48">
        <w:rPr>
          <w:b/>
        </w:rPr>
        <w:tab/>
      </w:r>
      <w:r w:rsidR="00F948B2" w:rsidRPr="002E2DBE">
        <w:rPr>
          <w:b/>
        </w:rPr>
        <w:t xml:space="preserve">The district </w:t>
      </w:r>
      <w:r w:rsidR="000A5511">
        <w:rPr>
          <w:b/>
        </w:rPr>
        <w:t xml:space="preserve">and the city </w:t>
      </w:r>
      <w:r w:rsidR="00F948B2" w:rsidRPr="002E2DBE">
        <w:rPr>
          <w:b/>
        </w:rPr>
        <w:t>do not have a</w:t>
      </w:r>
      <w:r w:rsidR="000A5511">
        <w:rPr>
          <w:b/>
        </w:rPr>
        <w:t>n</w:t>
      </w:r>
      <w:r w:rsidR="00F948B2" w:rsidRPr="002E2DBE">
        <w:rPr>
          <w:b/>
        </w:rPr>
        <w:t xml:space="preserve"> </w:t>
      </w:r>
      <w:r w:rsidR="000A5511">
        <w:rPr>
          <w:b/>
        </w:rPr>
        <w:t>up-to-date,</w:t>
      </w:r>
      <w:r w:rsidR="00F948B2" w:rsidRPr="002E2DBE">
        <w:rPr>
          <w:b/>
        </w:rPr>
        <w:t xml:space="preserve"> written agreement on </w:t>
      </w:r>
      <w:r w:rsidR="000A5511">
        <w:rPr>
          <w:b/>
        </w:rPr>
        <w:t>municipal expenditures in support</w:t>
      </w:r>
      <w:r w:rsidR="00F948B2" w:rsidRPr="002E2DBE">
        <w:rPr>
          <w:b/>
        </w:rPr>
        <w:t xml:space="preserve"> of the school</w:t>
      </w:r>
      <w:r w:rsidR="000A5511">
        <w:rPr>
          <w:b/>
        </w:rPr>
        <w:t>s</w:t>
      </w:r>
      <w:r w:rsidR="00F948B2" w:rsidRPr="002E2DBE">
        <w:rPr>
          <w:rFonts w:cstheme="minorHAnsi"/>
          <w:b/>
          <w:color w:val="000000"/>
          <w:sz w:val="20"/>
          <w:szCs w:val="20"/>
          <w:shd w:val="clear" w:color="auto" w:fill="FFFFFF"/>
        </w:rPr>
        <w:t>.</w:t>
      </w:r>
    </w:p>
    <w:p w14:paraId="336DC454" w14:textId="61F58CF2" w:rsidR="000A5511" w:rsidRPr="00EC5B5A" w:rsidRDefault="000A5511" w:rsidP="006D0620">
      <w:pPr>
        <w:tabs>
          <w:tab w:val="left" w:pos="360"/>
          <w:tab w:val="left" w:pos="720"/>
          <w:tab w:val="left" w:pos="1080"/>
          <w:tab w:val="left" w:pos="1440"/>
          <w:tab w:val="left" w:pos="1800"/>
        </w:tabs>
        <w:ind w:left="720" w:hanging="720"/>
        <w:rPr>
          <w:b/>
        </w:rPr>
      </w:pPr>
      <w:r>
        <w:tab/>
      </w:r>
      <w:r w:rsidRPr="00EC5B5A">
        <w:rPr>
          <w:b/>
        </w:rPr>
        <w:t>A.</w:t>
      </w:r>
      <w:r>
        <w:rPr>
          <w:b/>
        </w:rPr>
        <w:tab/>
      </w:r>
      <w:r w:rsidRPr="00AD0103">
        <w:t>The district and the city do not have an up-to-date, written agreement on a m</w:t>
      </w:r>
      <w:r w:rsidR="00973526" w:rsidRPr="00AD0103">
        <w:t>e</w:t>
      </w:r>
      <w:r w:rsidRPr="00AD0103">
        <w:t xml:space="preserve">thod for determining the cost of municipal services that are provided to the district by the city, as required by state regulation </w:t>
      </w:r>
      <w:r w:rsidR="006356C5" w:rsidRPr="00AD0103">
        <w:t>CMR 10.05.</w:t>
      </w:r>
      <w:r>
        <w:rPr>
          <w:b/>
        </w:rPr>
        <w:tab/>
      </w:r>
    </w:p>
    <w:p w14:paraId="0910AC74" w14:textId="59ED201E" w:rsidR="00F948B2" w:rsidRDefault="00A5026F" w:rsidP="00800763">
      <w:pPr>
        <w:pStyle w:val="ListParagraph"/>
        <w:tabs>
          <w:tab w:val="left" w:pos="360"/>
          <w:tab w:val="left" w:pos="720"/>
          <w:tab w:val="left" w:pos="1080"/>
          <w:tab w:val="left" w:pos="1440"/>
          <w:tab w:val="left" w:pos="1800"/>
        </w:tabs>
        <w:ind w:hanging="360"/>
        <w:contextualSpacing w:val="0"/>
      </w:pPr>
      <w:r>
        <w:rPr>
          <w:b/>
        </w:rPr>
        <w:t>B</w:t>
      </w:r>
      <w:r w:rsidR="00F948B2">
        <w:rPr>
          <w:b/>
        </w:rPr>
        <w:t>.</w:t>
      </w:r>
      <w:r>
        <w:t xml:space="preserve"> </w:t>
      </w:r>
      <w:r w:rsidR="00AD0103">
        <w:tab/>
      </w:r>
      <w:r w:rsidR="00F948B2">
        <w:t xml:space="preserve">The </w:t>
      </w:r>
      <w:r>
        <w:t>document submitted by the district entitled “</w:t>
      </w:r>
      <w:r w:rsidR="00F948B2">
        <w:t>Allocation of Municipal Administration Costs</w:t>
      </w:r>
      <w:r>
        <w:t>”</w:t>
      </w:r>
      <w:r w:rsidR="00F948B2">
        <w:t xml:space="preserve"> is dated January 9, 2007.</w:t>
      </w:r>
    </w:p>
    <w:p w14:paraId="5FB4A206" w14:textId="3298B96C" w:rsidR="00F948B2" w:rsidRPr="00C30A3B" w:rsidRDefault="00800763" w:rsidP="00EC5B5A">
      <w:pPr>
        <w:tabs>
          <w:tab w:val="left" w:pos="360"/>
          <w:tab w:val="left" w:pos="720"/>
          <w:tab w:val="left" w:pos="1080"/>
          <w:tab w:val="left" w:pos="1440"/>
          <w:tab w:val="left" w:pos="1800"/>
        </w:tabs>
        <w:ind w:left="1080" w:hanging="1080"/>
      </w:pPr>
      <w:r>
        <w:tab/>
      </w:r>
      <w:r w:rsidR="00AD0103">
        <w:tab/>
      </w:r>
      <w:r w:rsidR="00AC5676">
        <w:t>1.</w:t>
      </w:r>
      <w:r>
        <w:tab/>
      </w:r>
      <w:r w:rsidR="00165F3E">
        <w:t>District leaders</w:t>
      </w:r>
      <w:r w:rsidR="00F948B2">
        <w:t xml:space="preserve"> stated that </w:t>
      </w:r>
      <w:r w:rsidR="00165F3E">
        <w:t>the</w:t>
      </w:r>
      <w:r w:rsidR="00F948B2">
        <w:t xml:space="preserve"> </w:t>
      </w:r>
      <w:r w:rsidR="00165F3E">
        <w:t xml:space="preserve">written </w:t>
      </w:r>
      <w:r w:rsidR="00F948B2">
        <w:t>agreement</w:t>
      </w:r>
      <w:r w:rsidR="00165F3E">
        <w:t xml:space="preserve"> on municipal expenditures in support of the schools was “outdated,” noting that it was dated January 2007</w:t>
      </w:r>
      <w:r w:rsidR="00F948B2" w:rsidRPr="00CA1EA9">
        <w:t>.</w:t>
      </w:r>
      <w:r w:rsidR="00F948B2">
        <w:t xml:space="preserve">  </w:t>
      </w:r>
    </w:p>
    <w:p w14:paraId="2FB8AFC0" w14:textId="4E12F4FE" w:rsidR="00F948B2" w:rsidRDefault="00F948B2" w:rsidP="00F948B2">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E84215">
        <w:t>Without</w:t>
      </w:r>
      <w:r>
        <w:t xml:space="preserve"> a</w:t>
      </w:r>
      <w:r w:rsidR="00E84215">
        <w:t>n</w:t>
      </w:r>
      <w:r>
        <w:t xml:space="preserve"> </w:t>
      </w:r>
      <w:r w:rsidR="00E84215">
        <w:t>up-to-date</w:t>
      </w:r>
      <w:r>
        <w:t xml:space="preserve">, signed </w:t>
      </w:r>
      <w:r w:rsidR="00E84215">
        <w:t xml:space="preserve">written </w:t>
      </w:r>
      <w:r>
        <w:t xml:space="preserve">agreement between the </w:t>
      </w:r>
      <w:r w:rsidR="00E84215">
        <w:t xml:space="preserve">district and the </w:t>
      </w:r>
      <w:r>
        <w:t xml:space="preserve">city on </w:t>
      </w:r>
      <w:r w:rsidR="00E84215">
        <w:t>municipal expenditures</w:t>
      </w:r>
      <w:r>
        <w:t xml:space="preserve"> </w:t>
      </w:r>
      <w:r w:rsidR="00E84215">
        <w:t>in support</w:t>
      </w:r>
      <w:r>
        <w:t xml:space="preserve"> of the school</w:t>
      </w:r>
      <w:r w:rsidR="00E84215">
        <w:t>s,</w:t>
      </w:r>
      <w:r>
        <w:t xml:space="preserve"> </w:t>
      </w:r>
      <w:r w:rsidR="00E84215">
        <w:t xml:space="preserve">the district </w:t>
      </w:r>
      <w:r>
        <w:t>can</w:t>
      </w:r>
      <w:r w:rsidR="00E84215">
        <w:t>not</w:t>
      </w:r>
      <w:r>
        <w:t xml:space="preserve"> </w:t>
      </w:r>
      <w:r w:rsidR="00E84215">
        <w:t>effectively monitor and internally audit costs for education-related services and ensure the accuracy of these expenditures</w:t>
      </w:r>
      <w:r w:rsidRPr="00BA3A76">
        <w:t>.</w:t>
      </w:r>
    </w:p>
    <w:p w14:paraId="484D801A" w14:textId="77777777" w:rsidR="00A66BFC" w:rsidRDefault="00A66BFC" w:rsidP="00F948B2">
      <w:pPr>
        <w:tabs>
          <w:tab w:val="left" w:pos="360"/>
          <w:tab w:val="left" w:pos="720"/>
          <w:tab w:val="left" w:pos="1080"/>
          <w:tab w:val="left" w:pos="1440"/>
          <w:tab w:val="left" w:pos="1800"/>
          <w:tab w:val="left" w:pos="2160"/>
        </w:tabs>
      </w:pPr>
    </w:p>
    <w:p w14:paraId="7DFFB1D5" w14:textId="78A30323" w:rsidR="00F948B2" w:rsidRDefault="00F948B2" w:rsidP="00F948B2">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3118D4E9" w14:textId="2668FF1D" w:rsidR="00F948B2" w:rsidRPr="00EC5B5A" w:rsidRDefault="007E4D82" w:rsidP="00EC5B5A">
      <w:pPr>
        <w:tabs>
          <w:tab w:val="left" w:pos="0"/>
          <w:tab w:val="left" w:pos="360"/>
          <w:tab w:val="left" w:pos="720"/>
          <w:tab w:val="left" w:pos="1080"/>
          <w:tab w:val="left" w:pos="1440"/>
          <w:tab w:val="left" w:pos="1800"/>
          <w:tab w:val="left" w:pos="2160"/>
        </w:tabs>
        <w:ind w:left="360" w:hanging="360"/>
        <w:rPr>
          <w:b/>
        </w:rPr>
      </w:pPr>
      <w:r>
        <w:rPr>
          <w:b/>
        </w:rPr>
        <w:t>1</w:t>
      </w:r>
      <w:r w:rsidR="008D2F03">
        <w:rPr>
          <w:b/>
        </w:rPr>
        <w:t>.</w:t>
      </w:r>
      <w:r w:rsidR="008D2F03">
        <w:rPr>
          <w:b/>
        </w:rPr>
        <w:tab/>
      </w:r>
      <w:r w:rsidR="00E84215" w:rsidRPr="00EC5B5A">
        <w:rPr>
          <w:b/>
        </w:rPr>
        <w:t xml:space="preserve">In compliance with 603 CMR 10.05, district </w:t>
      </w:r>
      <w:r w:rsidR="00F948B2" w:rsidRPr="00EC5B5A">
        <w:rPr>
          <w:b/>
        </w:rPr>
        <w:t xml:space="preserve">administrators </w:t>
      </w:r>
      <w:r w:rsidR="00E84215" w:rsidRPr="00EC5B5A">
        <w:rPr>
          <w:b/>
        </w:rPr>
        <w:t>and</w:t>
      </w:r>
      <w:r w:rsidR="00F948B2" w:rsidRPr="00EC5B5A">
        <w:rPr>
          <w:b/>
        </w:rPr>
        <w:t xml:space="preserve"> city officials </w:t>
      </w:r>
      <w:r w:rsidR="00E84215" w:rsidRPr="00EC5B5A">
        <w:rPr>
          <w:b/>
        </w:rPr>
        <w:t>should update</w:t>
      </w:r>
      <w:r w:rsidR="00F948B2" w:rsidRPr="00EC5B5A">
        <w:rPr>
          <w:b/>
        </w:rPr>
        <w:t xml:space="preserve"> the </w:t>
      </w:r>
      <w:r w:rsidR="00E84215" w:rsidRPr="00EC5B5A">
        <w:rPr>
          <w:b/>
        </w:rPr>
        <w:t>written</w:t>
      </w:r>
      <w:r w:rsidR="00DA75AC" w:rsidRPr="00EC5B5A">
        <w:rPr>
          <w:b/>
        </w:rPr>
        <w:t xml:space="preserve"> </w:t>
      </w:r>
      <w:r w:rsidR="00F948B2" w:rsidRPr="00EC5B5A">
        <w:rPr>
          <w:b/>
        </w:rPr>
        <w:t xml:space="preserve">agreement </w:t>
      </w:r>
      <w:r w:rsidR="00E84215" w:rsidRPr="00EC5B5A">
        <w:rPr>
          <w:b/>
        </w:rPr>
        <w:t>that details the calculation process and/or amounts to be used in calculating municipal expenditures that are provided to the district</w:t>
      </w:r>
      <w:r w:rsidR="00F948B2" w:rsidRPr="00EC5B5A">
        <w:rPr>
          <w:b/>
        </w:rPr>
        <w:t xml:space="preserve">.   </w:t>
      </w:r>
      <w:r w:rsidR="00F948B2" w:rsidRPr="00EC5B5A">
        <w:rPr>
          <w:b/>
        </w:rPr>
        <w:tab/>
      </w:r>
    </w:p>
    <w:p w14:paraId="20ACABCA" w14:textId="1230DBCE" w:rsidR="00F948B2" w:rsidRPr="003D107D" w:rsidRDefault="00D226EA" w:rsidP="00D226EA">
      <w:pPr>
        <w:tabs>
          <w:tab w:val="left" w:pos="360"/>
          <w:tab w:val="left" w:pos="720"/>
          <w:tab w:val="left" w:pos="1080"/>
          <w:tab w:val="left" w:pos="1440"/>
          <w:tab w:val="left" w:pos="1800"/>
          <w:tab w:val="left" w:pos="2160"/>
        </w:tabs>
        <w:ind w:left="720" w:hanging="360"/>
      </w:pPr>
      <w:r w:rsidRPr="00D226EA">
        <w:rPr>
          <w:b/>
        </w:rPr>
        <w:t>A</w:t>
      </w:r>
      <w:r>
        <w:t xml:space="preserve">.    </w:t>
      </w:r>
      <w:r w:rsidR="00F948B2">
        <w:t xml:space="preserve">District administrators and city officials should </w:t>
      </w:r>
      <w:r w:rsidR="00E00A68">
        <w:t>draft an up-to-date agreement that details the calculations process and/or amounts to be used in calculating indirect charges to the district from the city</w:t>
      </w:r>
      <w:r w:rsidR="00F948B2">
        <w:t>.</w:t>
      </w:r>
    </w:p>
    <w:p w14:paraId="4AC1CAAD" w14:textId="334FECF5" w:rsidR="002E2DBE" w:rsidRDefault="00D226EA" w:rsidP="002E2DBE">
      <w:pPr>
        <w:pStyle w:val="ListParagraph"/>
        <w:tabs>
          <w:tab w:val="left" w:pos="360"/>
          <w:tab w:val="left" w:pos="720"/>
          <w:tab w:val="left" w:pos="1080"/>
          <w:tab w:val="left" w:pos="1440"/>
          <w:tab w:val="left" w:pos="1800"/>
          <w:tab w:val="left" w:pos="2160"/>
        </w:tabs>
        <w:ind w:left="1080" w:hanging="360"/>
        <w:contextualSpacing w:val="0"/>
        <w:rPr>
          <w:rFonts w:cstheme="minorHAnsi"/>
          <w:color w:val="000000"/>
        </w:rPr>
      </w:pPr>
      <w:r w:rsidRPr="00EC5B5A">
        <w:rPr>
          <w:rFonts w:cstheme="minorHAnsi"/>
          <w:color w:val="000000"/>
        </w:rPr>
        <w:t>1</w:t>
      </w:r>
      <w:r w:rsidR="00F948B2" w:rsidRPr="00EC5B5A">
        <w:rPr>
          <w:rFonts w:cstheme="minorHAnsi"/>
          <w:color w:val="000000"/>
        </w:rPr>
        <w:t>.</w:t>
      </w:r>
      <w:r w:rsidR="00F948B2" w:rsidRPr="008E3FFF">
        <w:rPr>
          <w:rFonts w:cstheme="minorHAnsi"/>
          <w:color w:val="000000"/>
        </w:rPr>
        <w:tab/>
      </w:r>
      <w:r w:rsidR="00124E70">
        <w:rPr>
          <w:rFonts w:cstheme="minorHAnsi"/>
          <w:color w:val="000000"/>
        </w:rPr>
        <w:t xml:space="preserve"> For services that require allocation, such as auditing, data processing or other administrative services, district administrators and city officials should agree on an allocation method.</w:t>
      </w:r>
    </w:p>
    <w:p w14:paraId="583E5112" w14:textId="15F1268C" w:rsidR="00F635F6" w:rsidRDefault="00F635F6" w:rsidP="002E2DBE">
      <w:pPr>
        <w:pStyle w:val="ListParagraph"/>
        <w:tabs>
          <w:tab w:val="left" w:pos="360"/>
          <w:tab w:val="left" w:pos="720"/>
          <w:tab w:val="left" w:pos="1080"/>
          <w:tab w:val="left" w:pos="1440"/>
          <w:tab w:val="left" w:pos="1800"/>
          <w:tab w:val="left" w:pos="2160"/>
        </w:tabs>
        <w:ind w:left="1080" w:hanging="360"/>
        <w:contextualSpacing w:val="0"/>
      </w:pPr>
      <w:r>
        <w:rPr>
          <w:rFonts w:cstheme="minorHAnsi"/>
          <w:color w:val="000000"/>
        </w:rPr>
        <w:t>2.</w:t>
      </w:r>
      <w:r>
        <w:rPr>
          <w:rFonts w:cstheme="minorHAnsi"/>
          <w:color w:val="000000"/>
        </w:rPr>
        <w:tab/>
      </w:r>
      <w:r w:rsidR="00124E70">
        <w:rPr>
          <w:rFonts w:cstheme="minorHAnsi"/>
          <w:color w:val="000000"/>
        </w:rPr>
        <w:t>For actual expenditure categories such as debt and employee benefits, district administrators and city officials should develop a method to determine the actual expenditures.</w:t>
      </w:r>
    </w:p>
    <w:p w14:paraId="407119B7" w14:textId="7C66EDD1" w:rsidR="002E2DBE" w:rsidRDefault="002E2DBE" w:rsidP="002E2DBE">
      <w:pPr>
        <w:pStyle w:val="ListParagraph"/>
        <w:tabs>
          <w:tab w:val="left" w:pos="360"/>
          <w:tab w:val="left" w:pos="720"/>
          <w:tab w:val="left" w:pos="1080"/>
          <w:tab w:val="left" w:pos="1440"/>
          <w:tab w:val="left" w:pos="1800"/>
          <w:tab w:val="left" w:pos="2160"/>
        </w:tabs>
        <w:ind w:hanging="360"/>
        <w:contextualSpacing w:val="0"/>
      </w:pPr>
      <w:r w:rsidRPr="002E2DBE">
        <w:rPr>
          <w:b/>
        </w:rPr>
        <w:t>B.</w:t>
      </w:r>
      <w:r>
        <w:t xml:space="preserve">   </w:t>
      </w:r>
      <w:r w:rsidR="00F635F6">
        <w:t>The mayor, the superintendent,</w:t>
      </w:r>
      <w:r w:rsidR="00124E70">
        <w:t xml:space="preserve"> </w:t>
      </w:r>
      <w:r w:rsidR="00F635F6">
        <w:t xml:space="preserve">and the chair of the school committee </w:t>
      </w:r>
      <w:r w:rsidR="00F948B2">
        <w:t xml:space="preserve">should </w:t>
      </w:r>
      <w:r w:rsidR="00F635F6">
        <w:t xml:space="preserve">review and </w:t>
      </w:r>
      <w:r w:rsidR="00F948B2">
        <w:t xml:space="preserve">sign </w:t>
      </w:r>
      <w:r w:rsidR="00F635F6">
        <w:t>the agreement</w:t>
      </w:r>
      <w:r w:rsidR="00F948B2">
        <w:t>.</w:t>
      </w:r>
    </w:p>
    <w:p w14:paraId="1536085E" w14:textId="6FDA4DD3" w:rsidR="00F948B2" w:rsidRDefault="002E2DBE" w:rsidP="002E2DBE">
      <w:pPr>
        <w:pStyle w:val="ListParagraph"/>
        <w:tabs>
          <w:tab w:val="left" w:pos="360"/>
          <w:tab w:val="left" w:pos="720"/>
          <w:tab w:val="left" w:pos="1080"/>
          <w:tab w:val="left" w:pos="1440"/>
          <w:tab w:val="left" w:pos="1800"/>
          <w:tab w:val="left" w:pos="2160"/>
        </w:tabs>
        <w:ind w:hanging="360"/>
        <w:contextualSpacing w:val="0"/>
      </w:pPr>
      <w:r w:rsidRPr="002E2DBE">
        <w:rPr>
          <w:b/>
        </w:rPr>
        <w:t>C.</w:t>
      </w:r>
      <w:r>
        <w:tab/>
      </w:r>
      <w:r w:rsidR="00F948B2">
        <w:t xml:space="preserve">District administrators </w:t>
      </w:r>
      <w:r w:rsidR="00AA4559">
        <w:t xml:space="preserve">and city officials </w:t>
      </w:r>
      <w:r w:rsidR="00F948B2">
        <w:t>should review and revise the agreement</w:t>
      </w:r>
      <w:r w:rsidR="00AA4559">
        <w:t xml:space="preserve"> annually,</w:t>
      </w:r>
      <w:r w:rsidR="00F948B2">
        <w:t xml:space="preserve"> </w:t>
      </w:r>
      <w:r w:rsidR="00AA4559">
        <w:t>as needed</w:t>
      </w:r>
      <w:r w:rsidR="00F948B2">
        <w:t>.</w:t>
      </w:r>
    </w:p>
    <w:p w14:paraId="54EBA99B" w14:textId="28AAC461" w:rsidR="00F948B2" w:rsidRDefault="00F948B2" w:rsidP="00F948B2">
      <w:pPr>
        <w:tabs>
          <w:tab w:val="left" w:pos="360"/>
          <w:tab w:val="left" w:pos="720"/>
          <w:tab w:val="left" w:pos="1080"/>
          <w:tab w:val="left" w:pos="1440"/>
          <w:tab w:val="left" w:pos="1800"/>
          <w:tab w:val="left" w:pos="2160"/>
        </w:tabs>
      </w:pPr>
      <w:r w:rsidRPr="00802336">
        <w:rPr>
          <w:b/>
        </w:rPr>
        <w:t>Benefits</w:t>
      </w:r>
      <w:r w:rsidR="00E00A68">
        <w:rPr>
          <w:b/>
        </w:rPr>
        <w:t>:</w:t>
      </w:r>
      <w:r w:rsidRPr="00870959">
        <w:t xml:space="preserve"> </w:t>
      </w:r>
      <w:r w:rsidR="00E00A68">
        <w:t>By</w:t>
      </w:r>
      <w:r w:rsidR="00E00A68" w:rsidRPr="00870959">
        <w:t xml:space="preserve"> </w:t>
      </w:r>
      <w:r w:rsidRPr="00870959">
        <w:t>implementing this recommendation</w:t>
      </w:r>
      <w:r w:rsidR="00E00A68">
        <w:t>,</w:t>
      </w:r>
      <w:r w:rsidRPr="00870959">
        <w:t xml:space="preserve"> </w:t>
      </w:r>
      <w:r w:rsidR="00AA4559">
        <w:t xml:space="preserve">the district will align its budget documents with state regulation 603 CMR 10.05; the </w:t>
      </w:r>
      <w:r>
        <w:t xml:space="preserve">district and </w:t>
      </w:r>
      <w:r w:rsidR="00AA4559">
        <w:t xml:space="preserve">the </w:t>
      </w:r>
      <w:r>
        <w:t xml:space="preserve">city </w:t>
      </w:r>
      <w:r w:rsidR="00AA4559">
        <w:t>will have a clear understanding of municipal expenditures that are provided to the district; and the district will be able to monitor and internally audit cots for education-related services and ensure the accuracy of these expenditures</w:t>
      </w:r>
      <w:r>
        <w:t>.  Working together on reviewing the agreement regular</w:t>
      </w:r>
      <w:r w:rsidR="00DA75AC">
        <w:t>ly</w:t>
      </w:r>
      <w:r>
        <w:t xml:space="preserve"> will also contribute to a collaborative working relationship between the district and </w:t>
      </w:r>
      <w:r w:rsidR="00DA75AC">
        <w:t xml:space="preserve">the </w:t>
      </w:r>
      <w:r>
        <w:t xml:space="preserve">city. </w:t>
      </w:r>
    </w:p>
    <w:p w14:paraId="6FD686A2" w14:textId="77777777" w:rsidR="00F948B2" w:rsidRDefault="00F948B2" w:rsidP="00F948B2">
      <w:pPr>
        <w:tabs>
          <w:tab w:val="left" w:pos="360"/>
          <w:tab w:val="left" w:pos="720"/>
          <w:tab w:val="left" w:pos="1080"/>
          <w:tab w:val="left" w:pos="1800"/>
          <w:tab w:val="left" w:pos="2160"/>
        </w:tabs>
        <w:rPr>
          <w:b/>
        </w:rPr>
      </w:pPr>
      <w:r w:rsidRPr="001D4EB6">
        <w:rPr>
          <w:b/>
        </w:rPr>
        <w:t>Recommended resources:</w:t>
      </w:r>
    </w:p>
    <w:p w14:paraId="13F7E133" w14:textId="77777777" w:rsidR="00F948B2" w:rsidRPr="00910462" w:rsidRDefault="00F948B2" w:rsidP="00A50D17">
      <w:pPr>
        <w:numPr>
          <w:ilvl w:val="0"/>
          <w:numId w:val="34"/>
        </w:numPr>
      </w:pPr>
      <w:r w:rsidRPr="00910462">
        <w:rPr>
          <w:rFonts w:cs="Calibri"/>
          <w:i/>
        </w:rPr>
        <w:t>End-of-Year Financial Report</w:t>
      </w:r>
      <w:r w:rsidRPr="00910462">
        <w:rPr>
          <w:rFonts w:cs="Calibri"/>
        </w:rPr>
        <w:t xml:space="preserve"> information can be found at </w:t>
      </w:r>
      <w:hyperlink r:id="rId53" w:history="1">
        <w:r w:rsidRPr="00910462">
          <w:rPr>
            <w:rStyle w:val="Hyperlink"/>
            <w:rFonts w:cs="Calibri"/>
          </w:rPr>
          <w:t>http://www.doe.mass.edu/finance/accounting/eoy/</w:t>
        </w:r>
      </w:hyperlink>
      <w:r w:rsidRPr="00910462">
        <w:t>.</w:t>
      </w:r>
      <w:r w:rsidRPr="00910462">
        <w:rPr>
          <w:rFonts w:cs="Calibri"/>
        </w:rPr>
        <w:t xml:space="preserve"> </w:t>
      </w:r>
    </w:p>
    <w:p w14:paraId="27872E2E" w14:textId="01B44CE9" w:rsidR="00F948B2" w:rsidRPr="00910462" w:rsidRDefault="00330289" w:rsidP="00A50D17">
      <w:pPr>
        <w:pStyle w:val="ListParagraph"/>
        <w:numPr>
          <w:ilvl w:val="0"/>
          <w:numId w:val="34"/>
        </w:numPr>
        <w:tabs>
          <w:tab w:val="num" w:pos="480"/>
        </w:tabs>
        <w:contextualSpacing w:val="0"/>
        <w:rPr>
          <w:rFonts w:cs="Calibri"/>
        </w:rPr>
      </w:pPr>
      <w:r>
        <w:rPr>
          <w:rFonts w:cs="Calibri"/>
        </w:rPr>
        <w:t>D</w:t>
      </w:r>
      <w:r w:rsidR="00F948B2" w:rsidRPr="00910462">
        <w:rPr>
          <w:rFonts w:cs="Calibri"/>
        </w:rPr>
        <w:t>ESE’s webpage on school finance laws and regulations (</w:t>
      </w:r>
      <w:hyperlink r:id="rId54" w:history="1">
        <w:r w:rsidR="00F948B2" w:rsidRPr="00910462">
          <w:rPr>
            <w:rStyle w:val="Hyperlink"/>
            <w:rFonts w:cs="Calibri"/>
          </w:rPr>
          <w:t>http://www.doe.mass.edu/lawsregs/603cmr10.html?section=04</w:t>
        </w:r>
      </w:hyperlink>
      <w:r w:rsidR="00F948B2" w:rsidRPr="00910462">
        <w:rPr>
          <w:rFonts w:cs="Calibri"/>
        </w:rPr>
        <w:t xml:space="preserve">) provides a </w:t>
      </w:r>
      <w:r w:rsidR="00F948B2" w:rsidRPr="00910462">
        <w:t>list of municipal payments commonly made on behalf of school districts.</w:t>
      </w:r>
    </w:p>
    <w:p w14:paraId="3086BDED" w14:textId="77777777" w:rsidR="008E314D" w:rsidRDefault="008E314D" w:rsidP="002A36F3">
      <w:pPr>
        <w:pStyle w:val="Section"/>
      </w:pPr>
      <w:bookmarkStart w:id="17" w:name="_Toc273777167"/>
      <w:bookmarkStart w:id="18" w:name="_Toc277066425"/>
      <w:bookmarkStart w:id="19" w:name="_Toc337817149"/>
      <w:bookmarkStart w:id="20" w:name="_Toc536687555"/>
      <w:bookmarkEnd w:id="11"/>
      <w:r w:rsidRPr="00C7256A">
        <w:lastRenderedPageBreak/>
        <w:t xml:space="preserve">Appendix A: Review </w:t>
      </w:r>
      <w:bookmarkEnd w:id="17"/>
      <w:bookmarkEnd w:id="18"/>
      <w:bookmarkEnd w:id="19"/>
      <w:r w:rsidRPr="00C7256A">
        <w:t>Team, Activities, Schedule, Site Visit</w:t>
      </w:r>
      <w:bookmarkEnd w:id="2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34C6B550"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9A05F7">
        <w:t>February 25–28, 2019,</w:t>
      </w:r>
      <w:r w:rsidRPr="00E06B74">
        <w:t xml:space="preserve"> by the following team of independent </w:t>
      </w:r>
      <w:r w:rsidR="00222827">
        <w:t>D</w:t>
      </w:r>
      <w:r>
        <w:t xml:space="preserve">ESE </w:t>
      </w:r>
      <w:r w:rsidRPr="00E06B74">
        <w:t xml:space="preserve">consultants. </w:t>
      </w:r>
    </w:p>
    <w:p w14:paraId="78212244" w14:textId="0769162C"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w:t>
      </w:r>
      <w:proofErr w:type="spellStart"/>
      <w:r>
        <w:rPr>
          <w:rFonts w:ascii="Calibri" w:hAnsi="Calibri"/>
        </w:rPr>
        <w:t>Caradonio</w:t>
      </w:r>
      <w:proofErr w:type="spellEnd"/>
      <w:r>
        <w:rPr>
          <w:rFonts w:ascii="Calibri" w:hAnsi="Calibri"/>
        </w:rPr>
        <w:t>, Ed. D.</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0E6B4645"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Linda L. </w:t>
      </w:r>
      <w:proofErr w:type="spellStart"/>
      <w:r>
        <w:rPr>
          <w:rFonts w:ascii="Calibri" w:hAnsi="Calibri"/>
        </w:rPr>
        <w:t>Greyser</w:t>
      </w:r>
      <w:proofErr w:type="spellEnd"/>
      <w:r>
        <w:rPr>
          <w:rFonts w:ascii="Calibri" w:hAnsi="Calibri"/>
        </w:rPr>
        <w:t>, Ed. D.</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nstruction</w:t>
      </w:r>
      <w:r>
        <w:rPr>
          <w:rFonts w:ascii="Calibri" w:hAnsi="Calibri"/>
        </w:rPr>
        <w:t xml:space="preserve"> and </w:t>
      </w:r>
      <w:r w:rsidR="00ED3281" w:rsidRPr="00222827">
        <w:rPr>
          <w:rFonts w:ascii="Calibri" w:hAnsi="Calibri"/>
          <w:i/>
        </w:rPr>
        <w:t>r</w:t>
      </w:r>
      <w:r w:rsidRPr="00222827">
        <w:rPr>
          <w:rFonts w:ascii="Calibri" w:hAnsi="Calibri"/>
          <w:i/>
        </w:rPr>
        <w:t xml:space="preserve">eview </w:t>
      </w:r>
      <w:r w:rsidR="00ED3281" w:rsidRPr="00222827">
        <w:rPr>
          <w:rFonts w:ascii="Calibri" w:hAnsi="Calibri"/>
          <w:i/>
        </w:rPr>
        <w:t>t</w:t>
      </w:r>
      <w:r w:rsidRPr="00222827">
        <w:rPr>
          <w:rFonts w:ascii="Calibri" w:hAnsi="Calibri"/>
          <w:i/>
        </w:rPr>
        <w:t xml:space="preserve">eam </w:t>
      </w:r>
      <w:r w:rsidR="00ED3281" w:rsidRPr="00222827">
        <w:rPr>
          <w:rFonts w:ascii="Calibri" w:hAnsi="Calibri"/>
          <w:i/>
        </w:rPr>
        <w:t>c</w:t>
      </w:r>
      <w:r w:rsidRPr="00222827">
        <w:rPr>
          <w:rFonts w:ascii="Calibri" w:hAnsi="Calibri"/>
          <w:i/>
        </w:rPr>
        <w:t>oordinator</w:t>
      </w:r>
      <w:r w:rsidR="00A60AC7" w:rsidRPr="00097A69">
        <w:rPr>
          <w:rFonts w:ascii="Calibri" w:hAnsi="Calibri"/>
        </w:rPr>
        <w:t xml:space="preserve"> </w:t>
      </w:r>
    </w:p>
    <w:p w14:paraId="08BA44F7" w14:textId="22E815C3"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Lonnie Kaufman</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p>
    <w:p w14:paraId="6CF467D5" w14:textId="40685527"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Frank </w:t>
      </w:r>
      <w:proofErr w:type="spellStart"/>
      <w:r>
        <w:rPr>
          <w:rFonts w:ascii="Calibri" w:hAnsi="Calibri"/>
        </w:rPr>
        <w:t>Sambuceti</w:t>
      </w:r>
      <w:proofErr w:type="spellEnd"/>
      <w:r>
        <w:rPr>
          <w:rFonts w:ascii="Calibri" w:hAnsi="Calibri"/>
        </w:rPr>
        <w:t>, Ph. D.</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23CB0BB9"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Tom </w:t>
      </w:r>
      <w:proofErr w:type="spellStart"/>
      <w:r>
        <w:rPr>
          <w:rFonts w:ascii="Calibri" w:hAnsi="Calibri"/>
        </w:rPr>
        <w:t>LaValley</w:t>
      </w:r>
      <w:proofErr w:type="spellEnd"/>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2F9C4C44" w:rsidR="008E314D" w:rsidRDefault="00D226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Marge Foster</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9A69B0">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3A3CBC1F" w14:textId="77250443" w:rsidR="00A224B0" w:rsidRDefault="008E314D">
      <w:pPr>
        <w:tabs>
          <w:tab w:val="left" w:pos="360"/>
          <w:tab w:val="left" w:pos="720"/>
          <w:tab w:val="left" w:pos="1080"/>
          <w:tab w:val="left" w:pos="1440"/>
          <w:tab w:val="left" w:pos="1800"/>
          <w:tab w:val="left" w:pos="2160"/>
          <w:tab w:val="left" w:pos="2520"/>
          <w:tab w:val="left" w:pos="2880"/>
        </w:tabs>
      </w:pPr>
      <w:r w:rsidRPr="00097A69">
        <w:t>The team conducte</w:t>
      </w:r>
      <w:r>
        <w:t xml:space="preserve">d interviews </w:t>
      </w:r>
      <w:r w:rsidR="00612514">
        <w:t xml:space="preserve">or focus groups </w:t>
      </w:r>
      <w:r>
        <w:t xml:space="preserve">with </w:t>
      </w:r>
      <w:r w:rsidRPr="00097A69">
        <w:t>financial personnel</w:t>
      </w:r>
      <w:r w:rsidR="00612514">
        <w:t>,</w:t>
      </w:r>
      <w:r w:rsidRPr="00097A69">
        <w:t xml:space="preserve"> members of the </w:t>
      </w:r>
      <w:r w:rsidR="00931979">
        <w:t>s</w:t>
      </w:r>
      <w:r w:rsidRPr="00097A69">
        <w:t xml:space="preserve">chool </w:t>
      </w:r>
      <w:r w:rsidR="00931979">
        <w:t>c</w:t>
      </w:r>
      <w:r w:rsidRPr="00097A69">
        <w:t>ommittee</w:t>
      </w:r>
      <w:r w:rsidR="00612514">
        <w:t xml:space="preserve">, </w:t>
      </w:r>
      <w:r>
        <w:t xml:space="preserve">representatives </w:t>
      </w:r>
      <w:r w:rsidRPr="00097A69">
        <w:t>of the teachers’ association</w:t>
      </w:r>
      <w:r w:rsidR="00612514">
        <w:t xml:space="preserve">, </w:t>
      </w:r>
      <w:r>
        <w:t>central office administrators</w:t>
      </w:r>
      <w:r w:rsidR="00612514">
        <w:t xml:space="preserve">, students, students’ families, </w:t>
      </w:r>
      <w:r w:rsidR="00612514" w:rsidRPr="00097A69">
        <w:t>principals</w:t>
      </w:r>
      <w:r w:rsidR="00612514">
        <w:t>, and teachers.</w:t>
      </w:r>
    </w:p>
    <w:p w14:paraId="120CE439" w14:textId="6958523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w:t>
      </w:r>
      <w:r w:rsidR="00830C49">
        <w:t xml:space="preserve">visited the following schools: </w:t>
      </w:r>
      <w:r w:rsidR="00A224B0">
        <w:t>Barbieri Elementary School (K</w:t>
      </w:r>
      <w:r w:rsidR="00BC0636">
        <w:t>–</w:t>
      </w:r>
      <w:r w:rsidR="00A224B0">
        <w:t xml:space="preserve">5), Brophy Elementary School </w:t>
      </w:r>
      <w:r w:rsidR="00F05928">
        <w:t>(</w:t>
      </w:r>
      <w:r w:rsidR="00A224B0">
        <w:t>K</w:t>
      </w:r>
      <w:r w:rsidR="00BC0636">
        <w:t>–</w:t>
      </w:r>
      <w:r w:rsidR="00A224B0">
        <w:t>5), Dunning Elementary School</w:t>
      </w:r>
      <w:r w:rsidRPr="00097A69">
        <w:t xml:space="preserve"> (</w:t>
      </w:r>
      <w:r w:rsidR="00A224B0">
        <w:t>K</w:t>
      </w:r>
      <w:r w:rsidR="00BC0636">
        <w:t>–</w:t>
      </w:r>
      <w:r w:rsidR="00A224B0">
        <w:t>5</w:t>
      </w:r>
      <w:r w:rsidRPr="00097A69">
        <w:t xml:space="preserve">), </w:t>
      </w:r>
      <w:r w:rsidR="00A224B0">
        <w:t>Hemenway Elementary School (K</w:t>
      </w:r>
      <w:r w:rsidR="00BC0636">
        <w:t>–</w:t>
      </w:r>
      <w:r w:rsidR="00A224B0">
        <w:t xml:space="preserve">5), King Elementary School </w:t>
      </w:r>
      <w:r w:rsidRPr="00097A69">
        <w:t>(</w:t>
      </w:r>
      <w:r w:rsidR="00A224B0">
        <w:t>K</w:t>
      </w:r>
      <w:r w:rsidR="00BC0636">
        <w:t>–</w:t>
      </w:r>
      <w:r w:rsidR="00A224B0">
        <w:t>5</w:t>
      </w:r>
      <w:r w:rsidRPr="00097A69">
        <w:t>),</w:t>
      </w:r>
      <w:r>
        <w:t xml:space="preserve"> </w:t>
      </w:r>
      <w:r w:rsidR="00A224B0">
        <w:t>McCarthy Elementary School (K</w:t>
      </w:r>
      <w:r w:rsidR="00BC0636">
        <w:t>–</w:t>
      </w:r>
      <w:r w:rsidR="00A224B0">
        <w:t>5), Potter Road Elementary School (K</w:t>
      </w:r>
      <w:r w:rsidR="00BC0636">
        <w:t>–</w:t>
      </w:r>
      <w:r w:rsidR="00A224B0">
        <w:t xml:space="preserve">5), </w:t>
      </w:r>
      <w:r w:rsidR="00830C49">
        <w:t xml:space="preserve">Stapleton Elementary School (K–5), </w:t>
      </w:r>
      <w:r w:rsidR="00A224B0">
        <w:t>Wilson Elementary School (</w:t>
      </w:r>
      <w:r w:rsidR="00F05928">
        <w:t>K</w:t>
      </w:r>
      <w:r w:rsidR="00BC0636">
        <w:t>–</w:t>
      </w:r>
      <w:r w:rsidR="00A224B0">
        <w:t>5), Cameron Middle School (grades 6</w:t>
      </w:r>
      <w:r w:rsidR="00BC0636">
        <w:t>–</w:t>
      </w:r>
      <w:r w:rsidR="00A224B0">
        <w:t>8), Fuller Middle School (grades 6</w:t>
      </w:r>
      <w:r w:rsidR="00BC0636">
        <w:t>–</w:t>
      </w:r>
      <w:r w:rsidR="00A224B0">
        <w:t>8), Walsh Middle School (grades 6-8</w:t>
      </w:r>
      <w:r w:rsidR="00BC0636">
        <w:t>)</w:t>
      </w:r>
      <w:r w:rsidR="00A224B0">
        <w:t>, Framingham High School (grades</w:t>
      </w:r>
      <w:r w:rsidR="00BC0636">
        <w:t>–</w:t>
      </w:r>
      <w:r w:rsidR="00A224B0">
        <w:t>12)</w:t>
      </w:r>
      <w:r w:rsidR="00BC0636">
        <w:t>,</w:t>
      </w:r>
      <w:r w:rsidR="00A224B0">
        <w:t xml:space="preserve"> and the Thayer Campus</w:t>
      </w:r>
      <w:r w:rsidR="00BC0636">
        <w:rPr>
          <w:rStyle w:val="FootnoteReference"/>
        </w:rPr>
        <w:footnoteReference w:id="17"/>
      </w:r>
      <w:r w:rsidR="00A224B0">
        <w:t xml:space="preserve"> (grades 9</w:t>
      </w:r>
      <w:r w:rsidR="00BC0636">
        <w:t>–</w:t>
      </w:r>
      <w:r w:rsidR="00A224B0">
        <w:t>12)</w:t>
      </w:r>
      <w:r w:rsidRPr="00097A69">
        <w:t>.</w:t>
      </w:r>
    </w:p>
    <w:p w14:paraId="67862ED2" w14:textId="3FAD4D07" w:rsidR="008E314D" w:rsidRDefault="00B23D75" w:rsidP="008E314D">
      <w:pPr>
        <w:tabs>
          <w:tab w:val="left" w:pos="360"/>
          <w:tab w:val="left" w:pos="720"/>
          <w:tab w:val="left" w:pos="1080"/>
          <w:tab w:val="left" w:pos="1440"/>
          <w:tab w:val="left" w:pos="1800"/>
          <w:tab w:val="left" w:pos="2160"/>
          <w:tab w:val="left" w:pos="2520"/>
          <w:tab w:val="left" w:pos="2880"/>
        </w:tabs>
      </w:pPr>
      <w:r w:rsidRPr="00BA3A76">
        <w:t xml:space="preserve">The team observed </w:t>
      </w:r>
      <w:r>
        <w:t xml:space="preserve">91 </w:t>
      </w:r>
      <w:r w:rsidRPr="00BA3A76">
        <w:t xml:space="preserve">classes throughout the district:  </w:t>
      </w:r>
      <w:r>
        <w:t xml:space="preserve">26 </w:t>
      </w:r>
      <w:r w:rsidRPr="00BA3A76">
        <w:t>at the high school</w:t>
      </w:r>
      <w:r>
        <w:t>s (including the Thayer Campus),</w:t>
      </w:r>
      <w:r w:rsidRPr="00BA3A76">
        <w:t xml:space="preserve"> </w:t>
      </w:r>
      <w:r>
        <w:t>18</w:t>
      </w:r>
      <w:r w:rsidRPr="00BA3A76">
        <w:t xml:space="preserve"> at the </w:t>
      </w:r>
      <w:r>
        <w:t xml:space="preserve">3 </w:t>
      </w:r>
      <w:r w:rsidRPr="00BA3A76">
        <w:t xml:space="preserve">middle schools, and </w:t>
      </w:r>
      <w:r>
        <w:t xml:space="preserve">47 </w:t>
      </w:r>
      <w:r w:rsidRPr="00BA3A76">
        <w:t xml:space="preserve">at the </w:t>
      </w:r>
      <w:r>
        <w:t>8</w:t>
      </w:r>
      <w:r w:rsidRPr="00BA3A76">
        <w:t xml:space="preserve"> elementary school</w:t>
      </w:r>
      <w:r>
        <w:t>s.</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6357AECF"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Published educational reports on the district by </w:t>
      </w:r>
      <w:r w:rsidR="00BC0636">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27CF3C2E"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r w:rsidR="00A224B0">
        <w:rPr>
          <w:rFonts w:ascii="Calibri" w:hAnsi="Calibri"/>
        </w:rPr>
        <w:t xml:space="preserve">  </w:t>
      </w:r>
    </w:p>
    <w:p w14:paraId="3B8731DB" w14:textId="67B9F118" w:rsidR="008E314D" w:rsidRPr="00A224B0" w:rsidRDefault="008E314D" w:rsidP="00EC5B5A">
      <w:pPr>
        <w:pStyle w:val="Subsection2"/>
        <w:tabs>
          <w:tab w:val="left" w:pos="360"/>
          <w:tab w:val="left" w:pos="720"/>
          <w:tab w:val="left" w:pos="1080"/>
          <w:tab w:val="left" w:pos="1440"/>
          <w:tab w:val="left" w:pos="1800"/>
          <w:tab w:val="left" w:pos="2160"/>
          <w:tab w:val="left" w:pos="2520"/>
          <w:tab w:val="left" w:pos="2880"/>
        </w:tabs>
        <w:jc w:val="center"/>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0ABE8719" w:rsidR="008E314D" w:rsidRDefault="00B23D7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February 25, 2019</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12725DE2" w:rsidR="008E314D" w:rsidRDefault="00B23D7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February 26, 2019</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334B12E4" w:rsidR="008E314D" w:rsidRDefault="00B23D7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February 27, 2019</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12A14F3E" w:rsidR="008E314D" w:rsidRDefault="00B23D7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February 28, 2019</w:t>
            </w:r>
          </w:p>
        </w:tc>
      </w:tr>
      <w:tr w:rsidR="008E314D" w:rsidRPr="00E06B74" w14:paraId="1A9D43A8" w14:textId="77777777" w:rsidTr="00350132">
        <w:trPr>
          <w:trHeight w:val="620"/>
        </w:trPr>
        <w:tc>
          <w:tcPr>
            <w:tcW w:w="2178" w:type="dxa"/>
          </w:tcPr>
          <w:p w14:paraId="30B55526" w14:textId="5FEBA940" w:rsidR="008E314D" w:rsidRDefault="008E314D" w:rsidP="00830C4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B23D75">
              <w:rPr>
                <w:sz w:val="20"/>
              </w:rPr>
              <w:t xml:space="preserve">Stapleton Elementary School </w:t>
            </w:r>
            <w:r w:rsidR="00830C49">
              <w:rPr>
                <w:sz w:val="20"/>
              </w:rPr>
              <w:t xml:space="preserve">and </w:t>
            </w:r>
            <w:r w:rsidR="00B23D75">
              <w:rPr>
                <w:sz w:val="20"/>
              </w:rPr>
              <w:t xml:space="preserve">Cameron Middle School </w:t>
            </w:r>
            <w:r>
              <w:rPr>
                <w:sz w:val="20"/>
              </w:rPr>
              <w:t>for classroom observations.</w:t>
            </w:r>
          </w:p>
        </w:tc>
        <w:tc>
          <w:tcPr>
            <w:tcW w:w="2190" w:type="dxa"/>
          </w:tcPr>
          <w:p w14:paraId="379072DD" w14:textId="5228091D" w:rsidR="008E314D" w:rsidRDefault="008E314D" w:rsidP="00A60AC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and </w:t>
            </w:r>
            <w:r w:rsidRPr="007C5F07">
              <w:rPr>
                <w:sz w:val="20"/>
              </w:rPr>
              <w:t xml:space="preserve">visits to </w:t>
            </w:r>
            <w:r w:rsidR="00B23D75">
              <w:rPr>
                <w:sz w:val="20"/>
              </w:rPr>
              <w:t>Hemenway Elementary School, Woodrow Wilson Elementary School</w:t>
            </w:r>
            <w:r w:rsidR="00830C49">
              <w:rPr>
                <w:sz w:val="20"/>
              </w:rPr>
              <w:t>,</w:t>
            </w:r>
            <w:r w:rsidR="00B23D75">
              <w:rPr>
                <w:sz w:val="20"/>
              </w:rPr>
              <w:t xml:space="preserve"> and Framingham High School </w:t>
            </w:r>
            <w:r>
              <w:rPr>
                <w:sz w:val="20"/>
              </w:rPr>
              <w:t>for classroom observations.</w:t>
            </w:r>
          </w:p>
        </w:tc>
        <w:tc>
          <w:tcPr>
            <w:tcW w:w="2292" w:type="dxa"/>
          </w:tcPr>
          <w:p w14:paraId="3B935CE1" w14:textId="5773EC36"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00A224B0">
              <w:rPr>
                <w:sz w:val="20"/>
              </w:rPr>
              <w:t>follow-up interviews</w:t>
            </w:r>
            <w:r w:rsidR="00ED3281">
              <w:rPr>
                <w:sz w:val="20"/>
              </w:rPr>
              <w:t xml:space="preserve">; </w:t>
            </w:r>
            <w:r w:rsidRPr="007C5F07">
              <w:rPr>
                <w:sz w:val="20"/>
              </w:rPr>
              <w:t>visits to</w:t>
            </w:r>
            <w:r w:rsidR="00B23D75">
              <w:rPr>
                <w:sz w:val="20"/>
              </w:rPr>
              <w:t xml:space="preserve"> Barbieri Elementary School, Brophy Elementary School, McCarthy Elementary School, Fuller Middle School, Walsh Middle School, and </w:t>
            </w:r>
            <w:r w:rsidR="00830C49">
              <w:rPr>
                <w:sz w:val="20"/>
              </w:rPr>
              <w:t xml:space="preserve">the </w:t>
            </w:r>
            <w:r w:rsidR="00B23D75">
              <w:rPr>
                <w:sz w:val="20"/>
              </w:rPr>
              <w:t xml:space="preserve">Thayer </w:t>
            </w:r>
            <w:r w:rsidR="00504BF6">
              <w:rPr>
                <w:sz w:val="20"/>
              </w:rPr>
              <w:t>Campus, for</w:t>
            </w:r>
            <w:r>
              <w:rPr>
                <w:sz w:val="20"/>
              </w:rPr>
              <w:t xml:space="preserve"> classroom observations.</w:t>
            </w:r>
          </w:p>
        </w:tc>
        <w:tc>
          <w:tcPr>
            <w:tcW w:w="2520" w:type="dxa"/>
          </w:tcPr>
          <w:p w14:paraId="1F5F005A" w14:textId="6C0CC8FB"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23D75">
              <w:rPr>
                <w:sz w:val="20"/>
              </w:rPr>
              <w:t xml:space="preserve">Dunning Elementary School, King Elementary School, </w:t>
            </w:r>
            <w:r w:rsidR="00ED3281">
              <w:rPr>
                <w:sz w:val="20"/>
              </w:rPr>
              <w:t>Potter Road Elementary School</w:t>
            </w:r>
            <w:r w:rsidR="00830C49">
              <w:rPr>
                <w:sz w:val="20"/>
              </w:rPr>
              <w:t>,</w:t>
            </w:r>
            <w:r w:rsidR="00ED3281">
              <w:rPr>
                <w:sz w:val="20"/>
              </w:rPr>
              <w:t xml:space="preserve"> and </w:t>
            </w:r>
            <w:r w:rsidR="00B23D75">
              <w:rPr>
                <w:sz w:val="20"/>
              </w:rPr>
              <w:t xml:space="preserve">Framingham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00ED3281">
              <w:rPr>
                <w:sz w:val="20"/>
              </w:rPr>
              <w:t xml:space="preserve"> and assistant superintendents</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6A7012E" w14:textId="041B9D7F" w:rsidR="002F1EBE" w:rsidRPr="002F1EBE" w:rsidRDefault="002F1EBE" w:rsidP="00C85CD0">
      <w:pPr>
        <w:pStyle w:val="Section"/>
      </w:pPr>
      <w:bookmarkStart w:id="21" w:name="_Toc536687556"/>
      <w:bookmarkStart w:id="22" w:name="_Toc337817151"/>
      <w:r w:rsidRPr="002F1EBE">
        <w:lastRenderedPageBreak/>
        <w:t xml:space="preserve">Appendix B: Enrollment, </w:t>
      </w:r>
      <w:r w:rsidR="00FE2534">
        <w:t>Attendance</w:t>
      </w:r>
      <w:r w:rsidRPr="002F1EBE">
        <w:t>, Expenditures</w:t>
      </w:r>
      <w:bookmarkEnd w:id="21"/>
    </w:p>
    <w:p w14:paraId="58B6C432" w14:textId="77777777" w:rsidR="0017201D" w:rsidRPr="004471C8" w:rsidRDefault="0017201D" w:rsidP="0017201D">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Framingham </w:t>
      </w:r>
      <w:r w:rsidRPr="004471C8">
        <w:rPr>
          <w:rFonts w:ascii="Calibri" w:eastAsia="Calibri" w:hAnsi="Calibri" w:cs="Times New Roman"/>
          <w:b/>
          <w:sz w:val="20"/>
        </w:rPr>
        <w:t>Public Schools</w:t>
      </w:r>
    </w:p>
    <w:p w14:paraId="7691907F" w14:textId="77777777" w:rsidR="0017201D" w:rsidRPr="004471C8" w:rsidRDefault="0017201D" w:rsidP="0017201D">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Framingham Public Schools"/>
        <w:tblDescription w:val="2018–2019 Student Enrollment by Race/Ethnicity&#10;"/>
      </w:tblPr>
      <w:tblGrid>
        <w:gridCol w:w="2898"/>
        <w:gridCol w:w="1591"/>
        <w:gridCol w:w="1592"/>
        <w:gridCol w:w="1592"/>
        <w:gridCol w:w="1592"/>
      </w:tblGrid>
      <w:tr w:rsidR="0017201D" w:rsidRPr="004471C8" w14:paraId="44FFE52D" w14:textId="77777777" w:rsidTr="000F5BEE">
        <w:tc>
          <w:tcPr>
            <w:tcW w:w="2898" w:type="dxa"/>
            <w:vAlign w:val="center"/>
          </w:tcPr>
          <w:p w14:paraId="49614C46" w14:textId="6EC8D663" w:rsidR="0017201D" w:rsidRPr="00E26882" w:rsidRDefault="0017201D" w:rsidP="000F5BEE">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34B80840"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13214B88"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7F5B506F"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6D299CB8"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706E3C59"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500E05C3" w14:textId="77777777" w:rsidR="0017201D" w:rsidRPr="00E26882" w:rsidRDefault="0017201D" w:rsidP="000F5BEE">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17201D" w:rsidRPr="004471C8" w14:paraId="60D2A753" w14:textId="77777777" w:rsidTr="000F5BEE">
        <w:tc>
          <w:tcPr>
            <w:tcW w:w="2898" w:type="dxa"/>
          </w:tcPr>
          <w:p w14:paraId="2807D94C" w14:textId="77777777" w:rsidR="0017201D" w:rsidRPr="00E26882" w:rsidRDefault="0017201D" w:rsidP="00697F37">
            <w:pPr>
              <w:spacing w:after="0" w:line="240" w:lineRule="auto"/>
              <w:rPr>
                <w:rFonts w:ascii="Calibri" w:eastAsia="Times New Roman" w:hAnsi="Calibri" w:cs="Times New Roman"/>
                <w:sz w:val="20"/>
                <w:szCs w:val="20"/>
              </w:rPr>
            </w:pPr>
            <w:proofErr w:type="gramStart"/>
            <w:r w:rsidRPr="00E26882">
              <w:rPr>
                <w:rFonts w:ascii="Calibri" w:eastAsia="Times New Roman" w:hAnsi="Calibri" w:cs="Times New Roman"/>
                <w:sz w:val="20"/>
                <w:szCs w:val="20"/>
              </w:rPr>
              <w:t>African-American</w:t>
            </w:r>
            <w:proofErr w:type="gramEnd"/>
          </w:p>
        </w:tc>
        <w:tc>
          <w:tcPr>
            <w:tcW w:w="1591" w:type="dxa"/>
          </w:tcPr>
          <w:p w14:paraId="50280C4E" w14:textId="77777777" w:rsidR="0017201D" w:rsidRPr="00E94F4D" w:rsidRDefault="0017201D" w:rsidP="00697F37">
            <w:pPr>
              <w:spacing w:after="0" w:line="240" w:lineRule="auto"/>
              <w:jc w:val="center"/>
              <w:rPr>
                <w:sz w:val="20"/>
                <w:szCs w:val="20"/>
              </w:rPr>
            </w:pPr>
            <w:r w:rsidRPr="00E94F4D">
              <w:rPr>
                <w:sz w:val="20"/>
                <w:szCs w:val="20"/>
              </w:rPr>
              <w:t>667</w:t>
            </w:r>
          </w:p>
        </w:tc>
        <w:tc>
          <w:tcPr>
            <w:tcW w:w="1592" w:type="dxa"/>
            <w:shd w:val="clear" w:color="auto" w:fill="D9D9D9" w:themeFill="background1" w:themeFillShade="D9"/>
          </w:tcPr>
          <w:p w14:paraId="2B6CE20E" w14:textId="77777777" w:rsidR="0017201D" w:rsidRPr="00E94F4D" w:rsidRDefault="0017201D" w:rsidP="00697F37">
            <w:pPr>
              <w:spacing w:after="0" w:line="240" w:lineRule="auto"/>
              <w:jc w:val="center"/>
              <w:rPr>
                <w:sz w:val="20"/>
                <w:szCs w:val="20"/>
              </w:rPr>
            </w:pPr>
            <w:r w:rsidRPr="00E94F4D">
              <w:rPr>
                <w:sz w:val="20"/>
                <w:szCs w:val="20"/>
              </w:rPr>
              <w:t>7.6%</w:t>
            </w:r>
          </w:p>
        </w:tc>
        <w:tc>
          <w:tcPr>
            <w:tcW w:w="1592" w:type="dxa"/>
          </w:tcPr>
          <w:p w14:paraId="0B290523" w14:textId="77777777" w:rsidR="0017201D" w:rsidRPr="00E94F4D" w:rsidRDefault="0017201D" w:rsidP="00697F37">
            <w:pPr>
              <w:spacing w:after="0" w:line="240" w:lineRule="auto"/>
              <w:jc w:val="center"/>
              <w:rPr>
                <w:sz w:val="20"/>
                <w:szCs w:val="20"/>
              </w:rPr>
            </w:pPr>
            <w:r w:rsidRPr="00E94F4D">
              <w:rPr>
                <w:sz w:val="20"/>
                <w:szCs w:val="20"/>
              </w:rPr>
              <w:t>87,104</w:t>
            </w:r>
          </w:p>
        </w:tc>
        <w:tc>
          <w:tcPr>
            <w:tcW w:w="1592" w:type="dxa"/>
            <w:shd w:val="clear" w:color="auto" w:fill="D9D9D9" w:themeFill="background1" w:themeFillShade="D9"/>
          </w:tcPr>
          <w:p w14:paraId="3FB6BF38" w14:textId="77777777" w:rsidR="0017201D" w:rsidRPr="00E94F4D" w:rsidRDefault="0017201D" w:rsidP="00697F37">
            <w:pPr>
              <w:spacing w:after="0" w:line="240" w:lineRule="auto"/>
              <w:jc w:val="center"/>
              <w:rPr>
                <w:sz w:val="20"/>
                <w:szCs w:val="20"/>
              </w:rPr>
            </w:pPr>
            <w:r w:rsidRPr="00E94F4D">
              <w:rPr>
                <w:sz w:val="20"/>
                <w:szCs w:val="20"/>
              </w:rPr>
              <w:t>9.2%</w:t>
            </w:r>
          </w:p>
        </w:tc>
      </w:tr>
      <w:tr w:rsidR="0017201D" w:rsidRPr="004471C8" w14:paraId="616B8280" w14:textId="77777777" w:rsidTr="000F5BEE">
        <w:tc>
          <w:tcPr>
            <w:tcW w:w="2898" w:type="dxa"/>
          </w:tcPr>
          <w:p w14:paraId="0C6A0F25"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5BD3B8CF" w14:textId="77777777" w:rsidR="0017201D" w:rsidRPr="00E94F4D" w:rsidRDefault="0017201D" w:rsidP="00697F37">
            <w:pPr>
              <w:spacing w:after="0" w:line="240" w:lineRule="auto"/>
              <w:jc w:val="center"/>
              <w:rPr>
                <w:sz w:val="20"/>
                <w:szCs w:val="20"/>
              </w:rPr>
            </w:pPr>
            <w:r w:rsidRPr="00E94F4D">
              <w:rPr>
                <w:sz w:val="20"/>
                <w:szCs w:val="20"/>
              </w:rPr>
              <w:t>434</w:t>
            </w:r>
          </w:p>
        </w:tc>
        <w:tc>
          <w:tcPr>
            <w:tcW w:w="1592" w:type="dxa"/>
            <w:shd w:val="clear" w:color="auto" w:fill="D9D9D9" w:themeFill="background1" w:themeFillShade="D9"/>
          </w:tcPr>
          <w:p w14:paraId="6465CA25" w14:textId="77777777" w:rsidR="0017201D" w:rsidRPr="00E94F4D" w:rsidRDefault="0017201D" w:rsidP="00697F37">
            <w:pPr>
              <w:spacing w:after="0" w:line="240" w:lineRule="auto"/>
              <w:jc w:val="center"/>
              <w:rPr>
                <w:sz w:val="20"/>
                <w:szCs w:val="20"/>
              </w:rPr>
            </w:pPr>
            <w:r w:rsidRPr="00E94F4D">
              <w:rPr>
                <w:sz w:val="20"/>
                <w:szCs w:val="20"/>
              </w:rPr>
              <w:t>4.9%</w:t>
            </w:r>
          </w:p>
        </w:tc>
        <w:tc>
          <w:tcPr>
            <w:tcW w:w="1592" w:type="dxa"/>
          </w:tcPr>
          <w:p w14:paraId="3008CB54" w14:textId="77777777" w:rsidR="0017201D" w:rsidRPr="00E94F4D" w:rsidRDefault="0017201D" w:rsidP="00697F37">
            <w:pPr>
              <w:spacing w:after="0" w:line="240" w:lineRule="auto"/>
              <w:jc w:val="center"/>
              <w:rPr>
                <w:sz w:val="20"/>
                <w:szCs w:val="20"/>
              </w:rPr>
            </w:pPr>
            <w:r w:rsidRPr="00E94F4D">
              <w:rPr>
                <w:sz w:val="20"/>
                <w:szCs w:val="20"/>
              </w:rPr>
              <w:t>66,890</w:t>
            </w:r>
          </w:p>
        </w:tc>
        <w:tc>
          <w:tcPr>
            <w:tcW w:w="1592" w:type="dxa"/>
            <w:shd w:val="clear" w:color="auto" w:fill="D9D9D9" w:themeFill="background1" w:themeFillShade="D9"/>
          </w:tcPr>
          <w:p w14:paraId="5C6D1FD8" w14:textId="77777777" w:rsidR="0017201D" w:rsidRPr="00E94F4D" w:rsidRDefault="0017201D" w:rsidP="00697F37">
            <w:pPr>
              <w:spacing w:after="0" w:line="240" w:lineRule="auto"/>
              <w:jc w:val="center"/>
              <w:rPr>
                <w:sz w:val="20"/>
                <w:szCs w:val="20"/>
              </w:rPr>
            </w:pPr>
            <w:r w:rsidRPr="00E94F4D">
              <w:rPr>
                <w:sz w:val="20"/>
                <w:szCs w:val="20"/>
              </w:rPr>
              <w:t>7.0%</w:t>
            </w:r>
          </w:p>
        </w:tc>
      </w:tr>
      <w:tr w:rsidR="0017201D" w:rsidRPr="004471C8" w14:paraId="32A1A1FE" w14:textId="77777777" w:rsidTr="000F5BEE">
        <w:tc>
          <w:tcPr>
            <w:tcW w:w="2898" w:type="dxa"/>
          </w:tcPr>
          <w:p w14:paraId="747A4AF4"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129A6668" w14:textId="77777777" w:rsidR="0017201D" w:rsidRPr="00E94F4D" w:rsidRDefault="0017201D" w:rsidP="00697F37">
            <w:pPr>
              <w:spacing w:after="0" w:line="240" w:lineRule="auto"/>
              <w:jc w:val="center"/>
              <w:rPr>
                <w:sz w:val="20"/>
                <w:szCs w:val="20"/>
              </w:rPr>
            </w:pPr>
            <w:r w:rsidRPr="00E94F4D">
              <w:rPr>
                <w:sz w:val="20"/>
                <w:szCs w:val="20"/>
              </w:rPr>
              <w:t>2,416</w:t>
            </w:r>
          </w:p>
        </w:tc>
        <w:tc>
          <w:tcPr>
            <w:tcW w:w="1592" w:type="dxa"/>
            <w:shd w:val="clear" w:color="auto" w:fill="D9D9D9" w:themeFill="background1" w:themeFillShade="D9"/>
          </w:tcPr>
          <w:p w14:paraId="48576FAF" w14:textId="77777777" w:rsidR="0017201D" w:rsidRPr="00E94F4D" w:rsidRDefault="0017201D" w:rsidP="00697F37">
            <w:pPr>
              <w:spacing w:after="0" w:line="240" w:lineRule="auto"/>
              <w:jc w:val="center"/>
              <w:rPr>
                <w:sz w:val="20"/>
                <w:szCs w:val="20"/>
              </w:rPr>
            </w:pPr>
            <w:r w:rsidRPr="00E94F4D">
              <w:rPr>
                <w:sz w:val="20"/>
                <w:szCs w:val="20"/>
              </w:rPr>
              <w:t>27.4%</w:t>
            </w:r>
          </w:p>
        </w:tc>
        <w:tc>
          <w:tcPr>
            <w:tcW w:w="1592" w:type="dxa"/>
          </w:tcPr>
          <w:p w14:paraId="5D64667D" w14:textId="77777777" w:rsidR="0017201D" w:rsidRPr="00E94F4D" w:rsidRDefault="0017201D" w:rsidP="00697F37">
            <w:pPr>
              <w:spacing w:after="0" w:line="240" w:lineRule="auto"/>
              <w:jc w:val="center"/>
              <w:rPr>
                <w:sz w:val="20"/>
                <w:szCs w:val="20"/>
              </w:rPr>
            </w:pPr>
            <w:r w:rsidRPr="00E94F4D">
              <w:rPr>
                <w:sz w:val="20"/>
                <w:szCs w:val="20"/>
              </w:rPr>
              <w:t>197,644</w:t>
            </w:r>
          </w:p>
        </w:tc>
        <w:tc>
          <w:tcPr>
            <w:tcW w:w="1592" w:type="dxa"/>
            <w:shd w:val="clear" w:color="auto" w:fill="D9D9D9" w:themeFill="background1" w:themeFillShade="D9"/>
          </w:tcPr>
          <w:p w14:paraId="6FBCA20C" w14:textId="77777777" w:rsidR="0017201D" w:rsidRPr="00E94F4D" w:rsidRDefault="0017201D" w:rsidP="00697F37">
            <w:pPr>
              <w:spacing w:after="0" w:line="240" w:lineRule="auto"/>
              <w:jc w:val="center"/>
              <w:rPr>
                <w:sz w:val="20"/>
                <w:szCs w:val="20"/>
              </w:rPr>
            </w:pPr>
            <w:r w:rsidRPr="00E94F4D">
              <w:rPr>
                <w:sz w:val="20"/>
                <w:szCs w:val="20"/>
              </w:rPr>
              <w:t>20.8%</w:t>
            </w:r>
          </w:p>
        </w:tc>
      </w:tr>
      <w:tr w:rsidR="0017201D" w:rsidRPr="004471C8" w14:paraId="0134A91C" w14:textId="77777777" w:rsidTr="000F5BEE">
        <w:tc>
          <w:tcPr>
            <w:tcW w:w="2898" w:type="dxa"/>
          </w:tcPr>
          <w:p w14:paraId="7DD05C05"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3D672859" w14:textId="77777777" w:rsidR="0017201D" w:rsidRPr="00E94F4D" w:rsidRDefault="0017201D" w:rsidP="00697F37">
            <w:pPr>
              <w:spacing w:after="0" w:line="240" w:lineRule="auto"/>
              <w:jc w:val="center"/>
              <w:rPr>
                <w:sz w:val="20"/>
                <w:szCs w:val="20"/>
              </w:rPr>
            </w:pPr>
            <w:r w:rsidRPr="00E94F4D">
              <w:rPr>
                <w:sz w:val="20"/>
                <w:szCs w:val="20"/>
              </w:rPr>
              <w:t>5</w:t>
            </w:r>
          </w:p>
        </w:tc>
        <w:tc>
          <w:tcPr>
            <w:tcW w:w="1592" w:type="dxa"/>
            <w:shd w:val="clear" w:color="auto" w:fill="D9D9D9" w:themeFill="background1" w:themeFillShade="D9"/>
          </w:tcPr>
          <w:p w14:paraId="3983B3FA" w14:textId="77777777" w:rsidR="0017201D" w:rsidRPr="00E94F4D" w:rsidRDefault="0017201D" w:rsidP="00697F37">
            <w:pPr>
              <w:spacing w:after="0" w:line="240" w:lineRule="auto"/>
              <w:jc w:val="center"/>
              <w:rPr>
                <w:sz w:val="20"/>
                <w:szCs w:val="20"/>
              </w:rPr>
            </w:pPr>
            <w:r w:rsidRPr="00E94F4D">
              <w:rPr>
                <w:sz w:val="20"/>
                <w:szCs w:val="20"/>
              </w:rPr>
              <w:t>0.1%</w:t>
            </w:r>
          </w:p>
        </w:tc>
        <w:tc>
          <w:tcPr>
            <w:tcW w:w="1592" w:type="dxa"/>
          </w:tcPr>
          <w:p w14:paraId="0C9C48E7" w14:textId="77777777" w:rsidR="0017201D" w:rsidRPr="00E94F4D" w:rsidRDefault="0017201D" w:rsidP="00697F37">
            <w:pPr>
              <w:spacing w:after="0" w:line="240" w:lineRule="auto"/>
              <w:jc w:val="center"/>
              <w:rPr>
                <w:sz w:val="20"/>
                <w:szCs w:val="20"/>
              </w:rPr>
            </w:pPr>
            <w:r w:rsidRPr="00E94F4D">
              <w:rPr>
                <w:sz w:val="20"/>
                <w:szCs w:val="20"/>
              </w:rPr>
              <w:t>2,159</w:t>
            </w:r>
          </w:p>
        </w:tc>
        <w:tc>
          <w:tcPr>
            <w:tcW w:w="1592" w:type="dxa"/>
            <w:shd w:val="clear" w:color="auto" w:fill="D9D9D9" w:themeFill="background1" w:themeFillShade="D9"/>
          </w:tcPr>
          <w:p w14:paraId="62A5798B" w14:textId="77777777" w:rsidR="0017201D" w:rsidRPr="00E94F4D" w:rsidRDefault="0017201D" w:rsidP="00697F37">
            <w:pPr>
              <w:spacing w:after="0" w:line="240" w:lineRule="auto"/>
              <w:jc w:val="center"/>
              <w:rPr>
                <w:sz w:val="20"/>
                <w:szCs w:val="20"/>
              </w:rPr>
            </w:pPr>
            <w:r w:rsidRPr="00E94F4D">
              <w:rPr>
                <w:sz w:val="20"/>
                <w:szCs w:val="20"/>
              </w:rPr>
              <w:t>0.2%</w:t>
            </w:r>
          </w:p>
        </w:tc>
      </w:tr>
      <w:tr w:rsidR="0017201D" w:rsidRPr="004471C8" w14:paraId="7034968F" w14:textId="77777777" w:rsidTr="000F5BEE">
        <w:tc>
          <w:tcPr>
            <w:tcW w:w="2898" w:type="dxa"/>
          </w:tcPr>
          <w:p w14:paraId="5C4841F4"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5B1722FA" w14:textId="77777777" w:rsidR="0017201D" w:rsidRPr="00E94F4D" w:rsidRDefault="0017201D" w:rsidP="00697F37">
            <w:pPr>
              <w:spacing w:after="0" w:line="240" w:lineRule="auto"/>
              <w:jc w:val="center"/>
              <w:rPr>
                <w:sz w:val="20"/>
                <w:szCs w:val="20"/>
              </w:rPr>
            </w:pPr>
            <w:r w:rsidRPr="00E94F4D">
              <w:rPr>
                <w:sz w:val="20"/>
                <w:szCs w:val="20"/>
              </w:rPr>
              <w:t>4,916</w:t>
            </w:r>
          </w:p>
        </w:tc>
        <w:tc>
          <w:tcPr>
            <w:tcW w:w="1592" w:type="dxa"/>
            <w:shd w:val="clear" w:color="auto" w:fill="D9D9D9" w:themeFill="background1" w:themeFillShade="D9"/>
          </w:tcPr>
          <w:p w14:paraId="21A5C75C" w14:textId="77777777" w:rsidR="0017201D" w:rsidRPr="00E94F4D" w:rsidRDefault="0017201D" w:rsidP="00697F37">
            <w:pPr>
              <w:spacing w:after="0" w:line="240" w:lineRule="auto"/>
              <w:jc w:val="center"/>
              <w:rPr>
                <w:sz w:val="20"/>
                <w:szCs w:val="20"/>
              </w:rPr>
            </w:pPr>
            <w:r w:rsidRPr="00E94F4D">
              <w:rPr>
                <w:sz w:val="20"/>
                <w:szCs w:val="20"/>
              </w:rPr>
              <w:t>55.7%</w:t>
            </w:r>
          </w:p>
        </w:tc>
        <w:tc>
          <w:tcPr>
            <w:tcW w:w="1592" w:type="dxa"/>
          </w:tcPr>
          <w:p w14:paraId="6FDDD588" w14:textId="77777777" w:rsidR="0017201D" w:rsidRPr="00E94F4D" w:rsidRDefault="0017201D" w:rsidP="00697F37">
            <w:pPr>
              <w:spacing w:after="0" w:line="240" w:lineRule="auto"/>
              <w:jc w:val="center"/>
              <w:rPr>
                <w:sz w:val="20"/>
                <w:szCs w:val="20"/>
              </w:rPr>
            </w:pPr>
            <w:r w:rsidRPr="00E94F4D">
              <w:rPr>
                <w:sz w:val="20"/>
                <w:szCs w:val="20"/>
              </w:rPr>
              <w:t>561,096</w:t>
            </w:r>
          </w:p>
        </w:tc>
        <w:tc>
          <w:tcPr>
            <w:tcW w:w="1592" w:type="dxa"/>
            <w:shd w:val="clear" w:color="auto" w:fill="D9D9D9" w:themeFill="background1" w:themeFillShade="D9"/>
          </w:tcPr>
          <w:p w14:paraId="2C55BCB1" w14:textId="77777777" w:rsidR="0017201D" w:rsidRPr="00E94F4D" w:rsidRDefault="0017201D" w:rsidP="00697F37">
            <w:pPr>
              <w:spacing w:after="0" w:line="240" w:lineRule="auto"/>
              <w:jc w:val="center"/>
              <w:rPr>
                <w:sz w:val="20"/>
                <w:szCs w:val="20"/>
              </w:rPr>
            </w:pPr>
            <w:r w:rsidRPr="00E94F4D">
              <w:rPr>
                <w:sz w:val="20"/>
                <w:szCs w:val="20"/>
              </w:rPr>
              <w:t>59.0%</w:t>
            </w:r>
          </w:p>
        </w:tc>
      </w:tr>
      <w:tr w:rsidR="0017201D" w:rsidRPr="004471C8" w14:paraId="21729A05" w14:textId="77777777" w:rsidTr="000F5BEE">
        <w:tc>
          <w:tcPr>
            <w:tcW w:w="2898" w:type="dxa"/>
          </w:tcPr>
          <w:p w14:paraId="2C80D7FF"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65EB28C7" w14:textId="77777777" w:rsidR="0017201D" w:rsidRPr="00E94F4D" w:rsidRDefault="0017201D" w:rsidP="00697F37">
            <w:pPr>
              <w:spacing w:after="0" w:line="240" w:lineRule="auto"/>
              <w:jc w:val="center"/>
              <w:rPr>
                <w:sz w:val="20"/>
                <w:szCs w:val="20"/>
              </w:rPr>
            </w:pPr>
            <w:r w:rsidRPr="00E94F4D">
              <w:rPr>
                <w:sz w:val="20"/>
                <w:szCs w:val="20"/>
              </w:rPr>
              <w:t>9</w:t>
            </w:r>
          </w:p>
        </w:tc>
        <w:tc>
          <w:tcPr>
            <w:tcW w:w="1592" w:type="dxa"/>
            <w:shd w:val="clear" w:color="auto" w:fill="D9D9D9" w:themeFill="background1" w:themeFillShade="D9"/>
          </w:tcPr>
          <w:p w14:paraId="09883DA7" w14:textId="77777777" w:rsidR="0017201D" w:rsidRPr="00E94F4D" w:rsidRDefault="0017201D" w:rsidP="00697F37">
            <w:pPr>
              <w:spacing w:after="0" w:line="240" w:lineRule="auto"/>
              <w:jc w:val="center"/>
              <w:rPr>
                <w:sz w:val="20"/>
                <w:szCs w:val="20"/>
              </w:rPr>
            </w:pPr>
            <w:r w:rsidRPr="00E94F4D">
              <w:rPr>
                <w:sz w:val="20"/>
                <w:szCs w:val="20"/>
              </w:rPr>
              <w:t>0.1%</w:t>
            </w:r>
          </w:p>
        </w:tc>
        <w:tc>
          <w:tcPr>
            <w:tcW w:w="1592" w:type="dxa"/>
          </w:tcPr>
          <w:p w14:paraId="4AB1DD99" w14:textId="77777777" w:rsidR="0017201D" w:rsidRPr="00E94F4D" w:rsidRDefault="0017201D" w:rsidP="00697F37">
            <w:pPr>
              <w:spacing w:after="0" w:line="240" w:lineRule="auto"/>
              <w:jc w:val="center"/>
              <w:rPr>
                <w:sz w:val="20"/>
                <w:szCs w:val="20"/>
              </w:rPr>
            </w:pPr>
            <w:r w:rsidRPr="00E94F4D">
              <w:rPr>
                <w:sz w:val="20"/>
                <w:szCs w:val="20"/>
              </w:rPr>
              <w:t>802</w:t>
            </w:r>
          </w:p>
        </w:tc>
        <w:tc>
          <w:tcPr>
            <w:tcW w:w="1592" w:type="dxa"/>
            <w:shd w:val="clear" w:color="auto" w:fill="D9D9D9" w:themeFill="background1" w:themeFillShade="D9"/>
          </w:tcPr>
          <w:p w14:paraId="248F1DAF" w14:textId="77777777" w:rsidR="0017201D" w:rsidRPr="00E94F4D" w:rsidRDefault="0017201D" w:rsidP="00697F37">
            <w:pPr>
              <w:spacing w:after="0" w:line="240" w:lineRule="auto"/>
              <w:jc w:val="center"/>
              <w:rPr>
                <w:sz w:val="20"/>
                <w:szCs w:val="20"/>
              </w:rPr>
            </w:pPr>
            <w:r w:rsidRPr="00E94F4D">
              <w:rPr>
                <w:sz w:val="20"/>
                <w:szCs w:val="20"/>
              </w:rPr>
              <w:t>0.1%</w:t>
            </w:r>
          </w:p>
        </w:tc>
      </w:tr>
      <w:tr w:rsidR="0017201D" w:rsidRPr="004471C8" w14:paraId="6794751E" w14:textId="77777777" w:rsidTr="000F5BEE">
        <w:tc>
          <w:tcPr>
            <w:tcW w:w="2898" w:type="dxa"/>
          </w:tcPr>
          <w:p w14:paraId="448B6451" w14:textId="77777777" w:rsidR="0017201D" w:rsidRPr="00E26882" w:rsidRDefault="0017201D" w:rsidP="00697F3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3294619A" w14:textId="77777777" w:rsidR="0017201D" w:rsidRPr="00E94F4D" w:rsidRDefault="0017201D" w:rsidP="00697F37">
            <w:pPr>
              <w:spacing w:after="0" w:line="240" w:lineRule="auto"/>
              <w:jc w:val="center"/>
              <w:rPr>
                <w:sz w:val="20"/>
                <w:szCs w:val="20"/>
              </w:rPr>
            </w:pPr>
            <w:r w:rsidRPr="00E94F4D">
              <w:rPr>
                <w:sz w:val="20"/>
                <w:szCs w:val="20"/>
              </w:rPr>
              <w:t>375</w:t>
            </w:r>
          </w:p>
        </w:tc>
        <w:tc>
          <w:tcPr>
            <w:tcW w:w="1592" w:type="dxa"/>
            <w:shd w:val="clear" w:color="auto" w:fill="D9D9D9" w:themeFill="background1" w:themeFillShade="D9"/>
          </w:tcPr>
          <w:p w14:paraId="01711330" w14:textId="77777777" w:rsidR="0017201D" w:rsidRPr="00E94F4D" w:rsidRDefault="0017201D" w:rsidP="00697F37">
            <w:pPr>
              <w:spacing w:after="0" w:line="240" w:lineRule="auto"/>
              <w:jc w:val="center"/>
              <w:rPr>
                <w:sz w:val="20"/>
                <w:szCs w:val="20"/>
              </w:rPr>
            </w:pPr>
            <w:r w:rsidRPr="00E94F4D">
              <w:rPr>
                <w:sz w:val="20"/>
                <w:szCs w:val="20"/>
              </w:rPr>
              <w:t>4.3%</w:t>
            </w:r>
          </w:p>
        </w:tc>
        <w:tc>
          <w:tcPr>
            <w:tcW w:w="1592" w:type="dxa"/>
          </w:tcPr>
          <w:p w14:paraId="69F9BB6D" w14:textId="77777777" w:rsidR="0017201D" w:rsidRPr="00E94F4D" w:rsidRDefault="0017201D" w:rsidP="00697F37">
            <w:pPr>
              <w:spacing w:after="0" w:line="240" w:lineRule="auto"/>
              <w:jc w:val="center"/>
              <w:rPr>
                <w:sz w:val="20"/>
                <w:szCs w:val="20"/>
              </w:rPr>
            </w:pPr>
            <w:r w:rsidRPr="00E94F4D">
              <w:rPr>
                <w:sz w:val="20"/>
                <w:szCs w:val="20"/>
              </w:rPr>
              <w:t>35,936</w:t>
            </w:r>
          </w:p>
        </w:tc>
        <w:tc>
          <w:tcPr>
            <w:tcW w:w="1592" w:type="dxa"/>
            <w:shd w:val="clear" w:color="auto" w:fill="D9D9D9" w:themeFill="background1" w:themeFillShade="D9"/>
          </w:tcPr>
          <w:p w14:paraId="2C983E22" w14:textId="77777777" w:rsidR="0017201D" w:rsidRPr="00E94F4D" w:rsidRDefault="0017201D" w:rsidP="00697F37">
            <w:pPr>
              <w:spacing w:after="0" w:line="240" w:lineRule="auto"/>
              <w:jc w:val="center"/>
              <w:rPr>
                <w:sz w:val="20"/>
                <w:szCs w:val="20"/>
              </w:rPr>
            </w:pPr>
            <w:r w:rsidRPr="00E94F4D">
              <w:rPr>
                <w:sz w:val="20"/>
                <w:szCs w:val="20"/>
              </w:rPr>
              <w:t>3.8%</w:t>
            </w:r>
          </w:p>
        </w:tc>
      </w:tr>
      <w:tr w:rsidR="0017201D" w:rsidRPr="004471C8" w14:paraId="321CCEB3" w14:textId="77777777" w:rsidTr="000F5BEE">
        <w:tc>
          <w:tcPr>
            <w:tcW w:w="2898" w:type="dxa"/>
            <w:tcBorders>
              <w:bottom w:val="single" w:sz="4" w:space="0" w:color="auto"/>
            </w:tcBorders>
          </w:tcPr>
          <w:p w14:paraId="455DE6C6" w14:textId="29D58183" w:rsidR="0017201D" w:rsidRPr="00E26882" w:rsidRDefault="0017201D" w:rsidP="006817F0">
            <w:pPr>
              <w:spacing w:after="0" w:line="240" w:lineRule="auto"/>
              <w:rPr>
                <w:rFonts w:ascii="Calibri" w:eastAsia="Times New Roman" w:hAnsi="Calibri" w:cs="Times New Roman"/>
                <w:b/>
                <w:sz w:val="20"/>
                <w:szCs w:val="20"/>
              </w:rPr>
            </w:pPr>
            <w:r w:rsidRPr="00EC5B5A">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3E6B22D4" w14:textId="77777777" w:rsidR="0017201D" w:rsidRPr="00E94F4D" w:rsidRDefault="0017201D" w:rsidP="00697F37">
            <w:pPr>
              <w:spacing w:after="0" w:line="240" w:lineRule="auto"/>
              <w:jc w:val="center"/>
              <w:rPr>
                <w:sz w:val="20"/>
                <w:szCs w:val="20"/>
              </w:rPr>
            </w:pPr>
            <w:r w:rsidRPr="00E94F4D">
              <w:rPr>
                <w:sz w:val="20"/>
                <w:szCs w:val="20"/>
              </w:rPr>
              <w:t>8,822</w:t>
            </w:r>
          </w:p>
        </w:tc>
        <w:tc>
          <w:tcPr>
            <w:tcW w:w="1592" w:type="dxa"/>
            <w:tcBorders>
              <w:bottom w:val="single" w:sz="4" w:space="0" w:color="auto"/>
            </w:tcBorders>
            <w:shd w:val="clear" w:color="auto" w:fill="D9D9D9" w:themeFill="background1" w:themeFillShade="D9"/>
          </w:tcPr>
          <w:p w14:paraId="2F24043F" w14:textId="77777777" w:rsidR="0017201D" w:rsidRPr="00E94F4D" w:rsidRDefault="0017201D" w:rsidP="00697F37">
            <w:pPr>
              <w:spacing w:after="0" w:line="240" w:lineRule="auto"/>
              <w:jc w:val="center"/>
              <w:rPr>
                <w:sz w:val="20"/>
                <w:szCs w:val="20"/>
              </w:rPr>
            </w:pPr>
            <w:r w:rsidRPr="00E94F4D">
              <w:rPr>
                <w:sz w:val="20"/>
                <w:szCs w:val="20"/>
              </w:rPr>
              <w:t>100.0%</w:t>
            </w:r>
          </w:p>
        </w:tc>
        <w:tc>
          <w:tcPr>
            <w:tcW w:w="1592" w:type="dxa"/>
            <w:tcBorders>
              <w:bottom w:val="single" w:sz="4" w:space="0" w:color="auto"/>
            </w:tcBorders>
          </w:tcPr>
          <w:p w14:paraId="13C3A793" w14:textId="77777777" w:rsidR="0017201D" w:rsidRPr="00E94F4D" w:rsidRDefault="0017201D" w:rsidP="00697F37">
            <w:pPr>
              <w:spacing w:after="0" w:line="240" w:lineRule="auto"/>
              <w:jc w:val="center"/>
              <w:rPr>
                <w:sz w:val="20"/>
                <w:szCs w:val="20"/>
              </w:rPr>
            </w:pPr>
            <w:r w:rsidRPr="00E94F4D">
              <w:rPr>
                <w:sz w:val="20"/>
                <w:szCs w:val="20"/>
              </w:rPr>
              <w:t>951,631</w:t>
            </w:r>
          </w:p>
        </w:tc>
        <w:tc>
          <w:tcPr>
            <w:tcW w:w="1592" w:type="dxa"/>
            <w:tcBorders>
              <w:bottom w:val="single" w:sz="4" w:space="0" w:color="auto"/>
            </w:tcBorders>
            <w:shd w:val="clear" w:color="auto" w:fill="D9D9D9" w:themeFill="background1" w:themeFillShade="D9"/>
          </w:tcPr>
          <w:p w14:paraId="54007F34" w14:textId="77777777" w:rsidR="0017201D" w:rsidRPr="00E94F4D" w:rsidRDefault="0017201D" w:rsidP="00697F37">
            <w:pPr>
              <w:spacing w:after="0" w:line="240" w:lineRule="auto"/>
              <w:jc w:val="center"/>
              <w:rPr>
                <w:sz w:val="20"/>
                <w:szCs w:val="20"/>
              </w:rPr>
            </w:pPr>
            <w:r w:rsidRPr="00E94F4D">
              <w:rPr>
                <w:sz w:val="20"/>
                <w:szCs w:val="20"/>
              </w:rPr>
              <w:t>100.0%</w:t>
            </w:r>
          </w:p>
        </w:tc>
      </w:tr>
      <w:tr w:rsidR="0017201D" w:rsidRPr="004471C8" w14:paraId="28FBE588" w14:textId="77777777" w:rsidTr="000F5BEE">
        <w:tc>
          <w:tcPr>
            <w:tcW w:w="9265" w:type="dxa"/>
            <w:gridSpan w:val="5"/>
            <w:tcBorders>
              <w:left w:val="nil"/>
              <w:bottom w:val="nil"/>
              <w:right w:val="nil"/>
            </w:tcBorders>
          </w:tcPr>
          <w:p w14:paraId="16327695" w14:textId="77777777" w:rsidR="0017201D" w:rsidRPr="00E26882" w:rsidRDefault="0017201D" w:rsidP="00697F37">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8</w:t>
            </w:r>
          </w:p>
        </w:tc>
      </w:tr>
    </w:tbl>
    <w:p w14:paraId="62A15D1C" w14:textId="77777777" w:rsidR="0017201D" w:rsidRDefault="0017201D" w:rsidP="0017201D">
      <w:pPr>
        <w:spacing w:after="0"/>
        <w:rPr>
          <w:rFonts w:ascii="Calibri" w:eastAsia="Calibri" w:hAnsi="Calibri" w:cs="Times New Roman"/>
          <w:sz w:val="20"/>
        </w:rPr>
      </w:pPr>
    </w:p>
    <w:p w14:paraId="637DD8AE" w14:textId="77777777" w:rsidR="0017201D" w:rsidRDefault="0017201D" w:rsidP="0017201D">
      <w:pPr>
        <w:spacing w:after="0"/>
        <w:rPr>
          <w:rFonts w:ascii="Calibri" w:eastAsia="Calibri" w:hAnsi="Calibri" w:cs="Times New Roman"/>
          <w:sz w:val="20"/>
        </w:rPr>
      </w:pPr>
    </w:p>
    <w:p w14:paraId="6DEE7F6C" w14:textId="77777777" w:rsidR="0017201D" w:rsidRPr="004471C8" w:rsidRDefault="0017201D" w:rsidP="0017201D">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E94F4D">
        <w:rPr>
          <w:rFonts w:ascii="Calibri" w:eastAsia="Calibri" w:hAnsi="Calibri" w:cs="Times New Roman"/>
          <w:b/>
          <w:sz w:val="20"/>
        </w:rPr>
        <w:t>Framingham Public Schools</w:t>
      </w:r>
    </w:p>
    <w:p w14:paraId="719B47DE" w14:textId="77777777" w:rsidR="0017201D" w:rsidRPr="004471C8" w:rsidRDefault="0017201D" w:rsidP="0017201D">
      <w:pPr>
        <w:spacing w:after="0"/>
        <w:jc w:val="center"/>
        <w:rPr>
          <w:b/>
          <w:sz w:val="20"/>
        </w:rPr>
      </w:pPr>
      <w:r w:rsidRPr="004471C8">
        <w:rPr>
          <w:b/>
          <w:sz w:val="20"/>
        </w:rPr>
        <w:t>201</w:t>
      </w:r>
      <w:r>
        <w:rPr>
          <w:b/>
          <w:sz w:val="20"/>
        </w:rPr>
        <w:t>8</w:t>
      </w:r>
      <w:r w:rsidRPr="004471C8">
        <w:rPr>
          <w:b/>
          <w:sz w:val="20"/>
        </w:rPr>
        <w:t>–201</w:t>
      </w:r>
      <w:r>
        <w:rPr>
          <w:b/>
          <w:sz w:val="20"/>
        </w:rPr>
        <w:t>9</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Framingham Public Schools"/>
        <w:tblDescription w:val="2018–2019 Student Enrollment by High Needs Populations&#10;"/>
      </w:tblPr>
      <w:tblGrid>
        <w:gridCol w:w="2268"/>
        <w:gridCol w:w="1166"/>
        <w:gridCol w:w="1166"/>
        <w:gridCol w:w="1166"/>
        <w:gridCol w:w="1166"/>
        <w:gridCol w:w="1166"/>
        <w:gridCol w:w="1167"/>
      </w:tblGrid>
      <w:tr w:rsidR="0017201D" w:rsidRPr="004471C8" w14:paraId="3298F746" w14:textId="77777777" w:rsidTr="000F5BEE">
        <w:tc>
          <w:tcPr>
            <w:tcW w:w="2268" w:type="dxa"/>
            <w:vMerge w:val="restart"/>
            <w:vAlign w:val="center"/>
          </w:tcPr>
          <w:p w14:paraId="6D2116BE" w14:textId="7D876299" w:rsidR="0017201D" w:rsidRPr="004471C8" w:rsidRDefault="0017201D" w:rsidP="000F5BEE">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2972640C" w14:textId="77777777" w:rsidR="0017201D" w:rsidRPr="004471C8" w:rsidRDefault="0017201D" w:rsidP="00697F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2474DEED" w14:textId="77777777" w:rsidR="0017201D" w:rsidRPr="004471C8" w:rsidRDefault="0017201D" w:rsidP="00697F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17201D" w:rsidRPr="004471C8" w14:paraId="34B50A9B" w14:textId="77777777" w:rsidTr="000F5BEE">
        <w:tc>
          <w:tcPr>
            <w:tcW w:w="2268" w:type="dxa"/>
            <w:vMerge/>
          </w:tcPr>
          <w:p w14:paraId="315315B7" w14:textId="77777777" w:rsidR="0017201D" w:rsidRPr="004471C8" w:rsidRDefault="0017201D" w:rsidP="00697F37">
            <w:pPr>
              <w:spacing w:after="0"/>
              <w:rPr>
                <w:rFonts w:ascii="Calibri" w:eastAsia="Calibri" w:hAnsi="Calibri" w:cs="Times New Roman"/>
                <w:sz w:val="20"/>
                <w:szCs w:val="20"/>
              </w:rPr>
            </w:pPr>
          </w:p>
        </w:tc>
        <w:tc>
          <w:tcPr>
            <w:tcW w:w="1166" w:type="dxa"/>
            <w:vAlign w:val="center"/>
          </w:tcPr>
          <w:p w14:paraId="5B74ECCA"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2FACDD05"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15A7E847"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6586AF00"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7AF49094"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135B6818" w14:textId="77777777" w:rsidR="0017201D" w:rsidRPr="004471C8" w:rsidRDefault="0017201D" w:rsidP="000F5BE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17201D" w:rsidRPr="004471C8" w14:paraId="45583A0B" w14:textId="77777777" w:rsidTr="000F5BEE">
        <w:tc>
          <w:tcPr>
            <w:tcW w:w="2268" w:type="dxa"/>
          </w:tcPr>
          <w:p w14:paraId="2064A464" w14:textId="77777777" w:rsidR="0017201D" w:rsidRPr="004471C8" w:rsidRDefault="0017201D" w:rsidP="00697F37">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50036020" w14:textId="77777777" w:rsidR="0017201D" w:rsidRPr="008F1833" w:rsidRDefault="0017201D" w:rsidP="00697F37">
            <w:pPr>
              <w:spacing w:after="0" w:line="240" w:lineRule="auto"/>
              <w:jc w:val="center"/>
              <w:rPr>
                <w:sz w:val="20"/>
                <w:szCs w:val="20"/>
              </w:rPr>
            </w:pPr>
            <w:r w:rsidRPr="008F1833">
              <w:rPr>
                <w:sz w:val="20"/>
                <w:szCs w:val="20"/>
              </w:rPr>
              <w:t>2,076</w:t>
            </w:r>
          </w:p>
        </w:tc>
        <w:tc>
          <w:tcPr>
            <w:tcW w:w="1166" w:type="dxa"/>
            <w:shd w:val="clear" w:color="auto" w:fill="D9D9D9" w:themeFill="background1" w:themeFillShade="D9"/>
          </w:tcPr>
          <w:p w14:paraId="2C8B96A0" w14:textId="77777777" w:rsidR="0017201D" w:rsidRPr="008F1833" w:rsidRDefault="0017201D" w:rsidP="00697F37">
            <w:pPr>
              <w:spacing w:after="0" w:line="240" w:lineRule="auto"/>
              <w:jc w:val="center"/>
              <w:rPr>
                <w:sz w:val="20"/>
                <w:szCs w:val="20"/>
              </w:rPr>
            </w:pPr>
            <w:r w:rsidRPr="008F1833">
              <w:rPr>
                <w:sz w:val="20"/>
                <w:szCs w:val="20"/>
              </w:rPr>
              <w:t>39.1%</w:t>
            </w:r>
          </w:p>
        </w:tc>
        <w:tc>
          <w:tcPr>
            <w:tcW w:w="1166" w:type="dxa"/>
            <w:shd w:val="clear" w:color="auto" w:fill="D9D9D9" w:themeFill="background1" w:themeFillShade="D9"/>
          </w:tcPr>
          <w:p w14:paraId="021E3A4A" w14:textId="77777777" w:rsidR="0017201D" w:rsidRPr="008F1833" w:rsidRDefault="0017201D" w:rsidP="00697F37">
            <w:pPr>
              <w:spacing w:after="0" w:line="240" w:lineRule="auto"/>
              <w:jc w:val="center"/>
              <w:rPr>
                <w:sz w:val="20"/>
                <w:szCs w:val="20"/>
              </w:rPr>
            </w:pPr>
            <w:r w:rsidRPr="008F1833">
              <w:rPr>
                <w:sz w:val="20"/>
                <w:szCs w:val="20"/>
              </w:rPr>
              <w:t>22.9%</w:t>
            </w:r>
          </w:p>
        </w:tc>
        <w:tc>
          <w:tcPr>
            <w:tcW w:w="1166" w:type="dxa"/>
          </w:tcPr>
          <w:p w14:paraId="5CAEEB45" w14:textId="77777777" w:rsidR="0017201D" w:rsidRPr="008F1833" w:rsidRDefault="0017201D" w:rsidP="00697F37">
            <w:pPr>
              <w:spacing w:after="0" w:line="240" w:lineRule="auto"/>
              <w:jc w:val="center"/>
              <w:rPr>
                <w:sz w:val="20"/>
                <w:szCs w:val="20"/>
              </w:rPr>
            </w:pPr>
            <w:r w:rsidRPr="008F1833">
              <w:rPr>
                <w:sz w:val="20"/>
                <w:szCs w:val="20"/>
              </w:rPr>
              <w:t>173,843</w:t>
            </w:r>
          </w:p>
        </w:tc>
        <w:tc>
          <w:tcPr>
            <w:tcW w:w="1166" w:type="dxa"/>
            <w:shd w:val="clear" w:color="auto" w:fill="D9D9D9" w:themeFill="background1" w:themeFillShade="D9"/>
          </w:tcPr>
          <w:p w14:paraId="3D848D5C" w14:textId="77777777" w:rsidR="0017201D" w:rsidRPr="008F1833" w:rsidRDefault="0017201D" w:rsidP="00697F37">
            <w:pPr>
              <w:spacing w:after="0" w:line="240" w:lineRule="auto"/>
              <w:jc w:val="center"/>
              <w:rPr>
                <w:sz w:val="20"/>
                <w:szCs w:val="20"/>
              </w:rPr>
            </w:pPr>
            <w:r w:rsidRPr="008F1833">
              <w:rPr>
                <w:sz w:val="20"/>
                <w:szCs w:val="20"/>
              </w:rPr>
              <w:t>38.0%</w:t>
            </w:r>
          </w:p>
        </w:tc>
        <w:tc>
          <w:tcPr>
            <w:tcW w:w="1167" w:type="dxa"/>
            <w:shd w:val="clear" w:color="auto" w:fill="D9D9D9" w:themeFill="background1" w:themeFillShade="D9"/>
          </w:tcPr>
          <w:p w14:paraId="212FE45B" w14:textId="77777777" w:rsidR="0017201D" w:rsidRPr="008F1833" w:rsidRDefault="0017201D" w:rsidP="00697F37">
            <w:pPr>
              <w:spacing w:after="0" w:line="240" w:lineRule="auto"/>
              <w:jc w:val="center"/>
              <w:rPr>
                <w:sz w:val="20"/>
                <w:szCs w:val="20"/>
              </w:rPr>
            </w:pPr>
            <w:r w:rsidRPr="008F1833">
              <w:rPr>
                <w:sz w:val="20"/>
                <w:szCs w:val="20"/>
              </w:rPr>
              <w:t>18.1%</w:t>
            </w:r>
          </w:p>
        </w:tc>
      </w:tr>
      <w:tr w:rsidR="0017201D" w:rsidRPr="004471C8" w14:paraId="0AE84F44" w14:textId="77777777" w:rsidTr="000F5BEE">
        <w:tc>
          <w:tcPr>
            <w:tcW w:w="2268" w:type="dxa"/>
          </w:tcPr>
          <w:p w14:paraId="64B7A0AB" w14:textId="4DDE89E2" w:rsidR="0017201D" w:rsidRPr="004471C8" w:rsidRDefault="0017201D" w:rsidP="006817F0">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739BB6CE" w14:textId="77777777" w:rsidR="0017201D" w:rsidRPr="008F1833" w:rsidRDefault="0017201D" w:rsidP="00697F37">
            <w:pPr>
              <w:spacing w:after="0" w:line="240" w:lineRule="auto"/>
              <w:jc w:val="center"/>
              <w:rPr>
                <w:sz w:val="20"/>
                <w:szCs w:val="20"/>
              </w:rPr>
            </w:pPr>
            <w:r w:rsidRPr="008F1833">
              <w:rPr>
                <w:sz w:val="20"/>
                <w:szCs w:val="20"/>
              </w:rPr>
              <w:t>2,911</w:t>
            </w:r>
          </w:p>
        </w:tc>
        <w:tc>
          <w:tcPr>
            <w:tcW w:w="1166" w:type="dxa"/>
            <w:shd w:val="clear" w:color="auto" w:fill="D9D9D9" w:themeFill="background1" w:themeFillShade="D9"/>
          </w:tcPr>
          <w:p w14:paraId="37C0F240" w14:textId="77777777" w:rsidR="0017201D" w:rsidRPr="008F1833" w:rsidRDefault="0017201D" w:rsidP="00697F37">
            <w:pPr>
              <w:spacing w:after="0" w:line="240" w:lineRule="auto"/>
              <w:jc w:val="center"/>
              <w:rPr>
                <w:sz w:val="20"/>
                <w:szCs w:val="20"/>
              </w:rPr>
            </w:pPr>
            <w:r w:rsidRPr="008F1833">
              <w:rPr>
                <w:sz w:val="20"/>
                <w:szCs w:val="20"/>
              </w:rPr>
              <w:t>54.9%</w:t>
            </w:r>
          </w:p>
        </w:tc>
        <w:tc>
          <w:tcPr>
            <w:tcW w:w="1166" w:type="dxa"/>
            <w:shd w:val="clear" w:color="auto" w:fill="D9D9D9" w:themeFill="background1" w:themeFillShade="D9"/>
          </w:tcPr>
          <w:p w14:paraId="001A4D02" w14:textId="77777777" w:rsidR="0017201D" w:rsidRPr="008F1833" w:rsidRDefault="0017201D" w:rsidP="00697F37">
            <w:pPr>
              <w:spacing w:after="0" w:line="240" w:lineRule="auto"/>
              <w:jc w:val="center"/>
              <w:rPr>
                <w:sz w:val="20"/>
                <w:szCs w:val="20"/>
              </w:rPr>
            </w:pPr>
            <w:r w:rsidRPr="008F1833">
              <w:rPr>
                <w:sz w:val="20"/>
                <w:szCs w:val="20"/>
              </w:rPr>
              <w:t>33.0%</w:t>
            </w:r>
          </w:p>
        </w:tc>
        <w:tc>
          <w:tcPr>
            <w:tcW w:w="1166" w:type="dxa"/>
          </w:tcPr>
          <w:p w14:paraId="0C08EB58" w14:textId="77777777" w:rsidR="0017201D" w:rsidRPr="008F1833" w:rsidRDefault="0017201D" w:rsidP="00697F37">
            <w:pPr>
              <w:spacing w:after="0" w:line="240" w:lineRule="auto"/>
              <w:jc w:val="center"/>
              <w:rPr>
                <w:sz w:val="20"/>
                <w:szCs w:val="20"/>
              </w:rPr>
            </w:pPr>
            <w:r w:rsidRPr="008F1833">
              <w:rPr>
                <w:sz w:val="20"/>
                <w:szCs w:val="20"/>
              </w:rPr>
              <w:t>297,120</w:t>
            </w:r>
          </w:p>
        </w:tc>
        <w:tc>
          <w:tcPr>
            <w:tcW w:w="1166" w:type="dxa"/>
            <w:shd w:val="clear" w:color="auto" w:fill="D9D9D9" w:themeFill="background1" w:themeFillShade="D9"/>
          </w:tcPr>
          <w:p w14:paraId="4D39497D" w14:textId="77777777" w:rsidR="0017201D" w:rsidRPr="008F1833" w:rsidRDefault="0017201D" w:rsidP="00697F37">
            <w:pPr>
              <w:spacing w:after="0" w:line="240" w:lineRule="auto"/>
              <w:jc w:val="center"/>
              <w:rPr>
                <w:sz w:val="20"/>
                <w:szCs w:val="20"/>
              </w:rPr>
            </w:pPr>
            <w:r w:rsidRPr="008F1833">
              <w:rPr>
                <w:sz w:val="20"/>
                <w:szCs w:val="20"/>
              </w:rPr>
              <w:t>64.9%</w:t>
            </w:r>
          </w:p>
        </w:tc>
        <w:tc>
          <w:tcPr>
            <w:tcW w:w="1167" w:type="dxa"/>
            <w:shd w:val="clear" w:color="auto" w:fill="D9D9D9" w:themeFill="background1" w:themeFillShade="D9"/>
          </w:tcPr>
          <w:p w14:paraId="29C5234F" w14:textId="77777777" w:rsidR="0017201D" w:rsidRPr="008F1833" w:rsidRDefault="0017201D" w:rsidP="00697F37">
            <w:pPr>
              <w:spacing w:after="0" w:line="240" w:lineRule="auto"/>
              <w:jc w:val="center"/>
              <w:rPr>
                <w:sz w:val="20"/>
                <w:szCs w:val="20"/>
              </w:rPr>
            </w:pPr>
            <w:r w:rsidRPr="008F1833">
              <w:rPr>
                <w:sz w:val="20"/>
                <w:szCs w:val="20"/>
              </w:rPr>
              <w:t>31.2%</w:t>
            </w:r>
          </w:p>
        </w:tc>
      </w:tr>
      <w:tr w:rsidR="0017201D" w:rsidRPr="004471C8" w14:paraId="40FA5B96" w14:textId="77777777" w:rsidTr="000F5BEE">
        <w:tc>
          <w:tcPr>
            <w:tcW w:w="2268" w:type="dxa"/>
          </w:tcPr>
          <w:p w14:paraId="0D3594B6" w14:textId="0F7A0381" w:rsidR="0017201D" w:rsidRPr="004471C8" w:rsidRDefault="0017201D" w:rsidP="00876462">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5B96B5A6" w14:textId="77777777" w:rsidR="0017201D" w:rsidRPr="008F1833" w:rsidRDefault="0017201D" w:rsidP="00697F37">
            <w:pPr>
              <w:spacing w:after="0" w:line="240" w:lineRule="auto"/>
              <w:jc w:val="center"/>
              <w:rPr>
                <w:sz w:val="20"/>
                <w:szCs w:val="20"/>
              </w:rPr>
            </w:pPr>
            <w:r w:rsidRPr="008F1833">
              <w:rPr>
                <w:sz w:val="20"/>
                <w:szCs w:val="20"/>
              </w:rPr>
              <w:t>1,976</w:t>
            </w:r>
          </w:p>
        </w:tc>
        <w:tc>
          <w:tcPr>
            <w:tcW w:w="1166" w:type="dxa"/>
            <w:shd w:val="clear" w:color="auto" w:fill="D9D9D9" w:themeFill="background1" w:themeFillShade="D9"/>
          </w:tcPr>
          <w:p w14:paraId="3FC38F99" w14:textId="77777777" w:rsidR="0017201D" w:rsidRPr="008F1833" w:rsidRDefault="0017201D" w:rsidP="00697F37">
            <w:pPr>
              <w:spacing w:after="0" w:line="240" w:lineRule="auto"/>
              <w:jc w:val="center"/>
              <w:rPr>
                <w:sz w:val="20"/>
                <w:szCs w:val="20"/>
              </w:rPr>
            </w:pPr>
            <w:r w:rsidRPr="008F1833">
              <w:rPr>
                <w:sz w:val="20"/>
                <w:szCs w:val="20"/>
              </w:rPr>
              <w:t>37.2%</w:t>
            </w:r>
          </w:p>
        </w:tc>
        <w:tc>
          <w:tcPr>
            <w:tcW w:w="1166" w:type="dxa"/>
            <w:shd w:val="clear" w:color="auto" w:fill="D9D9D9" w:themeFill="background1" w:themeFillShade="D9"/>
          </w:tcPr>
          <w:p w14:paraId="4C68C8CF" w14:textId="77777777" w:rsidR="0017201D" w:rsidRPr="008F1833" w:rsidRDefault="0017201D" w:rsidP="00697F37">
            <w:pPr>
              <w:spacing w:after="0" w:line="240" w:lineRule="auto"/>
              <w:jc w:val="center"/>
              <w:rPr>
                <w:sz w:val="20"/>
                <w:szCs w:val="20"/>
              </w:rPr>
            </w:pPr>
            <w:r w:rsidRPr="008F1833">
              <w:rPr>
                <w:sz w:val="20"/>
                <w:szCs w:val="20"/>
              </w:rPr>
              <w:t>22.4%</w:t>
            </w:r>
          </w:p>
        </w:tc>
        <w:tc>
          <w:tcPr>
            <w:tcW w:w="1166" w:type="dxa"/>
          </w:tcPr>
          <w:p w14:paraId="6AEC7A13" w14:textId="77777777" w:rsidR="0017201D" w:rsidRPr="008F1833" w:rsidRDefault="0017201D" w:rsidP="00697F37">
            <w:pPr>
              <w:spacing w:after="0" w:line="240" w:lineRule="auto"/>
              <w:jc w:val="center"/>
              <w:rPr>
                <w:sz w:val="20"/>
                <w:szCs w:val="20"/>
              </w:rPr>
            </w:pPr>
            <w:r w:rsidRPr="008F1833">
              <w:rPr>
                <w:sz w:val="20"/>
                <w:szCs w:val="20"/>
              </w:rPr>
              <w:t>99,866</w:t>
            </w:r>
          </w:p>
        </w:tc>
        <w:tc>
          <w:tcPr>
            <w:tcW w:w="1166" w:type="dxa"/>
            <w:shd w:val="clear" w:color="auto" w:fill="D9D9D9" w:themeFill="background1" w:themeFillShade="D9"/>
          </w:tcPr>
          <w:p w14:paraId="0D1412AE" w14:textId="77777777" w:rsidR="0017201D" w:rsidRPr="008F1833" w:rsidRDefault="0017201D" w:rsidP="00697F37">
            <w:pPr>
              <w:spacing w:after="0" w:line="240" w:lineRule="auto"/>
              <w:jc w:val="center"/>
              <w:rPr>
                <w:sz w:val="20"/>
                <w:szCs w:val="20"/>
              </w:rPr>
            </w:pPr>
            <w:r w:rsidRPr="008F1833">
              <w:rPr>
                <w:sz w:val="20"/>
                <w:szCs w:val="20"/>
              </w:rPr>
              <w:t>21.8%</w:t>
            </w:r>
          </w:p>
        </w:tc>
        <w:tc>
          <w:tcPr>
            <w:tcW w:w="1167" w:type="dxa"/>
            <w:shd w:val="clear" w:color="auto" w:fill="D9D9D9" w:themeFill="background1" w:themeFillShade="D9"/>
          </w:tcPr>
          <w:p w14:paraId="561D66B7" w14:textId="77777777" w:rsidR="0017201D" w:rsidRPr="008F1833" w:rsidRDefault="0017201D" w:rsidP="00697F37">
            <w:pPr>
              <w:spacing w:after="0" w:line="240" w:lineRule="auto"/>
              <w:jc w:val="center"/>
              <w:rPr>
                <w:sz w:val="20"/>
                <w:szCs w:val="20"/>
              </w:rPr>
            </w:pPr>
            <w:r w:rsidRPr="008F1833">
              <w:rPr>
                <w:sz w:val="20"/>
                <w:szCs w:val="20"/>
              </w:rPr>
              <w:t>10.5%</w:t>
            </w:r>
          </w:p>
        </w:tc>
      </w:tr>
      <w:tr w:rsidR="0017201D" w:rsidRPr="004471C8" w14:paraId="02F7C5A1" w14:textId="77777777" w:rsidTr="000F5BEE">
        <w:tc>
          <w:tcPr>
            <w:tcW w:w="2268" w:type="dxa"/>
            <w:tcBorders>
              <w:bottom w:val="single" w:sz="4" w:space="0" w:color="auto"/>
            </w:tcBorders>
          </w:tcPr>
          <w:p w14:paraId="5F9872EA" w14:textId="77777777" w:rsidR="0017201D" w:rsidRPr="004471C8" w:rsidRDefault="0017201D" w:rsidP="00697F37">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767D6AA6" w14:textId="77777777" w:rsidR="0017201D" w:rsidRPr="008F1833" w:rsidRDefault="0017201D" w:rsidP="00697F37">
            <w:pPr>
              <w:spacing w:after="0" w:line="240" w:lineRule="auto"/>
              <w:jc w:val="center"/>
              <w:rPr>
                <w:sz w:val="20"/>
                <w:szCs w:val="20"/>
              </w:rPr>
            </w:pPr>
            <w:r w:rsidRPr="008F1833">
              <w:rPr>
                <w:sz w:val="20"/>
                <w:szCs w:val="20"/>
              </w:rPr>
              <w:t>5,305</w:t>
            </w:r>
          </w:p>
        </w:tc>
        <w:tc>
          <w:tcPr>
            <w:tcW w:w="1166" w:type="dxa"/>
            <w:tcBorders>
              <w:bottom w:val="single" w:sz="4" w:space="0" w:color="auto"/>
            </w:tcBorders>
            <w:shd w:val="clear" w:color="auto" w:fill="D9D9D9" w:themeFill="background1" w:themeFillShade="D9"/>
          </w:tcPr>
          <w:p w14:paraId="447154DF" w14:textId="77777777" w:rsidR="0017201D" w:rsidRPr="008F1833" w:rsidRDefault="0017201D" w:rsidP="00697F37">
            <w:pPr>
              <w:spacing w:after="0" w:line="240" w:lineRule="auto"/>
              <w:jc w:val="center"/>
              <w:rPr>
                <w:sz w:val="20"/>
                <w:szCs w:val="20"/>
              </w:rPr>
            </w:pPr>
            <w:r w:rsidRPr="008F1833">
              <w:rPr>
                <w:sz w:val="20"/>
                <w:szCs w:val="20"/>
              </w:rPr>
              <w:t>100.0%</w:t>
            </w:r>
          </w:p>
        </w:tc>
        <w:tc>
          <w:tcPr>
            <w:tcW w:w="1166" w:type="dxa"/>
            <w:tcBorders>
              <w:bottom w:val="single" w:sz="4" w:space="0" w:color="auto"/>
            </w:tcBorders>
            <w:shd w:val="clear" w:color="auto" w:fill="D9D9D9" w:themeFill="background1" w:themeFillShade="D9"/>
          </w:tcPr>
          <w:p w14:paraId="4AD1BE83" w14:textId="77777777" w:rsidR="0017201D" w:rsidRPr="008F1833" w:rsidRDefault="0017201D" w:rsidP="00697F37">
            <w:pPr>
              <w:spacing w:after="0" w:line="240" w:lineRule="auto"/>
              <w:jc w:val="center"/>
              <w:rPr>
                <w:sz w:val="20"/>
                <w:szCs w:val="20"/>
              </w:rPr>
            </w:pPr>
            <w:r w:rsidRPr="008F1833">
              <w:rPr>
                <w:sz w:val="20"/>
                <w:szCs w:val="20"/>
              </w:rPr>
              <w:t>58.6%</w:t>
            </w:r>
          </w:p>
        </w:tc>
        <w:tc>
          <w:tcPr>
            <w:tcW w:w="1166" w:type="dxa"/>
            <w:tcBorders>
              <w:bottom w:val="single" w:sz="4" w:space="0" w:color="auto"/>
            </w:tcBorders>
          </w:tcPr>
          <w:p w14:paraId="6B8676B6" w14:textId="77777777" w:rsidR="0017201D" w:rsidRPr="008F1833" w:rsidRDefault="0017201D" w:rsidP="00697F37">
            <w:pPr>
              <w:spacing w:after="0" w:line="240" w:lineRule="auto"/>
              <w:jc w:val="center"/>
              <w:rPr>
                <w:sz w:val="20"/>
                <w:szCs w:val="20"/>
              </w:rPr>
            </w:pPr>
            <w:r w:rsidRPr="008F1833">
              <w:rPr>
                <w:sz w:val="20"/>
                <w:szCs w:val="20"/>
              </w:rPr>
              <w:t>458,044</w:t>
            </w:r>
          </w:p>
        </w:tc>
        <w:tc>
          <w:tcPr>
            <w:tcW w:w="1166" w:type="dxa"/>
            <w:tcBorders>
              <w:bottom w:val="single" w:sz="4" w:space="0" w:color="auto"/>
            </w:tcBorders>
            <w:shd w:val="clear" w:color="auto" w:fill="D9D9D9" w:themeFill="background1" w:themeFillShade="D9"/>
          </w:tcPr>
          <w:p w14:paraId="20851D21" w14:textId="77777777" w:rsidR="0017201D" w:rsidRPr="008F1833" w:rsidRDefault="0017201D" w:rsidP="00697F37">
            <w:pPr>
              <w:spacing w:after="0" w:line="240" w:lineRule="auto"/>
              <w:jc w:val="center"/>
              <w:rPr>
                <w:sz w:val="20"/>
                <w:szCs w:val="20"/>
              </w:rPr>
            </w:pPr>
            <w:r w:rsidRPr="008F1833">
              <w:rPr>
                <w:sz w:val="20"/>
                <w:szCs w:val="20"/>
              </w:rPr>
              <w:t>100.0%</w:t>
            </w:r>
          </w:p>
        </w:tc>
        <w:tc>
          <w:tcPr>
            <w:tcW w:w="1167" w:type="dxa"/>
            <w:tcBorders>
              <w:bottom w:val="single" w:sz="4" w:space="0" w:color="auto"/>
            </w:tcBorders>
            <w:shd w:val="clear" w:color="auto" w:fill="D9D9D9" w:themeFill="background1" w:themeFillShade="D9"/>
          </w:tcPr>
          <w:p w14:paraId="2DBB3BF4" w14:textId="77777777" w:rsidR="0017201D" w:rsidRPr="008F1833" w:rsidRDefault="0017201D" w:rsidP="00697F37">
            <w:pPr>
              <w:spacing w:after="0" w:line="240" w:lineRule="auto"/>
              <w:jc w:val="center"/>
              <w:rPr>
                <w:sz w:val="20"/>
                <w:szCs w:val="20"/>
              </w:rPr>
            </w:pPr>
            <w:r w:rsidRPr="008F1833">
              <w:rPr>
                <w:sz w:val="20"/>
                <w:szCs w:val="20"/>
              </w:rPr>
              <w:t>47.6%</w:t>
            </w:r>
          </w:p>
        </w:tc>
      </w:tr>
      <w:tr w:rsidR="0017201D" w:rsidRPr="004471C8" w14:paraId="28DF806D" w14:textId="77777777" w:rsidTr="000F5BEE">
        <w:tc>
          <w:tcPr>
            <w:tcW w:w="9265" w:type="dxa"/>
            <w:gridSpan w:val="7"/>
            <w:tcBorders>
              <w:left w:val="nil"/>
              <w:bottom w:val="nil"/>
              <w:right w:val="nil"/>
            </w:tcBorders>
          </w:tcPr>
          <w:p w14:paraId="766557A0" w14:textId="77777777" w:rsidR="0017201D" w:rsidRPr="00E26882" w:rsidRDefault="0017201D" w:rsidP="00697F37">
            <w:pPr>
              <w:spacing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8</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18"/>
                <w:szCs w:val="18"/>
              </w:rPr>
              <w:t>9,046</w:t>
            </w:r>
            <w:r w:rsidRPr="00E26882">
              <w:rPr>
                <w:rFonts w:ascii="Calibri" w:eastAsia="Calibri" w:hAnsi="Calibri" w:cs="Times New Roman"/>
                <w:sz w:val="18"/>
                <w:szCs w:val="18"/>
              </w:rPr>
              <w:t>; total state enrollment including students in out-of-district placement is 96</w:t>
            </w:r>
            <w:r>
              <w:rPr>
                <w:rFonts w:ascii="Calibri" w:eastAsia="Calibri" w:hAnsi="Calibri" w:cs="Times New Roman"/>
                <w:sz w:val="18"/>
                <w:szCs w:val="18"/>
              </w:rPr>
              <w:t>2</w:t>
            </w:r>
            <w:r w:rsidRPr="00E26882">
              <w:rPr>
                <w:rFonts w:ascii="Calibri" w:eastAsia="Calibri" w:hAnsi="Calibri" w:cs="Times New Roman"/>
                <w:sz w:val="18"/>
                <w:szCs w:val="18"/>
              </w:rPr>
              <w:t>,</w:t>
            </w:r>
            <w:r>
              <w:rPr>
                <w:rFonts w:ascii="Calibri" w:eastAsia="Calibri" w:hAnsi="Calibri" w:cs="Times New Roman"/>
                <w:sz w:val="18"/>
                <w:szCs w:val="18"/>
              </w:rPr>
              <w:t>297</w:t>
            </w:r>
            <w:r w:rsidRPr="00E26882">
              <w:rPr>
                <w:rFonts w:ascii="Calibri" w:eastAsia="Calibri" w:hAnsi="Calibri" w:cs="Times New Roman"/>
                <w:sz w:val="18"/>
                <w:szCs w:val="18"/>
              </w:rPr>
              <w:t>.</w:t>
            </w:r>
          </w:p>
        </w:tc>
      </w:tr>
    </w:tbl>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D1C927D" w14:textId="7A4C2F5A" w:rsidR="008E26DB" w:rsidRDefault="008E26DB" w:rsidP="002F1EBE">
      <w:pPr>
        <w:spacing w:after="0"/>
        <w:jc w:val="center"/>
        <w:rPr>
          <w:rFonts w:ascii="Calibri" w:eastAsia="Calibri" w:hAnsi="Calibri" w:cs="Times New Roman"/>
          <w:color w:val="FF0000"/>
        </w:rPr>
      </w:pPr>
    </w:p>
    <w:p w14:paraId="0C9DF2B3" w14:textId="77777777" w:rsidR="004F3F8D" w:rsidRPr="00380233" w:rsidRDefault="004F3F8D" w:rsidP="004F3F8D">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w:t>
      </w:r>
      <w:r w:rsidRPr="008F1833">
        <w:rPr>
          <w:rFonts w:ascii="Calibri" w:eastAsia="Calibri" w:hAnsi="Calibri" w:cs="Times New Roman"/>
          <w:b/>
          <w:sz w:val="20"/>
        </w:rPr>
        <w:t>Framingham Public Schools</w:t>
      </w:r>
    </w:p>
    <w:p w14:paraId="227465B7" w14:textId="1C81CC25" w:rsidR="004F3F8D" w:rsidRPr="00380233" w:rsidRDefault="004F3F8D" w:rsidP="004F3F8D">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BC0636">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Framingham Public Schools"/>
        <w:tblDescription w:val="Attendance Rates by Student Group, 2015–2018&#10;"/>
      </w:tblPr>
      <w:tblGrid>
        <w:gridCol w:w="1980"/>
        <w:gridCol w:w="1002"/>
        <w:gridCol w:w="1003"/>
        <w:gridCol w:w="1003"/>
        <w:gridCol w:w="1003"/>
        <w:gridCol w:w="1003"/>
        <w:gridCol w:w="1003"/>
        <w:gridCol w:w="1003"/>
      </w:tblGrid>
      <w:tr w:rsidR="004F3F8D" w:rsidRPr="00380233" w14:paraId="676DD734"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66EE928" w14:textId="77777777" w:rsidR="004F3F8D" w:rsidRPr="00FE0920" w:rsidRDefault="004F3F8D" w:rsidP="000F5BE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47F38EE7"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65BE18EB"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48CEE9E1"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44EF35E7"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2" w:space="0" w:color="auto"/>
            </w:tcBorders>
            <w:shd w:val="clear" w:color="auto" w:fill="D9D9D9" w:themeFill="background1" w:themeFillShade="D9"/>
            <w:vAlign w:val="center"/>
          </w:tcPr>
          <w:p w14:paraId="27F3BE9A"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2" w:space="0" w:color="auto"/>
            </w:tcBorders>
            <w:shd w:val="clear" w:color="auto" w:fill="D9D9D9" w:themeFill="background1" w:themeFillShade="D9"/>
            <w:vAlign w:val="center"/>
          </w:tcPr>
          <w:p w14:paraId="4CE3F20F"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5FCA1AAA"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4F3F8D" w:rsidRPr="00380233" w14:paraId="10277447" w14:textId="77777777" w:rsidTr="000F5BEE">
        <w:trPr>
          <w:trHeight w:val="288"/>
        </w:trPr>
        <w:tc>
          <w:tcPr>
            <w:tcW w:w="1980" w:type="dxa"/>
            <w:tcBorders>
              <w:left w:val="single" w:sz="4" w:space="0" w:color="auto"/>
              <w:bottom w:val="single" w:sz="4" w:space="0" w:color="auto"/>
            </w:tcBorders>
            <w:shd w:val="clear" w:color="auto" w:fill="auto"/>
          </w:tcPr>
          <w:p w14:paraId="17D67B80" w14:textId="77777777" w:rsidR="004F3F8D" w:rsidRDefault="004F3F8D" w:rsidP="00697F37">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A4CABCD" w14:textId="77777777" w:rsidR="004F3F8D" w:rsidRPr="00F2303D" w:rsidRDefault="004F3F8D" w:rsidP="00697F37">
            <w:pPr>
              <w:spacing w:after="0" w:line="240" w:lineRule="auto"/>
              <w:jc w:val="center"/>
              <w:rPr>
                <w:sz w:val="20"/>
                <w:szCs w:val="20"/>
              </w:rPr>
            </w:pPr>
            <w:r w:rsidRPr="00F2303D">
              <w:rPr>
                <w:sz w:val="20"/>
                <w:szCs w:val="20"/>
              </w:rPr>
              <w:t>699</w:t>
            </w:r>
          </w:p>
        </w:tc>
        <w:tc>
          <w:tcPr>
            <w:tcW w:w="1003" w:type="dxa"/>
            <w:tcBorders>
              <w:top w:val="nil"/>
              <w:left w:val="nil"/>
              <w:bottom w:val="single" w:sz="4" w:space="0" w:color="auto"/>
              <w:right w:val="single" w:sz="4" w:space="0" w:color="auto"/>
            </w:tcBorders>
            <w:shd w:val="clear" w:color="auto" w:fill="auto"/>
          </w:tcPr>
          <w:p w14:paraId="0A67AA32" w14:textId="77777777" w:rsidR="004F3F8D" w:rsidRPr="00F2303D" w:rsidRDefault="004F3F8D" w:rsidP="00697F37">
            <w:pPr>
              <w:spacing w:after="0" w:line="240" w:lineRule="auto"/>
              <w:jc w:val="center"/>
              <w:rPr>
                <w:sz w:val="20"/>
                <w:szCs w:val="20"/>
              </w:rPr>
            </w:pPr>
            <w:r w:rsidRPr="00F2303D">
              <w:rPr>
                <w:sz w:val="20"/>
                <w:szCs w:val="20"/>
              </w:rPr>
              <w:t>94.7</w:t>
            </w:r>
          </w:p>
        </w:tc>
        <w:tc>
          <w:tcPr>
            <w:tcW w:w="1003" w:type="dxa"/>
            <w:tcBorders>
              <w:top w:val="nil"/>
              <w:left w:val="nil"/>
              <w:bottom w:val="single" w:sz="4" w:space="0" w:color="auto"/>
              <w:right w:val="single" w:sz="4" w:space="0" w:color="auto"/>
            </w:tcBorders>
            <w:shd w:val="clear" w:color="auto" w:fill="auto"/>
          </w:tcPr>
          <w:p w14:paraId="45F90805" w14:textId="77777777" w:rsidR="004F3F8D" w:rsidRPr="00F2303D" w:rsidRDefault="004F3F8D" w:rsidP="00697F37">
            <w:pPr>
              <w:spacing w:after="0" w:line="240" w:lineRule="auto"/>
              <w:jc w:val="center"/>
              <w:rPr>
                <w:sz w:val="20"/>
                <w:szCs w:val="20"/>
              </w:rPr>
            </w:pPr>
            <w:r w:rsidRPr="00F2303D">
              <w:rPr>
                <w:sz w:val="20"/>
                <w:szCs w:val="20"/>
              </w:rPr>
              <w:t>95.1</w:t>
            </w:r>
          </w:p>
        </w:tc>
        <w:tc>
          <w:tcPr>
            <w:tcW w:w="1003" w:type="dxa"/>
            <w:tcBorders>
              <w:top w:val="nil"/>
              <w:left w:val="nil"/>
              <w:bottom w:val="single" w:sz="4" w:space="0" w:color="auto"/>
              <w:right w:val="single" w:sz="4" w:space="0" w:color="auto"/>
            </w:tcBorders>
            <w:shd w:val="clear" w:color="auto" w:fill="auto"/>
          </w:tcPr>
          <w:p w14:paraId="7DB58912" w14:textId="77777777" w:rsidR="004F3F8D" w:rsidRPr="00F2303D" w:rsidRDefault="004F3F8D" w:rsidP="00697F37">
            <w:pPr>
              <w:spacing w:after="0" w:line="240" w:lineRule="auto"/>
              <w:jc w:val="center"/>
              <w:rPr>
                <w:sz w:val="20"/>
                <w:szCs w:val="20"/>
              </w:rPr>
            </w:pPr>
            <w:r w:rsidRPr="00F2303D">
              <w:rPr>
                <w:sz w:val="20"/>
                <w:szCs w:val="20"/>
              </w:rPr>
              <w:t>94.3</w:t>
            </w:r>
          </w:p>
        </w:tc>
        <w:tc>
          <w:tcPr>
            <w:tcW w:w="1003" w:type="dxa"/>
            <w:tcBorders>
              <w:top w:val="nil"/>
              <w:left w:val="nil"/>
              <w:bottom w:val="single" w:sz="4" w:space="0" w:color="auto"/>
              <w:right w:val="single" w:sz="4" w:space="0" w:color="auto"/>
            </w:tcBorders>
            <w:shd w:val="clear" w:color="auto" w:fill="auto"/>
          </w:tcPr>
          <w:p w14:paraId="38586EE7" w14:textId="77777777" w:rsidR="004F3F8D" w:rsidRPr="00F2303D" w:rsidRDefault="004F3F8D" w:rsidP="00697F37">
            <w:pPr>
              <w:spacing w:after="0" w:line="240" w:lineRule="auto"/>
              <w:jc w:val="center"/>
              <w:rPr>
                <w:sz w:val="20"/>
                <w:szCs w:val="20"/>
              </w:rPr>
            </w:pPr>
            <w:r w:rsidRPr="00F2303D">
              <w:rPr>
                <w:sz w:val="20"/>
                <w:szCs w:val="20"/>
              </w:rPr>
              <w:t>94.9</w:t>
            </w:r>
          </w:p>
        </w:tc>
        <w:tc>
          <w:tcPr>
            <w:tcW w:w="1003" w:type="dxa"/>
            <w:tcBorders>
              <w:top w:val="single" w:sz="2" w:space="0" w:color="auto"/>
              <w:left w:val="nil"/>
              <w:bottom w:val="single" w:sz="2" w:space="0" w:color="auto"/>
              <w:right w:val="single" w:sz="2" w:space="0" w:color="auto"/>
            </w:tcBorders>
            <w:shd w:val="clear" w:color="auto" w:fill="auto"/>
          </w:tcPr>
          <w:p w14:paraId="33A35508" w14:textId="77777777" w:rsidR="004F3F8D" w:rsidRPr="00F2303D" w:rsidRDefault="004F3F8D" w:rsidP="00697F37">
            <w:pPr>
              <w:spacing w:after="0" w:line="240" w:lineRule="auto"/>
              <w:jc w:val="center"/>
              <w:rPr>
                <w:sz w:val="20"/>
                <w:szCs w:val="20"/>
              </w:rPr>
            </w:pPr>
            <w:r w:rsidRPr="00F2303D">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1C01E7D4" w14:textId="77777777" w:rsidR="004F3F8D" w:rsidRPr="00F2303D" w:rsidRDefault="004F3F8D" w:rsidP="00697F37">
            <w:pPr>
              <w:spacing w:after="0" w:line="240" w:lineRule="auto"/>
              <w:jc w:val="center"/>
              <w:rPr>
                <w:sz w:val="20"/>
                <w:szCs w:val="20"/>
              </w:rPr>
            </w:pPr>
            <w:r w:rsidRPr="00F2303D">
              <w:rPr>
                <w:sz w:val="20"/>
                <w:szCs w:val="20"/>
              </w:rPr>
              <w:t>94.1</w:t>
            </w:r>
          </w:p>
        </w:tc>
      </w:tr>
      <w:tr w:rsidR="004F3F8D" w:rsidRPr="00380233" w14:paraId="4E42442C"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54A48D7A"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7D45850" w14:textId="77777777" w:rsidR="004F3F8D" w:rsidRPr="00F2303D" w:rsidRDefault="004F3F8D" w:rsidP="00697F37">
            <w:pPr>
              <w:spacing w:after="0" w:line="240" w:lineRule="auto"/>
              <w:jc w:val="center"/>
              <w:rPr>
                <w:sz w:val="20"/>
                <w:szCs w:val="20"/>
              </w:rPr>
            </w:pPr>
            <w:r w:rsidRPr="00F2303D">
              <w:rPr>
                <w:sz w:val="20"/>
                <w:szCs w:val="20"/>
              </w:rPr>
              <w:t>479</w:t>
            </w:r>
          </w:p>
        </w:tc>
        <w:tc>
          <w:tcPr>
            <w:tcW w:w="1003" w:type="dxa"/>
            <w:tcBorders>
              <w:top w:val="nil"/>
              <w:left w:val="nil"/>
              <w:bottom w:val="single" w:sz="4" w:space="0" w:color="auto"/>
              <w:right w:val="single" w:sz="4" w:space="0" w:color="auto"/>
            </w:tcBorders>
            <w:shd w:val="clear" w:color="auto" w:fill="D9D9D9" w:themeFill="background1" w:themeFillShade="D9"/>
          </w:tcPr>
          <w:p w14:paraId="384CCA7B" w14:textId="77777777" w:rsidR="004F3F8D" w:rsidRPr="00F2303D" w:rsidRDefault="004F3F8D" w:rsidP="00697F37">
            <w:pPr>
              <w:spacing w:after="0" w:line="240" w:lineRule="auto"/>
              <w:jc w:val="center"/>
              <w:rPr>
                <w:sz w:val="20"/>
                <w:szCs w:val="20"/>
              </w:rPr>
            </w:pPr>
            <w:r w:rsidRPr="00F2303D">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tcPr>
          <w:p w14:paraId="7500AD38" w14:textId="77777777" w:rsidR="004F3F8D" w:rsidRPr="00F2303D" w:rsidRDefault="004F3F8D" w:rsidP="00697F37">
            <w:pPr>
              <w:spacing w:after="0" w:line="240" w:lineRule="auto"/>
              <w:jc w:val="center"/>
              <w:rPr>
                <w:sz w:val="20"/>
                <w:szCs w:val="20"/>
              </w:rPr>
            </w:pPr>
            <w:r w:rsidRPr="00F2303D">
              <w:rPr>
                <w:sz w:val="20"/>
                <w:szCs w:val="20"/>
              </w:rPr>
              <w:t>95.9</w:t>
            </w:r>
          </w:p>
        </w:tc>
        <w:tc>
          <w:tcPr>
            <w:tcW w:w="1003" w:type="dxa"/>
            <w:tcBorders>
              <w:top w:val="nil"/>
              <w:left w:val="nil"/>
              <w:bottom w:val="single" w:sz="4" w:space="0" w:color="auto"/>
              <w:right w:val="single" w:sz="4" w:space="0" w:color="auto"/>
            </w:tcBorders>
            <w:shd w:val="clear" w:color="auto" w:fill="D9D9D9" w:themeFill="background1" w:themeFillShade="D9"/>
          </w:tcPr>
          <w:p w14:paraId="360223B2" w14:textId="77777777" w:rsidR="004F3F8D" w:rsidRPr="00F2303D" w:rsidRDefault="004F3F8D" w:rsidP="00697F37">
            <w:pPr>
              <w:spacing w:after="0" w:line="240" w:lineRule="auto"/>
              <w:jc w:val="center"/>
              <w:rPr>
                <w:sz w:val="20"/>
                <w:szCs w:val="20"/>
              </w:rPr>
            </w:pPr>
            <w:r w:rsidRPr="00F2303D">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tcPr>
          <w:p w14:paraId="0B20424D" w14:textId="77777777" w:rsidR="004F3F8D" w:rsidRPr="00F2303D" w:rsidRDefault="004F3F8D" w:rsidP="00697F37">
            <w:pPr>
              <w:spacing w:after="0" w:line="240" w:lineRule="auto"/>
              <w:jc w:val="center"/>
              <w:rPr>
                <w:sz w:val="20"/>
                <w:szCs w:val="20"/>
              </w:rPr>
            </w:pPr>
            <w:r w:rsidRPr="00F2303D">
              <w:rPr>
                <w:sz w:val="20"/>
                <w:szCs w:val="20"/>
              </w:rPr>
              <w:t>96.0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6F9C4741" w14:textId="77777777" w:rsidR="004F3F8D" w:rsidRPr="00F2303D" w:rsidRDefault="004F3F8D" w:rsidP="00697F37">
            <w:pPr>
              <w:spacing w:after="0" w:line="240" w:lineRule="auto"/>
              <w:jc w:val="center"/>
              <w:rPr>
                <w:sz w:val="20"/>
                <w:szCs w:val="20"/>
              </w:rPr>
            </w:pPr>
            <w:r w:rsidRPr="00F2303D">
              <w:rPr>
                <w:sz w:val="20"/>
                <w:szCs w:val="20"/>
              </w:rPr>
              <w:t>0.2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9668D29" w14:textId="77777777" w:rsidR="004F3F8D" w:rsidRPr="00F2303D" w:rsidRDefault="004F3F8D" w:rsidP="00697F37">
            <w:pPr>
              <w:spacing w:after="0" w:line="240" w:lineRule="auto"/>
              <w:jc w:val="center"/>
              <w:rPr>
                <w:sz w:val="20"/>
                <w:szCs w:val="20"/>
              </w:rPr>
            </w:pPr>
            <w:r w:rsidRPr="00F2303D">
              <w:rPr>
                <w:sz w:val="20"/>
                <w:szCs w:val="20"/>
              </w:rPr>
              <w:t>96.2</w:t>
            </w:r>
          </w:p>
        </w:tc>
      </w:tr>
      <w:tr w:rsidR="004F3F8D" w:rsidRPr="00380233" w14:paraId="1F0597DF" w14:textId="77777777" w:rsidTr="000F5BEE">
        <w:trPr>
          <w:trHeight w:val="288"/>
        </w:trPr>
        <w:tc>
          <w:tcPr>
            <w:tcW w:w="1980" w:type="dxa"/>
            <w:tcBorders>
              <w:left w:val="single" w:sz="4" w:space="0" w:color="auto"/>
              <w:bottom w:val="single" w:sz="4" w:space="0" w:color="auto"/>
            </w:tcBorders>
            <w:shd w:val="clear" w:color="auto" w:fill="auto"/>
          </w:tcPr>
          <w:p w14:paraId="5F3E2380"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6DE4C555" w14:textId="77777777" w:rsidR="004F3F8D" w:rsidRPr="00F2303D" w:rsidRDefault="004F3F8D" w:rsidP="00697F37">
            <w:pPr>
              <w:spacing w:after="0" w:line="240" w:lineRule="auto"/>
              <w:jc w:val="center"/>
              <w:rPr>
                <w:sz w:val="20"/>
                <w:szCs w:val="20"/>
              </w:rPr>
            </w:pPr>
            <w:r w:rsidRPr="00F2303D">
              <w:rPr>
                <w:sz w:val="20"/>
                <w:szCs w:val="20"/>
              </w:rPr>
              <w:t>2,586</w:t>
            </w:r>
          </w:p>
        </w:tc>
        <w:tc>
          <w:tcPr>
            <w:tcW w:w="1003" w:type="dxa"/>
            <w:tcBorders>
              <w:top w:val="nil"/>
              <w:left w:val="nil"/>
              <w:bottom w:val="single" w:sz="4" w:space="0" w:color="auto"/>
              <w:right w:val="single" w:sz="4" w:space="0" w:color="auto"/>
            </w:tcBorders>
            <w:shd w:val="clear" w:color="auto" w:fill="auto"/>
          </w:tcPr>
          <w:p w14:paraId="7C7333EE" w14:textId="77777777" w:rsidR="004F3F8D" w:rsidRPr="00F2303D" w:rsidRDefault="004F3F8D" w:rsidP="00697F37">
            <w:pPr>
              <w:spacing w:after="0" w:line="240" w:lineRule="auto"/>
              <w:jc w:val="center"/>
              <w:rPr>
                <w:sz w:val="20"/>
                <w:szCs w:val="20"/>
              </w:rPr>
            </w:pPr>
            <w:r w:rsidRPr="00F2303D">
              <w:rPr>
                <w:sz w:val="20"/>
                <w:szCs w:val="20"/>
              </w:rPr>
              <w:t>93.5</w:t>
            </w:r>
          </w:p>
        </w:tc>
        <w:tc>
          <w:tcPr>
            <w:tcW w:w="1003" w:type="dxa"/>
            <w:tcBorders>
              <w:top w:val="nil"/>
              <w:left w:val="nil"/>
              <w:bottom w:val="single" w:sz="4" w:space="0" w:color="auto"/>
              <w:right w:val="single" w:sz="4" w:space="0" w:color="auto"/>
            </w:tcBorders>
            <w:shd w:val="clear" w:color="auto" w:fill="auto"/>
          </w:tcPr>
          <w:p w14:paraId="6A9C1A95" w14:textId="77777777" w:rsidR="004F3F8D" w:rsidRPr="00F2303D" w:rsidRDefault="004F3F8D" w:rsidP="00697F37">
            <w:pPr>
              <w:spacing w:after="0" w:line="240" w:lineRule="auto"/>
              <w:jc w:val="center"/>
              <w:rPr>
                <w:sz w:val="20"/>
                <w:szCs w:val="20"/>
              </w:rPr>
            </w:pPr>
            <w:r w:rsidRPr="00F2303D">
              <w:rPr>
                <w:sz w:val="20"/>
                <w:szCs w:val="20"/>
              </w:rPr>
              <w:t>93.5</w:t>
            </w:r>
          </w:p>
        </w:tc>
        <w:tc>
          <w:tcPr>
            <w:tcW w:w="1003" w:type="dxa"/>
            <w:tcBorders>
              <w:top w:val="nil"/>
              <w:left w:val="nil"/>
              <w:bottom w:val="single" w:sz="4" w:space="0" w:color="auto"/>
              <w:right w:val="single" w:sz="4" w:space="0" w:color="auto"/>
            </w:tcBorders>
            <w:shd w:val="clear" w:color="auto" w:fill="auto"/>
          </w:tcPr>
          <w:p w14:paraId="01B4C057" w14:textId="77777777" w:rsidR="004F3F8D" w:rsidRPr="00F2303D" w:rsidRDefault="004F3F8D" w:rsidP="00697F37">
            <w:pPr>
              <w:spacing w:after="0" w:line="240" w:lineRule="auto"/>
              <w:jc w:val="center"/>
              <w:rPr>
                <w:sz w:val="20"/>
                <w:szCs w:val="20"/>
              </w:rPr>
            </w:pPr>
            <w:r w:rsidRPr="00F2303D">
              <w:rPr>
                <w:sz w:val="20"/>
                <w:szCs w:val="20"/>
              </w:rPr>
              <w:t>93.1</w:t>
            </w:r>
          </w:p>
        </w:tc>
        <w:tc>
          <w:tcPr>
            <w:tcW w:w="1003" w:type="dxa"/>
            <w:tcBorders>
              <w:top w:val="nil"/>
              <w:left w:val="nil"/>
              <w:bottom w:val="single" w:sz="4" w:space="0" w:color="auto"/>
              <w:right w:val="single" w:sz="4" w:space="0" w:color="auto"/>
            </w:tcBorders>
            <w:shd w:val="clear" w:color="auto" w:fill="auto"/>
          </w:tcPr>
          <w:p w14:paraId="0E4386E6" w14:textId="77777777" w:rsidR="004F3F8D" w:rsidRPr="00F2303D" w:rsidRDefault="004F3F8D" w:rsidP="00697F37">
            <w:pPr>
              <w:spacing w:after="0" w:line="240" w:lineRule="auto"/>
              <w:jc w:val="center"/>
              <w:rPr>
                <w:sz w:val="20"/>
                <w:szCs w:val="20"/>
              </w:rPr>
            </w:pPr>
            <w:r w:rsidRPr="00F2303D">
              <w:rPr>
                <w:sz w:val="20"/>
                <w:szCs w:val="20"/>
              </w:rPr>
              <w:t>93.4</w:t>
            </w:r>
          </w:p>
        </w:tc>
        <w:tc>
          <w:tcPr>
            <w:tcW w:w="1003" w:type="dxa"/>
            <w:tcBorders>
              <w:top w:val="single" w:sz="2" w:space="0" w:color="auto"/>
              <w:left w:val="nil"/>
              <w:bottom w:val="single" w:sz="2" w:space="0" w:color="auto"/>
              <w:right w:val="single" w:sz="2" w:space="0" w:color="auto"/>
            </w:tcBorders>
            <w:shd w:val="clear" w:color="auto" w:fill="auto"/>
          </w:tcPr>
          <w:p w14:paraId="4F9AEF5C" w14:textId="77777777" w:rsidR="004F3F8D" w:rsidRPr="00F2303D" w:rsidRDefault="004F3F8D" w:rsidP="00697F37">
            <w:pPr>
              <w:spacing w:after="0" w:line="240" w:lineRule="auto"/>
              <w:jc w:val="center"/>
              <w:rPr>
                <w:sz w:val="20"/>
                <w:szCs w:val="20"/>
              </w:rPr>
            </w:pPr>
            <w:r w:rsidRPr="00F2303D">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05DD8A0C" w14:textId="77777777" w:rsidR="004F3F8D" w:rsidRPr="00F2303D" w:rsidRDefault="004F3F8D" w:rsidP="00697F37">
            <w:pPr>
              <w:spacing w:after="0" w:line="240" w:lineRule="auto"/>
              <w:jc w:val="center"/>
              <w:rPr>
                <w:sz w:val="20"/>
                <w:szCs w:val="20"/>
              </w:rPr>
            </w:pPr>
            <w:r w:rsidRPr="00F2303D">
              <w:rPr>
                <w:sz w:val="20"/>
                <w:szCs w:val="20"/>
              </w:rPr>
              <w:t>92.7</w:t>
            </w:r>
          </w:p>
        </w:tc>
      </w:tr>
      <w:tr w:rsidR="004F3F8D" w:rsidRPr="00380233" w14:paraId="42BB7C24"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34A0119E"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BD09870" w14:textId="77777777" w:rsidR="004F3F8D" w:rsidRPr="00F2303D" w:rsidRDefault="004F3F8D" w:rsidP="00697F37">
            <w:pPr>
              <w:spacing w:after="0" w:line="240" w:lineRule="auto"/>
              <w:jc w:val="center"/>
              <w:rPr>
                <w:sz w:val="20"/>
                <w:szCs w:val="20"/>
              </w:rPr>
            </w:pPr>
            <w:r w:rsidRPr="00F2303D">
              <w:rPr>
                <w:sz w:val="20"/>
                <w:szCs w:val="20"/>
              </w:rPr>
              <w:t>352</w:t>
            </w:r>
          </w:p>
        </w:tc>
        <w:tc>
          <w:tcPr>
            <w:tcW w:w="1003" w:type="dxa"/>
            <w:tcBorders>
              <w:top w:val="nil"/>
              <w:left w:val="nil"/>
              <w:bottom w:val="single" w:sz="4" w:space="0" w:color="auto"/>
              <w:right w:val="single" w:sz="4" w:space="0" w:color="auto"/>
            </w:tcBorders>
            <w:shd w:val="clear" w:color="auto" w:fill="D9D9D9" w:themeFill="background1" w:themeFillShade="D9"/>
          </w:tcPr>
          <w:p w14:paraId="0C74E9D1" w14:textId="77777777" w:rsidR="004F3F8D" w:rsidRPr="00F2303D" w:rsidRDefault="004F3F8D" w:rsidP="00697F37">
            <w:pPr>
              <w:spacing w:after="0" w:line="240" w:lineRule="auto"/>
              <w:jc w:val="center"/>
              <w:rPr>
                <w:sz w:val="20"/>
                <w:szCs w:val="20"/>
              </w:rPr>
            </w:pPr>
            <w:r w:rsidRPr="00F2303D">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7C3AA467" w14:textId="77777777" w:rsidR="004F3F8D" w:rsidRPr="00F2303D" w:rsidRDefault="004F3F8D" w:rsidP="00697F37">
            <w:pPr>
              <w:spacing w:after="0" w:line="240" w:lineRule="auto"/>
              <w:jc w:val="center"/>
              <w:rPr>
                <w:sz w:val="20"/>
                <w:szCs w:val="20"/>
              </w:rPr>
            </w:pPr>
            <w:r w:rsidRPr="00F2303D">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70C20D6F" w14:textId="77777777" w:rsidR="004F3F8D" w:rsidRPr="00F2303D" w:rsidRDefault="004F3F8D" w:rsidP="00697F37">
            <w:pPr>
              <w:spacing w:after="0" w:line="240" w:lineRule="auto"/>
              <w:jc w:val="center"/>
              <w:rPr>
                <w:sz w:val="20"/>
                <w:szCs w:val="20"/>
              </w:rPr>
            </w:pPr>
            <w:r w:rsidRPr="00F2303D">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5F8A4BA4" w14:textId="77777777" w:rsidR="004F3F8D" w:rsidRPr="00F2303D" w:rsidRDefault="004F3F8D" w:rsidP="00697F37">
            <w:pPr>
              <w:spacing w:after="0" w:line="240" w:lineRule="auto"/>
              <w:jc w:val="center"/>
              <w:rPr>
                <w:sz w:val="20"/>
                <w:szCs w:val="20"/>
              </w:rPr>
            </w:pPr>
            <w:r w:rsidRPr="00F2303D">
              <w:rPr>
                <w:sz w:val="20"/>
                <w:szCs w:val="20"/>
              </w:rPr>
              <w:t>95.0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5784B735" w14:textId="77777777" w:rsidR="004F3F8D" w:rsidRPr="00F2303D" w:rsidRDefault="004F3F8D" w:rsidP="00697F37">
            <w:pPr>
              <w:spacing w:after="0" w:line="240" w:lineRule="auto"/>
              <w:jc w:val="center"/>
              <w:rPr>
                <w:sz w:val="20"/>
                <w:szCs w:val="20"/>
              </w:rPr>
            </w:pPr>
            <w:r w:rsidRPr="00F2303D">
              <w:rPr>
                <w:sz w:val="20"/>
                <w:szCs w:val="20"/>
              </w:rPr>
              <w:t>-0.2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97543EC" w14:textId="77777777" w:rsidR="004F3F8D" w:rsidRPr="00F2303D" w:rsidRDefault="004F3F8D" w:rsidP="00697F37">
            <w:pPr>
              <w:spacing w:after="0" w:line="240" w:lineRule="auto"/>
              <w:jc w:val="center"/>
              <w:rPr>
                <w:sz w:val="20"/>
                <w:szCs w:val="20"/>
              </w:rPr>
            </w:pPr>
            <w:r w:rsidRPr="00F2303D">
              <w:rPr>
                <w:sz w:val="20"/>
                <w:szCs w:val="20"/>
              </w:rPr>
              <w:t>94.4</w:t>
            </w:r>
          </w:p>
        </w:tc>
      </w:tr>
      <w:tr w:rsidR="004F3F8D" w:rsidRPr="00380233" w14:paraId="05814365" w14:textId="77777777" w:rsidTr="000F5BEE">
        <w:trPr>
          <w:trHeight w:val="288"/>
        </w:trPr>
        <w:tc>
          <w:tcPr>
            <w:tcW w:w="1980" w:type="dxa"/>
            <w:tcBorders>
              <w:left w:val="single" w:sz="4" w:space="0" w:color="auto"/>
              <w:bottom w:val="single" w:sz="4" w:space="0" w:color="auto"/>
            </w:tcBorders>
            <w:shd w:val="clear" w:color="auto" w:fill="auto"/>
          </w:tcPr>
          <w:p w14:paraId="2D964EE4"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A5D442F" w14:textId="77777777" w:rsidR="004F3F8D" w:rsidRPr="00F2303D" w:rsidRDefault="004F3F8D" w:rsidP="00697F37">
            <w:pPr>
              <w:spacing w:after="0" w:line="240" w:lineRule="auto"/>
              <w:jc w:val="center"/>
              <w:rPr>
                <w:sz w:val="20"/>
                <w:szCs w:val="20"/>
              </w:rPr>
            </w:pPr>
            <w:r w:rsidRPr="00F2303D">
              <w:rPr>
                <w:sz w:val="20"/>
                <w:szCs w:val="20"/>
              </w:rPr>
              <w:t>5,281</w:t>
            </w:r>
          </w:p>
        </w:tc>
        <w:tc>
          <w:tcPr>
            <w:tcW w:w="1003" w:type="dxa"/>
            <w:tcBorders>
              <w:top w:val="nil"/>
              <w:left w:val="nil"/>
              <w:bottom w:val="single" w:sz="4" w:space="0" w:color="auto"/>
              <w:right w:val="single" w:sz="4" w:space="0" w:color="auto"/>
            </w:tcBorders>
            <w:shd w:val="clear" w:color="auto" w:fill="auto"/>
          </w:tcPr>
          <w:p w14:paraId="670DCA97" w14:textId="77777777" w:rsidR="004F3F8D" w:rsidRPr="00F2303D" w:rsidRDefault="004F3F8D" w:rsidP="00697F37">
            <w:pPr>
              <w:spacing w:after="0" w:line="240" w:lineRule="auto"/>
              <w:jc w:val="center"/>
              <w:rPr>
                <w:sz w:val="20"/>
                <w:szCs w:val="20"/>
              </w:rPr>
            </w:pPr>
            <w:r w:rsidRPr="00F2303D">
              <w:rPr>
                <w:sz w:val="20"/>
                <w:szCs w:val="20"/>
              </w:rPr>
              <w:t>95.6</w:t>
            </w:r>
          </w:p>
        </w:tc>
        <w:tc>
          <w:tcPr>
            <w:tcW w:w="1003" w:type="dxa"/>
            <w:tcBorders>
              <w:top w:val="nil"/>
              <w:left w:val="nil"/>
              <w:bottom w:val="single" w:sz="4" w:space="0" w:color="auto"/>
              <w:right w:val="single" w:sz="4" w:space="0" w:color="auto"/>
            </w:tcBorders>
            <w:shd w:val="clear" w:color="auto" w:fill="auto"/>
          </w:tcPr>
          <w:p w14:paraId="1721E517" w14:textId="77777777" w:rsidR="004F3F8D" w:rsidRPr="00F2303D" w:rsidRDefault="004F3F8D" w:rsidP="00697F37">
            <w:pPr>
              <w:spacing w:after="0" w:line="240" w:lineRule="auto"/>
              <w:jc w:val="center"/>
              <w:rPr>
                <w:sz w:val="20"/>
                <w:szCs w:val="20"/>
              </w:rPr>
            </w:pPr>
            <w:r w:rsidRPr="00F2303D">
              <w:rPr>
                <w:sz w:val="20"/>
                <w:szCs w:val="20"/>
              </w:rPr>
              <w:t>95.5</w:t>
            </w:r>
          </w:p>
        </w:tc>
        <w:tc>
          <w:tcPr>
            <w:tcW w:w="1003" w:type="dxa"/>
            <w:tcBorders>
              <w:top w:val="nil"/>
              <w:left w:val="nil"/>
              <w:bottom w:val="single" w:sz="4" w:space="0" w:color="auto"/>
              <w:right w:val="single" w:sz="4" w:space="0" w:color="auto"/>
            </w:tcBorders>
            <w:shd w:val="clear" w:color="auto" w:fill="auto"/>
          </w:tcPr>
          <w:p w14:paraId="0A5E5BDB" w14:textId="77777777" w:rsidR="004F3F8D" w:rsidRPr="00F2303D" w:rsidRDefault="004F3F8D" w:rsidP="00697F37">
            <w:pPr>
              <w:spacing w:after="0" w:line="240" w:lineRule="auto"/>
              <w:jc w:val="center"/>
              <w:rPr>
                <w:sz w:val="20"/>
                <w:szCs w:val="20"/>
              </w:rPr>
            </w:pPr>
            <w:r w:rsidRPr="00F2303D">
              <w:rPr>
                <w:sz w:val="20"/>
                <w:szCs w:val="20"/>
              </w:rPr>
              <w:t>95.0</w:t>
            </w:r>
          </w:p>
        </w:tc>
        <w:tc>
          <w:tcPr>
            <w:tcW w:w="1003" w:type="dxa"/>
            <w:tcBorders>
              <w:top w:val="nil"/>
              <w:left w:val="nil"/>
              <w:bottom w:val="single" w:sz="4" w:space="0" w:color="auto"/>
              <w:right w:val="single" w:sz="4" w:space="0" w:color="auto"/>
            </w:tcBorders>
            <w:shd w:val="clear" w:color="auto" w:fill="auto"/>
          </w:tcPr>
          <w:p w14:paraId="60F69262" w14:textId="77777777" w:rsidR="004F3F8D" w:rsidRPr="00F2303D" w:rsidRDefault="004F3F8D" w:rsidP="00697F37">
            <w:pPr>
              <w:spacing w:after="0" w:line="240" w:lineRule="auto"/>
              <w:jc w:val="center"/>
              <w:rPr>
                <w:sz w:val="20"/>
                <w:szCs w:val="20"/>
              </w:rPr>
            </w:pPr>
            <w:r w:rsidRPr="00F2303D">
              <w:rPr>
                <w:sz w:val="20"/>
                <w:szCs w:val="20"/>
              </w:rPr>
              <w:t>95.1</w:t>
            </w:r>
          </w:p>
        </w:tc>
        <w:tc>
          <w:tcPr>
            <w:tcW w:w="1003" w:type="dxa"/>
            <w:tcBorders>
              <w:top w:val="single" w:sz="2" w:space="0" w:color="auto"/>
              <w:left w:val="nil"/>
              <w:bottom w:val="single" w:sz="2" w:space="0" w:color="auto"/>
              <w:right w:val="single" w:sz="2" w:space="0" w:color="auto"/>
            </w:tcBorders>
            <w:shd w:val="clear" w:color="auto" w:fill="auto"/>
          </w:tcPr>
          <w:p w14:paraId="6E5AB1C9" w14:textId="77777777" w:rsidR="004F3F8D" w:rsidRPr="00F2303D" w:rsidRDefault="004F3F8D" w:rsidP="00697F37">
            <w:pPr>
              <w:spacing w:after="0" w:line="240" w:lineRule="auto"/>
              <w:jc w:val="center"/>
              <w:rPr>
                <w:sz w:val="20"/>
                <w:szCs w:val="20"/>
              </w:rPr>
            </w:pPr>
            <w:r w:rsidRPr="00F2303D">
              <w:rPr>
                <w:sz w:val="20"/>
                <w:szCs w:val="20"/>
              </w:rPr>
              <w:t>-0.5</w:t>
            </w:r>
          </w:p>
        </w:tc>
        <w:tc>
          <w:tcPr>
            <w:tcW w:w="1003" w:type="dxa"/>
            <w:tcBorders>
              <w:left w:val="single" w:sz="2" w:space="0" w:color="auto"/>
              <w:bottom w:val="single" w:sz="4" w:space="0" w:color="auto"/>
              <w:right w:val="single" w:sz="4" w:space="0" w:color="auto"/>
            </w:tcBorders>
            <w:shd w:val="clear" w:color="auto" w:fill="auto"/>
          </w:tcPr>
          <w:p w14:paraId="28635359" w14:textId="77777777" w:rsidR="004F3F8D" w:rsidRPr="00F2303D" w:rsidRDefault="004F3F8D" w:rsidP="00697F37">
            <w:pPr>
              <w:spacing w:after="0" w:line="240" w:lineRule="auto"/>
              <w:jc w:val="center"/>
              <w:rPr>
                <w:sz w:val="20"/>
                <w:szCs w:val="20"/>
              </w:rPr>
            </w:pPr>
            <w:r w:rsidRPr="00F2303D">
              <w:rPr>
                <w:sz w:val="20"/>
                <w:szCs w:val="20"/>
              </w:rPr>
              <w:t>95.1</w:t>
            </w:r>
          </w:p>
        </w:tc>
      </w:tr>
      <w:tr w:rsidR="006817F0" w:rsidRPr="00380233" w14:paraId="7457DB77" w14:textId="77777777" w:rsidTr="000F5BEE">
        <w:trPr>
          <w:trHeight w:val="288"/>
        </w:trPr>
        <w:tc>
          <w:tcPr>
            <w:tcW w:w="1980" w:type="dxa"/>
            <w:tcBorders>
              <w:left w:val="single" w:sz="4" w:space="0" w:color="auto"/>
              <w:bottom w:val="single" w:sz="4" w:space="0" w:color="auto"/>
            </w:tcBorders>
            <w:shd w:val="clear" w:color="auto" w:fill="auto"/>
          </w:tcPr>
          <w:p w14:paraId="25475842" w14:textId="3AE55A3B" w:rsidR="006817F0" w:rsidRDefault="006817F0" w:rsidP="006817F0">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3D11A170" w14:textId="0BC34D8C" w:rsidR="006817F0" w:rsidRPr="00F2303D" w:rsidRDefault="006817F0" w:rsidP="006817F0">
            <w:pPr>
              <w:spacing w:after="0" w:line="240" w:lineRule="auto"/>
              <w:jc w:val="center"/>
              <w:rPr>
                <w:sz w:val="20"/>
                <w:szCs w:val="20"/>
              </w:rPr>
            </w:pPr>
            <w:r w:rsidRPr="00F2303D">
              <w:rPr>
                <w:sz w:val="20"/>
                <w:szCs w:val="20"/>
              </w:rPr>
              <w:t>5,690</w:t>
            </w:r>
          </w:p>
        </w:tc>
        <w:tc>
          <w:tcPr>
            <w:tcW w:w="1003" w:type="dxa"/>
            <w:tcBorders>
              <w:top w:val="nil"/>
              <w:left w:val="nil"/>
              <w:bottom w:val="single" w:sz="4" w:space="0" w:color="auto"/>
              <w:right w:val="single" w:sz="4" w:space="0" w:color="auto"/>
            </w:tcBorders>
            <w:shd w:val="clear" w:color="auto" w:fill="auto"/>
          </w:tcPr>
          <w:p w14:paraId="686B07C6" w14:textId="5E82AB9B" w:rsidR="006817F0" w:rsidRPr="00F2303D" w:rsidRDefault="006817F0" w:rsidP="006817F0">
            <w:pPr>
              <w:spacing w:after="0" w:line="240" w:lineRule="auto"/>
              <w:jc w:val="center"/>
              <w:rPr>
                <w:sz w:val="20"/>
                <w:szCs w:val="20"/>
              </w:rPr>
            </w:pPr>
            <w:r w:rsidRPr="00F2303D">
              <w:rPr>
                <w:sz w:val="20"/>
                <w:szCs w:val="20"/>
              </w:rPr>
              <w:t>94.0</w:t>
            </w:r>
          </w:p>
        </w:tc>
        <w:tc>
          <w:tcPr>
            <w:tcW w:w="1003" w:type="dxa"/>
            <w:tcBorders>
              <w:top w:val="nil"/>
              <w:left w:val="nil"/>
              <w:bottom w:val="single" w:sz="4" w:space="0" w:color="auto"/>
              <w:right w:val="single" w:sz="4" w:space="0" w:color="auto"/>
            </w:tcBorders>
            <w:shd w:val="clear" w:color="auto" w:fill="auto"/>
          </w:tcPr>
          <w:p w14:paraId="6D1618B5" w14:textId="55FE388B" w:rsidR="006817F0" w:rsidRPr="00F2303D" w:rsidRDefault="006817F0" w:rsidP="006817F0">
            <w:pPr>
              <w:spacing w:after="0" w:line="240" w:lineRule="auto"/>
              <w:jc w:val="center"/>
              <w:rPr>
                <w:sz w:val="20"/>
                <w:szCs w:val="20"/>
              </w:rPr>
            </w:pPr>
            <w:r w:rsidRPr="00F2303D">
              <w:rPr>
                <w:sz w:val="20"/>
                <w:szCs w:val="20"/>
              </w:rPr>
              <w:t>94.0</w:t>
            </w:r>
          </w:p>
        </w:tc>
        <w:tc>
          <w:tcPr>
            <w:tcW w:w="1003" w:type="dxa"/>
            <w:tcBorders>
              <w:top w:val="nil"/>
              <w:left w:val="nil"/>
              <w:bottom w:val="single" w:sz="4" w:space="0" w:color="auto"/>
              <w:right w:val="single" w:sz="4" w:space="0" w:color="auto"/>
            </w:tcBorders>
            <w:shd w:val="clear" w:color="auto" w:fill="auto"/>
          </w:tcPr>
          <w:p w14:paraId="03BED989" w14:textId="14CC012B" w:rsidR="006817F0" w:rsidRPr="00F2303D" w:rsidRDefault="006817F0" w:rsidP="006817F0">
            <w:pPr>
              <w:spacing w:after="0" w:line="240" w:lineRule="auto"/>
              <w:jc w:val="center"/>
              <w:rPr>
                <w:sz w:val="20"/>
                <w:szCs w:val="20"/>
              </w:rPr>
            </w:pPr>
            <w:r w:rsidRPr="00F2303D">
              <w:rPr>
                <w:sz w:val="20"/>
                <w:szCs w:val="20"/>
              </w:rPr>
              <w:t>93.3</w:t>
            </w:r>
          </w:p>
        </w:tc>
        <w:tc>
          <w:tcPr>
            <w:tcW w:w="1003" w:type="dxa"/>
            <w:tcBorders>
              <w:top w:val="nil"/>
              <w:left w:val="nil"/>
              <w:bottom w:val="single" w:sz="4" w:space="0" w:color="auto"/>
              <w:right w:val="single" w:sz="4" w:space="0" w:color="auto"/>
            </w:tcBorders>
            <w:shd w:val="clear" w:color="auto" w:fill="auto"/>
          </w:tcPr>
          <w:p w14:paraId="4BAC00F6" w14:textId="71558BD6" w:rsidR="006817F0" w:rsidRPr="00F2303D" w:rsidRDefault="006817F0" w:rsidP="006817F0">
            <w:pPr>
              <w:spacing w:after="0" w:line="240" w:lineRule="auto"/>
              <w:jc w:val="center"/>
              <w:rPr>
                <w:sz w:val="20"/>
                <w:szCs w:val="20"/>
              </w:rPr>
            </w:pPr>
            <w:r w:rsidRPr="00F2303D">
              <w:rPr>
                <w:sz w:val="20"/>
                <w:szCs w:val="20"/>
              </w:rPr>
              <w:t>93.8</w:t>
            </w:r>
          </w:p>
        </w:tc>
        <w:tc>
          <w:tcPr>
            <w:tcW w:w="1003" w:type="dxa"/>
            <w:tcBorders>
              <w:top w:val="single" w:sz="2" w:space="0" w:color="auto"/>
              <w:left w:val="nil"/>
              <w:bottom w:val="single" w:sz="2" w:space="0" w:color="auto"/>
              <w:right w:val="single" w:sz="2" w:space="0" w:color="auto"/>
            </w:tcBorders>
            <w:shd w:val="clear" w:color="auto" w:fill="auto"/>
          </w:tcPr>
          <w:p w14:paraId="20ADACF1" w14:textId="79E279F0" w:rsidR="006817F0" w:rsidRPr="00F2303D" w:rsidRDefault="006817F0" w:rsidP="006817F0">
            <w:pPr>
              <w:spacing w:after="0" w:line="240" w:lineRule="auto"/>
              <w:jc w:val="center"/>
              <w:rPr>
                <w:sz w:val="20"/>
                <w:szCs w:val="20"/>
              </w:rPr>
            </w:pPr>
            <w:r w:rsidRPr="00F2303D">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41D06FA5" w14:textId="006CED4B" w:rsidR="006817F0" w:rsidRPr="00F2303D" w:rsidRDefault="006817F0" w:rsidP="006817F0">
            <w:pPr>
              <w:spacing w:after="0" w:line="240" w:lineRule="auto"/>
              <w:jc w:val="center"/>
              <w:rPr>
                <w:sz w:val="20"/>
                <w:szCs w:val="20"/>
              </w:rPr>
            </w:pPr>
            <w:r w:rsidRPr="00F2303D">
              <w:rPr>
                <w:sz w:val="20"/>
                <w:szCs w:val="20"/>
              </w:rPr>
              <w:t>93.2</w:t>
            </w:r>
          </w:p>
        </w:tc>
      </w:tr>
      <w:tr w:rsidR="006817F0" w:rsidRPr="00380233" w14:paraId="0267FAD2" w14:textId="77777777" w:rsidTr="000F5BEE">
        <w:trPr>
          <w:trHeight w:val="288"/>
        </w:trPr>
        <w:tc>
          <w:tcPr>
            <w:tcW w:w="1980" w:type="dxa"/>
            <w:tcBorders>
              <w:left w:val="single" w:sz="4" w:space="0" w:color="auto"/>
              <w:bottom w:val="single" w:sz="4" w:space="0" w:color="auto"/>
            </w:tcBorders>
            <w:shd w:val="clear" w:color="auto" w:fill="auto"/>
          </w:tcPr>
          <w:p w14:paraId="34D09454" w14:textId="6DD80885" w:rsidR="006817F0" w:rsidRDefault="006817F0" w:rsidP="006817F0">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40D73A46" w14:textId="13CBD1F4" w:rsidR="006817F0" w:rsidRPr="00F2303D" w:rsidRDefault="006817F0" w:rsidP="006817F0">
            <w:pPr>
              <w:spacing w:after="0" w:line="240" w:lineRule="auto"/>
              <w:jc w:val="center"/>
              <w:rPr>
                <w:sz w:val="20"/>
                <w:szCs w:val="20"/>
              </w:rPr>
            </w:pPr>
            <w:r w:rsidRPr="00F2303D">
              <w:rPr>
                <w:sz w:val="20"/>
                <w:szCs w:val="20"/>
              </w:rPr>
              <w:t>3,762</w:t>
            </w:r>
          </w:p>
        </w:tc>
        <w:tc>
          <w:tcPr>
            <w:tcW w:w="1003" w:type="dxa"/>
            <w:tcBorders>
              <w:top w:val="nil"/>
              <w:left w:val="nil"/>
              <w:bottom w:val="single" w:sz="4" w:space="0" w:color="auto"/>
              <w:right w:val="single" w:sz="4" w:space="0" w:color="auto"/>
            </w:tcBorders>
            <w:shd w:val="clear" w:color="auto" w:fill="auto"/>
          </w:tcPr>
          <w:p w14:paraId="1BE36E84" w14:textId="0D42316B" w:rsidR="006817F0" w:rsidRPr="00F2303D" w:rsidRDefault="006817F0" w:rsidP="006817F0">
            <w:pPr>
              <w:spacing w:after="0" w:line="240" w:lineRule="auto"/>
              <w:jc w:val="center"/>
              <w:rPr>
                <w:sz w:val="20"/>
                <w:szCs w:val="20"/>
              </w:rPr>
            </w:pPr>
            <w:r w:rsidRPr="00F2303D">
              <w:rPr>
                <w:sz w:val="20"/>
                <w:szCs w:val="20"/>
              </w:rPr>
              <w:t>93.8</w:t>
            </w:r>
          </w:p>
        </w:tc>
        <w:tc>
          <w:tcPr>
            <w:tcW w:w="1003" w:type="dxa"/>
            <w:tcBorders>
              <w:top w:val="nil"/>
              <w:left w:val="nil"/>
              <w:bottom w:val="single" w:sz="4" w:space="0" w:color="auto"/>
              <w:right w:val="single" w:sz="4" w:space="0" w:color="auto"/>
            </w:tcBorders>
            <w:shd w:val="clear" w:color="auto" w:fill="auto"/>
          </w:tcPr>
          <w:p w14:paraId="7F1384AF" w14:textId="3F6E9D0E" w:rsidR="006817F0" w:rsidRPr="00F2303D" w:rsidRDefault="006817F0" w:rsidP="006817F0">
            <w:pPr>
              <w:spacing w:after="0" w:line="240" w:lineRule="auto"/>
              <w:jc w:val="center"/>
              <w:rPr>
                <w:sz w:val="20"/>
                <w:szCs w:val="20"/>
              </w:rPr>
            </w:pPr>
            <w:r w:rsidRPr="00F2303D">
              <w:rPr>
                <w:sz w:val="20"/>
                <w:szCs w:val="20"/>
              </w:rPr>
              <w:t>93.7</w:t>
            </w:r>
          </w:p>
        </w:tc>
        <w:tc>
          <w:tcPr>
            <w:tcW w:w="1003" w:type="dxa"/>
            <w:tcBorders>
              <w:top w:val="nil"/>
              <w:left w:val="nil"/>
              <w:bottom w:val="single" w:sz="4" w:space="0" w:color="auto"/>
              <w:right w:val="single" w:sz="4" w:space="0" w:color="auto"/>
            </w:tcBorders>
            <w:shd w:val="clear" w:color="auto" w:fill="auto"/>
          </w:tcPr>
          <w:p w14:paraId="2AD61966" w14:textId="118BEAFF" w:rsidR="006817F0" w:rsidRPr="00F2303D" w:rsidRDefault="006817F0" w:rsidP="006817F0">
            <w:pPr>
              <w:spacing w:after="0" w:line="240" w:lineRule="auto"/>
              <w:jc w:val="center"/>
              <w:rPr>
                <w:sz w:val="20"/>
                <w:szCs w:val="20"/>
              </w:rPr>
            </w:pPr>
            <w:r w:rsidRPr="00F2303D">
              <w:rPr>
                <w:sz w:val="20"/>
                <w:szCs w:val="20"/>
              </w:rPr>
              <w:t>93.1</w:t>
            </w:r>
          </w:p>
        </w:tc>
        <w:tc>
          <w:tcPr>
            <w:tcW w:w="1003" w:type="dxa"/>
            <w:tcBorders>
              <w:top w:val="nil"/>
              <w:left w:val="nil"/>
              <w:bottom w:val="single" w:sz="4" w:space="0" w:color="auto"/>
              <w:right w:val="single" w:sz="4" w:space="0" w:color="auto"/>
            </w:tcBorders>
            <w:shd w:val="clear" w:color="auto" w:fill="auto"/>
          </w:tcPr>
          <w:p w14:paraId="72992037" w14:textId="3FC2E1FF" w:rsidR="006817F0" w:rsidRPr="00F2303D" w:rsidRDefault="006817F0" w:rsidP="006817F0">
            <w:pPr>
              <w:spacing w:after="0" w:line="240" w:lineRule="auto"/>
              <w:jc w:val="center"/>
              <w:rPr>
                <w:sz w:val="20"/>
                <w:szCs w:val="20"/>
              </w:rPr>
            </w:pPr>
            <w:r w:rsidRPr="00F2303D">
              <w:rPr>
                <w:sz w:val="20"/>
                <w:szCs w:val="20"/>
              </w:rPr>
              <w:t>93.4</w:t>
            </w:r>
          </w:p>
        </w:tc>
        <w:tc>
          <w:tcPr>
            <w:tcW w:w="1003" w:type="dxa"/>
            <w:tcBorders>
              <w:top w:val="single" w:sz="2" w:space="0" w:color="auto"/>
              <w:left w:val="nil"/>
              <w:bottom w:val="single" w:sz="2" w:space="0" w:color="auto"/>
              <w:right w:val="single" w:sz="2" w:space="0" w:color="auto"/>
            </w:tcBorders>
            <w:shd w:val="clear" w:color="auto" w:fill="auto"/>
          </w:tcPr>
          <w:p w14:paraId="7775C6BA" w14:textId="3264D7AB" w:rsidR="006817F0" w:rsidRPr="00F2303D" w:rsidRDefault="006817F0" w:rsidP="006817F0">
            <w:pPr>
              <w:spacing w:after="0" w:line="240" w:lineRule="auto"/>
              <w:jc w:val="center"/>
              <w:rPr>
                <w:sz w:val="20"/>
                <w:szCs w:val="20"/>
              </w:rPr>
            </w:pPr>
            <w:r w:rsidRPr="00F2303D">
              <w:rPr>
                <w:sz w:val="20"/>
                <w:szCs w:val="20"/>
              </w:rPr>
              <w:t>-0.4</w:t>
            </w:r>
          </w:p>
        </w:tc>
        <w:tc>
          <w:tcPr>
            <w:tcW w:w="1003" w:type="dxa"/>
            <w:tcBorders>
              <w:left w:val="single" w:sz="2" w:space="0" w:color="auto"/>
              <w:bottom w:val="single" w:sz="4" w:space="0" w:color="auto"/>
              <w:right w:val="single" w:sz="4" w:space="0" w:color="auto"/>
            </w:tcBorders>
            <w:shd w:val="clear" w:color="auto" w:fill="auto"/>
          </w:tcPr>
          <w:p w14:paraId="7C55CB5F" w14:textId="61B28167" w:rsidR="006817F0" w:rsidRPr="00F2303D" w:rsidRDefault="006817F0" w:rsidP="006817F0">
            <w:pPr>
              <w:spacing w:after="0" w:line="240" w:lineRule="auto"/>
              <w:jc w:val="center"/>
              <w:rPr>
                <w:sz w:val="20"/>
                <w:szCs w:val="20"/>
              </w:rPr>
            </w:pPr>
            <w:r w:rsidRPr="00F2303D">
              <w:rPr>
                <w:sz w:val="20"/>
                <w:szCs w:val="20"/>
              </w:rPr>
              <w:t>92.5</w:t>
            </w:r>
          </w:p>
        </w:tc>
      </w:tr>
      <w:tr w:rsidR="006817F0" w:rsidRPr="00380233" w14:paraId="708B7898" w14:textId="77777777" w:rsidTr="000F5BEE">
        <w:trPr>
          <w:trHeight w:val="288"/>
        </w:trPr>
        <w:tc>
          <w:tcPr>
            <w:tcW w:w="1980" w:type="dxa"/>
            <w:tcBorders>
              <w:left w:val="single" w:sz="4" w:space="0" w:color="auto"/>
              <w:bottom w:val="single" w:sz="4" w:space="0" w:color="auto"/>
            </w:tcBorders>
            <w:shd w:val="clear" w:color="auto" w:fill="auto"/>
          </w:tcPr>
          <w:p w14:paraId="2A0D44E4" w14:textId="0F171F40" w:rsidR="006817F0" w:rsidRDefault="006817F0" w:rsidP="006817F0">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A18B871" w14:textId="05168856" w:rsidR="006817F0" w:rsidRPr="00F2303D" w:rsidRDefault="006817F0" w:rsidP="006817F0">
            <w:pPr>
              <w:spacing w:after="0" w:line="240" w:lineRule="auto"/>
              <w:jc w:val="center"/>
              <w:rPr>
                <w:sz w:val="20"/>
                <w:szCs w:val="20"/>
              </w:rPr>
            </w:pPr>
            <w:r w:rsidRPr="00F2303D">
              <w:rPr>
                <w:sz w:val="20"/>
                <w:szCs w:val="20"/>
              </w:rPr>
              <w:t>2,263</w:t>
            </w:r>
          </w:p>
        </w:tc>
        <w:tc>
          <w:tcPr>
            <w:tcW w:w="1003" w:type="dxa"/>
            <w:tcBorders>
              <w:top w:val="nil"/>
              <w:left w:val="nil"/>
              <w:bottom w:val="single" w:sz="4" w:space="0" w:color="auto"/>
              <w:right w:val="single" w:sz="4" w:space="0" w:color="auto"/>
            </w:tcBorders>
            <w:shd w:val="clear" w:color="auto" w:fill="auto"/>
          </w:tcPr>
          <w:p w14:paraId="0168AA2F" w14:textId="4C78F38E" w:rsidR="006817F0" w:rsidRPr="00F2303D" w:rsidRDefault="006817F0" w:rsidP="006817F0">
            <w:pPr>
              <w:spacing w:after="0" w:line="240" w:lineRule="auto"/>
              <w:jc w:val="center"/>
              <w:rPr>
                <w:sz w:val="20"/>
                <w:szCs w:val="20"/>
              </w:rPr>
            </w:pPr>
            <w:r w:rsidRPr="00F2303D">
              <w:rPr>
                <w:sz w:val="20"/>
                <w:szCs w:val="20"/>
              </w:rPr>
              <w:t>93.5</w:t>
            </w:r>
          </w:p>
        </w:tc>
        <w:tc>
          <w:tcPr>
            <w:tcW w:w="1003" w:type="dxa"/>
            <w:tcBorders>
              <w:top w:val="nil"/>
              <w:left w:val="nil"/>
              <w:bottom w:val="single" w:sz="4" w:space="0" w:color="auto"/>
              <w:right w:val="single" w:sz="4" w:space="0" w:color="auto"/>
            </w:tcBorders>
            <w:shd w:val="clear" w:color="auto" w:fill="auto"/>
          </w:tcPr>
          <w:p w14:paraId="27558C77" w14:textId="57245DC9" w:rsidR="006817F0" w:rsidRPr="00F2303D" w:rsidRDefault="006817F0" w:rsidP="006817F0">
            <w:pPr>
              <w:spacing w:after="0" w:line="240" w:lineRule="auto"/>
              <w:jc w:val="center"/>
              <w:rPr>
                <w:sz w:val="20"/>
                <w:szCs w:val="20"/>
              </w:rPr>
            </w:pPr>
            <w:r w:rsidRPr="00F2303D">
              <w:rPr>
                <w:sz w:val="20"/>
                <w:szCs w:val="20"/>
              </w:rPr>
              <w:t>93.4</w:t>
            </w:r>
          </w:p>
        </w:tc>
        <w:tc>
          <w:tcPr>
            <w:tcW w:w="1003" w:type="dxa"/>
            <w:tcBorders>
              <w:top w:val="nil"/>
              <w:left w:val="nil"/>
              <w:bottom w:val="single" w:sz="4" w:space="0" w:color="auto"/>
              <w:right w:val="single" w:sz="4" w:space="0" w:color="auto"/>
            </w:tcBorders>
            <w:shd w:val="clear" w:color="auto" w:fill="auto"/>
          </w:tcPr>
          <w:p w14:paraId="17FA7E56" w14:textId="292EC1A3" w:rsidR="006817F0" w:rsidRPr="00F2303D" w:rsidRDefault="006817F0" w:rsidP="006817F0">
            <w:pPr>
              <w:spacing w:after="0" w:line="240" w:lineRule="auto"/>
              <w:jc w:val="center"/>
              <w:rPr>
                <w:sz w:val="20"/>
                <w:szCs w:val="20"/>
              </w:rPr>
            </w:pPr>
            <w:r w:rsidRPr="00F2303D">
              <w:rPr>
                <w:sz w:val="20"/>
                <w:szCs w:val="20"/>
              </w:rPr>
              <w:t>92.8</w:t>
            </w:r>
          </w:p>
        </w:tc>
        <w:tc>
          <w:tcPr>
            <w:tcW w:w="1003" w:type="dxa"/>
            <w:tcBorders>
              <w:top w:val="nil"/>
              <w:left w:val="nil"/>
              <w:bottom w:val="single" w:sz="4" w:space="0" w:color="auto"/>
              <w:right w:val="single" w:sz="4" w:space="0" w:color="auto"/>
            </w:tcBorders>
            <w:shd w:val="clear" w:color="auto" w:fill="auto"/>
          </w:tcPr>
          <w:p w14:paraId="7FCD64B2" w14:textId="01C746FC" w:rsidR="006817F0" w:rsidRPr="00F2303D" w:rsidRDefault="006817F0" w:rsidP="006817F0">
            <w:pPr>
              <w:spacing w:after="0" w:line="240" w:lineRule="auto"/>
              <w:jc w:val="center"/>
              <w:rPr>
                <w:sz w:val="20"/>
                <w:szCs w:val="20"/>
              </w:rPr>
            </w:pPr>
            <w:r w:rsidRPr="00F2303D">
              <w:rPr>
                <w:sz w:val="20"/>
                <w:szCs w:val="20"/>
              </w:rPr>
              <w:t>93.4</w:t>
            </w:r>
          </w:p>
        </w:tc>
        <w:tc>
          <w:tcPr>
            <w:tcW w:w="1003" w:type="dxa"/>
            <w:tcBorders>
              <w:top w:val="single" w:sz="2" w:space="0" w:color="auto"/>
              <w:left w:val="nil"/>
              <w:bottom w:val="single" w:sz="2" w:space="0" w:color="auto"/>
              <w:right w:val="single" w:sz="2" w:space="0" w:color="auto"/>
            </w:tcBorders>
            <w:shd w:val="clear" w:color="auto" w:fill="auto"/>
          </w:tcPr>
          <w:p w14:paraId="059CF2BF" w14:textId="54FAF0EF" w:rsidR="006817F0" w:rsidRPr="00F2303D" w:rsidRDefault="006817F0" w:rsidP="006817F0">
            <w:pPr>
              <w:spacing w:after="0" w:line="240" w:lineRule="auto"/>
              <w:jc w:val="center"/>
              <w:rPr>
                <w:sz w:val="20"/>
                <w:szCs w:val="20"/>
              </w:rPr>
            </w:pPr>
            <w:r w:rsidRPr="00F2303D">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71193ECF" w14:textId="39F9F44B" w:rsidR="006817F0" w:rsidRPr="00F2303D" w:rsidRDefault="006817F0" w:rsidP="006817F0">
            <w:pPr>
              <w:spacing w:after="0" w:line="240" w:lineRule="auto"/>
              <w:jc w:val="center"/>
              <w:rPr>
                <w:sz w:val="20"/>
                <w:szCs w:val="20"/>
              </w:rPr>
            </w:pPr>
            <w:r w:rsidRPr="00F2303D">
              <w:rPr>
                <w:sz w:val="20"/>
                <w:szCs w:val="20"/>
              </w:rPr>
              <w:t>92.9</w:t>
            </w:r>
          </w:p>
        </w:tc>
      </w:tr>
      <w:tr w:rsidR="006817F0" w:rsidRPr="00380233" w14:paraId="5C706A03" w14:textId="77777777" w:rsidTr="000F5BEE">
        <w:trPr>
          <w:trHeight w:val="288"/>
        </w:trPr>
        <w:tc>
          <w:tcPr>
            <w:tcW w:w="1980" w:type="dxa"/>
            <w:tcBorders>
              <w:left w:val="single" w:sz="4" w:space="0" w:color="auto"/>
              <w:bottom w:val="single" w:sz="4" w:space="0" w:color="auto"/>
            </w:tcBorders>
            <w:shd w:val="clear" w:color="auto" w:fill="auto"/>
          </w:tcPr>
          <w:p w14:paraId="5C6FFE3D" w14:textId="2E9C1B86" w:rsidR="006817F0" w:rsidRDefault="006817F0" w:rsidP="006817F0">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F795648" w14:textId="2A63E44A" w:rsidR="006817F0" w:rsidRPr="00F2303D" w:rsidRDefault="006817F0" w:rsidP="006817F0">
            <w:pPr>
              <w:spacing w:after="0" w:line="240" w:lineRule="auto"/>
              <w:jc w:val="center"/>
              <w:rPr>
                <w:sz w:val="20"/>
                <w:szCs w:val="20"/>
              </w:rPr>
            </w:pPr>
            <w:r w:rsidRPr="00F2303D">
              <w:rPr>
                <w:sz w:val="20"/>
                <w:szCs w:val="20"/>
              </w:rPr>
              <w:t>2,081</w:t>
            </w:r>
          </w:p>
        </w:tc>
        <w:tc>
          <w:tcPr>
            <w:tcW w:w="1003" w:type="dxa"/>
            <w:tcBorders>
              <w:top w:val="nil"/>
              <w:left w:val="nil"/>
              <w:bottom w:val="single" w:sz="4" w:space="0" w:color="auto"/>
              <w:right w:val="single" w:sz="4" w:space="0" w:color="auto"/>
            </w:tcBorders>
            <w:shd w:val="clear" w:color="auto" w:fill="auto"/>
          </w:tcPr>
          <w:p w14:paraId="7CEFE61D" w14:textId="5539A21B" w:rsidR="006817F0" w:rsidRPr="00F2303D" w:rsidRDefault="006817F0" w:rsidP="006817F0">
            <w:pPr>
              <w:spacing w:after="0" w:line="240" w:lineRule="auto"/>
              <w:jc w:val="center"/>
              <w:rPr>
                <w:sz w:val="20"/>
                <w:szCs w:val="20"/>
              </w:rPr>
            </w:pPr>
            <w:r w:rsidRPr="00F2303D">
              <w:rPr>
                <w:sz w:val="20"/>
                <w:szCs w:val="20"/>
              </w:rPr>
              <w:t>94.1</w:t>
            </w:r>
          </w:p>
        </w:tc>
        <w:tc>
          <w:tcPr>
            <w:tcW w:w="1003" w:type="dxa"/>
            <w:tcBorders>
              <w:top w:val="nil"/>
              <w:left w:val="nil"/>
              <w:bottom w:val="single" w:sz="4" w:space="0" w:color="auto"/>
              <w:right w:val="single" w:sz="4" w:space="0" w:color="auto"/>
            </w:tcBorders>
            <w:shd w:val="clear" w:color="auto" w:fill="auto"/>
          </w:tcPr>
          <w:p w14:paraId="1A5BDE33" w14:textId="1F0CBAA1" w:rsidR="006817F0" w:rsidRPr="00F2303D" w:rsidRDefault="006817F0" w:rsidP="006817F0">
            <w:pPr>
              <w:spacing w:after="0" w:line="240" w:lineRule="auto"/>
              <w:jc w:val="center"/>
              <w:rPr>
                <w:sz w:val="20"/>
                <w:szCs w:val="20"/>
              </w:rPr>
            </w:pPr>
            <w:r w:rsidRPr="00F2303D">
              <w:rPr>
                <w:sz w:val="20"/>
                <w:szCs w:val="20"/>
              </w:rPr>
              <w:t>94.2</w:t>
            </w:r>
          </w:p>
        </w:tc>
        <w:tc>
          <w:tcPr>
            <w:tcW w:w="1003" w:type="dxa"/>
            <w:tcBorders>
              <w:top w:val="nil"/>
              <w:left w:val="nil"/>
              <w:bottom w:val="single" w:sz="4" w:space="0" w:color="auto"/>
              <w:right w:val="single" w:sz="4" w:space="0" w:color="auto"/>
            </w:tcBorders>
            <w:shd w:val="clear" w:color="auto" w:fill="auto"/>
          </w:tcPr>
          <w:p w14:paraId="51680126" w14:textId="46607DA4" w:rsidR="006817F0" w:rsidRPr="00F2303D" w:rsidRDefault="006817F0" w:rsidP="006817F0">
            <w:pPr>
              <w:spacing w:after="0" w:line="240" w:lineRule="auto"/>
              <w:jc w:val="center"/>
              <w:rPr>
                <w:sz w:val="20"/>
                <w:szCs w:val="20"/>
              </w:rPr>
            </w:pPr>
            <w:r w:rsidRPr="00F2303D">
              <w:rPr>
                <w:sz w:val="20"/>
                <w:szCs w:val="20"/>
              </w:rPr>
              <w:t>93.4</w:t>
            </w:r>
          </w:p>
        </w:tc>
        <w:tc>
          <w:tcPr>
            <w:tcW w:w="1003" w:type="dxa"/>
            <w:tcBorders>
              <w:top w:val="nil"/>
              <w:left w:val="nil"/>
              <w:bottom w:val="single" w:sz="4" w:space="0" w:color="auto"/>
              <w:right w:val="single" w:sz="4" w:space="0" w:color="auto"/>
            </w:tcBorders>
            <w:shd w:val="clear" w:color="auto" w:fill="auto"/>
          </w:tcPr>
          <w:p w14:paraId="1E00F89B" w14:textId="7EC0DD88" w:rsidR="006817F0" w:rsidRPr="00F2303D" w:rsidRDefault="006817F0" w:rsidP="006817F0">
            <w:pPr>
              <w:spacing w:after="0" w:line="240" w:lineRule="auto"/>
              <w:jc w:val="center"/>
              <w:rPr>
                <w:sz w:val="20"/>
                <w:szCs w:val="20"/>
              </w:rPr>
            </w:pPr>
            <w:r w:rsidRPr="00F2303D">
              <w:rPr>
                <w:sz w:val="20"/>
                <w:szCs w:val="20"/>
              </w:rPr>
              <w:t>94.0</w:t>
            </w:r>
          </w:p>
        </w:tc>
        <w:tc>
          <w:tcPr>
            <w:tcW w:w="1003" w:type="dxa"/>
            <w:tcBorders>
              <w:top w:val="single" w:sz="2" w:space="0" w:color="auto"/>
              <w:left w:val="nil"/>
              <w:bottom w:val="single" w:sz="2" w:space="0" w:color="auto"/>
              <w:right w:val="single" w:sz="2" w:space="0" w:color="auto"/>
            </w:tcBorders>
            <w:shd w:val="clear" w:color="auto" w:fill="auto"/>
          </w:tcPr>
          <w:p w14:paraId="264E1812" w14:textId="47FFAC42" w:rsidR="006817F0" w:rsidRPr="00F2303D" w:rsidRDefault="006817F0" w:rsidP="006817F0">
            <w:pPr>
              <w:spacing w:after="0" w:line="240" w:lineRule="auto"/>
              <w:jc w:val="center"/>
              <w:rPr>
                <w:sz w:val="20"/>
                <w:szCs w:val="20"/>
              </w:rPr>
            </w:pPr>
            <w:r w:rsidRPr="00F2303D">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1CFE2223" w14:textId="36803193" w:rsidR="006817F0" w:rsidRPr="00F2303D" w:rsidRDefault="006817F0" w:rsidP="006817F0">
            <w:pPr>
              <w:spacing w:after="0" w:line="240" w:lineRule="auto"/>
              <w:jc w:val="center"/>
              <w:rPr>
                <w:sz w:val="20"/>
                <w:szCs w:val="20"/>
              </w:rPr>
            </w:pPr>
            <w:r w:rsidRPr="00F2303D">
              <w:rPr>
                <w:sz w:val="20"/>
                <w:szCs w:val="20"/>
              </w:rPr>
              <w:t>93.3</w:t>
            </w:r>
          </w:p>
        </w:tc>
      </w:tr>
      <w:tr w:rsidR="004F3F8D" w:rsidRPr="00380233" w14:paraId="147D4EA9"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4B0326CC" w14:textId="56E51A3E" w:rsidR="004F3F8D" w:rsidRDefault="004F3F8D" w:rsidP="006817F0">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2F44749" w14:textId="77777777" w:rsidR="004F3F8D" w:rsidRPr="00F2303D" w:rsidRDefault="004F3F8D" w:rsidP="00697F37">
            <w:pPr>
              <w:spacing w:after="0" w:line="240" w:lineRule="auto"/>
              <w:jc w:val="center"/>
              <w:rPr>
                <w:sz w:val="20"/>
                <w:szCs w:val="20"/>
              </w:rPr>
            </w:pPr>
            <w:r w:rsidRPr="00F2303D">
              <w:rPr>
                <w:sz w:val="20"/>
                <w:szCs w:val="20"/>
              </w:rPr>
              <w:t>9,410</w:t>
            </w:r>
          </w:p>
        </w:tc>
        <w:tc>
          <w:tcPr>
            <w:tcW w:w="1003" w:type="dxa"/>
            <w:tcBorders>
              <w:top w:val="nil"/>
              <w:left w:val="nil"/>
              <w:bottom w:val="single" w:sz="4" w:space="0" w:color="auto"/>
              <w:right w:val="single" w:sz="4" w:space="0" w:color="auto"/>
            </w:tcBorders>
            <w:shd w:val="clear" w:color="auto" w:fill="D9D9D9" w:themeFill="background1" w:themeFillShade="D9"/>
          </w:tcPr>
          <w:p w14:paraId="005F99EF" w14:textId="77777777" w:rsidR="004F3F8D" w:rsidRPr="00F2303D" w:rsidRDefault="004F3F8D" w:rsidP="00697F37">
            <w:pPr>
              <w:spacing w:after="0" w:line="240" w:lineRule="auto"/>
              <w:jc w:val="center"/>
              <w:rPr>
                <w:sz w:val="20"/>
                <w:szCs w:val="20"/>
              </w:rPr>
            </w:pPr>
            <w:r w:rsidRPr="00F2303D">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6EA11434" w14:textId="77777777" w:rsidR="004F3F8D" w:rsidRPr="00F2303D" w:rsidRDefault="004F3F8D" w:rsidP="00697F37">
            <w:pPr>
              <w:spacing w:after="0" w:line="240" w:lineRule="auto"/>
              <w:jc w:val="center"/>
              <w:rPr>
                <w:sz w:val="20"/>
                <w:szCs w:val="20"/>
              </w:rPr>
            </w:pPr>
            <w:r w:rsidRPr="00F2303D">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3490F971" w14:textId="77777777" w:rsidR="004F3F8D" w:rsidRPr="00F2303D" w:rsidRDefault="004F3F8D" w:rsidP="00697F37">
            <w:pPr>
              <w:spacing w:after="0" w:line="240" w:lineRule="auto"/>
              <w:jc w:val="center"/>
              <w:rPr>
                <w:sz w:val="20"/>
                <w:szCs w:val="20"/>
              </w:rPr>
            </w:pPr>
            <w:r w:rsidRPr="00F2303D">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38BE3127" w14:textId="77777777" w:rsidR="004F3F8D" w:rsidRPr="00F2303D" w:rsidRDefault="004F3F8D" w:rsidP="00697F37">
            <w:pPr>
              <w:spacing w:after="0" w:line="240" w:lineRule="auto"/>
              <w:jc w:val="center"/>
              <w:rPr>
                <w:sz w:val="20"/>
                <w:szCs w:val="20"/>
              </w:rPr>
            </w:pPr>
            <w:r w:rsidRPr="00F2303D">
              <w:rPr>
                <w:sz w:val="20"/>
                <w:szCs w:val="20"/>
              </w:rPr>
              <w:t>94.7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73707B7C" w14:textId="77777777" w:rsidR="004F3F8D" w:rsidRPr="00F2303D" w:rsidRDefault="004F3F8D" w:rsidP="00697F37">
            <w:pPr>
              <w:spacing w:after="0" w:line="240" w:lineRule="auto"/>
              <w:jc w:val="center"/>
              <w:rPr>
                <w:sz w:val="20"/>
                <w:szCs w:val="20"/>
              </w:rPr>
            </w:pPr>
            <w:r w:rsidRPr="00F2303D">
              <w:rPr>
                <w:sz w:val="20"/>
                <w:szCs w:val="20"/>
              </w:rPr>
              <w:t>-0.3</w:t>
            </w:r>
          </w:p>
        </w:tc>
        <w:tc>
          <w:tcPr>
            <w:tcW w:w="1003" w:type="dxa"/>
            <w:tcBorders>
              <w:left w:val="single" w:sz="2" w:space="0" w:color="auto"/>
              <w:bottom w:val="single" w:sz="2" w:space="0" w:color="auto"/>
              <w:right w:val="single" w:sz="4" w:space="0" w:color="auto"/>
            </w:tcBorders>
            <w:shd w:val="clear" w:color="auto" w:fill="D9D9D9" w:themeFill="background1" w:themeFillShade="D9"/>
          </w:tcPr>
          <w:p w14:paraId="3D3E277A" w14:textId="77777777" w:rsidR="004F3F8D" w:rsidRPr="00F2303D" w:rsidRDefault="004F3F8D" w:rsidP="00697F37">
            <w:pPr>
              <w:spacing w:after="0" w:line="240" w:lineRule="auto"/>
              <w:jc w:val="center"/>
              <w:rPr>
                <w:sz w:val="20"/>
                <w:szCs w:val="20"/>
              </w:rPr>
            </w:pPr>
            <w:r w:rsidRPr="00F2303D">
              <w:rPr>
                <w:sz w:val="20"/>
                <w:szCs w:val="20"/>
              </w:rPr>
              <w:t>94.5</w:t>
            </w:r>
          </w:p>
        </w:tc>
      </w:tr>
      <w:tr w:rsidR="004F3F8D" w:rsidRPr="00380233" w14:paraId="6A44ACE0" w14:textId="77777777" w:rsidTr="000F5BEE">
        <w:trPr>
          <w:trHeight w:val="288"/>
        </w:trPr>
        <w:tc>
          <w:tcPr>
            <w:tcW w:w="9000" w:type="dxa"/>
            <w:gridSpan w:val="8"/>
            <w:tcBorders>
              <w:bottom w:val="nil"/>
              <w:right w:val="nil"/>
            </w:tcBorders>
            <w:shd w:val="clear" w:color="auto" w:fill="auto"/>
          </w:tcPr>
          <w:p w14:paraId="263F6CFB" w14:textId="77777777" w:rsidR="004F3F8D" w:rsidRPr="003F6B54" w:rsidRDefault="004F3F8D" w:rsidP="00697F37">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days students attended school by the total number of days students were enrolled in a </w:t>
            </w:r>
            <w:proofErr w:type="gramStart"/>
            <w:r w:rsidRPr="00380233">
              <w:rPr>
                <w:rFonts w:ascii="Calibri" w:eastAsia="Times New Roman" w:hAnsi="Calibri" w:cs="Times New Roman"/>
                <w:bCs/>
                <w:sz w:val="20"/>
                <w:szCs w:val="20"/>
              </w:rPr>
              <w:t>particular school</w:t>
            </w:r>
            <w:proofErr w:type="gramEnd"/>
            <w:r w:rsidRPr="00380233">
              <w:rPr>
                <w:rFonts w:ascii="Calibri" w:eastAsia="Times New Roman" w:hAnsi="Calibri" w:cs="Times New Roman"/>
                <w:bCs/>
                <w:sz w:val="20"/>
                <w:szCs w:val="20"/>
              </w:rPr>
              <w:t xml:space="preserve">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7A90974" w14:textId="77777777" w:rsidR="004F3F8D" w:rsidRPr="00380233" w:rsidRDefault="004F3F8D" w:rsidP="004F3F8D">
      <w:pPr>
        <w:spacing w:after="0" w:line="240" w:lineRule="auto"/>
        <w:rPr>
          <w:rFonts w:ascii="Calibri" w:eastAsia="Times New Roman" w:hAnsi="Calibri" w:cs="Times New Roman"/>
          <w:sz w:val="20"/>
          <w:szCs w:val="20"/>
        </w:rPr>
      </w:pPr>
    </w:p>
    <w:p w14:paraId="5ADC9F8D" w14:textId="77777777" w:rsidR="004F3F8D" w:rsidRPr="00380233" w:rsidRDefault="004F3F8D" w:rsidP="004F3F8D">
      <w:pPr>
        <w:spacing w:after="0" w:line="240" w:lineRule="auto"/>
        <w:rPr>
          <w:rFonts w:ascii="Calibri" w:eastAsia="Times New Roman" w:hAnsi="Calibri" w:cs="Times New Roman"/>
          <w:sz w:val="20"/>
          <w:szCs w:val="20"/>
        </w:rPr>
      </w:pPr>
    </w:p>
    <w:p w14:paraId="5CE1BA17" w14:textId="77777777" w:rsidR="004F3F8D" w:rsidRPr="00380233" w:rsidRDefault="004F3F8D" w:rsidP="004F3F8D">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8F1833">
        <w:rPr>
          <w:rFonts w:ascii="Calibri" w:eastAsia="Calibri" w:hAnsi="Calibri" w:cs="Times New Roman"/>
          <w:b/>
          <w:sz w:val="20"/>
        </w:rPr>
        <w:t>Framingham Public Schools</w:t>
      </w:r>
    </w:p>
    <w:p w14:paraId="5AACE456" w14:textId="0212429F" w:rsidR="004F3F8D" w:rsidRPr="00380233" w:rsidRDefault="004F3F8D" w:rsidP="004F3F8D">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6817F0">
        <w:rPr>
          <w:rFonts w:ascii="Calibri" w:eastAsia="Calibri" w:hAnsi="Calibri" w:cs="Times New Roman"/>
          <w:b/>
          <w:sz w:val="20"/>
        </w:rPr>
        <w:t>Absence Rates</w:t>
      </w:r>
      <w:r w:rsidR="00BC0636">
        <w:rPr>
          <w:rFonts w:ascii="Calibri" w:eastAsia="Calibri" w:hAnsi="Calibri" w:cs="Times New Roman"/>
          <w:b/>
          <w:sz w:val="20"/>
        </w:rPr>
        <w:t xml:space="preserve"> by Student Group</w:t>
      </w:r>
      <w:r>
        <w:rPr>
          <w:rFonts w:ascii="Calibri" w:eastAsia="Calibri" w:hAnsi="Calibri" w:cs="Times New Roman"/>
          <w:b/>
          <w:sz w:val="20"/>
        </w:rPr>
        <w:t>*</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Framingham Public Schools"/>
        <w:tblDescription w:val="Chronic Absence Rates by Student Group, 2015–2018&#10;"/>
      </w:tblPr>
      <w:tblGrid>
        <w:gridCol w:w="1980"/>
        <w:gridCol w:w="1002"/>
        <w:gridCol w:w="1003"/>
        <w:gridCol w:w="1003"/>
        <w:gridCol w:w="1003"/>
        <w:gridCol w:w="1003"/>
        <w:gridCol w:w="1003"/>
        <w:gridCol w:w="1003"/>
      </w:tblGrid>
      <w:tr w:rsidR="004F3F8D" w:rsidRPr="00380233" w14:paraId="68820212"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5C0AB3B" w14:textId="77777777" w:rsidR="004F3F8D" w:rsidRPr="00FE0920" w:rsidRDefault="004F3F8D" w:rsidP="000F5BE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3B75D72B"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32CC5334"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63A0CFC6"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2B4FCFA0"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2FDCE7CC"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2" w:space="0" w:color="auto"/>
            </w:tcBorders>
            <w:shd w:val="clear" w:color="auto" w:fill="D9D9D9" w:themeFill="background1" w:themeFillShade="D9"/>
            <w:vAlign w:val="center"/>
          </w:tcPr>
          <w:p w14:paraId="48B53934"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B604D4A" w14:textId="77777777" w:rsidR="004F3F8D" w:rsidRPr="00FE0920" w:rsidRDefault="004F3F8D" w:rsidP="000F5BE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4F3F8D" w:rsidRPr="00380233" w14:paraId="6E9F91A5" w14:textId="77777777" w:rsidTr="000F5BEE">
        <w:trPr>
          <w:trHeight w:val="288"/>
        </w:trPr>
        <w:tc>
          <w:tcPr>
            <w:tcW w:w="1980" w:type="dxa"/>
            <w:tcBorders>
              <w:left w:val="single" w:sz="4" w:space="0" w:color="auto"/>
              <w:bottom w:val="single" w:sz="4" w:space="0" w:color="auto"/>
            </w:tcBorders>
            <w:shd w:val="clear" w:color="auto" w:fill="auto"/>
          </w:tcPr>
          <w:p w14:paraId="5716740D" w14:textId="77777777" w:rsidR="004F3F8D" w:rsidRDefault="004F3F8D" w:rsidP="00697F37">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36EEC12" w14:textId="77777777" w:rsidR="004F3F8D" w:rsidRPr="00F2303D" w:rsidRDefault="004F3F8D" w:rsidP="00697F37">
            <w:pPr>
              <w:spacing w:after="0" w:line="240" w:lineRule="auto"/>
              <w:jc w:val="center"/>
              <w:rPr>
                <w:sz w:val="20"/>
                <w:szCs w:val="20"/>
              </w:rPr>
            </w:pPr>
            <w:r w:rsidRPr="00F2303D">
              <w:rPr>
                <w:sz w:val="20"/>
                <w:szCs w:val="20"/>
              </w:rPr>
              <w:t>699</w:t>
            </w:r>
          </w:p>
        </w:tc>
        <w:tc>
          <w:tcPr>
            <w:tcW w:w="1003" w:type="dxa"/>
            <w:tcBorders>
              <w:top w:val="nil"/>
              <w:left w:val="nil"/>
              <w:bottom w:val="single" w:sz="4" w:space="0" w:color="auto"/>
              <w:right w:val="single" w:sz="4" w:space="0" w:color="auto"/>
            </w:tcBorders>
            <w:shd w:val="clear" w:color="auto" w:fill="auto"/>
          </w:tcPr>
          <w:p w14:paraId="21631DBF" w14:textId="77777777" w:rsidR="004F3F8D" w:rsidRPr="00F2303D" w:rsidRDefault="004F3F8D" w:rsidP="00697F37">
            <w:pPr>
              <w:spacing w:after="0" w:line="240" w:lineRule="auto"/>
              <w:jc w:val="center"/>
              <w:rPr>
                <w:sz w:val="20"/>
                <w:szCs w:val="20"/>
              </w:rPr>
            </w:pPr>
            <w:r w:rsidRPr="00F2303D">
              <w:rPr>
                <w:sz w:val="20"/>
                <w:szCs w:val="20"/>
              </w:rPr>
              <w:t>16.9</w:t>
            </w:r>
          </w:p>
        </w:tc>
        <w:tc>
          <w:tcPr>
            <w:tcW w:w="1003" w:type="dxa"/>
            <w:tcBorders>
              <w:top w:val="nil"/>
              <w:left w:val="nil"/>
              <w:bottom w:val="single" w:sz="4" w:space="0" w:color="auto"/>
              <w:right w:val="single" w:sz="4" w:space="0" w:color="auto"/>
            </w:tcBorders>
            <w:shd w:val="clear" w:color="auto" w:fill="auto"/>
          </w:tcPr>
          <w:p w14:paraId="7278EC7E" w14:textId="77777777" w:rsidR="004F3F8D" w:rsidRPr="00F2303D" w:rsidRDefault="004F3F8D" w:rsidP="00697F37">
            <w:pPr>
              <w:spacing w:after="0" w:line="240" w:lineRule="auto"/>
              <w:jc w:val="center"/>
              <w:rPr>
                <w:sz w:val="20"/>
                <w:szCs w:val="20"/>
              </w:rPr>
            </w:pPr>
            <w:r w:rsidRPr="00F2303D">
              <w:rPr>
                <w:sz w:val="20"/>
                <w:szCs w:val="20"/>
              </w:rPr>
              <w:t>15.8</w:t>
            </w:r>
          </w:p>
        </w:tc>
        <w:tc>
          <w:tcPr>
            <w:tcW w:w="1003" w:type="dxa"/>
            <w:tcBorders>
              <w:top w:val="nil"/>
              <w:left w:val="nil"/>
              <w:bottom w:val="single" w:sz="4" w:space="0" w:color="auto"/>
              <w:right w:val="single" w:sz="4" w:space="0" w:color="auto"/>
            </w:tcBorders>
            <w:shd w:val="clear" w:color="auto" w:fill="auto"/>
          </w:tcPr>
          <w:p w14:paraId="2415A240" w14:textId="77777777" w:rsidR="004F3F8D" w:rsidRPr="00F2303D" w:rsidRDefault="004F3F8D" w:rsidP="00697F37">
            <w:pPr>
              <w:spacing w:after="0" w:line="240" w:lineRule="auto"/>
              <w:jc w:val="center"/>
              <w:rPr>
                <w:sz w:val="20"/>
                <w:szCs w:val="20"/>
              </w:rPr>
            </w:pPr>
            <w:r w:rsidRPr="00F2303D">
              <w:rPr>
                <w:sz w:val="20"/>
                <w:szCs w:val="20"/>
              </w:rPr>
              <w:t>17.3</w:t>
            </w:r>
          </w:p>
        </w:tc>
        <w:tc>
          <w:tcPr>
            <w:tcW w:w="1003" w:type="dxa"/>
            <w:tcBorders>
              <w:top w:val="nil"/>
              <w:left w:val="nil"/>
              <w:bottom w:val="single" w:sz="4" w:space="0" w:color="auto"/>
              <w:right w:val="single" w:sz="4" w:space="0" w:color="auto"/>
            </w:tcBorders>
            <w:shd w:val="clear" w:color="auto" w:fill="auto"/>
          </w:tcPr>
          <w:p w14:paraId="6CFE2A1E" w14:textId="77777777" w:rsidR="004F3F8D" w:rsidRPr="00F2303D" w:rsidRDefault="004F3F8D" w:rsidP="00697F37">
            <w:pPr>
              <w:spacing w:after="0" w:line="240" w:lineRule="auto"/>
              <w:jc w:val="center"/>
              <w:rPr>
                <w:sz w:val="20"/>
                <w:szCs w:val="20"/>
              </w:rPr>
            </w:pPr>
            <w:r w:rsidRPr="00F2303D">
              <w:rPr>
                <w:sz w:val="20"/>
                <w:szCs w:val="20"/>
              </w:rPr>
              <w:t>14.0</w:t>
            </w:r>
          </w:p>
        </w:tc>
        <w:tc>
          <w:tcPr>
            <w:tcW w:w="1003" w:type="dxa"/>
            <w:tcBorders>
              <w:top w:val="single" w:sz="2" w:space="0" w:color="auto"/>
              <w:left w:val="nil"/>
              <w:bottom w:val="single" w:sz="2" w:space="0" w:color="auto"/>
              <w:right w:val="single" w:sz="2" w:space="0" w:color="auto"/>
            </w:tcBorders>
            <w:shd w:val="clear" w:color="auto" w:fill="auto"/>
          </w:tcPr>
          <w:p w14:paraId="6DA2BBEE" w14:textId="77777777" w:rsidR="004F3F8D" w:rsidRPr="00F2303D" w:rsidRDefault="004F3F8D" w:rsidP="00697F37">
            <w:pPr>
              <w:spacing w:after="0" w:line="240" w:lineRule="auto"/>
              <w:jc w:val="center"/>
              <w:rPr>
                <w:sz w:val="20"/>
                <w:szCs w:val="20"/>
              </w:rPr>
            </w:pPr>
            <w:r w:rsidRPr="00F2303D">
              <w:rPr>
                <w:sz w:val="20"/>
                <w:szCs w:val="20"/>
              </w:rPr>
              <w:t>-2.9</w:t>
            </w:r>
          </w:p>
        </w:tc>
        <w:tc>
          <w:tcPr>
            <w:tcW w:w="1003" w:type="dxa"/>
            <w:tcBorders>
              <w:left w:val="single" w:sz="2" w:space="0" w:color="auto"/>
              <w:bottom w:val="single" w:sz="4" w:space="0" w:color="auto"/>
              <w:right w:val="single" w:sz="4" w:space="0" w:color="auto"/>
            </w:tcBorders>
            <w:shd w:val="clear" w:color="auto" w:fill="auto"/>
          </w:tcPr>
          <w:p w14:paraId="17107D31" w14:textId="77777777" w:rsidR="004F3F8D" w:rsidRPr="00F2303D" w:rsidRDefault="004F3F8D" w:rsidP="00697F37">
            <w:pPr>
              <w:spacing w:after="0" w:line="240" w:lineRule="auto"/>
              <w:jc w:val="center"/>
              <w:rPr>
                <w:sz w:val="20"/>
                <w:szCs w:val="20"/>
              </w:rPr>
            </w:pPr>
            <w:r w:rsidRPr="00F2303D">
              <w:rPr>
                <w:sz w:val="20"/>
                <w:szCs w:val="20"/>
              </w:rPr>
              <w:t>16.4</w:t>
            </w:r>
          </w:p>
        </w:tc>
      </w:tr>
      <w:tr w:rsidR="004F3F8D" w:rsidRPr="00380233" w14:paraId="5F62C7E8"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7AA366C4"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9AA68E8" w14:textId="77777777" w:rsidR="004F3F8D" w:rsidRPr="00F2303D" w:rsidRDefault="004F3F8D" w:rsidP="00697F37">
            <w:pPr>
              <w:spacing w:after="0" w:line="240" w:lineRule="auto"/>
              <w:jc w:val="center"/>
              <w:rPr>
                <w:sz w:val="20"/>
                <w:szCs w:val="20"/>
              </w:rPr>
            </w:pPr>
            <w:r w:rsidRPr="00F2303D">
              <w:rPr>
                <w:sz w:val="20"/>
                <w:szCs w:val="20"/>
              </w:rPr>
              <w:t>479</w:t>
            </w:r>
          </w:p>
        </w:tc>
        <w:tc>
          <w:tcPr>
            <w:tcW w:w="1003" w:type="dxa"/>
            <w:tcBorders>
              <w:top w:val="nil"/>
              <w:left w:val="nil"/>
              <w:bottom w:val="single" w:sz="4" w:space="0" w:color="auto"/>
              <w:right w:val="single" w:sz="4" w:space="0" w:color="auto"/>
            </w:tcBorders>
            <w:shd w:val="clear" w:color="auto" w:fill="D9D9D9" w:themeFill="background1" w:themeFillShade="D9"/>
          </w:tcPr>
          <w:p w14:paraId="4987884A" w14:textId="77777777" w:rsidR="004F3F8D" w:rsidRPr="00F2303D" w:rsidRDefault="004F3F8D" w:rsidP="00697F37">
            <w:pPr>
              <w:spacing w:after="0" w:line="240" w:lineRule="auto"/>
              <w:jc w:val="center"/>
              <w:rPr>
                <w:sz w:val="20"/>
                <w:szCs w:val="20"/>
              </w:rPr>
            </w:pPr>
            <w:r w:rsidRPr="00F2303D">
              <w:rPr>
                <w:sz w:val="20"/>
                <w:szCs w:val="20"/>
              </w:rPr>
              <w:t>10.9</w:t>
            </w:r>
          </w:p>
        </w:tc>
        <w:tc>
          <w:tcPr>
            <w:tcW w:w="1003" w:type="dxa"/>
            <w:tcBorders>
              <w:top w:val="nil"/>
              <w:left w:val="nil"/>
              <w:bottom w:val="single" w:sz="4" w:space="0" w:color="auto"/>
              <w:right w:val="single" w:sz="4" w:space="0" w:color="auto"/>
            </w:tcBorders>
            <w:shd w:val="clear" w:color="auto" w:fill="D9D9D9" w:themeFill="background1" w:themeFillShade="D9"/>
          </w:tcPr>
          <w:p w14:paraId="6F8449F5" w14:textId="77777777" w:rsidR="004F3F8D" w:rsidRPr="00F2303D" w:rsidRDefault="004F3F8D" w:rsidP="00697F37">
            <w:pPr>
              <w:spacing w:after="0" w:line="240" w:lineRule="auto"/>
              <w:jc w:val="center"/>
              <w:rPr>
                <w:sz w:val="20"/>
                <w:szCs w:val="20"/>
              </w:rPr>
            </w:pPr>
            <w:r w:rsidRPr="00F2303D">
              <w:rPr>
                <w:sz w:val="20"/>
                <w:szCs w:val="20"/>
              </w:rPr>
              <w:t>11.2</w:t>
            </w:r>
          </w:p>
        </w:tc>
        <w:tc>
          <w:tcPr>
            <w:tcW w:w="1003" w:type="dxa"/>
            <w:tcBorders>
              <w:top w:val="nil"/>
              <w:left w:val="nil"/>
              <w:bottom w:val="single" w:sz="4" w:space="0" w:color="auto"/>
              <w:right w:val="single" w:sz="4" w:space="0" w:color="auto"/>
            </w:tcBorders>
            <w:shd w:val="clear" w:color="auto" w:fill="D9D9D9" w:themeFill="background1" w:themeFillShade="D9"/>
          </w:tcPr>
          <w:p w14:paraId="41163C5B" w14:textId="77777777" w:rsidR="004F3F8D" w:rsidRPr="00F2303D" w:rsidRDefault="004F3F8D" w:rsidP="00697F37">
            <w:pPr>
              <w:spacing w:after="0" w:line="240" w:lineRule="auto"/>
              <w:jc w:val="center"/>
              <w:rPr>
                <w:sz w:val="20"/>
                <w:szCs w:val="20"/>
              </w:rPr>
            </w:pPr>
            <w:r w:rsidRPr="00F2303D">
              <w:rPr>
                <w:sz w:val="20"/>
                <w:szCs w:val="20"/>
              </w:rPr>
              <w:t>10.2</w:t>
            </w:r>
          </w:p>
        </w:tc>
        <w:tc>
          <w:tcPr>
            <w:tcW w:w="1003" w:type="dxa"/>
            <w:tcBorders>
              <w:top w:val="nil"/>
              <w:left w:val="nil"/>
              <w:bottom w:val="single" w:sz="4" w:space="0" w:color="auto"/>
              <w:right w:val="single" w:sz="4" w:space="0" w:color="auto"/>
            </w:tcBorders>
            <w:shd w:val="clear" w:color="auto" w:fill="D9D9D9" w:themeFill="background1" w:themeFillShade="D9"/>
          </w:tcPr>
          <w:p w14:paraId="0D164EBF" w14:textId="77777777" w:rsidR="004F3F8D" w:rsidRPr="00F2303D" w:rsidRDefault="004F3F8D" w:rsidP="00697F37">
            <w:pPr>
              <w:spacing w:after="0" w:line="240" w:lineRule="auto"/>
              <w:jc w:val="center"/>
              <w:rPr>
                <w:sz w:val="20"/>
                <w:szCs w:val="20"/>
              </w:rPr>
            </w:pPr>
            <w:r w:rsidRPr="00F2303D">
              <w:rPr>
                <w:sz w:val="20"/>
                <w:szCs w:val="20"/>
              </w:rPr>
              <w:t>9.4</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BD7A724" w14:textId="77777777" w:rsidR="004F3F8D" w:rsidRPr="00F2303D" w:rsidRDefault="004F3F8D" w:rsidP="00697F37">
            <w:pPr>
              <w:spacing w:after="0" w:line="240" w:lineRule="auto"/>
              <w:jc w:val="center"/>
              <w:rPr>
                <w:sz w:val="20"/>
                <w:szCs w:val="20"/>
              </w:rPr>
            </w:pPr>
            <w:r w:rsidRPr="00F2303D">
              <w:rPr>
                <w:sz w:val="20"/>
                <w:szCs w:val="20"/>
              </w:rPr>
              <w:t>-1.5</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0B33DAEF" w14:textId="77777777" w:rsidR="004F3F8D" w:rsidRPr="00F2303D" w:rsidRDefault="004F3F8D" w:rsidP="00697F37">
            <w:pPr>
              <w:spacing w:after="0" w:line="240" w:lineRule="auto"/>
              <w:jc w:val="center"/>
              <w:rPr>
                <w:sz w:val="20"/>
                <w:szCs w:val="20"/>
              </w:rPr>
            </w:pPr>
            <w:r w:rsidRPr="00F2303D">
              <w:rPr>
                <w:sz w:val="20"/>
                <w:szCs w:val="20"/>
              </w:rPr>
              <w:t>7.6</w:t>
            </w:r>
          </w:p>
        </w:tc>
      </w:tr>
      <w:tr w:rsidR="004F3F8D" w:rsidRPr="00380233" w14:paraId="7FAF1432" w14:textId="77777777" w:rsidTr="000F5BEE">
        <w:trPr>
          <w:trHeight w:val="288"/>
        </w:trPr>
        <w:tc>
          <w:tcPr>
            <w:tcW w:w="1980" w:type="dxa"/>
            <w:tcBorders>
              <w:left w:val="single" w:sz="4" w:space="0" w:color="auto"/>
              <w:bottom w:val="single" w:sz="4" w:space="0" w:color="auto"/>
            </w:tcBorders>
            <w:shd w:val="clear" w:color="auto" w:fill="auto"/>
          </w:tcPr>
          <w:p w14:paraId="6B9BFB40"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5A02BCA3" w14:textId="77777777" w:rsidR="004F3F8D" w:rsidRPr="00F2303D" w:rsidRDefault="004F3F8D" w:rsidP="00697F37">
            <w:pPr>
              <w:spacing w:after="0" w:line="240" w:lineRule="auto"/>
              <w:jc w:val="center"/>
              <w:rPr>
                <w:sz w:val="20"/>
                <w:szCs w:val="20"/>
              </w:rPr>
            </w:pPr>
            <w:r w:rsidRPr="00F2303D">
              <w:rPr>
                <w:sz w:val="20"/>
                <w:szCs w:val="20"/>
              </w:rPr>
              <w:t>2,586</w:t>
            </w:r>
          </w:p>
        </w:tc>
        <w:tc>
          <w:tcPr>
            <w:tcW w:w="1003" w:type="dxa"/>
            <w:tcBorders>
              <w:top w:val="nil"/>
              <w:left w:val="nil"/>
              <w:bottom w:val="single" w:sz="4" w:space="0" w:color="auto"/>
              <w:right w:val="single" w:sz="4" w:space="0" w:color="auto"/>
            </w:tcBorders>
            <w:shd w:val="clear" w:color="auto" w:fill="auto"/>
          </w:tcPr>
          <w:p w14:paraId="360B92C1" w14:textId="77777777" w:rsidR="004F3F8D" w:rsidRPr="00F2303D" w:rsidRDefault="004F3F8D" w:rsidP="00697F37">
            <w:pPr>
              <w:spacing w:after="0" w:line="240" w:lineRule="auto"/>
              <w:jc w:val="center"/>
              <w:rPr>
                <w:sz w:val="20"/>
                <w:szCs w:val="20"/>
              </w:rPr>
            </w:pPr>
            <w:r w:rsidRPr="00F2303D">
              <w:rPr>
                <w:sz w:val="20"/>
                <w:szCs w:val="20"/>
              </w:rPr>
              <w:t>19.0</w:t>
            </w:r>
          </w:p>
        </w:tc>
        <w:tc>
          <w:tcPr>
            <w:tcW w:w="1003" w:type="dxa"/>
            <w:tcBorders>
              <w:top w:val="nil"/>
              <w:left w:val="nil"/>
              <w:bottom w:val="single" w:sz="4" w:space="0" w:color="auto"/>
              <w:right w:val="single" w:sz="4" w:space="0" w:color="auto"/>
            </w:tcBorders>
            <w:shd w:val="clear" w:color="auto" w:fill="auto"/>
          </w:tcPr>
          <w:p w14:paraId="7509D246" w14:textId="77777777" w:rsidR="004F3F8D" w:rsidRPr="00F2303D" w:rsidRDefault="004F3F8D" w:rsidP="00697F37">
            <w:pPr>
              <w:spacing w:after="0" w:line="240" w:lineRule="auto"/>
              <w:jc w:val="center"/>
              <w:rPr>
                <w:sz w:val="20"/>
                <w:szCs w:val="20"/>
              </w:rPr>
            </w:pPr>
            <w:r w:rsidRPr="00F2303D">
              <w:rPr>
                <w:sz w:val="20"/>
                <w:szCs w:val="20"/>
              </w:rPr>
              <w:t>18.8</w:t>
            </w:r>
          </w:p>
        </w:tc>
        <w:tc>
          <w:tcPr>
            <w:tcW w:w="1003" w:type="dxa"/>
            <w:tcBorders>
              <w:top w:val="nil"/>
              <w:left w:val="nil"/>
              <w:bottom w:val="single" w:sz="4" w:space="0" w:color="auto"/>
              <w:right w:val="single" w:sz="4" w:space="0" w:color="auto"/>
            </w:tcBorders>
            <w:shd w:val="clear" w:color="auto" w:fill="auto"/>
          </w:tcPr>
          <w:p w14:paraId="14D4B14E" w14:textId="77777777" w:rsidR="004F3F8D" w:rsidRPr="00F2303D" w:rsidRDefault="004F3F8D" w:rsidP="00697F37">
            <w:pPr>
              <w:spacing w:after="0" w:line="240" w:lineRule="auto"/>
              <w:jc w:val="center"/>
              <w:rPr>
                <w:sz w:val="20"/>
                <w:szCs w:val="20"/>
              </w:rPr>
            </w:pPr>
            <w:r w:rsidRPr="00F2303D">
              <w:rPr>
                <w:sz w:val="20"/>
                <w:szCs w:val="20"/>
              </w:rPr>
              <w:t>21.2</w:t>
            </w:r>
          </w:p>
        </w:tc>
        <w:tc>
          <w:tcPr>
            <w:tcW w:w="1003" w:type="dxa"/>
            <w:tcBorders>
              <w:top w:val="nil"/>
              <w:left w:val="nil"/>
              <w:bottom w:val="single" w:sz="4" w:space="0" w:color="auto"/>
              <w:right w:val="single" w:sz="4" w:space="0" w:color="auto"/>
            </w:tcBorders>
            <w:shd w:val="clear" w:color="auto" w:fill="auto"/>
          </w:tcPr>
          <w:p w14:paraId="3EA2CA23" w14:textId="77777777" w:rsidR="004F3F8D" w:rsidRPr="00F2303D" w:rsidRDefault="004F3F8D" w:rsidP="00697F37">
            <w:pPr>
              <w:spacing w:after="0" w:line="240" w:lineRule="auto"/>
              <w:jc w:val="center"/>
              <w:rPr>
                <w:sz w:val="20"/>
                <w:szCs w:val="20"/>
              </w:rPr>
            </w:pPr>
            <w:r w:rsidRPr="00F2303D">
              <w:rPr>
                <w:sz w:val="20"/>
                <w:szCs w:val="20"/>
              </w:rPr>
              <w:t>20.5</w:t>
            </w:r>
          </w:p>
        </w:tc>
        <w:tc>
          <w:tcPr>
            <w:tcW w:w="1003" w:type="dxa"/>
            <w:tcBorders>
              <w:top w:val="single" w:sz="2" w:space="0" w:color="auto"/>
              <w:left w:val="nil"/>
              <w:bottom w:val="single" w:sz="2" w:space="0" w:color="auto"/>
              <w:right w:val="single" w:sz="2" w:space="0" w:color="auto"/>
            </w:tcBorders>
            <w:shd w:val="clear" w:color="auto" w:fill="auto"/>
          </w:tcPr>
          <w:p w14:paraId="06318187" w14:textId="77777777" w:rsidR="004F3F8D" w:rsidRPr="00F2303D" w:rsidRDefault="004F3F8D" w:rsidP="00697F37">
            <w:pPr>
              <w:spacing w:after="0" w:line="240" w:lineRule="auto"/>
              <w:jc w:val="center"/>
              <w:rPr>
                <w:sz w:val="20"/>
                <w:szCs w:val="20"/>
              </w:rPr>
            </w:pPr>
            <w:r w:rsidRPr="00F2303D">
              <w:rPr>
                <w:sz w:val="20"/>
                <w:szCs w:val="20"/>
              </w:rPr>
              <w:t>1.5</w:t>
            </w:r>
          </w:p>
        </w:tc>
        <w:tc>
          <w:tcPr>
            <w:tcW w:w="1003" w:type="dxa"/>
            <w:tcBorders>
              <w:left w:val="single" w:sz="2" w:space="0" w:color="auto"/>
              <w:bottom w:val="single" w:sz="4" w:space="0" w:color="auto"/>
              <w:right w:val="single" w:sz="4" w:space="0" w:color="auto"/>
            </w:tcBorders>
            <w:shd w:val="clear" w:color="auto" w:fill="auto"/>
          </w:tcPr>
          <w:p w14:paraId="3442BF3B" w14:textId="77777777" w:rsidR="004F3F8D" w:rsidRPr="00F2303D" w:rsidRDefault="004F3F8D" w:rsidP="00697F37">
            <w:pPr>
              <w:spacing w:after="0" w:line="240" w:lineRule="auto"/>
              <w:jc w:val="center"/>
              <w:rPr>
                <w:sz w:val="20"/>
                <w:szCs w:val="20"/>
              </w:rPr>
            </w:pPr>
            <w:r w:rsidRPr="00F2303D">
              <w:rPr>
                <w:sz w:val="20"/>
                <w:szCs w:val="20"/>
              </w:rPr>
              <w:t>22.5</w:t>
            </w:r>
          </w:p>
        </w:tc>
      </w:tr>
      <w:tr w:rsidR="004F3F8D" w:rsidRPr="00380233" w14:paraId="49BBBBA9"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7AA6B33A"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836BC04" w14:textId="77777777" w:rsidR="004F3F8D" w:rsidRPr="00F2303D" w:rsidRDefault="004F3F8D" w:rsidP="00697F37">
            <w:pPr>
              <w:spacing w:after="0" w:line="240" w:lineRule="auto"/>
              <w:jc w:val="center"/>
              <w:rPr>
                <w:sz w:val="20"/>
                <w:szCs w:val="20"/>
              </w:rPr>
            </w:pPr>
            <w:r w:rsidRPr="00F2303D">
              <w:rPr>
                <w:sz w:val="20"/>
                <w:szCs w:val="20"/>
              </w:rPr>
              <w:t>352</w:t>
            </w:r>
          </w:p>
        </w:tc>
        <w:tc>
          <w:tcPr>
            <w:tcW w:w="1003" w:type="dxa"/>
            <w:tcBorders>
              <w:top w:val="nil"/>
              <w:left w:val="nil"/>
              <w:bottom w:val="single" w:sz="4" w:space="0" w:color="auto"/>
              <w:right w:val="single" w:sz="4" w:space="0" w:color="auto"/>
            </w:tcBorders>
            <w:shd w:val="clear" w:color="auto" w:fill="D9D9D9" w:themeFill="background1" w:themeFillShade="D9"/>
          </w:tcPr>
          <w:p w14:paraId="16D7E0B7" w14:textId="77777777" w:rsidR="004F3F8D" w:rsidRPr="00F2303D" w:rsidRDefault="004F3F8D" w:rsidP="00697F37">
            <w:pPr>
              <w:spacing w:after="0" w:line="240" w:lineRule="auto"/>
              <w:jc w:val="center"/>
              <w:rPr>
                <w:sz w:val="20"/>
                <w:szCs w:val="20"/>
              </w:rPr>
            </w:pPr>
            <w:r w:rsidRPr="00F2303D">
              <w:rPr>
                <w:sz w:val="20"/>
                <w:szCs w:val="20"/>
              </w:rPr>
              <w:t>9.8</w:t>
            </w:r>
          </w:p>
        </w:tc>
        <w:tc>
          <w:tcPr>
            <w:tcW w:w="1003" w:type="dxa"/>
            <w:tcBorders>
              <w:top w:val="nil"/>
              <w:left w:val="nil"/>
              <w:bottom w:val="single" w:sz="4" w:space="0" w:color="auto"/>
              <w:right w:val="single" w:sz="4" w:space="0" w:color="auto"/>
            </w:tcBorders>
            <w:shd w:val="clear" w:color="auto" w:fill="D9D9D9" w:themeFill="background1" w:themeFillShade="D9"/>
          </w:tcPr>
          <w:p w14:paraId="72D4783C" w14:textId="77777777" w:rsidR="004F3F8D" w:rsidRPr="00F2303D" w:rsidRDefault="004F3F8D" w:rsidP="00697F37">
            <w:pPr>
              <w:spacing w:after="0" w:line="240" w:lineRule="auto"/>
              <w:jc w:val="center"/>
              <w:rPr>
                <w:sz w:val="20"/>
                <w:szCs w:val="20"/>
              </w:rPr>
            </w:pPr>
            <w:r w:rsidRPr="00F2303D">
              <w:rPr>
                <w:sz w:val="20"/>
                <w:szCs w:val="20"/>
              </w:rPr>
              <w:t>9.1</w:t>
            </w:r>
          </w:p>
        </w:tc>
        <w:tc>
          <w:tcPr>
            <w:tcW w:w="1003" w:type="dxa"/>
            <w:tcBorders>
              <w:top w:val="nil"/>
              <w:left w:val="nil"/>
              <w:bottom w:val="single" w:sz="4" w:space="0" w:color="auto"/>
              <w:right w:val="single" w:sz="4" w:space="0" w:color="auto"/>
            </w:tcBorders>
            <w:shd w:val="clear" w:color="auto" w:fill="D9D9D9" w:themeFill="background1" w:themeFillShade="D9"/>
          </w:tcPr>
          <w:p w14:paraId="5C1598FF" w14:textId="77777777" w:rsidR="004F3F8D" w:rsidRPr="00F2303D" w:rsidRDefault="004F3F8D" w:rsidP="00697F37">
            <w:pPr>
              <w:spacing w:after="0" w:line="240" w:lineRule="auto"/>
              <w:jc w:val="center"/>
              <w:rPr>
                <w:sz w:val="20"/>
                <w:szCs w:val="20"/>
              </w:rPr>
            </w:pPr>
            <w:r w:rsidRPr="00F2303D">
              <w:rPr>
                <w:sz w:val="20"/>
                <w:szCs w:val="20"/>
              </w:rPr>
              <w:t>13.3</w:t>
            </w:r>
          </w:p>
        </w:tc>
        <w:tc>
          <w:tcPr>
            <w:tcW w:w="1003" w:type="dxa"/>
            <w:tcBorders>
              <w:top w:val="nil"/>
              <w:left w:val="nil"/>
              <w:bottom w:val="single" w:sz="4" w:space="0" w:color="auto"/>
              <w:right w:val="single" w:sz="4" w:space="0" w:color="auto"/>
            </w:tcBorders>
            <w:shd w:val="clear" w:color="auto" w:fill="D9D9D9" w:themeFill="background1" w:themeFillShade="D9"/>
          </w:tcPr>
          <w:p w14:paraId="439B4A93" w14:textId="77777777" w:rsidR="004F3F8D" w:rsidRPr="00F2303D" w:rsidRDefault="004F3F8D" w:rsidP="00697F37">
            <w:pPr>
              <w:spacing w:after="0" w:line="240" w:lineRule="auto"/>
              <w:jc w:val="center"/>
              <w:rPr>
                <w:sz w:val="20"/>
                <w:szCs w:val="20"/>
              </w:rPr>
            </w:pPr>
            <w:r w:rsidRPr="00F2303D">
              <w:rPr>
                <w:sz w:val="20"/>
                <w:szCs w:val="20"/>
              </w:rPr>
              <w:t>12.2</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3788BE5F" w14:textId="77777777" w:rsidR="004F3F8D" w:rsidRPr="00F2303D" w:rsidRDefault="004F3F8D" w:rsidP="00697F37">
            <w:pPr>
              <w:spacing w:after="0" w:line="240" w:lineRule="auto"/>
              <w:jc w:val="center"/>
              <w:rPr>
                <w:sz w:val="20"/>
                <w:szCs w:val="20"/>
              </w:rPr>
            </w:pPr>
            <w:r w:rsidRPr="00F2303D">
              <w:rPr>
                <w:sz w:val="20"/>
                <w:szCs w:val="20"/>
              </w:rPr>
              <w:t>2.4</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3FC1B9B" w14:textId="77777777" w:rsidR="004F3F8D" w:rsidRPr="00F2303D" w:rsidRDefault="004F3F8D" w:rsidP="00697F37">
            <w:pPr>
              <w:spacing w:after="0" w:line="240" w:lineRule="auto"/>
              <w:jc w:val="center"/>
              <w:rPr>
                <w:sz w:val="20"/>
                <w:szCs w:val="20"/>
              </w:rPr>
            </w:pPr>
            <w:r w:rsidRPr="00F2303D">
              <w:rPr>
                <w:sz w:val="20"/>
                <w:szCs w:val="20"/>
              </w:rPr>
              <w:t>14.2</w:t>
            </w:r>
          </w:p>
        </w:tc>
      </w:tr>
      <w:tr w:rsidR="004F3F8D" w:rsidRPr="00380233" w14:paraId="0165BF90" w14:textId="77777777" w:rsidTr="000F5BEE">
        <w:trPr>
          <w:trHeight w:val="288"/>
        </w:trPr>
        <w:tc>
          <w:tcPr>
            <w:tcW w:w="1980" w:type="dxa"/>
            <w:tcBorders>
              <w:left w:val="single" w:sz="4" w:space="0" w:color="auto"/>
              <w:bottom w:val="single" w:sz="4" w:space="0" w:color="auto"/>
            </w:tcBorders>
            <w:shd w:val="clear" w:color="auto" w:fill="auto"/>
          </w:tcPr>
          <w:p w14:paraId="421B1EA2" w14:textId="77777777" w:rsidR="004F3F8D" w:rsidRDefault="004F3F8D" w:rsidP="00697F3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572F755" w14:textId="77777777" w:rsidR="004F3F8D" w:rsidRPr="00F2303D" w:rsidRDefault="004F3F8D" w:rsidP="00697F37">
            <w:pPr>
              <w:spacing w:after="0" w:line="240" w:lineRule="auto"/>
              <w:jc w:val="center"/>
              <w:rPr>
                <w:sz w:val="20"/>
                <w:szCs w:val="20"/>
              </w:rPr>
            </w:pPr>
            <w:r w:rsidRPr="00F2303D">
              <w:rPr>
                <w:sz w:val="20"/>
                <w:szCs w:val="20"/>
              </w:rPr>
              <w:t>5,281</w:t>
            </w:r>
          </w:p>
        </w:tc>
        <w:tc>
          <w:tcPr>
            <w:tcW w:w="1003" w:type="dxa"/>
            <w:tcBorders>
              <w:top w:val="nil"/>
              <w:left w:val="nil"/>
              <w:bottom w:val="single" w:sz="4" w:space="0" w:color="auto"/>
              <w:right w:val="single" w:sz="4" w:space="0" w:color="auto"/>
            </w:tcBorders>
            <w:shd w:val="clear" w:color="auto" w:fill="auto"/>
          </w:tcPr>
          <w:p w14:paraId="4687407C" w14:textId="77777777" w:rsidR="004F3F8D" w:rsidRPr="00F2303D" w:rsidRDefault="004F3F8D" w:rsidP="00697F37">
            <w:pPr>
              <w:spacing w:after="0" w:line="240" w:lineRule="auto"/>
              <w:jc w:val="center"/>
              <w:rPr>
                <w:sz w:val="20"/>
                <w:szCs w:val="20"/>
              </w:rPr>
            </w:pPr>
            <w:r w:rsidRPr="00F2303D">
              <w:rPr>
                <w:sz w:val="20"/>
                <w:szCs w:val="20"/>
              </w:rPr>
              <w:t>8.8</w:t>
            </w:r>
          </w:p>
        </w:tc>
        <w:tc>
          <w:tcPr>
            <w:tcW w:w="1003" w:type="dxa"/>
            <w:tcBorders>
              <w:top w:val="nil"/>
              <w:left w:val="nil"/>
              <w:bottom w:val="single" w:sz="4" w:space="0" w:color="auto"/>
              <w:right w:val="single" w:sz="4" w:space="0" w:color="auto"/>
            </w:tcBorders>
            <w:shd w:val="clear" w:color="auto" w:fill="auto"/>
          </w:tcPr>
          <w:p w14:paraId="4DC1AF43" w14:textId="77777777" w:rsidR="004F3F8D" w:rsidRPr="00F2303D" w:rsidRDefault="004F3F8D" w:rsidP="00697F37">
            <w:pPr>
              <w:spacing w:after="0" w:line="240" w:lineRule="auto"/>
              <w:jc w:val="center"/>
              <w:rPr>
                <w:sz w:val="20"/>
                <w:szCs w:val="20"/>
              </w:rPr>
            </w:pPr>
            <w:r w:rsidRPr="00F2303D">
              <w:rPr>
                <w:sz w:val="20"/>
                <w:szCs w:val="20"/>
              </w:rPr>
              <w:t>8.7</w:t>
            </w:r>
          </w:p>
        </w:tc>
        <w:tc>
          <w:tcPr>
            <w:tcW w:w="1003" w:type="dxa"/>
            <w:tcBorders>
              <w:top w:val="nil"/>
              <w:left w:val="nil"/>
              <w:bottom w:val="single" w:sz="4" w:space="0" w:color="auto"/>
              <w:right w:val="single" w:sz="4" w:space="0" w:color="auto"/>
            </w:tcBorders>
            <w:shd w:val="clear" w:color="auto" w:fill="auto"/>
          </w:tcPr>
          <w:p w14:paraId="1A6D6B7E" w14:textId="77777777" w:rsidR="004F3F8D" w:rsidRPr="00F2303D" w:rsidRDefault="004F3F8D" w:rsidP="00697F37">
            <w:pPr>
              <w:spacing w:after="0" w:line="240" w:lineRule="auto"/>
              <w:jc w:val="center"/>
              <w:rPr>
                <w:sz w:val="20"/>
                <w:szCs w:val="20"/>
              </w:rPr>
            </w:pPr>
            <w:r w:rsidRPr="00F2303D">
              <w:rPr>
                <w:sz w:val="20"/>
                <w:szCs w:val="20"/>
              </w:rPr>
              <w:t>10.6</w:t>
            </w:r>
          </w:p>
        </w:tc>
        <w:tc>
          <w:tcPr>
            <w:tcW w:w="1003" w:type="dxa"/>
            <w:tcBorders>
              <w:top w:val="nil"/>
              <w:left w:val="nil"/>
              <w:bottom w:val="single" w:sz="4" w:space="0" w:color="auto"/>
              <w:right w:val="single" w:sz="4" w:space="0" w:color="auto"/>
            </w:tcBorders>
            <w:shd w:val="clear" w:color="auto" w:fill="auto"/>
          </w:tcPr>
          <w:p w14:paraId="72C1858E" w14:textId="77777777" w:rsidR="004F3F8D" w:rsidRPr="00F2303D" w:rsidRDefault="004F3F8D" w:rsidP="00697F37">
            <w:pPr>
              <w:spacing w:after="0" w:line="240" w:lineRule="auto"/>
              <w:jc w:val="center"/>
              <w:rPr>
                <w:sz w:val="20"/>
                <w:szCs w:val="20"/>
              </w:rPr>
            </w:pPr>
            <w:r w:rsidRPr="00F2303D">
              <w:rPr>
                <w:sz w:val="20"/>
                <w:szCs w:val="20"/>
              </w:rPr>
              <w:t>10.3</w:t>
            </w:r>
          </w:p>
        </w:tc>
        <w:tc>
          <w:tcPr>
            <w:tcW w:w="1003" w:type="dxa"/>
            <w:tcBorders>
              <w:top w:val="single" w:sz="2" w:space="0" w:color="auto"/>
              <w:left w:val="nil"/>
              <w:bottom w:val="single" w:sz="2" w:space="0" w:color="auto"/>
              <w:right w:val="single" w:sz="2" w:space="0" w:color="auto"/>
            </w:tcBorders>
            <w:shd w:val="clear" w:color="auto" w:fill="auto"/>
          </w:tcPr>
          <w:p w14:paraId="052D8F0D" w14:textId="77777777" w:rsidR="004F3F8D" w:rsidRPr="00F2303D" w:rsidRDefault="004F3F8D" w:rsidP="00697F37">
            <w:pPr>
              <w:spacing w:after="0" w:line="240" w:lineRule="auto"/>
              <w:jc w:val="center"/>
              <w:rPr>
                <w:sz w:val="20"/>
                <w:szCs w:val="20"/>
              </w:rPr>
            </w:pPr>
            <w:r w:rsidRPr="00F2303D">
              <w:rPr>
                <w:sz w:val="20"/>
                <w:szCs w:val="20"/>
              </w:rPr>
              <w:t>1.5</w:t>
            </w:r>
          </w:p>
        </w:tc>
        <w:tc>
          <w:tcPr>
            <w:tcW w:w="1003" w:type="dxa"/>
            <w:tcBorders>
              <w:left w:val="single" w:sz="2" w:space="0" w:color="auto"/>
              <w:bottom w:val="single" w:sz="4" w:space="0" w:color="auto"/>
              <w:right w:val="single" w:sz="4" w:space="0" w:color="auto"/>
            </w:tcBorders>
            <w:shd w:val="clear" w:color="auto" w:fill="auto"/>
          </w:tcPr>
          <w:p w14:paraId="3FD59FF1" w14:textId="77777777" w:rsidR="004F3F8D" w:rsidRPr="00F2303D" w:rsidRDefault="004F3F8D" w:rsidP="00697F37">
            <w:pPr>
              <w:spacing w:after="0" w:line="240" w:lineRule="auto"/>
              <w:jc w:val="center"/>
              <w:rPr>
                <w:sz w:val="20"/>
                <w:szCs w:val="20"/>
              </w:rPr>
            </w:pPr>
            <w:r w:rsidRPr="00F2303D">
              <w:rPr>
                <w:sz w:val="20"/>
                <w:szCs w:val="20"/>
              </w:rPr>
              <w:t>10.0</w:t>
            </w:r>
          </w:p>
        </w:tc>
      </w:tr>
      <w:tr w:rsidR="00376713" w:rsidRPr="00380233" w14:paraId="7E0DA8D3" w14:textId="77777777" w:rsidTr="000F5BEE">
        <w:trPr>
          <w:trHeight w:val="288"/>
        </w:trPr>
        <w:tc>
          <w:tcPr>
            <w:tcW w:w="1980" w:type="dxa"/>
            <w:tcBorders>
              <w:left w:val="single" w:sz="4" w:space="0" w:color="auto"/>
              <w:bottom w:val="single" w:sz="4" w:space="0" w:color="auto"/>
            </w:tcBorders>
            <w:shd w:val="clear" w:color="auto" w:fill="auto"/>
          </w:tcPr>
          <w:p w14:paraId="10004282" w14:textId="7A57310F" w:rsidR="00376713" w:rsidRDefault="00376713" w:rsidP="0037671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75043DE8" w14:textId="7E021830" w:rsidR="00376713" w:rsidRPr="00F2303D" w:rsidRDefault="00376713" w:rsidP="00376713">
            <w:pPr>
              <w:spacing w:after="0" w:line="240" w:lineRule="auto"/>
              <w:jc w:val="center"/>
              <w:rPr>
                <w:sz w:val="20"/>
                <w:szCs w:val="20"/>
              </w:rPr>
            </w:pPr>
            <w:r w:rsidRPr="00F2303D">
              <w:rPr>
                <w:sz w:val="20"/>
                <w:szCs w:val="20"/>
              </w:rPr>
              <w:t>5,690</w:t>
            </w:r>
          </w:p>
        </w:tc>
        <w:tc>
          <w:tcPr>
            <w:tcW w:w="1003" w:type="dxa"/>
            <w:tcBorders>
              <w:top w:val="nil"/>
              <w:left w:val="nil"/>
              <w:bottom w:val="single" w:sz="4" w:space="0" w:color="auto"/>
              <w:right w:val="single" w:sz="4" w:space="0" w:color="auto"/>
            </w:tcBorders>
            <w:shd w:val="clear" w:color="auto" w:fill="auto"/>
          </w:tcPr>
          <w:p w14:paraId="3EC7E577" w14:textId="3166E080" w:rsidR="00376713" w:rsidRPr="00F2303D" w:rsidRDefault="00376713" w:rsidP="00376713">
            <w:pPr>
              <w:spacing w:after="0" w:line="240" w:lineRule="auto"/>
              <w:jc w:val="center"/>
              <w:rPr>
                <w:sz w:val="20"/>
                <w:szCs w:val="20"/>
              </w:rPr>
            </w:pPr>
            <w:r w:rsidRPr="00F2303D">
              <w:rPr>
                <w:sz w:val="20"/>
                <w:szCs w:val="20"/>
              </w:rPr>
              <w:t>16.8</w:t>
            </w:r>
          </w:p>
        </w:tc>
        <w:tc>
          <w:tcPr>
            <w:tcW w:w="1003" w:type="dxa"/>
            <w:tcBorders>
              <w:top w:val="nil"/>
              <w:left w:val="nil"/>
              <w:bottom w:val="single" w:sz="4" w:space="0" w:color="auto"/>
              <w:right w:val="single" w:sz="4" w:space="0" w:color="auto"/>
            </w:tcBorders>
            <w:shd w:val="clear" w:color="auto" w:fill="auto"/>
          </w:tcPr>
          <w:p w14:paraId="15BAED8F" w14:textId="52BF5A1A" w:rsidR="00376713" w:rsidRPr="00F2303D" w:rsidRDefault="00376713" w:rsidP="00376713">
            <w:pPr>
              <w:spacing w:after="0" w:line="240" w:lineRule="auto"/>
              <w:jc w:val="center"/>
              <w:rPr>
                <w:sz w:val="20"/>
                <w:szCs w:val="20"/>
              </w:rPr>
            </w:pPr>
            <w:r w:rsidRPr="00F2303D">
              <w:rPr>
                <w:sz w:val="20"/>
                <w:szCs w:val="20"/>
              </w:rPr>
              <w:t>17.0</w:t>
            </w:r>
          </w:p>
        </w:tc>
        <w:tc>
          <w:tcPr>
            <w:tcW w:w="1003" w:type="dxa"/>
            <w:tcBorders>
              <w:top w:val="nil"/>
              <w:left w:val="nil"/>
              <w:bottom w:val="single" w:sz="4" w:space="0" w:color="auto"/>
              <w:right w:val="single" w:sz="4" w:space="0" w:color="auto"/>
            </w:tcBorders>
            <w:shd w:val="clear" w:color="auto" w:fill="auto"/>
          </w:tcPr>
          <w:p w14:paraId="3F384CEF" w14:textId="11F07BDA" w:rsidR="00376713" w:rsidRPr="00F2303D" w:rsidRDefault="00376713" w:rsidP="00376713">
            <w:pPr>
              <w:spacing w:after="0" w:line="240" w:lineRule="auto"/>
              <w:jc w:val="center"/>
              <w:rPr>
                <w:sz w:val="20"/>
                <w:szCs w:val="20"/>
              </w:rPr>
            </w:pPr>
            <w:r w:rsidRPr="00F2303D">
              <w:rPr>
                <w:sz w:val="20"/>
                <w:szCs w:val="20"/>
              </w:rPr>
              <w:t>19.9</w:t>
            </w:r>
          </w:p>
        </w:tc>
        <w:tc>
          <w:tcPr>
            <w:tcW w:w="1003" w:type="dxa"/>
            <w:tcBorders>
              <w:top w:val="nil"/>
              <w:left w:val="nil"/>
              <w:bottom w:val="single" w:sz="4" w:space="0" w:color="auto"/>
              <w:right w:val="single" w:sz="4" w:space="0" w:color="auto"/>
            </w:tcBorders>
            <w:shd w:val="clear" w:color="auto" w:fill="auto"/>
          </w:tcPr>
          <w:p w14:paraId="6DEC3953" w14:textId="51CC1CF5" w:rsidR="00376713" w:rsidRPr="00F2303D" w:rsidRDefault="00376713" w:rsidP="00376713">
            <w:pPr>
              <w:spacing w:after="0" w:line="240" w:lineRule="auto"/>
              <w:jc w:val="center"/>
              <w:rPr>
                <w:sz w:val="20"/>
                <w:szCs w:val="20"/>
              </w:rPr>
            </w:pPr>
            <w:r w:rsidRPr="00F2303D">
              <w:rPr>
                <w:sz w:val="20"/>
                <w:szCs w:val="20"/>
              </w:rPr>
              <w:t>18.3</w:t>
            </w:r>
          </w:p>
        </w:tc>
        <w:tc>
          <w:tcPr>
            <w:tcW w:w="1003" w:type="dxa"/>
            <w:tcBorders>
              <w:top w:val="single" w:sz="2" w:space="0" w:color="auto"/>
              <w:left w:val="nil"/>
              <w:bottom w:val="single" w:sz="2" w:space="0" w:color="auto"/>
              <w:right w:val="single" w:sz="2" w:space="0" w:color="auto"/>
            </w:tcBorders>
            <w:shd w:val="clear" w:color="auto" w:fill="auto"/>
          </w:tcPr>
          <w:p w14:paraId="1A601074" w14:textId="1E7FB6C7" w:rsidR="00376713" w:rsidRPr="00F2303D" w:rsidRDefault="00376713" w:rsidP="00376713">
            <w:pPr>
              <w:spacing w:after="0" w:line="240" w:lineRule="auto"/>
              <w:jc w:val="center"/>
              <w:rPr>
                <w:sz w:val="20"/>
                <w:szCs w:val="20"/>
              </w:rPr>
            </w:pPr>
            <w:r w:rsidRPr="00F2303D">
              <w:rPr>
                <w:sz w:val="20"/>
                <w:szCs w:val="20"/>
              </w:rPr>
              <w:t>1.5</w:t>
            </w:r>
          </w:p>
        </w:tc>
        <w:tc>
          <w:tcPr>
            <w:tcW w:w="1003" w:type="dxa"/>
            <w:tcBorders>
              <w:left w:val="single" w:sz="2" w:space="0" w:color="auto"/>
              <w:bottom w:val="single" w:sz="4" w:space="0" w:color="auto"/>
              <w:right w:val="single" w:sz="4" w:space="0" w:color="auto"/>
            </w:tcBorders>
            <w:shd w:val="clear" w:color="auto" w:fill="auto"/>
          </w:tcPr>
          <w:p w14:paraId="7263E9CF" w14:textId="2493A69E" w:rsidR="00376713" w:rsidRPr="00F2303D" w:rsidRDefault="00376713" w:rsidP="00376713">
            <w:pPr>
              <w:spacing w:after="0" w:line="240" w:lineRule="auto"/>
              <w:jc w:val="center"/>
              <w:rPr>
                <w:sz w:val="20"/>
                <w:szCs w:val="20"/>
              </w:rPr>
            </w:pPr>
            <w:r w:rsidRPr="00F2303D">
              <w:rPr>
                <w:sz w:val="20"/>
                <w:szCs w:val="20"/>
              </w:rPr>
              <w:t>20.1</w:t>
            </w:r>
          </w:p>
        </w:tc>
      </w:tr>
      <w:tr w:rsidR="00376713" w:rsidRPr="00380233" w14:paraId="7464CE73" w14:textId="77777777" w:rsidTr="000F5BEE">
        <w:trPr>
          <w:trHeight w:val="288"/>
        </w:trPr>
        <w:tc>
          <w:tcPr>
            <w:tcW w:w="1980" w:type="dxa"/>
            <w:tcBorders>
              <w:left w:val="single" w:sz="4" w:space="0" w:color="auto"/>
              <w:bottom w:val="single" w:sz="4" w:space="0" w:color="auto"/>
            </w:tcBorders>
            <w:shd w:val="clear" w:color="auto" w:fill="auto"/>
          </w:tcPr>
          <w:p w14:paraId="78906461" w14:textId="4F6BC953" w:rsidR="00376713" w:rsidRDefault="00376713" w:rsidP="0037671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5667D7E5" w14:textId="75174B64" w:rsidR="00376713" w:rsidRPr="00F2303D" w:rsidRDefault="00376713" w:rsidP="00376713">
            <w:pPr>
              <w:spacing w:after="0" w:line="240" w:lineRule="auto"/>
              <w:jc w:val="center"/>
              <w:rPr>
                <w:sz w:val="20"/>
                <w:szCs w:val="20"/>
              </w:rPr>
            </w:pPr>
            <w:r w:rsidRPr="00F2303D">
              <w:rPr>
                <w:sz w:val="20"/>
                <w:szCs w:val="20"/>
              </w:rPr>
              <w:t>3,762</w:t>
            </w:r>
          </w:p>
        </w:tc>
        <w:tc>
          <w:tcPr>
            <w:tcW w:w="1003" w:type="dxa"/>
            <w:tcBorders>
              <w:top w:val="nil"/>
              <w:left w:val="nil"/>
              <w:bottom w:val="single" w:sz="4" w:space="0" w:color="auto"/>
              <w:right w:val="single" w:sz="4" w:space="0" w:color="auto"/>
            </w:tcBorders>
            <w:shd w:val="clear" w:color="auto" w:fill="auto"/>
          </w:tcPr>
          <w:p w14:paraId="68D2535E" w14:textId="19B43E28" w:rsidR="00376713" w:rsidRPr="00F2303D" w:rsidRDefault="00376713" w:rsidP="00376713">
            <w:pPr>
              <w:spacing w:after="0" w:line="240" w:lineRule="auto"/>
              <w:jc w:val="center"/>
              <w:rPr>
                <w:sz w:val="20"/>
                <w:szCs w:val="20"/>
              </w:rPr>
            </w:pPr>
            <w:r w:rsidRPr="00F2303D">
              <w:rPr>
                <w:sz w:val="20"/>
                <w:szCs w:val="20"/>
              </w:rPr>
              <w:t>17.6</w:t>
            </w:r>
          </w:p>
        </w:tc>
        <w:tc>
          <w:tcPr>
            <w:tcW w:w="1003" w:type="dxa"/>
            <w:tcBorders>
              <w:top w:val="nil"/>
              <w:left w:val="nil"/>
              <w:bottom w:val="single" w:sz="4" w:space="0" w:color="auto"/>
              <w:right w:val="single" w:sz="4" w:space="0" w:color="auto"/>
            </w:tcBorders>
            <w:shd w:val="clear" w:color="auto" w:fill="auto"/>
          </w:tcPr>
          <w:p w14:paraId="67D51B8E" w14:textId="32C13DB4" w:rsidR="00376713" w:rsidRPr="00F2303D" w:rsidRDefault="00376713" w:rsidP="00376713">
            <w:pPr>
              <w:spacing w:after="0" w:line="240" w:lineRule="auto"/>
              <w:jc w:val="center"/>
              <w:rPr>
                <w:sz w:val="20"/>
                <w:szCs w:val="20"/>
              </w:rPr>
            </w:pPr>
            <w:r w:rsidRPr="00F2303D">
              <w:rPr>
                <w:sz w:val="20"/>
                <w:szCs w:val="20"/>
              </w:rPr>
              <w:t>18.8</w:t>
            </w:r>
          </w:p>
        </w:tc>
        <w:tc>
          <w:tcPr>
            <w:tcW w:w="1003" w:type="dxa"/>
            <w:tcBorders>
              <w:top w:val="nil"/>
              <w:left w:val="nil"/>
              <w:bottom w:val="single" w:sz="4" w:space="0" w:color="auto"/>
              <w:right w:val="single" w:sz="4" w:space="0" w:color="auto"/>
            </w:tcBorders>
            <w:shd w:val="clear" w:color="auto" w:fill="auto"/>
          </w:tcPr>
          <w:p w14:paraId="758F11B1" w14:textId="3A68EC92" w:rsidR="00376713" w:rsidRPr="00F2303D" w:rsidRDefault="00376713" w:rsidP="00376713">
            <w:pPr>
              <w:spacing w:after="0" w:line="240" w:lineRule="auto"/>
              <w:jc w:val="center"/>
              <w:rPr>
                <w:sz w:val="20"/>
                <w:szCs w:val="20"/>
              </w:rPr>
            </w:pPr>
            <w:r w:rsidRPr="00F2303D">
              <w:rPr>
                <w:sz w:val="20"/>
                <w:szCs w:val="20"/>
              </w:rPr>
              <w:t>22.2</w:t>
            </w:r>
          </w:p>
        </w:tc>
        <w:tc>
          <w:tcPr>
            <w:tcW w:w="1003" w:type="dxa"/>
            <w:tcBorders>
              <w:top w:val="nil"/>
              <w:left w:val="nil"/>
              <w:bottom w:val="single" w:sz="4" w:space="0" w:color="auto"/>
              <w:right w:val="single" w:sz="4" w:space="0" w:color="auto"/>
            </w:tcBorders>
            <w:shd w:val="clear" w:color="auto" w:fill="auto"/>
          </w:tcPr>
          <w:p w14:paraId="0CA69DDA" w14:textId="66487022" w:rsidR="00376713" w:rsidRPr="00F2303D" w:rsidRDefault="00376713" w:rsidP="00376713">
            <w:pPr>
              <w:spacing w:after="0" w:line="240" w:lineRule="auto"/>
              <w:jc w:val="center"/>
              <w:rPr>
                <w:sz w:val="20"/>
                <w:szCs w:val="20"/>
              </w:rPr>
            </w:pPr>
            <w:r w:rsidRPr="00F2303D">
              <w:rPr>
                <w:sz w:val="20"/>
                <w:szCs w:val="20"/>
              </w:rPr>
              <w:t>20.6</w:t>
            </w:r>
          </w:p>
        </w:tc>
        <w:tc>
          <w:tcPr>
            <w:tcW w:w="1003" w:type="dxa"/>
            <w:tcBorders>
              <w:top w:val="single" w:sz="2" w:space="0" w:color="auto"/>
              <w:left w:val="nil"/>
              <w:bottom w:val="single" w:sz="2" w:space="0" w:color="auto"/>
              <w:right w:val="single" w:sz="2" w:space="0" w:color="auto"/>
            </w:tcBorders>
            <w:shd w:val="clear" w:color="auto" w:fill="auto"/>
          </w:tcPr>
          <w:p w14:paraId="6F02730F" w14:textId="0402B30E" w:rsidR="00376713" w:rsidRPr="00F2303D" w:rsidRDefault="00376713" w:rsidP="00376713">
            <w:pPr>
              <w:spacing w:after="0" w:line="240" w:lineRule="auto"/>
              <w:jc w:val="center"/>
              <w:rPr>
                <w:sz w:val="20"/>
                <w:szCs w:val="20"/>
              </w:rPr>
            </w:pPr>
            <w:r w:rsidRPr="00F2303D">
              <w:rPr>
                <w:sz w:val="20"/>
                <w:szCs w:val="20"/>
              </w:rPr>
              <w:t>3.0</w:t>
            </w:r>
          </w:p>
        </w:tc>
        <w:tc>
          <w:tcPr>
            <w:tcW w:w="1003" w:type="dxa"/>
            <w:tcBorders>
              <w:left w:val="single" w:sz="2" w:space="0" w:color="auto"/>
              <w:bottom w:val="single" w:sz="4" w:space="0" w:color="auto"/>
              <w:right w:val="single" w:sz="4" w:space="0" w:color="auto"/>
            </w:tcBorders>
            <w:shd w:val="clear" w:color="auto" w:fill="auto"/>
          </w:tcPr>
          <w:p w14:paraId="4C04EF80" w14:textId="769BC65F" w:rsidR="00376713" w:rsidRPr="00F2303D" w:rsidRDefault="00376713" w:rsidP="00376713">
            <w:pPr>
              <w:spacing w:after="0" w:line="240" w:lineRule="auto"/>
              <w:jc w:val="center"/>
              <w:rPr>
                <w:sz w:val="20"/>
                <w:szCs w:val="20"/>
              </w:rPr>
            </w:pPr>
            <w:r w:rsidRPr="00F2303D">
              <w:rPr>
                <w:sz w:val="20"/>
                <w:szCs w:val="20"/>
              </w:rPr>
              <w:t>22.9</w:t>
            </w:r>
          </w:p>
        </w:tc>
      </w:tr>
      <w:tr w:rsidR="00376713" w:rsidRPr="00380233" w14:paraId="3EB992A5" w14:textId="77777777" w:rsidTr="000F5BEE">
        <w:trPr>
          <w:trHeight w:val="288"/>
        </w:trPr>
        <w:tc>
          <w:tcPr>
            <w:tcW w:w="1980" w:type="dxa"/>
            <w:tcBorders>
              <w:left w:val="single" w:sz="4" w:space="0" w:color="auto"/>
              <w:bottom w:val="single" w:sz="4" w:space="0" w:color="auto"/>
            </w:tcBorders>
            <w:shd w:val="clear" w:color="auto" w:fill="auto"/>
          </w:tcPr>
          <w:p w14:paraId="17117860" w14:textId="33EB9404" w:rsidR="00376713" w:rsidRDefault="00376713" w:rsidP="0037671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443C4E8" w14:textId="6F9A30C5" w:rsidR="00376713" w:rsidRPr="00F2303D" w:rsidRDefault="00376713" w:rsidP="00376713">
            <w:pPr>
              <w:spacing w:after="0" w:line="240" w:lineRule="auto"/>
              <w:jc w:val="center"/>
              <w:rPr>
                <w:sz w:val="20"/>
                <w:szCs w:val="20"/>
              </w:rPr>
            </w:pPr>
            <w:r w:rsidRPr="00F2303D">
              <w:rPr>
                <w:sz w:val="20"/>
                <w:szCs w:val="20"/>
              </w:rPr>
              <w:t>2,263</w:t>
            </w:r>
          </w:p>
        </w:tc>
        <w:tc>
          <w:tcPr>
            <w:tcW w:w="1003" w:type="dxa"/>
            <w:tcBorders>
              <w:top w:val="nil"/>
              <w:left w:val="nil"/>
              <w:bottom w:val="single" w:sz="4" w:space="0" w:color="auto"/>
              <w:right w:val="single" w:sz="4" w:space="0" w:color="auto"/>
            </w:tcBorders>
            <w:shd w:val="clear" w:color="auto" w:fill="auto"/>
          </w:tcPr>
          <w:p w14:paraId="06E5BD72" w14:textId="094DF52C" w:rsidR="00376713" w:rsidRPr="00F2303D" w:rsidRDefault="00376713" w:rsidP="00376713">
            <w:pPr>
              <w:spacing w:after="0" w:line="240" w:lineRule="auto"/>
              <w:jc w:val="center"/>
              <w:rPr>
                <w:sz w:val="20"/>
                <w:szCs w:val="20"/>
              </w:rPr>
            </w:pPr>
            <w:r w:rsidRPr="00F2303D">
              <w:rPr>
                <w:sz w:val="20"/>
                <w:szCs w:val="20"/>
              </w:rPr>
              <w:t>18.8</w:t>
            </w:r>
          </w:p>
        </w:tc>
        <w:tc>
          <w:tcPr>
            <w:tcW w:w="1003" w:type="dxa"/>
            <w:tcBorders>
              <w:top w:val="nil"/>
              <w:left w:val="nil"/>
              <w:bottom w:val="single" w:sz="4" w:space="0" w:color="auto"/>
              <w:right w:val="single" w:sz="4" w:space="0" w:color="auto"/>
            </w:tcBorders>
            <w:shd w:val="clear" w:color="auto" w:fill="auto"/>
          </w:tcPr>
          <w:p w14:paraId="36A164A1" w14:textId="0EC3595A" w:rsidR="00376713" w:rsidRPr="00F2303D" w:rsidRDefault="00376713" w:rsidP="00376713">
            <w:pPr>
              <w:spacing w:after="0" w:line="240" w:lineRule="auto"/>
              <w:jc w:val="center"/>
              <w:rPr>
                <w:sz w:val="20"/>
                <w:szCs w:val="20"/>
              </w:rPr>
            </w:pPr>
            <w:r w:rsidRPr="00F2303D">
              <w:rPr>
                <w:sz w:val="20"/>
                <w:szCs w:val="20"/>
              </w:rPr>
              <w:t>19.1</w:t>
            </w:r>
          </w:p>
        </w:tc>
        <w:tc>
          <w:tcPr>
            <w:tcW w:w="1003" w:type="dxa"/>
            <w:tcBorders>
              <w:top w:val="nil"/>
              <w:left w:val="nil"/>
              <w:bottom w:val="single" w:sz="4" w:space="0" w:color="auto"/>
              <w:right w:val="single" w:sz="4" w:space="0" w:color="auto"/>
            </w:tcBorders>
            <w:shd w:val="clear" w:color="auto" w:fill="auto"/>
          </w:tcPr>
          <w:p w14:paraId="689E4063" w14:textId="7747864B" w:rsidR="00376713" w:rsidRPr="00F2303D" w:rsidRDefault="00376713" w:rsidP="00376713">
            <w:pPr>
              <w:spacing w:after="0" w:line="240" w:lineRule="auto"/>
              <w:jc w:val="center"/>
              <w:rPr>
                <w:sz w:val="20"/>
                <w:szCs w:val="20"/>
              </w:rPr>
            </w:pPr>
            <w:r w:rsidRPr="00F2303D">
              <w:rPr>
                <w:sz w:val="20"/>
                <w:szCs w:val="20"/>
              </w:rPr>
              <w:t>21.0</w:t>
            </w:r>
          </w:p>
        </w:tc>
        <w:tc>
          <w:tcPr>
            <w:tcW w:w="1003" w:type="dxa"/>
            <w:tcBorders>
              <w:top w:val="nil"/>
              <w:left w:val="nil"/>
              <w:bottom w:val="single" w:sz="4" w:space="0" w:color="auto"/>
              <w:right w:val="single" w:sz="4" w:space="0" w:color="auto"/>
            </w:tcBorders>
            <w:shd w:val="clear" w:color="auto" w:fill="auto"/>
          </w:tcPr>
          <w:p w14:paraId="1A19163F" w14:textId="0DF7D8B8" w:rsidR="00376713" w:rsidRPr="00F2303D" w:rsidRDefault="00376713" w:rsidP="00376713">
            <w:pPr>
              <w:spacing w:after="0" w:line="240" w:lineRule="auto"/>
              <w:jc w:val="center"/>
              <w:rPr>
                <w:sz w:val="20"/>
                <w:szCs w:val="20"/>
              </w:rPr>
            </w:pPr>
            <w:r w:rsidRPr="00F2303D">
              <w:rPr>
                <w:sz w:val="20"/>
                <w:szCs w:val="20"/>
              </w:rPr>
              <w:t>20.8</w:t>
            </w:r>
          </w:p>
        </w:tc>
        <w:tc>
          <w:tcPr>
            <w:tcW w:w="1003" w:type="dxa"/>
            <w:tcBorders>
              <w:top w:val="single" w:sz="2" w:space="0" w:color="auto"/>
              <w:left w:val="nil"/>
              <w:bottom w:val="single" w:sz="2" w:space="0" w:color="auto"/>
              <w:right w:val="single" w:sz="2" w:space="0" w:color="auto"/>
            </w:tcBorders>
            <w:shd w:val="clear" w:color="auto" w:fill="auto"/>
          </w:tcPr>
          <w:p w14:paraId="4F77212A" w14:textId="7841CCDA" w:rsidR="00376713" w:rsidRPr="00F2303D" w:rsidRDefault="00376713" w:rsidP="00376713">
            <w:pPr>
              <w:spacing w:after="0" w:line="240" w:lineRule="auto"/>
              <w:jc w:val="center"/>
              <w:rPr>
                <w:sz w:val="20"/>
                <w:szCs w:val="20"/>
              </w:rPr>
            </w:pPr>
            <w:r w:rsidRPr="00F2303D">
              <w:rPr>
                <w:sz w:val="20"/>
                <w:szCs w:val="20"/>
              </w:rPr>
              <w:t>2.0</w:t>
            </w:r>
          </w:p>
        </w:tc>
        <w:tc>
          <w:tcPr>
            <w:tcW w:w="1003" w:type="dxa"/>
            <w:tcBorders>
              <w:left w:val="single" w:sz="2" w:space="0" w:color="auto"/>
              <w:bottom w:val="single" w:sz="4" w:space="0" w:color="auto"/>
              <w:right w:val="single" w:sz="4" w:space="0" w:color="auto"/>
            </w:tcBorders>
            <w:shd w:val="clear" w:color="auto" w:fill="auto"/>
          </w:tcPr>
          <w:p w14:paraId="28401D87" w14:textId="0F5CC860" w:rsidR="00376713" w:rsidRPr="00F2303D" w:rsidRDefault="00376713" w:rsidP="00376713">
            <w:pPr>
              <w:spacing w:after="0" w:line="240" w:lineRule="auto"/>
              <w:jc w:val="center"/>
              <w:rPr>
                <w:sz w:val="20"/>
                <w:szCs w:val="20"/>
              </w:rPr>
            </w:pPr>
            <w:r w:rsidRPr="00F2303D">
              <w:rPr>
                <w:sz w:val="20"/>
                <w:szCs w:val="20"/>
              </w:rPr>
              <w:t>20.7</w:t>
            </w:r>
          </w:p>
        </w:tc>
      </w:tr>
      <w:tr w:rsidR="00376713" w:rsidRPr="00380233" w14:paraId="1F72FFB4" w14:textId="77777777" w:rsidTr="000F5BEE">
        <w:trPr>
          <w:trHeight w:val="288"/>
        </w:trPr>
        <w:tc>
          <w:tcPr>
            <w:tcW w:w="1980" w:type="dxa"/>
            <w:tcBorders>
              <w:left w:val="single" w:sz="4" w:space="0" w:color="auto"/>
              <w:bottom w:val="single" w:sz="4" w:space="0" w:color="auto"/>
            </w:tcBorders>
            <w:shd w:val="clear" w:color="auto" w:fill="auto"/>
          </w:tcPr>
          <w:p w14:paraId="5B3F78C4" w14:textId="21BF7B1E" w:rsidR="00376713" w:rsidRDefault="00376713" w:rsidP="00376713">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2D08ECEB" w14:textId="1E2197FB" w:rsidR="00376713" w:rsidRPr="00F2303D" w:rsidRDefault="00376713" w:rsidP="00376713">
            <w:pPr>
              <w:spacing w:after="0" w:line="240" w:lineRule="auto"/>
              <w:jc w:val="center"/>
              <w:rPr>
                <w:sz w:val="20"/>
                <w:szCs w:val="20"/>
              </w:rPr>
            </w:pPr>
            <w:r w:rsidRPr="00F2303D">
              <w:rPr>
                <w:sz w:val="20"/>
                <w:szCs w:val="20"/>
              </w:rPr>
              <w:t>2,081</w:t>
            </w:r>
          </w:p>
        </w:tc>
        <w:tc>
          <w:tcPr>
            <w:tcW w:w="1003" w:type="dxa"/>
            <w:tcBorders>
              <w:top w:val="nil"/>
              <w:left w:val="nil"/>
              <w:bottom w:val="single" w:sz="4" w:space="0" w:color="auto"/>
              <w:right w:val="single" w:sz="4" w:space="0" w:color="auto"/>
            </w:tcBorders>
            <w:shd w:val="clear" w:color="auto" w:fill="auto"/>
          </w:tcPr>
          <w:p w14:paraId="4A75B48F" w14:textId="09D03388" w:rsidR="00376713" w:rsidRPr="00F2303D" w:rsidRDefault="00376713" w:rsidP="00376713">
            <w:pPr>
              <w:spacing w:after="0" w:line="240" w:lineRule="auto"/>
              <w:jc w:val="center"/>
              <w:rPr>
                <w:sz w:val="20"/>
                <w:szCs w:val="20"/>
              </w:rPr>
            </w:pPr>
            <w:r w:rsidRPr="00F2303D">
              <w:rPr>
                <w:sz w:val="20"/>
                <w:szCs w:val="20"/>
              </w:rPr>
              <w:t>15.4</w:t>
            </w:r>
          </w:p>
        </w:tc>
        <w:tc>
          <w:tcPr>
            <w:tcW w:w="1003" w:type="dxa"/>
            <w:tcBorders>
              <w:top w:val="nil"/>
              <w:left w:val="nil"/>
              <w:bottom w:val="single" w:sz="4" w:space="0" w:color="auto"/>
              <w:right w:val="single" w:sz="4" w:space="0" w:color="auto"/>
            </w:tcBorders>
            <w:shd w:val="clear" w:color="auto" w:fill="auto"/>
          </w:tcPr>
          <w:p w14:paraId="209CACD7" w14:textId="1355967D" w:rsidR="00376713" w:rsidRPr="00F2303D" w:rsidRDefault="00376713" w:rsidP="00376713">
            <w:pPr>
              <w:spacing w:after="0" w:line="240" w:lineRule="auto"/>
              <w:jc w:val="center"/>
              <w:rPr>
                <w:sz w:val="20"/>
                <w:szCs w:val="20"/>
              </w:rPr>
            </w:pPr>
            <w:r w:rsidRPr="00F2303D">
              <w:rPr>
                <w:sz w:val="20"/>
                <w:szCs w:val="20"/>
              </w:rPr>
              <w:t>15.7</w:t>
            </w:r>
          </w:p>
        </w:tc>
        <w:tc>
          <w:tcPr>
            <w:tcW w:w="1003" w:type="dxa"/>
            <w:tcBorders>
              <w:top w:val="nil"/>
              <w:left w:val="nil"/>
              <w:bottom w:val="single" w:sz="4" w:space="0" w:color="auto"/>
              <w:right w:val="single" w:sz="4" w:space="0" w:color="auto"/>
            </w:tcBorders>
            <w:shd w:val="clear" w:color="auto" w:fill="auto"/>
          </w:tcPr>
          <w:p w14:paraId="359F743F" w14:textId="557B0815" w:rsidR="00376713" w:rsidRPr="00F2303D" w:rsidRDefault="00376713" w:rsidP="00376713">
            <w:pPr>
              <w:spacing w:after="0" w:line="240" w:lineRule="auto"/>
              <w:jc w:val="center"/>
              <w:rPr>
                <w:sz w:val="20"/>
                <w:szCs w:val="20"/>
              </w:rPr>
            </w:pPr>
            <w:r w:rsidRPr="00F2303D">
              <w:rPr>
                <w:sz w:val="20"/>
                <w:szCs w:val="20"/>
              </w:rPr>
              <w:t>18.5</w:t>
            </w:r>
          </w:p>
        </w:tc>
        <w:tc>
          <w:tcPr>
            <w:tcW w:w="1003" w:type="dxa"/>
            <w:tcBorders>
              <w:top w:val="nil"/>
              <w:left w:val="nil"/>
              <w:bottom w:val="single" w:sz="4" w:space="0" w:color="auto"/>
              <w:right w:val="single" w:sz="4" w:space="0" w:color="auto"/>
            </w:tcBorders>
            <w:shd w:val="clear" w:color="auto" w:fill="auto"/>
          </w:tcPr>
          <w:p w14:paraId="413B5AF2" w14:textId="6BF20330" w:rsidR="00376713" w:rsidRPr="00F2303D" w:rsidRDefault="00376713" w:rsidP="00376713">
            <w:pPr>
              <w:spacing w:after="0" w:line="240" w:lineRule="auto"/>
              <w:jc w:val="center"/>
              <w:rPr>
                <w:sz w:val="20"/>
                <w:szCs w:val="20"/>
              </w:rPr>
            </w:pPr>
            <w:r w:rsidRPr="00F2303D">
              <w:rPr>
                <w:sz w:val="20"/>
                <w:szCs w:val="20"/>
              </w:rPr>
              <w:t>16.4</w:t>
            </w:r>
          </w:p>
        </w:tc>
        <w:tc>
          <w:tcPr>
            <w:tcW w:w="1003" w:type="dxa"/>
            <w:tcBorders>
              <w:top w:val="single" w:sz="2" w:space="0" w:color="auto"/>
              <w:left w:val="nil"/>
              <w:bottom w:val="single" w:sz="2" w:space="0" w:color="auto"/>
              <w:right w:val="single" w:sz="2" w:space="0" w:color="auto"/>
            </w:tcBorders>
            <w:shd w:val="clear" w:color="auto" w:fill="auto"/>
          </w:tcPr>
          <w:p w14:paraId="1D1CC963" w14:textId="3E71486A" w:rsidR="00376713" w:rsidRPr="00F2303D" w:rsidRDefault="00376713" w:rsidP="00376713">
            <w:pPr>
              <w:spacing w:after="0" w:line="240" w:lineRule="auto"/>
              <w:jc w:val="center"/>
              <w:rPr>
                <w:sz w:val="20"/>
                <w:szCs w:val="20"/>
              </w:rPr>
            </w:pPr>
            <w:r w:rsidRPr="00F2303D">
              <w:rPr>
                <w:sz w:val="20"/>
                <w:szCs w:val="20"/>
              </w:rPr>
              <w:t>1.0</w:t>
            </w:r>
          </w:p>
        </w:tc>
        <w:tc>
          <w:tcPr>
            <w:tcW w:w="1003" w:type="dxa"/>
            <w:tcBorders>
              <w:left w:val="single" w:sz="2" w:space="0" w:color="auto"/>
              <w:bottom w:val="single" w:sz="4" w:space="0" w:color="auto"/>
              <w:right w:val="single" w:sz="4" w:space="0" w:color="auto"/>
            </w:tcBorders>
            <w:shd w:val="clear" w:color="auto" w:fill="auto"/>
          </w:tcPr>
          <w:p w14:paraId="74669BC6" w14:textId="1AF3EDA4" w:rsidR="00376713" w:rsidRPr="00F2303D" w:rsidRDefault="00376713" w:rsidP="00376713">
            <w:pPr>
              <w:spacing w:after="0" w:line="240" w:lineRule="auto"/>
              <w:jc w:val="center"/>
              <w:rPr>
                <w:sz w:val="20"/>
                <w:szCs w:val="20"/>
              </w:rPr>
            </w:pPr>
            <w:r w:rsidRPr="00F2303D">
              <w:rPr>
                <w:sz w:val="20"/>
                <w:szCs w:val="20"/>
              </w:rPr>
              <w:t>20.4</w:t>
            </w:r>
          </w:p>
        </w:tc>
      </w:tr>
      <w:tr w:rsidR="004F3F8D" w:rsidRPr="00380233" w14:paraId="0E66ABF1" w14:textId="77777777" w:rsidTr="000F5BEE">
        <w:trPr>
          <w:trHeight w:val="288"/>
        </w:trPr>
        <w:tc>
          <w:tcPr>
            <w:tcW w:w="1980" w:type="dxa"/>
            <w:tcBorders>
              <w:left w:val="single" w:sz="4" w:space="0" w:color="auto"/>
              <w:bottom w:val="single" w:sz="4" w:space="0" w:color="auto"/>
            </w:tcBorders>
            <w:shd w:val="clear" w:color="auto" w:fill="D9D9D9" w:themeFill="background1" w:themeFillShade="D9"/>
          </w:tcPr>
          <w:p w14:paraId="3772B714" w14:textId="11928284" w:rsidR="004F3F8D" w:rsidRDefault="004F3F8D" w:rsidP="0037671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6E643D9" w14:textId="77777777" w:rsidR="004F3F8D" w:rsidRPr="00F2303D" w:rsidRDefault="004F3F8D" w:rsidP="00697F37">
            <w:pPr>
              <w:spacing w:after="0" w:line="240" w:lineRule="auto"/>
              <w:jc w:val="center"/>
              <w:rPr>
                <w:sz w:val="20"/>
                <w:szCs w:val="20"/>
              </w:rPr>
            </w:pPr>
            <w:r w:rsidRPr="00F2303D">
              <w:rPr>
                <w:sz w:val="20"/>
                <w:szCs w:val="20"/>
              </w:rPr>
              <w:t>9,410</w:t>
            </w:r>
          </w:p>
        </w:tc>
        <w:tc>
          <w:tcPr>
            <w:tcW w:w="1003" w:type="dxa"/>
            <w:tcBorders>
              <w:top w:val="nil"/>
              <w:left w:val="nil"/>
              <w:bottom w:val="single" w:sz="4" w:space="0" w:color="auto"/>
              <w:right w:val="single" w:sz="4" w:space="0" w:color="auto"/>
            </w:tcBorders>
            <w:shd w:val="clear" w:color="auto" w:fill="D9D9D9" w:themeFill="background1" w:themeFillShade="D9"/>
          </w:tcPr>
          <w:p w14:paraId="0AC5A903" w14:textId="77777777" w:rsidR="004F3F8D" w:rsidRPr="00F2303D" w:rsidRDefault="004F3F8D" w:rsidP="00697F37">
            <w:pPr>
              <w:spacing w:after="0" w:line="240" w:lineRule="auto"/>
              <w:jc w:val="center"/>
              <w:rPr>
                <w:sz w:val="20"/>
                <w:szCs w:val="20"/>
              </w:rPr>
            </w:pPr>
            <w:r w:rsidRPr="00F2303D">
              <w:rPr>
                <w:sz w:val="20"/>
                <w:szCs w:val="20"/>
              </w:rPr>
              <w:t>12.1</w:t>
            </w:r>
          </w:p>
        </w:tc>
        <w:tc>
          <w:tcPr>
            <w:tcW w:w="1003" w:type="dxa"/>
            <w:tcBorders>
              <w:top w:val="nil"/>
              <w:left w:val="nil"/>
              <w:bottom w:val="single" w:sz="4" w:space="0" w:color="auto"/>
              <w:right w:val="single" w:sz="4" w:space="0" w:color="auto"/>
            </w:tcBorders>
            <w:shd w:val="clear" w:color="auto" w:fill="D9D9D9" w:themeFill="background1" w:themeFillShade="D9"/>
          </w:tcPr>
          <w:p w14:paraId="5BF18F03" w14:textId="77777777" w:rsidR="004F3F8D" w:rsidRPr="00F2303D" w:rsidRDefault="004F3F8D" w:rsidP="00697F37">
            <w:pPr>
              <w:spacing w:after="0" w:line="240" w:lineRule="auto"/>
              <w:jc w:val="center"/>
              <w:rPr>
                <w:sz w:val="20"/>
                <w:szCs w:val="20"/>
              </w:rPr>
            </w:pPr>
            <w:r w:rsidRPr="00F2303D">
              <w:rPr>
                <w:sz w:val="20"/>
                <w:szCs w:val="20"/>
              </w:rPr>
              <w:t>12.0</w:t>
            </w:r>
          </w:p>
        </w:tc>
        <w:tc>
          <w:tcPr>
            <w:tcW w:w="1003" w:type="dxa"/>
            <w:tcBorders>
              <w:top w:val="nil"/>
              <w:left w:val="nil"/>
              <w:bottom w:val="single" w:sz="4" w:space="0" w:color="auto"/>
              <w:right w:val="single" w:sz="4" w:space="0" w:color="auto"/>
            </w:tcBorders>
            <w:shd w:val="clear" w:color="auto" w:fill="D9D9D9" w:themeFill="background1" w:themeFillShade="D9"/>
          </w:tcPr>
          <w:p w14:paraId="5D084566" w14:textId="77777777" w:rsidR="004F3F8D" w:rsidRPr="00F2303D" w:rsidRDefault="004F3F8D" w:rsidP="00697F37">
            <w:pPr>
              <w:spacing w:after="0" w:line="240" w:lineRule="auto"/>
              <w:jc w:val="center"/>
              <w:rPr>
                <w:sz w:val="20"/>
                <w:szCs w:val="20"/>
              </w:rPr>
            </w:pPr>
            <w:r w:rsidRPr="00F2303D">
              <w:rPr>
                <w:sz w:val="20"/>
                <w:szCs w:val="20"/>
              </w:rPr>
              <w:t>14.0</w:t>
            </w:r>
          </w:p>
        </w:tc>
        <w:tc>
          <w:tcPr>
            <w:tcW w:w="1003" w:type="dxa"/>
            <w:tcBorders>
              <w:top w:val="nil"/>
              <w:left w:val="nil"/>
              <w:bottom w:val="single" w:sz="4" w:space="0" w:color="auto"/>
              <w:right w:val="single" w:sz="4" w:space="0" w:color="auto"/>
            </w:tcBorders>
            <w:shd w:val="clear" w:color="auto" w:fill="D9D9D9" w:themeFill="background1" w:themeFillShade="D9"/>
          </w:tcPr>
          <w:p w14:paraId="215B35B2" w14:textId="77777777" w:rsidR="004F3F8D" w:rsidRPr="00F2303D" w:rsidRDefault="004F3F8D" w:rsidP="00697F37">
            <w:pPr>
              <w:spacing w:after="0" w:line="240" w:lineRule="auto"/>
              <w:jc w:val="center"/>
              <w:rPr>
                <w:sz w:val="20"/>
                <w:szCs w:val="20"/>
              </w:rPr>
            </w:pPr>
            <w:r w:rsidRPr="00F2303D">
              <w:rPr>
                <w:sz w:val="20"/>
                <w:szCs w:val="20"/>
              </w:rPr>
              <w:t>13.4</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4327A6C2" w14:textId="77777777" w:rsidR="004F3F8D" w:rsidRPr="00F2303D" w:rsidRDefault="004F3F8D" w:rsidP="00697F37">
            <w:pPr>
              <w:spacing w:after="0" w:line="240" w:lineRule="auto"/>
              <w:jc w:val="center"/>
              <w:rPr>
                <w:sz w:val="20"/>
                <w:szCs w:val="20"/>
              </w:rPr>
            </w:pPr>
            <w:r w:rsidRPr="00F2303D">
              <w:rPr>
                <w:sz w:val="20"/>
                <w:szCs w:val="20"/>
              </w:rPr>
              <w:t>1.3</w:t>
            </w:r>
          </w:p>
        </w:tc>
        <w:tc>
          <w:tcPr>
            <w:tcW w:w="1003" w:type="dxa"/>
            <w:tcBorders>
              <w:left w:val="single" w:sz="2" w:space="0" w:color="auto"/>
              <w:bottom w:val="single" w:sz="2" w:space="0" w:color="auto"/>
              <w:right w:val="single" w:sz="4" w:space="0" w:color="auto"/>
            </w:tcBorders>
            <w:shd w:val="clear" w:color="auto" w:fill="D9D9D9" w:themeFill="background1" w:themeFillShade="D9"/>
          </w:tcPr>
          <w:p w14:paraId="63354A0C" w14:textId="77777777" w:rsidR="004F3F8D" w:rsidRPr="00F2303D" w:rsidRDefault="004F3F8D" w:rsidP="00697F37">
            <w:pPr>
              <w:spacing w:after="0" w:line="240" w:lineRule="auto"/>
              <w:jc w:val="center"/>
              <w:rPr>
                <w:sz w:val="20"/>
                <w:szCs w:val="20"/>
              </w:rPr>
            </w:pPr>
            <w:r w:rsidRPr="00F2303D">
              <w:rPr>
                <w:sz w:val="20"/>
                <w:szCs w:val="20"/>
              </w:rPr>
              <w:t>13.2</w:t>
            </w:r>
          </w:p>
        </w:tc>
      </w:tr>
      <w:tr w:rsidR="004F3F8D" w:rsidRPr="00380233" w14:paraId="6D2371C3" w14:textId="77777777" w:rsidTr="000F5BEE">
        <w:trPr>
          <w:trHeight w:val="288"/>
        </w:trPr>
        <w:tc>
          <w:tcPr>
            <w:tcW w:w="9000" w:type="dxa"/>
            <w:gridSpan w:val="8"/>
            <w:tcBorders>
              <w:top w:val="single" w:sz="2" w:space="0" w:color="auto"/>
              <w:bottom w:val="nil"/>
              <w:right w:val="nil"/>
            </w:tcBorders>
            <w:shd w:val="clear" w:color="auto" w:fill="auto"/>
          </w:tcPr>
          <w:p w14:paraId="13DF0084" w14:textId="3CA5B0A3" w:rsidR="004F3F8D" w:rsidRPr="003F6B54" w:rsidRDefault="004F3F8D" w:rsidP="00EC5B5A">
            <w:pPr>
              <w:spacing w:before="60" w:after="0" w:line="240" w:lineRule="auto"/>
              <w:rPr>
                <w:color w:val="000000"/>
                <w:sz w:val="20"/>
                <w:szCs w:val="20"/>
              </w:rPr>
            </w:pPr>
            <w:r w:rsidRPr="002414AE">
              <w:rPr>
                <w:sz w:val="18"/>
                <w:szCs w:val="18"/>
              </w:rPr>
              <w:t xml:space="preserve">* The percentage of students absent 10 </w:t>
            </w:r>
            <w:r w:rsidR="00376713">
              <w:rPr>
                <w:sz w:val="18"/>
                <w:szCs w:val="18"/>
              </w:rPr>
              <w:t xml:space="preserve">percent </w:t>
            </w:r>
            <w:r w:rsidRPr="002414AE">
              <w:rPr>
                <w:sz w:val="18"/>
                <w:szCs w:val="18"/>
              </w:rPr>
              <w:t>or more of their total number of student days of membership in a school</w:t>
            </w:r>
          </w:p>
        </w:tc>
      </w:tr>
    </w:tbl>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5"/>
          <w:pgSz w:w="12240" w:h="15840"/>
          <w:pgMar w:top="1440" w:right="1440" w:bottom="1440" w:left="1440" w:header="720" w:footer="720" w:gutter="0"/>
          <w:pgNumType w:start="1"/>
          <w:cols w:space="720"/>
          <w:docGrid w:linePitch="360"/>
        </w:sectPr>
      </w:pPr>
    </w:p>
    <w:p w14:paraId="3D042962" w14:textId="3FCC3589" w:rsidR="00222300" w:rsidRPr="00364BE4" w:rsidRDefault="00222300" w:rsidP="00222300">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5249B2" w:rsidRPr="00364BE4">
        <w:rPr>
          <w:rFonts w:ascii="Calibri" w:eastAsia="Calibri" w:hAnsi="Calibri" w:cs="Times New Roman"/>
          <w:b/>
          <w:sz w:val="20"/>
        </w:rPr>
        <w:t>B</w:t>
      </w:r>
      <w:r w:rsidR="005249B2">
        <w:rPr>
          <w:rFonts w:ascii="Calibri" w:eastAsia="Calibri" w:hAnsi="Calibri" w:cs="Times New Roman"/>
          <w:b/>
          <w:sz w:val="20"/>
        </w:rPr>
        <w:t>3</w:t>
      </w:r>
      <w:r w:rsidRPr="00364BE4">
        <w:rPr>
          <w:rFonts w:ascii="Calibri" w:eastAsia="Calibri" w:hAnsi="Calibri" w:cs="Times New Roman"/>
          <w:b/>
          <w:sz w:val="20"/>
        </w:rPr>
        <w:t xml:space="preserve">: </w:t>
      </w:r>
      <w:r w:rsidR="00376713">
        <w:rPr>
          <w:rFonts w:ascii="Calibri" w:eastAsia="Calibri" w:hAnsi="Calibri" w:cs="Times New Roman"/>
          <w:b/>
          <w:sz w:val="20"/>
        </w:rPr>
        <w:t>Framingham</w:t>
      </w:r>
      <w:r w:rsidRPr="003C6A1B">
        <w:rPr>
          <w:rFonts w:ascii="Calibri" w:eastAsia="Calibri" w:hAnsi="Calibri" w:cs="Times New Roman"/>
          <w:b/>
          <w:sz w:val="20"/>
        </w:rPr>
        <w:t xml:space="preserve"> Public Schools</w:t>
      </w:r>
    </w:p>
    <w:p w14:paraId="63B45AA8" w14:textId="77777777" w:rsidR="00222300" w:rsidRPr="00364BE4" w:rsidRDefault="00222300" w:rsidP="00222300">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Framingham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222300" w:rsidRPr="00364BE4" w14:paraId="44DA3051" w14:textId="77777777" w:rsidTr="000F5BEE">
        <w:trPr>
          <w:trHeight w:val="300"/>
        </w:trPr>
        <w:tc>
          <w:tcPr>
            <w:tcW w:w="3420" w:type="dxa"/>
            <w:tcBorders>
              <w:left w:val="single" w:sz="4" w:space="0" w:color="auto"/>
              <w:bottom w:val="single" w:sz="12" w:space="0" w:color="auto"/>
              <w:right w:val="single" w:sz="12" w:space="0" w:color="auto"/>
            </w:tcBorders>
            <w:noWrap/>
          </w:tcPr>
          <w:p w14:paraId="1906D8DE"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36BA7D76"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2B6BF647"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67D3D689"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222300" w:rsidRPr="00364BE4" w14:paraId="17DA4D5D" w14:textId="77777777" w:rsidTr="000F5BEE">
        <w:trPr>
          <w:trHeight w:val="315"/>
        </w:trPr>
        <w:tc>
          <w:tcPr>
            <w:tcW w:w="3420" w:type="dxa"/>
            <w:tcBorders>
              <w:top w:val="single" w:sz="12" w:space="0" w:color="auto"/>
              <w:left w:val="single" w:sz="4" w:space="0" w:color="auto"/>
              <w:bottom w:val="single" w:sz="12" w:space="0" w:color="auto"/>
              <w:right w:val="single" w:sz="12" w:space="0" w:color="auto"/>
            </w:tcBorders>
            <w:noWrap/>
          </w:tcPr>
          <w:p w14:paraId="017C7882"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1F27C7FA"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542F96DD"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0BB87D8"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75574CAC"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31254F35"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7F5C6D4E" w14:textId="77777777" w:rsidR="00222300" w:rsidRPr="00364BE4" w:rsidRDefault="00222300" w:rsidP="00697F3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222300" w:rsidRPr="00364BE4" w14:paraId="40860464" w14:textId="77777777" w:rsidTr="000F5BEE">
        <w:trPr>
          <w:trHeight w:val="315"/>
        </w:trPr>
        <w:tc>
          <w:tcPr>
            <w:tcW w:w="11610" w:type="dxa"/>
            <w:gridSpan w:val="10"/>
            <w:tcBorders>
              <w:top w:val="single" w:sz="12" w:space="0" w:color="auto"/>
            </w:tcBorders>
            <w:shd w:val="pct10" w:color="auto" w:fill="auto"/>
          </w:tcPr>
          <w:p w14:paraId="2CD69E5C"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222300" w:rsidRPr="00364BE4" w14:paraId="3FE064BB" w14:textId="77777777" w:rsidTr="000F5BEE">
        <w:trPr>
          <w:trHeight w:val="469"/>
        </w:trPr>
        <w:tc>
          <w:tcPr>
            <w:tcW w:w="3420" w:type="dxa"/>
            <w:tcBorders>
              <w:right w:val="single" w:sz="12" w:space="0" w:color="auto"/>
            </w:tcBorders>
          </w:tcPr>
          <w:p w14:paraId="7063496A"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2C046696" w14:textId="77777777" w:rsidR="00222300" w:rsidRPr="00364BE4" w:rsidRDefault="00222300" w:rsidP="00697F37">
            <w:pPr>
              <w:widowControl w:val="0"/>
              <w:overflowPunct w:val="0"/>
              <w:adjustRightInd w:val="0"/>
              <w:spacing w:after="0" w:line="240" w:lineRule="auto"/>
              <w:jc w:val="right"/>
              <w:rPr>
                <w:rFonts w:ascii="Calibri" w:eastAsia="Times New Roman" w:hAnsi="Calibri" w:cs="Times New Roman"/>
                <w:kern w:val="28"/>
                <w:sz w:val="20"/>
                <w:szCs w:val="20"/>
              </w:rPr>
            </w:pPr>
          </w:p>
        </w:tc>
      </w:tr>
      <w:tr w:rsidR="00222300" w:rsidRPr="00364BE4" w14:paraId="734A0D69" w14:textId="77777777" w:rsidTr="000F5BEE">
        <w:trPr>
          <w:trHeight w:val="300"/>
        </w:trPr>
        <w:tc>
          <w:tcPr>
            <w:tcW w:w="3420" w:type="dxa"/>
            <w:tcBorders>
              <w:right w:val="single" w:sz="12" w:space="0" w:color="auto"/>
            </w:tcBorders>
            <w:noWrap/>
          </w:tcPr>
          <w:p w14:paraId="1E85246A"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4D2BF1C" w14:textId="77777777" w:rsidR="00222300" w:rsidRPr="00F2303D" w:rsidRDefault="00222300" w:rsidP="00697F37">
            <w:pPr>
              <w:spacing w:after="0" w:line="240" w:lineRule="auto"/>
              <w:jc w:val="center"/>
              <w:rPr>
                <w:sz w:val="20"/>
                <w:szCs w:val="20"/>
              </w:rPr>
            </w:pPr>
            <w:r w:rsidRPr="00F2303D">
              <w:rPr>
                <w:sz w:val="20"/>
                <w:szCs w:val="20"/>
              </w:rPr>
              <w:t>$115,731,953</w:t>
            </w:r>
          </w:p>
        </w:tc>
        <w:tc>
          <w:tcPr>
            <w:tcW w:w="1360" w:type="dxa"/>
            <w:gridSpan w:val="2"/>
            <w:tcBorders>
              <w:right w:val="single" w:sz="12" w:space="0" w:color="auto"/>
            </w:tcBorders>
            <w:noWrap/>
          </w:tcPr>
          <w:p w14:paraId="53FA95BF" w14:textId="77777777" w:rsidR="00222300" w:rsidRPr="00F2303D" w:rsidRDefault="00222300" w:rsidP="00697F37">
            <w:pPr>
              <w:spacing w:after="0" w:line="240" w:lineRule="auto"/>
              <w:jc w:val="center"/>
              <w:rPr>
                <w:sz w:val="20"/>
                <w:szCs w:val="20"/>
              </w:rPr>
            </w:pPr>
            <w:r w:rsidRPr="00F2303D">
              <w:rPr>
                <w:sz w:val="20"/>
                <w:szCs w:val="20"/>
              </w:rPr>
              <w:t>$116,225,112</w:t>
            </w:r>
          </w:p>
        </w:tc>
        <w:tc>
          <w:tcPr>
            <w:tcW w:w="1430" w:type="dxa"/>
            <w:gridSpan w:val="2"/>
            <w:tcBorders>
              <w:left w:val="single" w:sz="12" w:space="0" w:color="auto"/>
            </w:tcBorders>
            <w:noWrap/>
          </w:tcPr>
          <w:p w14:paraId="4F4FB4E6" w14:textId="77777777" w:rsidR="00222300" w:rsidRPr="00F2303D" w:rsidRDefault="00222300" w:rsidP="00697F37">
            <w:pPr>
              <w:spacing w:after="0" w:line="240" w:lineRule="auto"/>
              <w:jc w:val="center"/>
              <w:rPr>
                <w:sz w:val="20"/>
                <w:szCs w:val="20"/>
              </w:rPr>
            </w:pPr>
            <w:r w:rsidRPr="00F2303D">
              <w:rPr>
                <w:sz w:val="20"/>
                <w:szCs w:val="20"/>
              </w:rPr>
              <w:t>$122,550,690</w:t>
            </w:r>
          </w:p>
        </w:tc>
        <w:tc>
          <w:tcPr>
            <w:tcW w:w="1350" w:type="dxa"/>
            <w:gridSpan w:val="2"/>
            <w:tcBorders>
              <w:right w:val="single" w:sz="12" w:space="0" w:color="auto"/>
            </w:tcBorders>
            <w:noWrap/>
          </w:tcPr>
          <w:p w14:paraId="3FDBC6B4" w14:textId="77777777" w:rsidR="00222300" w:rsidRPr="00F2303D" w:rsidRDefault="00222300" w:rsidP="00697F37">
            <w:pPr>
              <w:spacing w:after="0" w:line="240" w:lineRule="auto"/>
              <w:jc w:val="center"/>
              <w:rPr>
                <w:sz w:val="20"/>
                <w:szCs w:val="20"/>
              </w:rPr>
            </w:pPr>
            <w:r w:rsidRPr="00F2303D">
              <w:rPr>
                <w:sz w:val="20"/>
                <w:szCs w:val="20"/>
              </w:rPr>
              <w:t>$121,564,057</w:t>
            </w:r>
          </w:p>
        </w:tc>
        <w:tc>
          <w:tcPr>
            <w:tcW w:w="1350" w:type="dxa"/>
            <w:tcBorders>
              <w:left w:val="single" w:sz="12" w:space="0" w:color="auto"/>
            </w:tcBorders>
            <w:noWrap/>
          </w:tcPr>
          <w:p w14:paraId="6D62B77D" w14:textId="182EA635" w:rsidR="00222300" w:rsidRPr="00F2303D" w:rsidRDefault="001C5333" w:rsidP="00697F37">
            <w:pPr>
              <w:spacing w:after="0" w:line="240" w:lineRule="auto"/>
              <w:jc w:val="center"/>
              <w:rPr>
                <w:sz w:val="20"/>
                <w:szCs w:val="20"/>
              </w:rPr>
            </w:pPr>
            <w:r>
              <w:rPr>
                <w:sz w:val="20"/>
                <w:szCs w:val="20"/>
              </w:rPr>
              <w:t>$128,065,471</w:t>
            </w:r>
          </w:p>
        </w:tc>
        <w:tc>
          <w:tcPr>
            <w:tcW w:w="1350" w:type="dxa"/>
            <w:tcBorders>
              <w:left w:val="single" w:sz="12" w:space="0" w:color="auto"/>
            </w:tcBorders>
          </w:tcPr>
          <w:p w14:paraId="7F2616EA" w14:textId="50AB0623" w:rsidR="00222300" w:rsidRPr="00F2303D" w:rsidRDefault="001C5333" w:rsidP="00697F37">
            <w:pPr>
              <w:spacing w:after="0" w:line="240" w:lineRule="auto"/>
              <w:jc w:val="center"/>
              <w:rPr>
                <w:sz w:val="20"/>
                <w:szCs w:val="20"/>
              </w:rPr>
            </w:pPr>
            <w:r>
              <w:rPr>
                <w:sz w:val="20"/>
                <w:szCs w:val="20"/>
              </w:rPr>
              <w:t>$127,399,766</w:t>
            </w:r>
          </w:p>
        </w:tc>
      </w:tr>
      <w:tr w:rsidR="00222300" w:rsidRPr="00364BE4" w14:paraId="7455741C" w14:textId="77777777" w:rsidTr="000F5BEE">
        <w:trPr>
          <w:trHeight w:val="300"/>
        </w:trPr>
        <w:tc>
          <w:tcPr>
            <w:tcW w:w="3420" w:type="dxa"/>
            <w:tcBorders>
              <w:right w:val="single" w:sz="12" w:space="0" w:color="auto"/>
            </w:tcBorders>
            <w:noWrap/>
          </w:tcPr>
          <w:p w14:paraId="7AF15F77"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18E84ED8" w14:textId="77777777" w:rsidR="00222300" w:rsidRPr="00F2303D" w:rsidRDefault="00222300" w:rsidP="00697F37">
            <w:pPr>
              <w:spacing w:after="0" w:line="240" w:lineRule="auto"/>
              <w:jc w:val="center"/>
              <w:rPr>
                <w:sz w:val="20"/>
                <w:szCs w:val="20"/>
              </w:rPr>
            </w:pPr>
            <w:r w:rsidRPr="00F2303D">
              <w:rPr>
                <w:sz w:val="20"/>
                <w:szCs w:val="20"/>
              </w:rPr>
              <w:t>$49,238,508</w:t>
            </w:r>
          </w:p>
        </w:tc>
        <w:tc>
          <w:tcPr>
            <w:tcW w:w="1360" w:type="dxa"/>
            <w:gridSpan w:val="2"/>
            <w:tcBorders>
              <w:right w:val="single" w:sz="12" w:space="0" w:color="auto"/>
            </w:tcBorders>
            <w:noWrap/>
          </w:tcPr>
          <w:p w14:paraId="23257CA0" w14:textId="77777777" w:rsidR="00222300" w:rsidRPr="00F2303D" w:rsidRDefault="00222300" w:rsidP="00697F37">
            <w:pPr>
              <w:spacing w:after="0" w:line="240" w:lineRule="auto"/>
              <w:jc w:val="center"/>
              <w:rPr>
                <w:sz w:val="20"/>
                <w:szCs w:val="20"/>
              </w:rPr>
            </w:pPr>
            <w:r w:rsidRPr="00F2303D">
              <w:rPr>
                <w:sz w:val="20"/>
                <w:szCs w:val="20"/>
              </w:rPr>
              <w:t>$46,638,913</w:t>
            </w:r>
          </w:p>
        </w:tc>
        <w:tc>
          <w:tcPr>
            <w:tcW w:w="1430" w:type="dxa"/>
            <w:gridSpan w:val="2"/>
            <w:tcBorders>
              <w:left w:val="single" w:sz="12" w:space="0" w:color="auto"/>
            </w:tcBorders>
            <w:noWrap/>
          </w:tcPr>
          <w:p w14:paraId="702ADCE4" w14:textId="77777777" w:rsidR="00222300" w:rsidRPr="00F2303D" w:rsidRDefault="00222300" w:rsidP="00697F37">
            <w:pPr>
              <w:spacing w:after="0" w:line="240" w:lineRule="auto"/>
              <w:jc w:val="center"/>
              <w:rPr>
                <w:sz w:val="20"/>
                <w:szCs w:val="20"/>
              </w:rPr>
            </w:pPr>
            <w:r w:rsidRPr="00F2303D">
              <w:rPr>
                <w:sz w:val="20"/>
                <w:szCs w:val="20"/>
              </w:rPr>
              <w:t>$53,867,609</w:t>
            </w:r>
          </w:p>
        </w:tc>
        <w:tc>
          <w:tcPr>
            <w:tcW w:w="1350" w:type="dxa"/>
            <w:gridSpan w:val="2"/>
            <w:tcBorders>
              <w:right w:val="single" w:sz="12" w:space="0" w:color="auto"/>
            </w:tcBorders>
            <w:noWrap/>
          </w:tcPr>
          <w:p w14:paraId="3768FDB5" w14:textId="77777777" w:rsidR="00222300" w:rsidRPr="00F2303D" w:rsidRDefault="00222300" w:rsidP="00697F37">
            <w:pPr>
              <w:spacing w:after="0" w:line="240" w:lineRule="auto"/>
              <w:jc w:val="center"/>
              <w:rPr>
                <w:sz w:val="20"/>
                <w:szCs w:val="20"/>
              </w:rPr>
            </w:pPr>
            <w:r w:rsidRPr="00F2303D">
              <w:rPr>
                <w:sz w:val="20"/>
                <w:szCs w:val="20"/>
              </w:rPr>
              <w:t>$48,916,041</w:t>
            </w:r>
          </w:p>
        </w:tc>
        <w:tc>
          <w:tcPr>
            <w:tcW w:w="1350" w:type="dxa"/>
            <w:tcBorders>
              <w:left w:val="single" w:sz="12" w:space="0" w:color="auto"/>
            </w:tcBorders>
            <w:noWrap/>
          </w:tcPr>
          <w:p w14:paraId="51D9CB5D" w14:textId="4C17401C" w:rsidR="00222300" w:rsidRPr="00F2303D" w:rsidRDefault="001C5333" w:rsidP="00697F37">
            <w:pPr>
              <w:spacing w:after="0" w:line="240" w:lineRule="auto"/>
              <w:jc w:val="center"/>
              <w:rPr>
                <w:sz w:val="20"/>
                <w:szCs w:val="20"/>
              </w:rPr>
            </w:pPr>
            <w:r>
              <w:rPr>
                <w:sz w:val="20"/>
                <w:szCs w:val="20"/>
              </w:rPr>
              <w:t>$55,916,941</w:t>
            </w:r>
          </w:p>
        </w:tc>
        <w:tc>
          <w:tcPr>
            <w:tcW w:w="1350" w:type="dxa"/>
            <w:tcBorders>
              <w:left w:val="single" w:sz="12" w:space="0" w:color="auto"/>
            </w:tcBorders>
          </w:tcPr>
          <w:p w14:paraId="2B5B9AFC" w14:textId="33035262" w:rsidR="00222300" w:rsidRPr="00F2303D" w:rsidRDefault="001C5333" w:rsidP="00697F37">
            <w:pPr>
              <w:spacing w:after="0" w:line="240" w:lineRule="auto"/>
              <w:jc w:val="center"/>
              <w:rPr>
                <w:sz w:val="20"/>
                <w:szCs w:val="20"/>
              </w:rPr>
            </w:pPr>
            <w:r>
              <w:rPr>
                <w:sz w:val="20"/>
                <w:szCs w:val="20"/>
              </w:rPr>
              <w:t>$50,619.940</w:t>
            </w:r>
          </w:p>
        </w:tc>
      </w:tr>
      <w:tr w:rsidR="00222300" w:rsidRPr="00364BE4" w14:paraId="7E94EA52" w14:textId="77777777" w:rsidTr="000F5BEE">
        <w:trPr>
          <w:trHeight w:val="300"/>
        </w:trPr>
        <w:tc>
          <w:tcPr>
            <w:tcW w:w="3420" w:type="dxa"/>
            <w:tcBorders>
              <w:right w:val="single" w:sz="12" w:space="0" w:color="auto"/>
            </w:tcBorders>
            <w:noWrap/>
          </w:tcPr>
          <w:p w14:paraId="0D5449B7"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759CA88D" w14:textId="77777777" w:rsidR="00222300" w:rsidRPr="00F2303D" w:rsidRDefault="00222300" w:rsidP="00697F37">
            <w:pPr>
              <w:spacing w:after="0" w:line="240" w:lineRule="auto"/>
              <w:jc w:val="center"/>
              <w:rPr>
                <w:sz w:val="20"/>
                <w:szCs w:val="20"/>
              </w:rPr>
            </w:pPr>
            <w:r w:rsidRPr="00F2303D">
              <w:rPr>
                <w:sz w:val="20"/>
                <w:szCs w:val="20"/>
              </w:rPr>
              <w:t>$164,970,461</w:t>
            </w:r>
          </w:p>
        </w:tc>
        <w:tc>
          <w:tcPr>
            <w:tcW w:w="1360" w:type="dxa"/>
            <w:gridSpan w:val="2"/>
            <w:tcBorders>
              <w:right w:val="single" w:sz="12" w:space="0" w:color="auto"/>
            </w:tcBorders>
            <w:noWrap/>
          </w:tcPr>
          <w:p w14:paraId="15FB1679" w14:textId="77777777" w:rsidR="00222300" w:rsidRPr="00F2303D" w:rsidRDefault="00222300" w:rsidP="00697F37">
            <w:pPr>
              <w:spacing w:after="0" w:line="240" w:lineRule="auto"/>
              <w:jc w:val="center"/>
              <w:rPr>
                <w:sz w:val="20"/>
                <w:szCs w:val="20"/>
              </w:rPr>
            </w:pPr>
            <w:r w:rsidRPr="00F2303D">
              <w:rPr>
                <w:sz w:val="20"/>
                <w:szCs w:val="20"/>
              </w:rPr>
              <w:t>$162,864,025</w:t>
            </w:r>
          </w:p>
        </w:tc>
        <w:tc>
          <w:tcPr>
            <w:tcW w:w="1430" w:type="dxa"/>
            <w:gridSpan w:val="2"/>
            <w:tcBorders>
              <w:left w:val="single" w:sz="12" w:space="0" w:color="auto"/>
            </w:tcBorders>
            <w:noWrap/>
          </w:tcPr>
          <w:p w14:paraId="5C99CD23" w14:textId="77777777" w:rsidR="00222300" w:rsidRPr="00F2303D" w:rsidRDefault="00222300" w:rsidP="00697F37">
            <w:pPr>
              <w:spacing w:after="0" w:line="240" w:lineRule="auto"/>
              <w:jc w:val="center"/>
              <w:rPr>
                <w:sz w:val="20"/>
                <w:szCs w:val="20"/>
              </w:rPr>
            </w:pPr>
            <w:r w:rsidRPr="00F2303D">
              <w:rPr>
                <w:sz w:val="20"/>
                <w:szCs w:val="20"/>
              </w:rPr>
              <w:t>$176,418,299</w:t>
            </w:r>
          </w:p>
        </w:tc>
        <w:tc>
          <w:tcPr>
            <w:tcW w:w="1350" w:type="dxa"/>
            <w:gridSpan w:val="2"/>
            <w:tcBorders>
              <w:right w:val="single" w:sz="12" w:space="0" w:color="auto"/>
            </w:tcBorders>
            <w:noWrap/>
          </w:tcPr>
          <w:p w14:paraId="135FA5DD" w14:textId="77777777" w:rsidR="00222300" w:rsidRPr="00F2303D" w:rsidRDefault="00222300" w:rsidP="00697F37">
            <w:pPr>
              <w:spacing w:after="0" w:line="240" w:lineRule="auto"/>
              <w:jc w:val="center"/>
              <w:rPr>
                <w:sz w:val="20"/>
                <w:szCs w:val="20"/>
              </w:rPr>
            </w:pPr>
            <w:r w:rsidRPr="00F2303D">
              <w:rPr>
                <w:sz w:val="20"/>
                <w:szCs w:val="20"/>
              </w:rPr>
              <w:t>$170,480,098</w:t>
            </w:r>
          </w:p>
        </w:tc>
        <w:tc>
          <w:tcPr>
            <w:tcW w:w="1350" w:type="dxa"/>
            <w:tcBorders>
              <w:left w:val="single" w:sz="12" w:space="0" w:color="auto"/>
            </w:tcBorders>
            <w:noWrap/>
          </w:tcPr>
          <w:p w14:paraId="576AC336" w14:textId="217C35C5" w:rsidR="00222300" w:rsidRPr="00F2303D" w:rsidRDefault="001C5333" w:rsidP="00697F37">
            <w:pPr>
              <w:spacing w:after="0" w:line="240" w:lineRule="auto"/>
              <w:jc w:val="center"/>
              <w:rPr>
                <w:sz w:val="20"/>
                <w:szCs w:val="20"/>
              </w:rPr>
            </w:pPr>
            <w:r>
              <w:rPr>
                <w:sz w:val="20"/>
                <w:szCs w:val="20"/>
              </w:rPr>
              <w:t>$183,982,412</w:t>
            </w:r>
          </w:p>
        </w:tc>
        <w:tc>
          <w:tcPr>
            <w:tcW w:w="1350" w:type="dxa"/>
            <w:tcBorders>
              <w:left w:val="single" w:sz="12" w:space="0" w:color="auto"/>
            </w:tcBorders>
          </w:tcPr>
          <w:p w14:paraId="35CFC3BD" w14:textId="35279AF0" w:rsidR="00222300" w:rsidRPr="00F2303D" w:rsidRDefault="001C5333" w:rsidP="00697F37">
            <w:pPr>
              <w:spacing w:after="0" w:line="240" w:lineRule="auto"/>
              <w:jc w:val="center"/>
              <w:rPr>
                <w:sz w:val="20"/>
                <w:szCs w:val="20"/>
              </w:rPr>
            </w:pPr>
            <w:r>
              <w:rPr>
                <w:sz w:val="20"/>
                <w:szCs w:val="20"/>
              </w:rPr>
              <w:t>$178,019,706</w:t>
            </w:r>
          </w:p>
        </w:tc>
      </w:tr>
      <w:tr w:rsidR="00222300" w:rsidRPr="00364BE4" w14:paraId="7871DC4F" w14:textId="77777777" w:rsidTr="000F5BEE">
        <w:trPr>
          <w:trHeight w:val="300"/>
        </w:trPr>
        <w:tc>
          <w:tcPr>
            <w:tcW w:w="3420" w:type="dxa"/>
            <w:tcBorders>
              <w:right w:val="single" w:sz="12" w:space="0" w:color="auto"/>
            </w:tcBorders>
          </w:tcPr>
          <w:p w14:paraId="31EE42A0"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1C7ED143"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482EC8B6" w14:textId="77777777" w:rsidR="00222300" w:rsidRPr="00F2303D" w:rsidRDefault="00222300" w:rsidP="00697F37">
            <w:pPr>
              <w:spacing w:after="0" w:line="240" w:lineRule="auto"/>
              <w:jc w:val="center"/>
              <w:rPr>
                <w:sz w:val="20"/>
                <w:szCs w:val="20"/>
              </w:rPr>
            </w:pPr>
            <w:r w:rsidRPr="00F2303D">
              <w:rPr>
                <w:sz w:val="20"/>
                <w:szCs w:val="20"/>
              </w:rPr>
              <w:t>$17,591,754</w:t>
            </w:r>
          </w:p>
        </w:tc>
        <w:tc>
          <w:tcPr>
            <w:tcW w:w="1430" w:type="dxa"/>
            <w:gridSpan w:val="2"/>
            <w:tcBorders>
              <w:left w:val="single" w:sz="12" w:space="0" w:color="auto"/>
            </w:tcBorders>
            <w:noWrap/>
          </w:tcPr>
          <w:p w14:paraId="45D6D1FF"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5D430258" w14:textId="77777777" w:rsidR="00222300" w:rsidRPr="00F2303D" w:rsidRDefault="00222300" w:rsidP="00697F37">
            <w:pPr>
              <w:spacing w:after="0" w:line="240" w:lineRule="auto"/>
              <w:jc w:val="center"/>
              <w:rPr>
                <w:sz w:val="20"/>
                <w:szCs w:val="20"/>
              </w:rPr>
            </w:pPr>
            <w:r w:rsidRPr="00F2303D">
              <w:rPr>
                <w:sz w:val="20"/>
                <w:szCs w:val="20"/>
              </w:rPr>
              <w:t>$17,647,754</w:t>
            </w:r>
          </w:p>
        </w:tc>
        <w:tc>
          <w:tcPr>
            <w:tcW w:w="1350" w:type="dxa"/>
            <w:tcBorders>
              <w:left w:val="single" w:sz="12" w:space="0" w:color="auto"/>
            </w:tcBorders>
            <w:noWrap/>
          </w:tcPr>
          <w:p w14:paraId="6EBDDA95"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0477868F" w14:textId="4B6FB0E5" w:rsidR="00222300" w:rsidRPr="00F2303D" w:rsidRDefault="001C5333" w:rsidP="00697F37">
            <w:pPr>
              <w:spacing w:after="0" w:line="240" w:lineRule="auto"/>
              <w:jc w:val="center"/>
              <w:rPr>
                <w:sz w:val="20"/>
                <w:szCs w:val="20"/>
              </w:rPr>
            </w:pPr>
            <w:r>
              <w:rPr>
                <w:sz w:val="20"/>
                <w:szCs w:val="20"/>
              </w:rPr>
              <w:t>$18,394,342</w:t>
            </w:r>
          </w:p>
        </w:tc>
      </w:tr>
      <w:tr w:rsidR="00222300" w:rsidRPr="00364BE4" w14:paraId="591B1582" w14:textId="77777777" w:rsidTr="000F5BEE">
        <w:trPr>
          <w:trHeight w:val="315"/>
        </w:trPr>
        <w:tc>
          <w:tcPr>
            <w:tcW w:w="3420" w:type="dxa"/>
            <w:tcBorders>
              <w:right w:val="single" w:sz="12" w:space="0" w:color="auto"/>
            </w:tcBorders>
          </w:tcPr>
          <w:p w14:paraId="431DC407"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67F607CC"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64961358" w14:textId="77777777" w:rsidR="00222300" w:rsidRPr="00F2303D" w:rsidRDefault="00222300" w:rsidP="00697F37">
            <w:pPr>
              <w:spacing w:after="0" w:line="240" w:lineRule="auto"/>
              <w:jc w:val="center"/>
              <w:rPr>
                <w:sz w:val="20"/>
                <w:szCs w:val="20"/>
              </w:rPr>
            </w:pPr>
            <w:r w:rsidRPr="00F2303D">
              <w:rPr>
                <w:sz w:val="20"/>
                <w:szCs w:val="20"/>
              </w:rPr>
              <w:t>$180,455,779</w:t>
            </w:r>
          </w:p>
        </w:tc>
        <w:tc>
          <w:tcPr>
            <w:tcW w:w="1430" w:type="dxa"/>
            <w:gridSpan w:val="2"/>
            <w:tcBorders>
              <w:left w:val="single" w:sz="12" w:space="0" w:color="auto"/>
            </w:tcBorders>
            <w:noWrap/>
          </w:tcPr>
          <w:p w14:paraId="6C7108EF"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47709D3A" w14:textId="77777777" w:rsidR="00222300" w:rsidRPr="00F2303D" w:rsidRDefault="00222300" w:rsidP="00697F37">
            <w:pPr>
              <w:spacing w:after="0" w:line="240" w:lineRule="auto"/>
              <w:jc w:val="center"/>
              <w:rPr>
                <w:sz w:val="20"/>
                <w:szCs w:val="20"/>
              </w:rPr>
            </w:pPr>
            <w:r w:rsidRPr="00F2303D">
              <w:rPr>
                <w:sz w:val="20"/>
                <w:szCs w:val="20"/>
              </w:rPr>
              <w:t>$188,127,852</w:t>
            </w:r>
          </w:p>
        </w:tc>
        <w:tc>
          <w:tcPr>
            <w:tcW w:w="1350" w:type="dxa"/>
            <w:tcBorders>
              <w:left w:val="single" w:sz="12" w:space="0" w:color="auto"/>
            </w:tcBorders>
            <w:noWrap/>
          </w:tcPr>
          <w:p w14:paraId="464CA332"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051D88F0" w14:textId="16E21484" w:rsidR="00222300" w:rsidRPr="00F2303D" w:rsidRDefault="001C5333" w:rsidP="00697F37">
            <w:pPr>
              <w:spacing w:after="0" w:line="240" w:lineRule="auto"/>
              <w:jc w:val="center"/>
              <w:rPr>
                <w:sz w:val="20"/>
                <w:szCs w:val="20"/>
              </w:rPr>
            </w:pPr>
            <w:r>
              <w:rPr>
                <w:sz w:val="20"/>
                <w:szCs w:val="20"/>
              </w:rPr>
              <w:t>$196,414,048</w:t>
            </w:r>
          </w:p>
        </w:tc>
      </w:tr>
      <w:tr w:rsidR="00222300" w:rsidRPr="00364BE4" w14:paraId="66276E32" w14:textId="77777777" w:rsidTr="000F5BEE">
        <w:trPr>
          <w:trHeight w:val="315"/>
        </w:trPr>
        <w:tc>
          <w:tcPr>
            <w:tcW w:w="11610" w:type="dxa"/>
            <w:gridSpan w:val="10"/>
            <w:shd w:val="clear" w:color="auto" w:fill="E6E6E6"/>
          </w:tcPr>
          <w:p w14:paraId="7F151083" w14:textId="77777777" w:rsidR="00222300" w:rsidRPr="00E26882"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222300" w:rsidRPr="00364BE4" w14:paraId="531433B8" w14:textId="77777777" w:rsidTr="000F5BEE">
        <w:trPr>
          <w:trHeight w:val="300"/>
        </w:trPr>
        <w:tc>
          <w:tcPr>
            <w:tcW w:w="3420" w:type="dxa"/>
            <w:tcBorders>
              <w:right w:val="single" w:sz="12" w:space="0" w:color="auto"/>
            </w:tcBorders>
            <w:noWrap/>
          </w:tcPr>
          <w:p w14:paraId="11BB50B4"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A13C961"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44216CB9" w14:textId="77777777" w:rsidR="00222300" w:rsidRPr="00F2303D" w:rsidRDefault="00222300" w:rsidP="00697F37">
            <w:pPr>
              <w:spacing w:after="0" w:line="240" w:lineRule="auto"/>
              <w:jc w:val="center"/>
              <w:rPr>
                <w:sz w:val="20"/>
                <w:szCs w:val="20"/>
              </w:rPr>
            </w:pPr>
            <w:r w:rsidRPr="00F2303D">
              <w:rPr>
                <w:sz w:val="20"/>
                <w:szCs w:val="20"/>
              </w:rPr>
              <w:t>$37,729,858</w:t>
            </w:r>
          </w:p>
        </w:tc>
        <w:tc>
          <w:tcPr>
            <w:tcW w:w="1430" w:type="dxa"/>
            <w:gridSpan w:val="2"/>
            <w:tcBorders>
              <w:left w:val="single" w:sz="12" w:space="0" w:color="auto"/>
            </w:tcBorders>
            <w:noWrap/>
          </w:tcPr>
          <w:p w14:paraId="5154D0EB"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3DDFADCC" w14:textId="77777777" w:rsidR="00222300" w:rsidRPr="00F2303D" w:rsidRDefault="00222300" w:rsidP="00697F37">
            <w:pPr>
              <w:spacing w:after="0" w:line="240" w:lineRule="auto"/>
              <w:jc w:val="center"/>
              <w:rPr>
                <w:sz w:val="20"/>
                <w:szCs w:val="20"/>
              </w:rPr>
            </w:pPr>
            <w:r w:rsidRPr="00F2303D">
              <w:rPr>
                <w:sz w:val="20"/>
                <w:szCs w:val="20"/>
              </w:rPr>
              <w:t>$42,091,391</w:t>
            </w:r>
          </w:p>
        </w:tc>
        <w:tc>
          <w:tcPr>
            <w:tcW w:w="1350" w:type="dxa"/>
            <w:tcBorders>
              <w:left w:val="single" w:sz="12" w:space="0" w:color="auto"/>
            </w:tcBorders>
            <w:noWrap/>
          </w:tcPr>
          <w:p w14:paraId="491B5090"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37EE7BE8" w14:textId="77777777" w:rsidR="00222300" w:rsidRPr="00F2303D" w:rsidRDefault="00222300" w:rsidP="00697F37">
            <w:pPr>
              <w:spacing w:after="0" w:line="240" w:lineRule="auto"/>
              <w:jc w:val="center"/>
              <w:rPr>
                <w:sz w:val="20"/>
                <w:szCs w:val="20"/>
              </w:rPr>
            </w:pPr>
            <w:r w:rsidRPr="00F2303D">
              <w:rPr>
                <w:sz w:val="20"/>
                <w:szCs w:val="20"/>
              </w:rPr>
              <w:t>$42,363,221</w:t>
            </w:r>
          </w:p>
        </w:tc>
      </w:tr>
      <w:tr w:rsidR="00222300" w:rsidRPr="00364BE4" w14:paraId="0AEA895A" w14:textId="77777777" w:rsidTr="000F5BEE">
        <w:trPr>
          <w:trHeight w:val="300"/>
        </w:trPr>
        <w:tc>
          <w:tcPr>
            <w:tcW w:w="3420" w:type="dxa"/>
            <w:tcBorders>
              <w:right w:val="single" w:sz="12" w:space="0" w:color="auto"/>
            </w:tcBorders>
            <w:noWrap/>
          </w:tcPr>
          <w:p w14:paraId="4910FBC6"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2B97C448"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7851C077" w14:textId="77777777" w:rsidR="00222300" w:rsidRPr="00F2303D" w:rsidRDefault="00222300" w:rsidP="00697F37">
            <w:pPr>
              <w:spacing w:after="0" w:line="240" w:lineRule="auto"/>
              <w:jc w:val="center"/>
              <w:rPr>
                <w:sz w:val="20"/>
                <w:szCs w:val="20"/>
              </w:rPr>
            </w:pPr>
            <w:r w:rsidRPr="00F2303D">
              <w:rPr>
                <w:sz w:val="20"/>
                <w:szCs w:val="20"/>
              </w:rPr>
              <w:t>$57,889,811</w:t>
            </w:r>
          </w:p>
        </w:tc>
        <w:tc>
          <w:tcPr>
            <w:tcW w:w="1430" w:type="dxa"/>
            <w:gridSpan w:val="2"/>
            <w:tcBorders>
              <w:left w:val="single" w:sz="12" w:space="0" w:color="auto"/>
            </w:tcBorders>
            <w:noWrap/>
          </w:tcPr>
          <w:p w14:paraId="73518BEA"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1A71856C" w14:textId="77777777" w:rsidR="00222300" w:rsidRPr="00F2303D" w:rsidRDefault="00222300" w:rsidP="00697F37">
            <w:pPr>
              <w:spacing w:after="0" w:line="240" w:lineRule="auto"/>
              <w:jc w:val="center"/>
              <w:rPr>
                <w:sz w:val="20"/>
                <w:szCs w:val="20"/>
              </w:rPr>
            </w:pPr>
            <w:r w:rsidRPr="00F2303D">
              <w:rPr>
                <w:sz w:val="20"/>
                <w:szCs w:val="20"/>
              </w:rPr>
              <w:t>$56,417,775</w:t>
            </w:r>
          </w:p>
        </w:tc>
        <w:tc>
          <w:tcPr>
            <w:tcW w:w="1350" w:type="dxa"/>
            <w:tcBorders>
              <w:left w:val="single" w:sz="12" w:space="0" w:color="auto"/>
            </w:tcBorders>
            <w:noWrap/>
          </w:tcPr>
          <w:p w14:paraId="10184BFD"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0F27F4E4" w14:textId="77777777" w:rsidR="00222300" w:rsidRPr="00F2303D" w:rsidRDefault="00222300" w:rsidP="00697F37">
            <w:pPr>
              <w:spacing w:after="0" w:line="240" w:lineRule="auto"/>
              <w:jc w:val="center"/>
              <w:rPr>
                <w:sz w:val="20"/>
                <w:szCs w:val="20"/>
              </w:rPr>
            </w:pPr>
            <w:r w:rsidRPr="00F2303D">
              <w:rPr>
                <w:sz w:val="20"/>
                <w:szCs w:val="20"/>
              </w:rPr>
              <w:t>$59,331,897</w:t>
            </w:r>
          </w:p>
        </w:tc>
      </w:tr>
      <w:tr w:rsidR="00222300" w:rsidRPr="00364BE4" w14:paraId="5AB2E879" w14:textId="77777777" w:rsidTr="000F5BEE">
        <w:trPr>
          <w:trHeight w:val="34"/>
        </w:trPr>
        <w:tc>
          <w:tcPr>
            <w:tcW w:w="3420" w:type="dxa"/>
            <w:tcBorders>
              <w:right w:val="single" w:sz="12" w:space="0" w:color="auto"/>
            </w:tcBorders>
            <w:noWrap/>
          </w:tcPr>
          <w:p w14:paraId="62A3EFD9"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463553D7"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06DE2A30" w14:textId="77777777" w:rsidR="00222300" w:rsidRPr="00F2303D" w:rsidRDefault="00222300" w:rsidP="00697F37">
            <w:pPr>
              <w:spacing w:after="0" w:line="240" w:lineRule="auto"/>
              <w:jc w:val="center"/>
              <w:rPr>
                <w:sz w:val="20"/>
                <w:szCs w:val="20"/>
              </w:rPr>
            </w:pPr>
            <w:r w:rsidRPr="00F2303D">
              <w:rPr>
                <w:sz w:val="20"/>
                <w:szCs w:val="20"/>
              </w:rPr>
              <w:t>$95,619,669</w:t>
            </w:r>
          </w:p>
        </w:tc>
        <w:tc>
          <w:tcPr>
            <w:tcW w:w="1430" w:type="dxa"/>
            <w:gridSpan w:val="2"/>
            <w:tcBorders>
              <w:left w:val="single" w:sz="12" w:space="0" w:color="auto"/>
            </w:tcBorders>
            <w:noWrap/>
          </w:tcPr>
          <w:p w14:paraId="14052711"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24B8706C" w14:textId="77777777" w:rsidR="00222300" w:rsidRPr="00F2303D" w:rsidRDefault="00222300" w:rsidP="00697F37">
            <w:pPr>
              <w:spacing w:after="0" w:line="240" w:lineRule="auto"/>
              <w:jc w:val="center"/>
              <w:rPr>
                <w:sz w:val="20"/>
                <w:szCs w:val="20"/>
              </w:rPr>
            </w:pPr>
            <w:r w:rsidRPr="00F2303D">
              <w:rPr>
                <w:sz w:val="20"/>
                <w:szCs w:val="20"/>
              </w:rPr>
              <w:t>$98,509,166</w:t>
            </w:r>
          </w:p>
        </w:tc>
        <w:tc>
          <w:tcPr>
            <w:tcW w:w="1350" w:type="dxa"/>
            <w:tcBorders>
              <w:left w:val="single" w:sz="12" w:space="0" w:color="auto"/>
            </w:tcBorders>
            <w:noWrap/>
          </w:tcPr>
          <w:p w14:paraId="52BDB062"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52246E93" w14:textId="77777777" w:rsidR="00222300" w:rsidRPr="00F2303D" w:rsidRDefault="00222300" w:rsidP="00697F37">
            <w:pPr>
              <w:spacing w:after="0" w:line="240" w:lineRule="auto"/>
              <w:jc w:val="center"/>
              <w:rPr>
                <w:sz w:val="20"/>
                <w:szCs w:val="20"/>
              </w:rPr>
            </w:pPr>
            <w:r w:rsidRPr="00F2303D">
              <w:rPr>
                <w:sz w:val="20"/>
                <w:szCs w:val="20"/>
              </w:rPr>
              <w:t>$101,695,118</w:t>
            </w:r>
          </w:p>
        </w:tc>
      </w:tr>
      <w:tr w:rsidR="00222300" w:rsidRPr="00364BE4" w14:paraId="01F36A71" w14:textId="77777777" w:rsidTr="000F5BEE">
        <w:trPr>
          <w:trHeight w:val="300"/>
        </w:trPr>
        <w:tc>
          <w:tcPr>
            <w:tcW w:w="3420" w:type="dxa"/>
            <w:tcBorders>
              <w:right w:val="single" w:sz="12" w:space="0" w:color="auto"/>
            </w:tcBorders>
            <w:noWrap/>
          </w:tcPr>
          <w:p w14:paraId="1C8D5974"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75AD7567"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1A7DEE73" w14:textId="77777777" w:rsidR="00222300" w:rsidRPr="00F2303D" w:rsidRDefault="00222300" w:rsidP="00697F37">
            <w:pPr>
              <w:spacing w:after="0" w:line="240" w:lineRule="auto"/>
              <w:jc w:val="center"/>
              <w:rPr>
                <w:sz w:val="20"/>
                <w:szCs w:val="20"/>
              </w:rPr>
            </w:pPr>
            <w:r w:rsidRPr="00F2303D">
              <w:rPr>
                <w:sz w:val="20"/>
                <w:szCs w:val="20"/>
              </w:rPr>
              <w:t>$139,365,921</w:t>
            </w:r>
          </w:p>
        </w:tc>
        <w:tc>
          <w:tcPr>
            <w:tcW w:w="1430" w:type="dxa"/>
            <w:gridSpan w:val="2"/>
            <w:tcBorders>
              <w:left w:val="single" w:sz="12" w:space="0" w:color="auto"/>
            </w:tcBorders>
            <w:noWrap/>
          </w:tcPr>
          <w:p w14:paraId="6C317955"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41089DA0" w14:textId="77777777" w:rsidR="00222300" w:rsidRPr="00F2303D" w:rsidRDefault="00222300" w:rsidP="00697F37">
            <w:pPr>
              <w:spacing w:after="0" w:line="240" w:lineRule="auto"/>
              <w:jc w:val="center"/>
              <w:rPr>
                <w:sz w:val="20"/>
                <w:szCs w:val="20"/>
              </w:rPr>
            </w:pPr>
            <w:r w:rsidRPr="00F2303D">
              <w:rPr>
                <w:sz w:val="20"/>
                <w:szCs w:val="20"/>
              </w:rPr>
              <w:t>$145,011,177</w:t>
            </w:r>
          </w:p>
        </w:tc>
        <w:tc>
          <w:tcPr>
            <w:tcW w:w="1350" w:type="dxa"/>
            <w:tcBorders>
              <w:left w:val="single" w:sz="12" w:space="0" w:color="auto"/>
            </w:tcBorders>
            <w:noWrap/>
          </w:tcPr>
          <w:p w14:paraId="0293E4C3"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7EBBB3F3" w14:textId="7A39BED4" w:rsidR="00222300" w:rsidRPr="00F2303D" w:rsidRDefault="00222300" w:rsidP="001C5333">
            <w:pPr>
              <w:spacing w:after="0" w:line="240" w:lineRule="auto"/>
              <w:jc w:val="center"/>
              <w:rPr>
                <w:sz w:val="20"/>
                <w:szCs w:val="20"/>
              </w:rPr>
            </w:pPr>
            <w:r w:rsidRPr="00F2303D">
              <w:rPr>
                <w:sz w:val="20"/>
                <w:szCs w:val="20"/>
              </w:rPr>
              <w:t>$</w:t>
            </w:r>
            <w:r w:rsidR="001C5333">
              <w:rPr>
                <w:sz w:val="20"/>
                <w:szCs w:val="20"/>
              </w:rPr>
              <w:t>152,578,944</w:t>
            </w:r>
          </w:p>
        </w:tc>
      </w:tr>
      <w:tr w:rsidR="00222300" w:rsidRPr="00364BE4" w14:paraId="1560685D" w14:textId="77777777" w:rsidTr="000F5BEE">
        <w:trPr>
          <w:trHeight w:val="300"/>
        </w:trPr>
        <w:tc>
          <w:tcPr>
            <w:tcW w:w="3420" w:type="dxa"/>
            <w:tcBorders>
              <w:right w:val="single" w:sz="12" w:space="0" w:color="auto"/>
            </w:tcBorders>
            <w:noWrap/>
          </w:tcPr>
          <w:p w14:paraId="72473083"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301D0C07"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right w:val="single" w:sz="12" w:space="0" w:color="auto"/>
            </w:tcBorders>
            <w:noWrap/>
          </w:tcPr>
          <w:p w14:paraId="65632B74" w14:textId="77777777" w:rsidR="00222300" w:rsidRPr="00F2303D" w:rsidRDefault="00222300" w:rsidP="00697F37">
            <w:pPr>
              <w:spacing w:after="0" w:line="240" w:lineRule="auto"/>
              <w:jc w:val="center"/>
              <w:rPr>
                <w:sz w:val="20"/>
                <w:szCs w:val="20"/>
              </w:rPr>
            </w:pPr>
            <w:r w:rsidRPr="00F2303D">
              <w:rPr>
                <w:sz w:val="20"/>
                <w:szCs w:val="20"/>
              </w:rPr>
              <w:t>$43,746,252</w:t>
            </w:r>
          </w:p>
        </w:tc>
        <w:tc>
          <w:tcPr>
            <w:tcW w:w="1430" w:type="dxa"/>
            <w:gridSpan w:val="2"/>
            <w:tcBorders>
              <w:left w:val="single" w:sz="12" w:space="0" w:color="auto"/>
            </w:tcBorders>
            <w:noWrap/>
          </w:tcPr>
          <w:p w14:paraId="2886E2D9"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right w:val="single" w:sz="12" w:space="0" w:color="auto"/>
            </w:tcBorders>
            <w:noWrap/>
          </w:tcPr>
          <w:p w14:paraId="59B97346" w14:textId="77777777" w:rsidR="00222300" w:rsidRPr="00F2303D" w:rsidRDefault="00222300" w:rsidP="00697F37">
            <w:pPr>
              <w:spacing w:after="0" w:line="240" w:lineRule="auto"/>
              <w:jc w:val="center"/>
              <w:rPr>
                <w:sz w:val="20"/>
                <w:szCs w:val="20"/>
              </w:rPr>
            </w:pPr>
            <w:r w:rsidRPr="00F2303D">
              <w:rPr>
                <w:sz w:val="20"/>
                <w:szCs w:val="20"/>
              </w:rPr>
              <w:t>$46,502,011</w:t>
            </w:r>
          </w:p>
        </w:tc>
        <w:tc>
          <w:tcPr>
            <w:tcW w:w="1350" w:type="dxa"/>
            <w:tcBorders>
              <w:left w:val="single" w:sz="12" w:space="0" w:color="auto"/>
            </w:tcBorders>
            <w:noWrap/>
          </w:tcPr>
          <w:p w14:paraId="3A883978"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tcBorders>
          </w:tcPr>
          <w:p w14:paraId="17117FCC" w14:textId="145AB1AC" w:rsidR="00222300" w:rsidRPr="00F2303D" w:rsidRDefault="00222300" w:rsidP="001C5333">
            <w:pPr>
              <w:spacing w:after="0" w:line="240" w:lineRule="auto"/>
              <w:jc w:val="center"/>
              <w:rPr>
                <w:sz w:val="20"/>
                <w:szCs w:val="20"/>
              </w:rPr>
            </w:pPr>
            <w:r w:rsidRPr="00F2303D">
              <w:rPr>
                <w:sz w:val="20"/>
                <w:szCs w:val="20"/>
              </w:rPr>
              <w:t>$</w:t>
            </w:r>
            <w:r w:rsidR="001C5333">
              <w:rPr>
                <w:sz w:val="20"/>
                <w:szCs w:val="20"/>
              </w:rPr>
              <w:t>50,883,826</w:t>
            </w:r>
          </w:p>
        </w:tc>
      </w:tr>
      <w:tr w:rsidR="00222300" w:rsidRPr="00364BE4" w14:paraId="7B9B40E2" w14:textId="77777777" w:rsidTr="000F5BEE">
        <w:trPr>
          <w:trHeight w:val="300"/>
        </w:trPr>
        <w:tc>
          <w:tcPr>
            <w:tcW w:w="3420" w:type="dxa"/>
            <w:tcBorders>
              <w:bottom w:val="single" w:sz="4" w:space="0" w:color="auto"/>
              <w:right w:val="single" w:sz="12" w:space="0" w:color="auto"/>
            </w:tcBorders>
            <w:noWrap/>
          </w:tcPr>
          <w:p w14:paraId="2E90748E" w14:textId="77777777" w:rsidR="00222300" w:rsidRPr="00364BE4" w:rsidRDefault="00222300" w:rsidP="00697F3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76D42AF9" w14:textId="77777777" w:rsidR="00222300" w:rsidRPr="00F2303D" w:rsidRDefault="00222300" w:rsidP="00697F37">
            <w:pPr>
              <w:spacing w:after="0" w:line="240" w:lineRule="auto"/>
              <w:jc w:val="center"/>
              <w:rPr>
                <w:sz w:val="20"/>
                <w:szCs w:val="20"/>
              </w:rPr>
            </w:pPr>
            <w:r w:rsidRPr="00F2303D">
              <w:rPr>
                <w:sz w:val="20"/>
                <w:szCs w:val="20"/>
              </w:rPr>
              <w:t>--</w:t>
            </w:r>
          </w:p>
        </w:tc>
        <w:tc>
          <w:tcPr>
            <w:tcW w:w="1360" w:type="dxa"/>
            <w:gridSpan w:val="2"/>
            <w:tcBorders>
              <w:bottom w:val="single" w:sz="4" w:space="0" w:color="auto"/>
              <w:right w:val="single" w:sz="12" w:space="0" w:color="auto"/>
            </w:tcBorders>
            <w:noWrap/>
          </w:tcPr>
          <w:p w14:paraId="448185EC" w14:textId="77777777" w:rsidR="00222300" w:rsidRPr="00F2303D" w:rsidRDefault="00222300" w:rsidP="00697F37">
            <w:pPr>
              <w:spacing w:after="0" w:line="240" w:lineRule="auto"/>
              <w:jc w:val="center"/>
              <w:rPr>
                <w:sz w:val="20"/>
                <w:szCs w:val="20"/>
              </w:rPr>
            </w:pPr>
            <w:r w:rsidRPr="00F2303D">
              <w:rPr>
                <w:sz w:val="20"/>
                <w:szCs w:val="20"/>
              </w:rPr>
              <w:t>45.8%</w:t>
            </w:r>
          </w:p>
        </w:tc>
        <w:tc>
          <w:tcPr>
            <w:tcW w:w="1430" w:type="dxa"/>
            <w:gridSpan w:val="2"/>
            <w:tcBorders>
              <w:left w:val="single" w:sz="12" w:space="0" w:color="auto"/>
              <w:bottom w:val="single" w:sz="4" w:space="0" w:color="auto"/>
            </w:tcBorders>
            <w:noWrap/>
          </w:tcPr>
          <w:p w14:paraId="37FB8521"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gridSpan w:val="2"/>
            <w:tcBorders>
              <w:bottom w:val="single" w:sz="4" w:space="0" w:color="auto"/>
              <w:right w:val="single" w:sz="12" w:space="0" w:color="auto"/>
            </w:tcBorders>
            <w:noWrap/>
          </w:tcPr>
          <w:p w14:paraId="472F0706" w14:textId="77777777" w:rsidR="00222300" w:rsidRPr="00F2303D" w:rsidRDefault="00222300" w:rsidP="00697F37">
            <w:pPr>
              <w:spacing w:after="0" w:line="240" w:lineRule="auto"/>
              <w:jc w:val="center"/>
              <w:rPr>
                <w:sz w:val="20"/>
                <w:szCs w:val="20"/>
              </w:rPr>
            </w:pPr>
            <w:r w:rsidRPr="00F2303D">
              <w:rPr>
                <w:sz w:val="20"/>
                <w:szCs w:val="20"/>
              </w:rPr>
              <w:t>47.2%</w:t>
            </w:r>
          </w:p>
        </w:tc>
        <w:tc>
          <w:tcPr>
            <w:tcW w:w="1350" w:type="dxa"/>
            <w:tcBorders>
              <w:left w:val="single" w:sz="12" w:space="0" w:color="auto"/>
              <w:bottom w:val="single" w:sz="4" w:space="0" w:color="auto"/>
            </w:tcBorders>
            <w:noWrap/>
          </w:tcPr>
          <w:p w14:paraId="722D4852" w14:textId="77777777" w:rsidR="00222300" w:rsidRPr="00F2303D" w:rsidRDefault="00222300" w:rsidP="00697F37">
            <w:pPr>
              <w:spacing w:after="0" w:line="240" w:lineRule="auto"/>
              <w:jc w:val="center"/>
              <w:rPr>
                <w:sz w:val="20"/>
                <w:szCs w:val="20"/>
              </w:rPr>
            </w:pPr>
            <w:r w:rsidRPr="00F2303D">
              <w:rPr>
                <w:sz w:val="20"/>
                <w:szCs w:val="20"/>
              </w:rPr>
              <w:t>--</w:t>
            </w:r>
          </w:p>
        </w:tc>
        <w:tc>
          <w:tcPr>
            <w:tcW w:w="1350" w:type="dxa"/>
            <w:tcBorders>
              <w:left w:val="single" w:sz="12" w:space="0" w:color="auto"/>
              <w:bottom w:val="single" w:sz="4" w:space="0" w:color="auto"/>
            </w:tcBorders>
          </w:tcPr>
          <w:p w14:paraId="4E3C5525" w14:textId="2C2926DF" w:rsidR="00222300" w:rsidRPr="00F2303D" w:rsidRDefault="001C5333" w:rsidP="001C5333">
            <w:pPr>
              <w:spacing w:after="0" w:line="240" w:lineRule="auto"/>
              <w:jc w:val="center"/>
              <w:rPr>
                <w:sz w:val="20"/>
                <w:szCs w:val="20"/>
              </w:rPr>
            </w:pPr>
            <w:r w:rsidRPr="00F2303D">
              <w:rPr>
                <w:sz w:val="20"/>
                <w:szCs w:val="20"/>
              </w:rPr>
              <w:t>5</w:t>
            </w:r>
            <w:r>
              <w:rPr>
                <w:sz w:val="20"/>
                <w:szCs w:val="20"/>
              </w:rPr>
              <w:t>0</w:t>
            </w:r>
            <w:r w:rsidR="00222300" w:rsidRPr="00F2303D">
              <w:rPr>
                <w:sz w:val="20"/>
                <w:szCs w:val="20"/>
              </w:rPr>
              <w:t>.</w:t>
            </w:r>
            <w:r>
              <w:rPr>
                <w:sz w:val="20"/>
                <w:szCs w:val="20"/>
              </w:rPr>
              <w:t>0</w:t>
            </w:r>
            <w:r w:rsidR="00222300" w:rsidRPr="00F2303D">
              <w:rPr>
                <w:sz w:val="20"/>
                <w:szCs w:val="20"/>
              </w:rPr>
              <w:t>%</w:t>
            </w:r>
          </w:p>
        </w:tc>
      </w:tr>
      <w:tr w:rsidR="00222300" w:rsidRPr="00364BE4" w14:paraId="0A7EB4E2" w14:textId="77777777" w:rsidTr="000F5BEE">
        <w:trPr>
          <w:trHeight w:val="300"/>
        </w:trPr>
        <w:tc>
          <w:tcPr>
            <w:tcW w:w="11610" w:type="dxa"/>
            <w:gridSpan w:val="10"/>
            <w:tcBorders>
              <w:left w:val="nil"/>
              <w:bottom w:val="nil"/>
              <w:right w:val="nil"/>
            </w:tcBorders>
            <w:noWrap/>
          </w:tcPr>
          <w:p w14:paraId="0E151325" w14:textId="77777777" w:rsidR="00222300" w:rsidRPr="00364BE4" w:rsidRDefault="00222300" w:rsidP="00697F3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598C1B6D" w14:textId="77777777" w:rsidR="00222300" w:rsidRPr="00364BE4" w:rsidRDefault="00222300" w:rsidP="00697F3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w:t>
            </w:r>
            <w:proofErr w:type="gramStart"/>
            <w:r w:rsidRPr="00364BE4">
              <w:rPr>
                <w:rFonts w:ascii="Calibri" w:eastAsia="Times New Roman" w:hAnsi="Calibri" w:cs="Times New Roman"/>
                <w:kern w:val="28"/>
                <w:sz w:val="16"/>
                <w:szCs w:val="16"/>
              </w:rPr>
              <w:t>funds</w:t>
            </w:r>
            <w:proofErr w:type="gramEnd"/>
            <w:r w:rsidRPr="00364BE4">
              <w:rPr>
                <w:rFonts w:ascii="Calibri" w:eastAsia="Times New Roman" w:hAnsi="Calibri" w:cs="Times New Roman"/>
                <w:kern w:val="28"/>
                <w:sz w:val="16"/>
                <w:szCs w:val="16"/>
              </w:rPr>
              <w:t xml:space="preserve"> and grants. It includes expenditures for most administration, instruction, operations, and out-of-district tuitions. It does not include transportation, school lunches, debt, or capital.</w:t>
            </w:r>
          </w:p>
          <w:p w14:paraId="6F050C25" w14:textId="77777777" w:rsidR="00222300" w:rsidRPr="00364BE4" w:rsidRDefault="00222300" w:rsidP="00697F3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2FAFE8B2" w14:textId="5487AB99" w:rsidR="00222300" w:rsidRPr="00364BE4" w:rsidRDefault="00222300"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982588">
              <w:rPr>
                <w:rFonts w:ascii="Calibri" w:eastAsia="Times New Roman" w:hAnsi="Calibri" w:cs="Times New Roman"/>
                <w:kern w:val="28"/>
                <w:sz w:val="16"/>
                <w:szCs w:val="16"/>
              </w:rPr>
              <w:t xml:space="preserve"> and 6/18/19</w:t>
            </w:r>
          </w:p>
        </w:tc>
      </w:tr>
    </w:tbl>
    <w:p w14:paraId="39EDE8C4" w14:textId="77777777" w:rsidR="00222300" w:rsidRPr="005D76C9" w:rsidRDefault="00222300" w:rsidP="00222300">
      <w:pPr>
        <w:rPr>
          <w:rFonts w:ascii="Calibri" w:eastAsia="Times New Roman" w:hAnsi="Calibri" w:cs="Arial"/>
          <w:b/>
          <w:color w:val="FF0000"/>
          <w:kern w:val="28"/>
          <w:sz w:val="20"/>
          <w:szCs w:val="20"/>
        </w:rPr>
        <w:sectPr w:rsidR="00222300" w:rsidRPr="005D76C9" w:rsidSect="00350132">
          <w:pgSz w:w="15840" w:h="12240" w:orient="landscape"/>
          <w:pgMar w:top="1440" w:right="1440" w:bottom="1440" w:left="1440" w:header="720" w:footer="720" w:gutter="0"/>
          <w:cols w:space="720"/>
          <w:docGrid w:linePitch="360"/>
        </w:sectPr>
      </w:pPr>
      <w:r w:rsidRPr="005D76C9">
        <w:rPr>
          <w:rFonts w:ascii="Calibri" w:eastAsia="Times New Roman" w:hAnsi="Calibri" w:cs="Arial"/>
          <w:b/>
          <w:color w:val="FF0000"/>
          <w:kern w:val="28"/>
          <w:sz w:val="20"/>
          <w:szCs w:val="20"/>
        </w:rPr>
        <w:br w:type="page"/>
      </w:r>
    </w:p>
    <w:p w14:paraId="4E365E4B" w14:textId="3B973EBD" w:rsidR="00DD52A9" w:rsidRPr="00364BE4" w:rsidRDefault="00DD52A9" w:rsidP="00DD52A9">
      <w:pPr>
        <w:spacing w:after="0"/>
        <w:jc w:val="center"/>
        <w:rPr>
          <w:b/>
          <w:sz w:val="20"/>
        </w:rPr>
      </w:pPr>
      <w:r w:rsidRPr="00364BE4">
        <w:rPr>
          <w:b/>
          <w:sz w:val="20"/>
        </w:rPr>
        <w:lastRenderedPageBreak/>
        <w:t xml:space="preserve">Table </w:t>
      </w:r>
      <w:r w:rsidR="005249B2" w:rsidRPr="00364BE4">
        <w:rPr>
          <w:b/>
          <w:sz w:val="20"/>
        </w:rPr>
        <w:t>B</w:t>
      </w:r>
      <w:r w:rsidR="005249B2">
        <w:rPr>
          <w:b/>
          <w:sz w:val="20"/>
        </w:rPr>
        <w:t>4</w:t>
      </w:r>
      <w:r w:rsidRPr="00364BE4">
        <w:rPr>
          <w:b/>
          <w:sz w:val="20"/>
        </w:rPr>
        <w:t>:</w:t>
      </w:r>
      <w:r>
        <w:rPr>
          <w:b/>
          <w:sz w:val="20"/>
        </w:rPr>
        <w:t xml:space="preserve"> </w:t>
      </w:r>
      <w:r w:rsidR="004609B0">
        <w:rPr>
          <w:b/>
          <w:sz w:val="20"/>
        </w:rPr>
        <w:t>Framingham</w:t>
      </w:r>
      <w:r w:rsidRPr="003C6A1B">
        <w:rPr>
          <w:b/>
          <w:sz w:val="20"/>
        </w:rPr>
        <w:t xml:space="preserve"> Public Schools</w:t>
      </w:r>
    </w:p>
    <w:p w14:paraId="16CC4F25" w14:textId="77777777" w:rsidR="00DD52A9" w:rsidRPr="00364BE4" w:rsidRDefault="00DD52A9" w:rsidP="00DD52A9">
      <w:pPr>
        <w:spacing w:after="0"/>
        <w:jc w:val="center"/>
        <w:rPr>
          <w:b/>
          <w:sz w:val="20"/>
        </w:rPr>
      </w:pPr>
      <w:r w:rsidRPr="00364BE4">
        <w:rPr>
          <w:b/>
          <w:sz w:val="20"/>
        </w:rPr>
        <w:t>Expenditures Per In-District Pupil</w:t>
      </w:r>
    </w:p>
    <w:p w14:paraId="3705077F" w14:textId="77777777" w:rsidR="00DD52A9" w:rsidRPr="00364BE4" w:rsidRDefault="00DD52A9" w:rsidP="00DD52A9">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Framingham Public Schools"/>
        <w:tblDescription w:val="Expenditures Per In-District Pupil&#10;Fiscal Years 2015–2017&#10;"/>
      </w:tblPr>
      <w:tblGrid>
        <w:gridCol w:w="3977"/>
        <w:gridCol w:w="1343"/>
        <w:gridCol w:w="1343"/>
        <w:gridCol w:w="1341"/>
      </w:tblGrid>
      <w:tr w:rsidR="00DD52A9" w:rsidRPr="00364BE4" w14:paraId="7A5DC49D" w14:textId="77777777" w:rsidTr="00697F37">
        <w:trPr>
          <w:trHeight w:val="432"/>
          <w:jc w:val="center"/>
        </w:trPr>
        <w:tc>
          <w:tcPr>
            <w:tcW w:w="2484" w:type="pct"/>
            <w:tcBorders>
              <w:bottom w:val="single" w:sz="12" w:space="0" w:color="auto"/>
            </w:tcBorders>
            <w:vAlign w:val="center"/>
          </w:tcPr>
          <w:p w14:paraId="56FD70CC"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3DD1DE5" w14:textId="77777777" w:rsidR="00DD52A9" w:rsidRPr="00364BE4" w:rsidRDefault="00DD52A9" w:rsidP="00697F3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64D0C796" w14:textId="77777777" w:rsidR="00DD52A9" w:rsidRPr="00364BE4" w:rsidRDefault="00DD52A9" w:rsidP="00697F3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3885A6D3" w14:textId="77777777" w:rsidR="00DD52A9" w:rsidRPr="00364BE4" w:rsidRDefault="00DD52A9" w:rsidP="00697F3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DD52A9" w:rsidRPr="00364BE4" w14:paraId="4B2E50F5" w14:textId="77777777" w:rsidTr="00697F37">
        <w:trPr>
          <w:trHeight w:val="170"/>
          <w:jc w:val="center"/>
        </w:trPr>
        <w:tc>
          <w:tcPr>
            <w:tcW w:w="2484" w:type="pct"/>
            <w:tcBorders>
              <w:top w:val="single" w:sz="12" w:space="0" w:color="auto"/>
            </w:tcBorders>
            <w:vAlign w:val="center"/>
          </w:tcPr>
          <w:p w14:paraId="7A4CC4AD"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E22149C" w14:textId="77777777" w:rsidR="00DD52A9" w:rsidRPr="00F2303D" w:rsidRDefault="00DD52A9" w:rsidP="00697F37">
            <w:pPr>
              <w:spacing w:after="0" w:line="240" w:lineRule="auto"/>
              <w:jc w:val="center"/>
              <w:rPr>
                <w:sz w:val="20"/>
                <w:szCs w:val="20"/>
              </w:rPr>
            </w:pPr>
            <w:r w:rsidRPr="00F2303D">
              <w:rPr>
                <w:sz w:val="20"/>
                <w:szCs w:val="20"/>
              </w:rPr>
              <w:t>$625</w:t>
            </w:r>
          </w:p>
        </w:tc>
        <w:tc>
          <w:tcPr>
            <w:tcW w:w="839" w:type="pct"/>
            <w:tcBorders>
              <w:top w:val="single" w:sz="12" w:space="0" w:color="auto"/>
            </w:tcBorders>
            <w:vAlign w:val="center"/>
          </w:tcPr>
          <w:p w14:paraId="2C7D96F0" w14:textId="77777777" w:rsidR="00DD52A9" w:rsidRPr="00F2303D" w:rsidRDefault="00DD52A9" w:rsidP="00697F37">
            <w:pPr>
              <w:spacing w:after="0" w:line="240" w:lineRule="auto"/>
              <w:jc w:val="center"/>
              <w:rPr>
                <w:sz w:val="20"/>
                <w:szCs w:val="20"/>
              </w:rPr>
            </w:pPr>
            <w:r w:rsidRPr="00F2303D">
              <w:rPr>
                <w:sz w:val="20"/>
                <w:szCs w:val="20"/>
              </w:rPr>
              <w:t>$779</w:t>
            </w:r>
          </w:p>
        </w:tc>
        <w:tc>
          <w:tcPr>
            <w:tcW w:w="838" w:type="pct"/>
            <w:tcBorders>
              <w:top w:val="single" w:sz="12" w:space="0" w:color="auto"/>
            </w:tcBorders>
            <w:shd w:val="clear" w:color="auto" w:fill="auto"/>
            <w:vAlign w:val="center"/>
          </w:tcPr>
          <w:p w14:paraId="69144F2D" w14:textId="77777777" w:rsidR="00DD52A9" w:rsidRPr="00F2303D" w:rsidRDefault="00DD52A9" w:rsidP="00697F37">
            <w:pPr>
              <w:spacing w:after="0" w:line="240" w:lineRule="auto"/>
              <w:jc w:val="center"/>
              <w:rPr>
                <w:sz w:val="20"/>
                <w:szCs w:val="20"/>
              </w:rPr>
            </w:pPr>
            <w:r w:rsidRPr="00F2303D">
              <w:rPr>
                <w:sz w:val="20"/>
                <w:szCs w:val="20"/>
              </w:rPr>
              <w:t>$800</w:t>
            </w:r>
          </w:p>
        </w:tc>
      </w:tr>
      <w:tr w:rsidR="00DD52A9" w:rsidRPr="00364BE4" w14:paraId="07D0F03E" w14:textId="77777777" w:rsidTr="00697F37">
        <w:trPr>
          <w:trHeight w:val="77"/>
          <w:jc w:val="center"/>
        </w:trPr>
        <w:tc>
          <w:tcPr>
            <w:tcW w:w="2484" w:type="pct"/>
            <w:vAlign w:val="center"/>
          </w:tcPr>
          <w:p w14:paraId="4AE49827"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3EADDF25" w14:textId="77777777" w:rsidR="00DD52A9" w:rsidRPr="00F2303D" w:rsidRDefault="00DD52A9" w:rsidP="00697F37">
            <w:pPr>
              <w:spacing w:after="0" w:line="240" w:lineRule="auto"/>
              <w:jc w:val="center"/>
              <w:rPr>
                <w:sz w:val="20"/>
                <w:szCs w:val="20"/>
              </w:rPr>
            </w:pPr>
            <w:r w:rsidRPr="00F2303D">
              <w:rPr>
                <w:sz w:val="20"/>
                <w:szCs w:val="20"/>
              </w:rPr>
              <w:t>$1,127</w:t>
            </w:r>
          </w:p>
        </w:tc>
        <w:tc>
          <w:tcPr>
            <w:tcW w:w="839" w:type="pct"/>
            <w:vAlign w:val="center"/>
          </w:tcPr>
          <w:p w14:paraId="2F565327" w14:textId="77777777" w:rsidR="00DD52A9" w:rsidRPr="00F2303D" w:rsidRDefault="00DD52A9" w:rsidP="00697F37">
            <w:pPr>
              <w:spacing w:after="0" w:line="240" w:lineRule="auto"/>
              <w:jc w:val="center"/>
              <w:rPr>
                <w:sz w:val="20"/>
                <w:szCs w:val="20"/>
              </w:rPr>
            </w:pPr>
            <w:r w:rsidRPr="00F2303D">
              <w:rPr>
                <w:sz w:val="20"/>
                <w:szCs w:val="20"/>
              </w:rPr>
              <w:t>$1,256</w:t>
            </w:r>
          </w:p>
        </w:tc>
        <w:tc>
          <w:tcPr>
            <w:tcW w:w="838" w:type="pct"/>
            <w:shd w:val="clear" w:color="auto" w:fill="auto"/>
            <w:vAlign w:val="center"/>
          </w:tcPr>
          <w:p w14:paraId="1DC0C84D" w14:textId="77777777" w:rsidR="00DD52A9" w:rsidRPr="00F2303D" w:rsidRDefault="00DD52A9" w:rsidP="00697F37">
            <w:pPr>
              <w:spacing w:after="0" w:line="240" w:lineRule="auto"/>
              <w:jc w:val="center"/>
              <w:rPr>
                <w:sz w:val="20"/>
                <w:szCs w:val="20"/>
              </w:rPr>
            </w:pPr>
            <w:r w:rsidRPr="00F2303D">
              <w:rPr>
                <w:sz w:val="20"/>
                <w:szCs w:val="20"/>
              </w:rPr>
              <w:t>$1,276</w:t>
            </w:r>
          </w:p>
        </w:tc>
      </w:tr>
      <w:tr w:rsidR="00DD52A9" w:rsidRPr="00364BE4" w14:paraId="5136E0E3" w14:textId="77777777" w:rsidTr="00697F37">
        <w:trPr>
          <w:trHeight w:val="77"/>
          <w:jc w:val="center"/>
        </w:trPr>
        <w:tc>
          <w:tcPr>
            <w:tcW w:w="2484" w:type="pct"/>
            <w:vAlign w:val="center"/>
          </w:tcPr>
          <w:p w14:paraId="759D2BD3"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29A72B6D" w14:textId="77777777" w:rsidR="00DD52A9" w:rsidRPr="00F2303D" w:rsidRDefault="00DD52A9" w:rsidP="00697F37">
            <w:pPr>
              <w:spacing w:after="0" w:line="240" w:lineRule="auto"/>
              <w:jc w:val="center"/>
              <w:rPr>
                <w:sz w:val="20"/>
                <w:szCs w:val="20"/>
              </w:rPr>
            </w:pPr>
            <w:r w:rsidRPr="00F2303D">
              <w:rPr>
                <w:sz w:val="20"/>
                <w:szCs w:val="20"/>
              </w:rPr>
              <w:t>$6,455</w:t>
            </w:r>
          </w:p>
        </w:tc>
        <w:tc>
          <w:tcPr>
            <w:tcW w:w="839" w:type="pct"/>
            <w:vAlign w:val="center"/>
          </w:tcPr>
          <w:p w14:paraId="0D39AC1F" w14:textId="77777777" w:rsidR="00DD52A9" w:rsidRPr="00F2303D" w:rsidRDefault="00DD52A9" w:rsidP="00697F37">
            <w:pPr>
              <w:spacing w:after="0" w:line="240" w:lineRule="auto"/>
              <w:jc w:val="center"/>
              <w:rPr>
                <w:sz w:val="20"/>
                <w:szCs w:val="20"/>
              </w:rPr>
            </w:pPr>
            <w:r w:rsidRPr="00F2303D">
              <w:rPr>
                <w:sz w:val="20"/>
                <w:szCs w:val="20"/>
              </w:rPr>
              <w:t>$6,600</w:t>
            </w:r>
          </w:p>
        </w:tc>
        <w:tc>
          <w:tcPr>
            <w:tcW w:w="838" w:type="pct"/>
            <w:shd w:val="clear" w:color="auto" w:fill="auto"/>
            <w:vAlign w:val="center"/>
          </w:tcPr>
          <w:p w14:paraId="788CEB96" w14:textId="77777777" w:rsidR="00DD52A9" w:rsidRPr="00F2303D" w:rsidRDefault="00DD52A9" w:rsidP="00697F37">
            <w:pPr>
              <w:spacing w:after="0" w:line="240" w:lineRule="auto"/>
              <w:jc w:val="center"/>
              <w:rPr>
                <w:sz w:val="20"/>
                <w:szCs w:val="20"/>
              </w:rPr>
            </w:pPr>
            <w:r w:rsidRPr="00F2303D">
              <w:rPr>
                <w:sz w:val="20"/>
                <w:szCs w:val="20"/>
              </w:rPr>
              <w:t>$6,746</w:t>
            </w:r>
          </w:p>
        </w:tc>
      </w:tr>
      <w:tr w:rsidR="00DD52A9" w:rsidRPr="00364BE4" w14:paraId="2AF8252F" w14:textId="77777777" w:rsidTr="00697F37">
        <w:trPr>
          <w:trHeight w:val="77"/>
          <w:jc w:val="center"/>
        </w:trPr>
        <w:tc>
          <w:tcPr>
            <w:tcW w:w="2484" w:type="pct"/>
            <w:vAlign w:val="center"/>
          </w:tcPr>
          <w:p w14:paraId="415E46FF" w14:textId="77777777" w:rsidR="00DD52A9" w:rsidRPr="00364BE4" w:rsidDel="00DB21D5"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58D67901" w14:textId="77777777" w:rsidR="00DD52A9" w:rsidRPr="00F2303D" w:rsidRDefault="00DD52A9" w:rsidP="00697F37">
            <w:pPr>
              <w:spacing w:after="0" w:line="240" w:lineRule="auto"/>
              <w:jc w:val="center"/>
              <w:rPr>
                <w:sz w:val="20"/>
                <w:szCs w:val="20"/>
              </w:rPr>
            </w:pPr>
            <w:r w:rsidRPr="00F2303D">
              <w:rPr>
                <w:sz w:val="20"/>
                <w:szCs w:val="20"/>
              </w:rPr>
              <w:t>$1,512</w:t>
            </w:r>
          </w:p>
        </w:tc>
        <w:tc>
          <w:tcPr>
            <w:tcW w:w="839" w:type="pct"/>
            <w:vAlign w:val="center"/>
          </w:tcPr>
          <w:p w14:paraId="36ED096F" w14:textId="77777777" w:rsidR="00DD52A9" w:rsidRPr="00F2303D" w:rsidRDefault="00DD52A9" w:rsidP="00697F37">
            <w:pPr>
              <w:spacing w:after="0" w:line="240" w:lineRule="auto"/>
              <w:jc w:val="center"/>
              <w:rPr>
                <w:sz w:val="20"/>
                <w:szCs w:val="20"/>
              </w:rPr>
            </w:pPr>
            <w:r w:rsidRPr="00F2303D">
              <w:rPr>
                <w:sz w:val="20"/>
                <w:szCs w:val="20"/>
              </w:rPr>
              <w:t>$1,526</w:t>
            </w:r>
          </w:p>
        </w:tc>
        <w:tc>
          <w:tcPr>
            <w:tcW w:w="838" w:type="pct"/>
            <w:shd w:val="clear" w:color="auto" w:fill="auto"/>
            <w:vAlign w:val="center"/>
          </w:tcPr>
          <w:p w14:paraId="3E8FBAA5" w14:textId="77777777" w:rsidR="00DD52A9" w:rsidRPr="00F2303D" w:rsidRDefault="00DD52A9" w:rsidP="00697F37">
            <w:pPr>
              <w:spacing w:after="0" w:line="240" w:lineRule="auto"/>
              <w:jc w:val="center"/>
              <w:rPr>
                <w:sz w:val="20"/>
                <w:szCs w:val="20"/>
              </w:rPr>
            </w:pPr>
            <w:r w:rsidRPr="00F2303D">
              <w:rPr>
                <w:sz w:val="20"/>
                <w:szCs w:val="20"/>
              </w:rPr>
              <w:t>$1,542</w:t>
            </w:r>
          </w:p>
        </w:tc>
      </w:tr>
      <w:tr w:rsidR="00DD52A9" w:rsidRPr="00364BE4" w14:paraId="1393B7FD" w14:textId="77777777" w:rsidTr="00697F37">
        <w:trPr>
          <w:trHeight w:val="77"/>
          <w:jc w:val="center"/>
        </w:trPr>
        <w:tc>
          <w:tcPr>
            <w:tcW w:w="2484" w:type="pct"/>
            <w:vAlign w:val="center"/>
          </w:tcPr>
          <w:p w14:paraId="0CB73C5E"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6C938FC7" w14:textId="77777777" w:rsidR="00DD52A9" w:rsidRPr="00F2303D" w:rsidRDefault="00DD52A9" w:rsidP="00697F37">
            <w:pPr>
              <w:spacing w:after="0" w:line="240" w:lineRule="auto"/>
              <w:jc w:val="center"/>
              <w:rPr>
                <w:sz w:val="20"/>
                <w:szCs w:val="20"/>
              </w:rPr>
            </w:pPr>
            <w:r w:rsidRPr="00F2303D">
              <w:rPr>
                <w:sz w:val="20"/>
                <w:szCs w:val="20"/>
              </w:rPr>
              <w:t>$112</w:t>
            </w:r>
          </w:p>
        </w:tc>
        <w:tc>
          <w:tcPr>
            <w:tcW w:w="839" w:type="pct"/>
            <w:vAlign w:val="center"/>
          </w:tcPr>
          <w:p w14:paraId="73FFB6E2" w14:textId="77777777" w:rsidR="00DD52A9" w:rsidRPr="00F2303D" w:rsidRDefault="00DD52A9" w:rsidP="00697F37">
            <w:pPr>
              <w:spacing w:after="0" w:line="240" w:lineRule="auto"/>
              <w:jc w:val="center"/>
              <w:rPr>
                <w:sz w:val="20"/>
                <w:szCs w:val="20"/>
              </w:rPr>
            </w:pPr>
            <w:r w:rsidRPr="00F2303D">
              <w:rPr>
                <w:sz w:val="20"/>
                <w:szCs w:val="20"/>
              </w:rPr>
              <w:t>$121</w:t>
            </w:r>
          </w:p>
        </w:tc>
        <w:tc>
          <w:tcPr>
            <w:tcW w:w="838" w:type="pct"/>
            <w:shd w:val="clear" w:color="auto" w:fill="auto"/>
            <w:vAlign w:val="center"/>
          </w:tcPr>
          <w:p w14:paraId="3417E407" w14:textId="77777777" w:rsidR="00DD52A9" w:rsidRPr="00F2303D" w:rsidRDefault="00DD52A9" w:rsidP="00697F37">
            <w:pPr>
              <w:spacing w:after="0" w:line="240" w:lineRule="auto"/>
              <w:jc w:val="center"/>
              <w:rPr>
                <w:sz w:val="20"/>
                <w:szCs w:val="20"/>
              </w:rPr>
            </w:pPr>
            <w:r w:rsidRPr="00F2303D">
              <w:rPr>
                <w:sz w:val="20"/>
                <w:szCs w:val="20"/>
              </w:rPr>
              <w:t>$122</w:t>
            </w:r>
          </w:p>
        </w:tc>
      </w:tr>
      <w:tr w:rsidR="00DD52A9" w:rsidRPr="00364BE4" w14:paraId="7DD31CCC" w14:textId="77777777" w:rsidTr="00697F37">
        <w:trPr>
          <w:trHeight w:val="562"/>
          <w:jc w:val="center"/>
        </w:trPr>
        <w:tc>
          <w:tcPr>
            <w:tcW w:w="2484" w:type="pct"/>
            <w:vAlign w:val="center"/>
          </w:tcPr>
          <w:p w14:paraId="2506176A"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Instructional materials, </w:t>
            </w:r>
            <w:proofErr w:type="gramStart"/>
            <w:r w:rsidRPr="00364BE4">
              <w:rPr>
                <w:rFonts w:ascii="Calibri" w:eastAsia="Times New Roman" w:hAnsi="Calibri" w:cs="Times New Roman"/>
                <w:kern w:val="28"/>
                <w:sz w:val="20"/>
                <w:szCs w:val="20"/>
              </w:rPr>
              <w:t>equipment</w:t>
            </w:r>
            <w:proofErr w:type="gramEnd"/>
            <w:r w:rsidRPr="00364BE4">
              <w:rPr>
                <w:rFonts w:ascii="Calibri" w:eastAsia="Times New Roman" w:hAnsi="Calibri" w:cs="Times New Roman"/>
                <w:kern w:val="28"/>
                <w:sz w:val="20"/>
                <w:szCs w:val="20"/>
              </w:rPr>
              <w:t xml:space="preserve"> and technology</w:t>
            </w:r>
          </w:p>
        </w:tc>
        <w:tc>
          <w:tcPr>
            <w:tcW w:w="839" w:type="pct"/>
            <w:vAlign w:val="center"/>
          </w:tcPr>
          <w:p w14:paraId="75BD0151" w14:textId="77777777" w:rsidR="00DD52A9" w:rsidRPr="00F2303D" w:rsidRDefault="00DD52A9" w:rsidP="00697F37">
            <w:pPr>
              <w:spacing w:after="0" w:line="240" w:lineRule="auto"/>
              <w:jc w:val="center"/>
              <w:rPr>
                <w:sz w:val="20"/>
                <w:szCs w:val="20"/>
              </w:rPr>
            </w:pPr>
            <w:r w:rsidRPr="00F2303D">
              <w:rPr>
                <w:sz w:val="20"/>
                <w:szCs w:val="20"/>
              </w:rPr>
              <w:t>$215</w:t>
            </w:r>
          </w:p>
        </w:tc>
        <w:tc>
          <w:tcPr>
            <w:tcW w:w="839" w:type="pct"/>
            <w:vAlign w:val="center"/>
          </w:tcPr>
          <w:p w14:paraId="6EE86906" w14:textId="77777777" w:rsidR="00DD52A9" w:rsidRPr="00F2303D" w:rsidRDefault="00DD52A9" w:rsidP="00697F37">
            <w:pPr>
              <w:spacing w:after="0" w:line="240" w:lineRule="auto"/>
              <w:jc w:val="center"/>
              <w:rPr>
                <w:sz w:val="20"/>
                <w:szCs w:val="20"/>
              </w:rPr>
            </w:pPr>
            <w:r w:rsidRPr="00F2303D">
              <w:rPr>
                <w:sz w:val="20"/>
                <w:szCs w:val="20"/>
              </w:rPr>
              <w:t>$229</w:t>
            </w:r>
          </w:p>
        </w:tc>
        <w:tc>
          <w:tcPr>
            <w:tcW w:w="838" w:type="pct"/>
            <w:shd w:val="clear" w:color="auto" w:fill="auto"/>
            <w:vAlign w:val="center"/>
          </w:tcPr>
          <w:p w14:paraId="6511FAE5" w14:textId="77777777" w:rsidR="00DD52A9" w:rsidRPr="00F2303D" w:rsidRDefault="00DD52A9" w:rsidP="00697F37">
            <w:pPr>
              <w:spacing w:after="0" w:line="240" w:lineRule="auto"/>
              <w:jc w:val="center"/>
              <w:rPr>
                <w:sz w:val="20"/>
                <w:szCs w:val="20"/>
              </w:rPr>
            </w:pPr>
            <w:r w:rsidRPr="00F2303D">
              <w:rPr>
                <w:sz w:val="20"/>
                <w:szCs w:val="20"/>
              </w:rPr>
              <w:t>$243</w:t>
            </w:r>
          </w:p>
        </w:tc>
      </w:tr>
      <w:tr w:rsidR="00DD52A9" w:rsidRPr="00364BE4" w14:paraId="3EEF45E4" w14:textId="77777777" w:rsidTr="00697F37">
        <w:trPr>
          <w:trHeight w:val="77"/>
          <w:jc w:val="center"/>
        </w:trPr>
        <w:tc>
          <w:tcPr>
            <w:tcW w:w="2484" w:type="pct"/>
            <w:vAlign w:val="center"/>
          </w:tcPr>
          <w:p w14:paraId="2704B6BF"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Guidance, </w:t>
            </w:r>
            <w:proofErr w:type="gramStart"/>
            <w:r w:rsidRPr="00364BE4">
              <w:rPr>
                <w:rFonts w:ascii="Calibri" w:eastAsia="Times New Roman" w:hAnsi="Calibri" w:cs="Times New Roman"/>
                <w:kern w:val="28"/>
                <w:sz w:val="20"/>
                <w:szCs w:val="20"/>
              </w:rPr>
              <w:t>counseling</w:t>
            </w:r>
            <w:proofErr w:type="gramEnd"/>
            <w:r w:rsidRPr="00364BE4">
              <w:rPr>
                <w:rFonts w:ascii="Calibri" w:eastAsia="Times New Roman" w:hAnsi="Calibri" w:cs="Times New Roman"/>
                <w:kern w:val="28"/>
                <w:sz w:val="20"/>
                <w:szCs w:val="20"/>
              </w:rPr>
              <w:t xml:space="preserve"> and testing services</w:t>
            </w:r>
          </w:p>
        </w:tc>
        <w:tc>
          <w:tcPr>
            <w:tcW w:w="839" w:type="pct"/>
            <w:vAlign w:val="center"/>
          </w:tcPr>
          <w:p w14:paraId="7AE381F1" w14:textId="77777777" w:rsidR="00DD52A9" w:rsidRPr="00F2303D" w:rsidRDefault="00DD52A9" w:rsidP="00697F37">
            <w:pPr>
              <w:spacing w:after="0" w:line="240" w:lineRule="auto"/>
              <w:jc w:val="center"/>
              <w:rPr>
                <w:sz w:val="20"/>
                <w:szCs w:val="20"/>
              </w:rPr>
            </w:pPr>
            <w:r w:rsidRPr="00F2303D">
              <w:rPr>
                <w:sz w:val="20"/>
                <w:szCs w:val="20"/>
              </w:rPr>
              <w:t>$504</w:t>
            </w:r>
          </w:p>
        </w:tc>
        <w:tc>
          <w:tcPr>
            <w:tcW w:w="839" w:type="pct"/>
            <w:vAlign w:val="center"/>
          </w:tcPr>
          <w:p w14:paraId="04FD027A" w14:textId="77777777" w:rsidR="00DD52A9" w:rsidRPr="00F2303D" w:rsidRDefault="00DD52A9" w:rsidP="00697F37">
            <w:pPr>
              <w:spacing w:after="0" w:line="240" w:lineRule="auto"/>
              <w:jc w:val="center"/>
              <w:rPr>
                <w:sz w:val="20"/>
                <w:szCs w:val="20"/>
              </w:rPr>
            </w:pPr>
            <w:r w:rsidRPr="00F2303D">
              <w:rPr>
                <w:sz w:val="20"/>
                <w:szCs w:val="20"/>
              </w:rPr>
              <w:t>$489</w:t>
            </w:r>
          </w:p>
        </w:tc>
        <w:tc>
          <w:tcPr>
            <w:tcW w:w="838" w:type="pct"/>
            <w:shd w:val="clear" w:color="auto" w:fill="auto"/>
            <w:vAlign w:val="center"/>
          </w:tcPr>
          <w:p w14:paraId="7954A29C" w14:textId="77777777" w:rsidR="00DD52A9" w:rsidRPr="00F2303D" w:rsidRDefault="00DD52A9" w:rsidP="00697F37">
            <w:pPr>
              <w:spacing w:after="0" w:line="240" w:lineRule="auto"/>
              <w:jc w:val="center"/>
              <w:rPr>
                <w:sz w:val="20"/>
                <w:szCs w:val="20"/>
              </w:rPr>
            </w:pPr>
            <w:r w:rsidRPr="00F2303D">
              <w:rPr>
                <w:sz w:val="20"/>
                <w:szCs w:val="20"/>
              </w:rPr>
              <w:t>$507</w:t>
            </w:r>
          </w:p>
        </w:tc>
      </w:tr>
      <w:tr w:rsidR="00DD52A9" w:rsidRPr="00364BE4" w14:paraId="30DBC405" w14:textId="77777777" w:rsidTr="00697F37">
        <w:trPr>
          <w:trHeight w:val="77"/>
          <w:jc w:val="center"/>
        </w:trPr>
        <w:tc>
          <w:tcPr>
            <w:tcW w:w="2484" w:type="pct"/>
            <w:vAlign w:val="center"/>
          </w:tcPr>
          <w:p w14:paraId="7C59022F"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7DB5B46A" w14:textId="77777777" w:rsidR="00DD52A9" w:rsidRPr="00F2303D" w:rsidRDefault="00DD52A9" w:rsidP="00697F37">
            <w:pPr>
              <w:spacing w:after="0" w:line="240" w:lineRule="auto"/>
              <w:jc w:val="center"/>
              <w:rPr>
                <w:sz w:val="20"/>
                <w:szCs w:val="20"/>
              </w:rPr>
            </w:pPr>
            <w:r w:rsidRPr="00F2303D">
              <w:rPr>
                <w:sz w:val="20"/>
                <w:szCs w:val="20"/>
              </w:rPr>
              <w:t>$1,663</w:t>
            </w:r>
          </w:p>
        </w:tc>
        <w:tc>
          <w:tcPr>
            <w:tcW w:w="839" w:type="pct"/>
            <w:vAlign w:val="center"/>
          </w:tcPr>
          <w:p w14:paraId="3ED743B7" w14:textId="77777777" w:rsidR="00DD52A9" w:rsidRPr="00F2303D" w:rsidRDefault="00DD52A9" w:rsidP="00697F37">
            <w:pPr>
              <w:spacing w:after="0" w:line="240" w:lineRule="auto"/>
              <w:jc w:val="center"/>
              <w:rPr>
                <w:sz w:val="20"/>
                <w:szCs w:val="20"/>
              </w:rPr>
            </w:pPr>
            <w:r w:rsidRPr="00F2303D">
              <w:rPr>
                <w:sz w:val="20"/>
                <w:szCs w:val="20"/>
              </w:rPr>
              <w:t>$1,659</w:t>
            </w:r>
          </w:p>
        </w:tc>
        <w:tc>
          <w:tcPr>
            <w:tcW w:w="838" w:type="pct"/>
            <w:shd w:val="clear" w:color="auto" w:fill="auto"/>
            <w:vAlign w:val="center"/>
          </w:tcPr>
          <w:p w14:paraId="634D8B09" w14:textId="77777777" w:rsidR="00DD52A9" w:rsidRPr="00F2303D" w:rsidRDefault="00DD52A9" w:rsidP="00697F37">
            <w:pPr>
              <w:spacing w:after="0" w:line="240" w:lineRule="auto"/>
              <w:jc w:val="center"/>
              <w:rPr>
                <w:sz w:val="20"/>
                <w:szCs w:val="20"/>
              </w:rPr>
            </w:pPr>
            <w:r w:rsidRPr="00F2303D">
              <w:rPr>
                <w:sz w:val="20"/>
                <w:szCs w:val="20"/>
              </w:rPr>
              <w:t>$1,738</w:t>
            </w:r>
          </w:p>
        </w:tc>
      </w:tr>
      <w:tr w:rsidR="00DD52A9" w:rsidRPr="00364BE4" w14:paraId="320CDF91" w14:textId="77777777" w:rsidTr="00697F37">
        <w:trPr>
          <w:trHeight w:val="77"/>
          <w:jc w:val="center"/>
        </w:trPr>
        <w:tc>
          <w:tcPr>
            <w:tcW w:w="2484" w:type="pct"/>
            <w:vAlign w:val="center"/>
          </w:tcPr>
          <w:p w14:paraId="79FBAEEE"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4772ECBA" w14:textId="77777777" w:rsidR="00DD52A9" w:rsidRPr="00F2303D" w:rsidRDefault="00DD52A9" w:rsidP="00697F37">
            <w:pPr>
              <w:spacing w:after="0" w:line="240" w:lineRule="auto"/>
              <w:jc w:val="center"/>
              <w:rPr>
                <w:sz w:val="20"/>
                <w:szCs w:val="20"/>
              </w:rPr>
            </w:pPr>
            <w:r w:rsidRPr="00F2303D">
              <w:rPr>
                <w:sz w:val="20"/>
                <w:szCs w:val="20"/>
              </w:rPr>
              <w:t>$1,002</w:t>
            </w:r>
          </w:p>
        </w:tc>
        <w:tc>
          <w:tcPr>
            <w:tcW w:w="839" w:type="pct"/>
            <w:vAlign w:val="center"/>
          </w:tcPr>
          <w:p w14:paraId="1EF0769C" w14:textId="77777777" w:rsidR="00DD52A9" w:rsidRPr="00F2303D" w:rsidRDefault="00DD52A9" w:rsidP="00697F37">
            <w:pPr>
              <w:spacing w:after="0" w:line="240" w:lineRule="auto"/>
              <w:jc w:val="center"/>
              <w:rPr>
                <w:sz w:val="20"/>
                <w:szCs w:val="20"/>
              </w:rPr>
            </w:pPr>
            <w:r w:rsidRPr="00F2303D">
              <w:rPr>
                <w:sz w:val="20"/>
                <w:szCs w:val="20"/>
              </w:rPr>
              <w:t>$1,103</w:t>
            </w:r>
          </w:p>
        </w:tc>
        <w:tc>
          <w:tcPr>
            <w:tcW w:w="838" w:type="pct"/>
            <w:shd w:val="clear" w:color="auto" w:fill="auto"/>
            <w:vAlign w:val="center"/>
          </w:tcPr>
          <w:p w14:paraId="0A030CC0" w14:textId="77777777" w:rsidR="00DD52A9" w:rsidRPr="00F2303D" w:rsidRDefault="00DD52A9" w:rsidP="00697F37">
            <w:pPr>
              <w:spacing w:after="0" w:line="240" w:lineRule="auto"/>
              <w:jc w:val="center"/>
              <w:rPr>
                <w:sz w:val="20"/>
                <w:szCs w:val="20"/>
              </w:rPr>
            </w:pPr>
            <w:r w:rsidRPr="00F2303D">
              <w:rPr>
                <w:sz w:val="20"/>
                <w:szCs w:val="20"/>
              </w:rPr>
              <w:t>$1,064</w:t>
            </w:r>
          </w:p>
        </w:tc>
      </w:tr>
      <w:tr w:rsidR="00DD52A9" w:rsidRPr="00364BE4" w14:paraId="4E6004CA" w14:textId="77777777" w:rsidTr="00697F37">
        <w:trPr>
          <w:trHeight w:val="77"/>
          <w:jc w:val="center"/>
        </w:trPr>
        <w:tc>
          <w:tcPr>
            <w:tcW w:w="2484" w:type="pct"/>
            <w:tcBorders>
              <w:bottom w:val="single" w:sz="12" w:space="0" w:color="auto"/>
            </w:tcBorders>
            <w:vAlign w:val="center"/>
          </w:tcPr>
          <w:p w14:paraId="32E991E5"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Insurance, </w:t>
            </w:r>
            <w:proofErr w:type="gramStart"/>
            <w:r w:rsidRPr="00364BE4">
              <w:rPr>
                <w:rFonts w:ascii="Calibri" w:eastAsia="Times New Roman" w:hAnsi="Calibri" w:cs="Times New Roman"/>
                <w:kern w:val="28"/>
                <w:sz w:val="20"/>
                <w:szCs w:val="20"/>
              </w:rPr>
              <w:t>retirement</w:t>
            </w:r>
            <w:proofErr w:type="gramEnd"/>
            <w:r w:rsidRPr="00364BE4">
              <w:rPr>
                <w:rFonts w:ascii="Calibri" w:eastAsia="Times New Roman" w:hAnsi="Calibri" w:cs="Times New Roman"/>
                <w:kern w:val="28"/>
                <w:sz w:val="20"/>
                <w:szCs w:val="20"/>
              </w:rPr>
              <w:t xml:space="preserve"> and other fixed costs</w:t>
            </w:r>
          </w:p>
        </w:tc>
        <w:tc>
          <w:tcPr>
            <w:tcW w:w="839" w:type="pct"/>
            <w:tcBorders>
              <w:bottom w:val="single" w:sz="12" w:space="0" w:color="auto"/>
            </w:tcBorders>
            <w:vAlign w:val="center"/>
          </w:tcPr>
          <w:p w14:paraId="458EDE53" w14:textId="77777777" w:rsidR="00DD52A9" w:rsidRPr="00F2303D" w:rsidRDefault="00DD52A9" w:rsidP="00697F37">
            <w:pPr>
              <w:spacing w:after="0" w:line="240" w:lineRule="auto"/>
              <w:jc w:val="center"/>
              <w:rPr>
                <w:sz w:val="20"/>
                <w:szCs w:val="20"/>
              </w:rPr>
            </w:pPr>
            <w:r w:rsidRPr="00F2303D">
              <w:rPr>
                <w:sz w:val="20"/>
                <w:szCs w:val="20"/>
              </w:rPr>
              <w:t>$3,103</w:t>
            </w:r>
          </w:p>
        </w:tc>
        <w:tc>
          <w:tcPr>
            <w:tcW w:w="839" w:type="pct"/>
            <w:tcBorders>
              <w:bottom w:val="single" w:sz="12" w:space="0" w:color="auto"/>
            </w:tcBorders>
            <w:vAlign w:val="center"/>
          </w:tcPr>
          <w:p w14:paraId="14F3F1B8" w14:textId="77777777" w:rsidR="00DD52A9" w:rsidRPr="00F2303D" w:rsidRDefault="00DD52A9" w:rsidP="00697F37">
            <w:pPr>
              <w:spacing w:after="0" w:line="240" w:lineRule="auto"/>
              <w:jc w:val="center"/>
              <w:rPr>
                <w:sz w:val="20"/>
                <w:szCs w:val="20"/>
              </w:rPr>
            </w:pPr>
            <w:r w:rsidRPr="00F2303D">
              <w:rPr>
                <w:sz w:val="20"/>
                <w:szCs w:val="20"/>
              </w:rPr>
              <w:t>$3,109</w:t>
            </w:r>
          </w:p>
        </w:tc>
        <w:tc>
          <w:tcPr>
            <w:tcW w:w="838" w:type="pct"/>
            <w:tcBorders>
              <w:bottom w:val="single" w:sz="12" w:space="0" w:color="auto"/>
            </w:tcBorders>
            <w:shd w:val="clear" w:color="auto" w:fill="auto"/>
            <w:vAlign w:val="center"/>
          </w:tcPr>
          <w:p w14:paraId="6D8CD1F8" w14:textId="77777777" w:rsidR="00DD52A9" w:rsidRPr="00F2303D" w:rsidRDefault="00DD52A9" w:rsidP="00697F37">
            <w:pPr>
              <w:spacing w:after="0" w:line="240" w:lineRule="auto"/>
              <w:jc w:val="center"/>
              <w:rPr>
                <w:sz w:val="20"/>
                <w:szCs w:val="20"/>
              </w:rPr>
            </w:pPr>
            <w:r w:rsidRPr="00F2303D">
              <w:rPr>
                <w:sz w:val="20"/>
                <w:szCs w:val="20"/>
              </w:rPr>
              <w:t>$3,194</w:t>
            </w:r>
          </w:p>
        </w:tc>
      </w:tr>
      <w:tr w:rsidR="00DD52A9" w:rsidRPr="00364BE4" w14:paraId="446AC879" w14:textId="77777777" w:rsidTr="00592B72">
        <w:trPr>
          <w:trHeight w:val="107"/>
          <w:jc w:val="center"/>
        </w:trPr>
        <w:tc>
          <w:tcPr>
            <w:tcW w:w="2484" w:type="pct"/>
            <w:tcBorders>
              <w:top w:val="single" w:sz="12" w:space="0" w:color="auto"/>
              <w:bottom w:val="single" w:sz="4" w:space="0" w:color="auto"/>
            </w:tcBorders>
            <w:vAlign w:val="center"/>
          </w:tcPr>
          <w:p w14:paraId="54A49039" w14:textId="77777777" w:rsidR="00DD52A9" w:rsidRPr="00364BE4" w:rsidRDefault="00DD52A9" w:rsidP="00697F3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4" w:space="0" w:color="auto"/>
            </w:tcBorders>
            <w:vAlign w:val="center"/>
          </w:tcPr>
          <w:p w14:paraId="483DC88D" w14:textId="77777777" w:rsidR="00DD52A9" w:rsidRPr="00F2303D" w:rsidRDefault="00DD52A9" w:rsidP="00697F37">
            <w:pPr>
              <w:spacing w:after="0" w:line="240" w:lineRule="auto"/>
              <w:jc w:val="center"/>
              <w:rPr>
                <w:sz w:val="20"/>
                <w:szCs w:val="20"/>
              </w:rPr>
            </w:pPr>
            <w:r w:rsidRPr="00F2303D">
              <w:rPr>
                <w:sz w:val="20"/>
                <w:szCs w:val="20"/>
              </w:rPr>
              <w:t>$16,317</w:t>
            </w:r>
          </w:p>
        </w:tc>
        <w:tc>
          <w:tcPr>
            <w:tcW w:w="839" w:type="pct"/>
            <w:tcBorders>
              <w:top w:val="single" w:sz="12" w:space="0" w:color="auto"/>
              <w:bottom w:val="single" w:sz="4" w:space="0" w:color="auto"/>
            </w:tcBorders>
            <w:vAlign w:val="center"/>
          </w:tcPr>
          <w:p w14:paraId="0543AE01" w14:textId="77777777" w:rsidR="00DD52A9" w:rsidRPr="00F2303D" w:rsidRDefault="00DD52A9" w:rsidP="00697F37">
            <w:pPr>
              <w:spacing w:after="0" w:line="240" w:lineRule="auto"/>
              <w:jc w:val="center"/>
              <w:rPr>
                <w:sz w:val="20"/>
                <w:szCs w:val="20"/>
              </w:rPr>
            </w:pPr>
            <w:r w:rsidRPr="00F2303D">
              <w:rPr>
                <w:sz w:val="20"/>
                <w:szCs w:val="20"/>
              </w:rPr>
              <w:t>$16,870</w:t>
            </w:r>
          </w:p>
        </w:tc>
        <w:tc>
          <w:tcPr>
            <w:tcW w:w="838" w:type="pct"/>
            <w:tcBorders>
              <w:top w:val="single" w:sz="12" w:space="0" w:color="auto"/>
              <w:bottom w:val="single" w:sz="4" w:space="0" w:color="auto"/>
            </w:tcBorders>
            <w:shd w:val="clear" w:color="auto" w:fill="auto"/>
            <w:vAlign w:val="center"/>
          </w:tcPr>
          <w:p w14:paraId="10771B9B" w14:textId="77777777" w:rsidR="00DD52A9" w:rsidRPr="00F2303D" w:rsidRDefault="00DD52A9" w:rsidP="00697F37">
            <w:pPr>
              <w:spacing w:after="0" w:line="240" w:lineRule="auto"/>
              <w:jc w:val="center"/>
              <w:rPr>
                <w:sz w:val="20"/>
                <w:szCs w:val="20"/>
              </w:rPr>
            </w:pPr>
            <w:r w:rsidRPr="00F2303D">
              <w:rPr>
                <w:sz w:val="20"/>
                <w:szCs w:val="20"/>
              </w:rPr>
              <w:t>$17,232</w:t>
            </w:r>
          </w:p>
        </w:tc>
      </w:tr>
      <w:tr w:rsidR="00DD52A9" w:rsidRPr="00364BE4" w14:paraId="17EBD329" w14:textId="77777777" w:rsidTr="00592B72">
        <w:trPr>
          <w:trHeight w:val="107"/>
          <w:jc w:val="center"/>
        </w:trPr>
        <w:tc>
          <w:tcPr>
            <w:tcW w:w="5000" w:type="pct"/>
            <w:gridSpan w:val="4"/>
            <w:tcBorders>
              <w:top w:val="single" w:sz="4" w:space="0" w:color="auto"/>
              <w:left w:val="nil"/>
              <w:bottom w:val="nil"/>
              <w:right w:val="nil"/>
            </w:tcBorders>
            <w:vAlign w:val="center"/>
          </w:tcPr>
          <w:p w14:paraId="4F99A884" w14:textId="77777777" w:rsidR="00DD52A9" w:rsidRPr="00E26882" w:rsidRDefault="00DD52A9" w:rsidP="00697F37">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56" w:history="1">
              <w:r w:rsidRPr="00E26882">
                <w:rPr>
                  <w:rFonts w:ascii="Calibri" w:eastAsia="Times New Roman" w:hAnsi="Calibri" w:cs="Times New Roman"/>
                  <w:bCs/>
                  <w:kern w:val="28"/>
                  <w:sz w:val="16"/>
                  <w:szCs w:val="16"/>
                  <w:u w:val="single"/>
                </w:rPr>
                <w:t>Per-pupil expenditure reports on ESE website</w:t>
              </w:r>
            </w:hyperlink>
          </w:p>
          <w:p w14:paraId="54E2B2A2" w14:textId="77777777" w:rsidR="00DD52A9" w:rsidRPr="00364BE4" w:rsidRDefault="00DD52A9" w:rsidP="00697F3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316F2CBE" w14:textId="77777777" w:rsidR="00D549BC" w:rsidRPr="0036533B" w:rsidRDefault="00350132" w:rsidP="0036533B">
      <w:pPr>
        <w:pStyle w:val="Section"/>
      </w:pPr>
      <w:bookmarkStart w:id="23" w:name="_Toc536687557"/>
      <w:r w:rsidRPr="00476E71">
        <w:lastRenderedPageBreak/>
        <w:t xml:space="preserve">Appendix </w:t>
      </w:r>
      <w:r>
        <w:t>C: Instructional Inventory</w:t>
      </w:r>
      <w:bookmarkEnd w:id="22"/>
      <w:bookmarkEnd w:id="23"/>
    </w:p>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395FD4" w14:paraId="5C5B15FC" w14:textId="77777777" w:rsidTr="000F5BEE">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2F3808FD" w14:textId="77777777" w:rsidR="00395FD4" w:rsidRDefault="00395FD4" w:rsidP="00395FD4">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13BD94C0"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6B003E1F" w14:textId="77777777" w:rsidR="00395FD4" w:rsidRDefault="00395FD4" w:rsidP="00395FD4">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035C2A32" w14:textId="77777777" w:rsidR="00395FD4" w:rsidRDefault="00395FD4" w:rsidP="00395FD4">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01CB6841" w14:textId="77777777" w:rsidR="00395FD4" w:rsidRDefault="00395FD4" w:rsidP="00395FD4">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736B3FE8" w14:textId="77777777" w:rsidR="00395FD4" w:rsidRDefault="00395FD4" w:rsidP="00395FD4">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747F8D42" w14:textId="77777777" w:rsidR="00395FD4" w:rsidRDefault="00395FD4" w:rsidP="00395FD4">
            <w:pPr>
              <w:spacing w:after="0" w:line="240" w:lineRule="auto"/>
              <w:jc w:val="center"/>
            </w:pPr>
            <w:r>
              <w:t>Avg Number of points</w:t>
            </w:r>
          </w:p>
        </w:tc>
      </w:tr>
      <w:tr w:rsidR="00395FD4" w14:paraId="49CF460E"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D674BE0"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6ED6965B" w14:textId="77777777" w:rsidR="00395FD4" w:rsidRDefault="00395FD4" w:rsidP="00395FD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395313ED" w14:textId="77777777" w:rsidR="00395FD4" w:rsidRDefault="00395FD4" w:rsidP="00395FD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330301B" w14:textId="77777777" w:rsidR="00395FD4" w:rsidRDefault="00395FD4" w:rsidP="00395FD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2AB260D0" w14:textId="77777777" w:rsidR="00395FD4" w:rsidRDefault="00395FD4" w:rsidP="00395FD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838DFB6"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58EAFBEB" w14:textId="77777777" w:rsidR="00395FD4" w:rsidRDefault="00395FD4" w:rsidP="00395FD4">
            <w:pPr>
              <w:spacing w:after="0" w:line="240" w:lineRule="auto"/>
              <w:jc w:val="center"/>
            </w:pPr>
            <w:r>
              <w:t>(1 to 4)</w:t>
            </w:r>
          </w:p>
        </w:tc>
      </w:tr>
      <w:tr w:rsidR="00395FD4" w14:paraId="00A3BA9F"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BF5F34" w14:textId="77777777" w:rsidR="00395FD4" w:rsidRDefault="00395FD4" w:rsidP="00395FD4">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418BE"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61C79"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F1390" w14:textId="77777777" w:rsidR="00395FD4" w:rsidRDefault="00395FD4" w:rsidP="00395FD4">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E71B3" w14:textId="77777777" w:rsidR="00395FD4" w:rsidRDefault="00395FD4" w:rsidP="00395FD4">
            <w:pPr>
              <w:spacing w:after="0" w:line="240" w:lineRule="auto"/>
              <w:jc w:val="center"/>
            </w:pPr>
            <w:r>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9CB991" w14:textId="77777777" w:rsidR="00395FD4" w:rsidRDefault="00395FD4" w:rsidP="00395FD4">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7CBD6" w14:textId="77777777" w:rsidR="00395FD4" w:rsidRDefault="00395FD4" w:rsidP="00395FD4">
            <w:pPr>
              <w:spacing w:after="0" w:line="240" w:lineRule="auto"/>
              <w:jc w:val="center"/>
            </w:pPr>
            <w:r>
              <w:t>2.9</w:t>
            </w:r>
          </w:p>
        </w:tc>
      </w:tr>
      <w:tr w:rsidR="00395FD4" w14:paraId="1962D01B"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43B0C34"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4FE157"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4794B"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E1AA9" w14:textId="77777777" w:rsidR="00395FD4" w:rsidRDefault="00395FD4" w:rsidP="00395FD4">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C1908D" w14:textId="77777777" w:rsidR="00395FD4" w:rsidRDefault="00395FD4" w:rsidP="00395FD4">
            <w:pPr>
              <w:spacing w:after="0" w:line="240" w:lineRule="auto"/>
              <w:jc w:val="center"/>
            </w:pPr>
            <w:r>
              <w:t>61%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32BD0" w14:textId="77777777" w:rsidR="00395FD4" w:rsidRDefault="00395FD4" w:rsidP="00395FD4">
            <w:pPr>
              <w:spacing w:after="0" w:line="240" w:lineRule="auto"/>
              <w:jc w:val="center"/>
            </w:pPr>
            <w:r>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44CC69" w14:textId="77777777" w:rsidR="00395FD4" w:rsidRDefault="00395FD4" w:rsidP="00395FD4">
            <w:pPr>
              <w:spacing w:after="0" w:line="240" w:lineRule="auto"/>
              <w:jc w:val="center"/>
            </w:pPr>
            <w:r>
              <w:t>3.1</w:t>
            </w:r>
          </w:p>
        </w:tc>
      </w:tr>
      <w:tr w:rsidR="00395FD4" w14:paraId="115A09D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ED66E4D"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27FA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7F0EE" w14:textId="77777777" w:rsidR="00395FD4" w:rsidRDefault="00395FD4" w:rsidP="00395FD4">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283F9"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EDCA11"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DA327" w14:textId="77777777" w:rsidR="00395FD4" w:rsidRDefault="00395FD4" w:rsidP="00395FD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18D2C1" w14:textId="77777777" w:rsidR="00395FD4" w:rsidRDefault="00395FD4" w:rsidP="00395FD4">
            <w:pPr>
              <w:spacing w:after="0" w:line="240" w:lineRule="auto"/>
              <w:jc w:val="center"/>
            </w:pPr>
            <w:r>
              <w:t>2.5</w:t>
            </w:r>
          </w:p>
        </w:tc>
      </w:tr>
      <w:tr w:rsidR="00395FD4" w14:paraId="1F371175"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6371FEB"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04C6B"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07ABE"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184A5" w14:textId="77777777" w:rsidR="00395FD4" w:rsidRDefault="00395FD4" w:rsidP="00395FD4">
            <w:pPr>
              <w:spacing w:after="0" w:line="240" w:lineRule="auto"/>
              <w:jc w:val="center"/>
            </w:pPr>
            <w:r>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8A7B92" w14:textId="77777777" w:rsidR="00395FD4" w:rsidRDefault="00395FD4" w:rsidP="00395FD4">
            <w:pPr>
              <w:spacing w:after="0" w:line="240" w:lineRule="auto"/>
              <w:jc w:val="center"/>
            </w:pPr>
            <w:r>
              <w:t>51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B34A68" w14:textId="77777777" w:rsidR="00395FD4" w:rsidRDefault="00395FD4" w:rsidP="00395FD4">
            <w:pPr>
              <w:spacing w:after="0" w:line="240" w:lineRule="auto"/>
              <w:jc w:val="center"/>
            </w:pPr>
            <w: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3A64BB" w14:textId="77777777" w:rsidR="00395FD4" w:rsidRDefault="00395FD4" w:rsidP="00395FD4">
            <w:pPr>
              <w:spacing w:after="0" w:line="240" w:lineRule="auto"/>
              <w:jc w:val="center"/>
            </w:pPr>
            <w:r>
              <w:t>2.8</w:t>
            </w:r>
          </w:p>
        </w:tc>
      </w:tr>
      <w:tr w:rsidR="00395FD4" w14:paraId="0714448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EA57FD6"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25EF69"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E719A" w14:textId="77777777" w:rsidR="00395FD4" w:rsidRDefault="00395FD4" w:rsidP="00395FD4">
            <w:pPr>
              <w:spacing w:after="0" w:line="240" w:lineRule="auto"/>
              <w:jc w:val="center"/>
            </w:pPr>
            <w: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38EE58" w14:textId="77777777" w:rsidR="00395FD4" w:rsidRDefault="00395FD4" w:rsidP="00395FD4">
            <w:pPr>
              <w:spacing w:after="0" w:line="240" w:lineRule="auto"/>
              <w:jc w:val="center"/>
            </w:pPr>
            <w: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C9829" w14:textId="77777777" w:rsidR="00395FD4" w:rsidRDefault="00395FD4" w:rsidP="00395FD4">
            <w:pPr>
              <w:spacing w:after="0" w:line="240" w:lineRule="auto"/>
              <w:jc w:val="center"/>
            </w:pPr>
            <w:r>
              <w:t>56%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62FD8" w14:textId="77777777" w:rsidR="00395FD4" w:rsidRDefault="00395FD4" w:rsidP="00395FD4">
            <w:pPr>
              <w:spacing w:after="0" w:line="240" w:lineRule="auto"/>
              <w:jc w:val="center"/>
            </w:pPr>
            <w:r>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627DE" w14:textId="77777777" w:rsidR="00395FD4" w:rsidRDefault="00395FD4" w:rsidP="00395FD4">
            <w:pPr>
              <w:spacing w:after="0" w:line="240" w:lineRule="auto"/>
              <w:jc w:val="center"/>
            </w:pPr>
          </w:p>
        </w:tc>
      </w:tr>
      <w:tr w:rsidR="00395FD4" w14:paraId="6AC2ADAD"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2F965A9E" w14:textId="77777777" w:rsidR="00395FD4" w:rsidRDefault="00395FD4" w:rsidP="00395FD4">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361F3C3C"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756A5A8"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tcPr>
          <w:p w14:paraId="021E1266" w14:textId="77777777" w:rsidR="00395FD4" w:rsidRDefault="00395FD4" w:rsidP="00395FD4">
            <w:pPr>
              <w:spacing w:after="0" w:line="240" w:lineRule="auto"/>
              <w:jc w:val="center"/>
            </w:pPr>
            <w:r>
              <w:t>28%</w:t>
            </w:r>
          </w:p>
        </w:tc>
        <w:tc>
          <w:tcPr>
            <w:tcW w:w="1170" w:type="dxa"/>
            <w:tcBorders>
              <w:top w:val="single" w:sz="4" w:space="0" w:color="auto"/>
              <w:left w:val="single" w:sz="4" w:space="0" w:color="auto"/>
              <w:bottom w:val="single" w:sz="4" w:space="0" w:color="auto"/>
              <w:right w:val="single" w:sz="4" w:space="0" w:color="auto"/>
            </w:tcBorders>
          </w:tcPr>
          <w:p w14:paraId="56B489E7" w14:textId="77777777" w:rsidR="00395FD4" w:rsidRDefault="00395FD4" w:rsidP="00395FD4">
            <w:pPr>
              <w:spacing w:after="0" w:line="240" w:lineRule="auto"/>
              <w:jc w:val="center"/>
            </w:pPr>
            <w:r>
              <w:t>53%</w:t>
            </w:r>
          </w:p>
        </w:tc>
        <w:tc>
          <w:tcPr>
            <w:tcW w:w="1260" w:type="dxa"/>
            <w:tcBorders>
              <w:top w:val="single" w:sz="4" w:space="0" w:color="auto"/>
              <w:left w:val="single" w:sz="4" w:space="0" w:color="auto"/>
              <w:bottom w:val="single" w:sz="4" w:space="0" w:color="auto"/>
              <w:right w:val="single" w:sz="4" w:space="0" w:color="auto"/>
            </w:tcBorders>
          </w:tcPr>
          <w:p w14:paraId="671B3B42" w14:textId="77777777" w:rsidR="00395FD4" w:rsidRDefault="00395FD4" w:rsidP="00395FD4">
            <w:pPr>
              <w:spacing w:after="0" w:line="240" w:lineRule="auto"/>
              <w:jc w:val="center"/>
            </w:pPr>
            <w:r>
              <w:t>13%</w:t>
            </w:r>
          </w:p>
        </w:tc>
        <w:tc>
          <w:tcPr>
            <w:tcW w:w="1098" w:type="dxa"/>
            <w:tcBorders>
              <w:top w:val="single" w:sz="4" w:space="0" w:color="auto"/>
              <w:left w:val="single" w:sz="4" w:space="0" w:color="auto"/>
              <w:bottom w:val="single" w:sz="4" w:space="0" w:color="auto"/>
              <w:right w:val="single" w:sz="4" w:space="0" w:color="auto"/>
            </w:tcBorders>
          </w:tcPr>
          <w:p w14:paraId="1ABD49BE" w14:textId="77777777" w:rsidR="00395FD4" w:rsidRDefault="00395FD4" w:rsidP="00395FD4">
            <w:pPr>
              <w:spacing w:after="0" w:line="240" w:lineRule="auto"/>
              <w:jc w:val="center"/>
            </w:pPr>
            <w:r>
              <w:t>2.7</w:t>
            </w:r>
          </w:p>
        </w:tc>
      </w:tr>
      <w:tr w:rsidR="00395FD4" w14:paraId="333E9E5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98DB3C4"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C3651F3"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AF2B8C3"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3CA6D061" w14:textId="77777777" w:rsidR="00395FD4" w:rsidRDefault="00395FD4" w:rsidP="00395FD4">
            <w:pPr>
              <w:spacing w:after="0" w:line="240" w:lineRule="auto"/>
              <w:jc w:val="center"/>
            </w:pPr>
            <w:r>
              <w:t>11%</w:t>
            </w:r>
          </w:p>
        </w:tc>
        <w:tc>
          <w:tcPr>
            <w:tcW w:w="1170" w:type="dxa"/>
            <w:tcBorders>
              <w:top w:val="single" w:sz="4" w:space="0" w:color="auto"/>
              <w:left w:val="single" w:sz="4" w:space="0" w:color="auto"/>
              <w:bottom w:val="single" w:sz="4" w:space="0" w:color="auto"/>
              <w:right w:val="single" w:sz="4" w:space="0" w:color="auto"/>
            </w:tcBorders>
          </w:tcPr>
          <w:p w14:paraId="6694F446" w14:textId="77777777" w:rsidR="00395FD4" w:rsidRDefault="00395FD4" w:rsidP="00395FD4">
            <w:pPr>
              <w:spacing w:after="0" w:line="240" w:lineRule="auto"/>
              <w:jc w:val="center"/>
            </w:pPr>
            <w:r>
              <w:t>83%</w:t>
            </w:r>
          </w:p>
        </w:tc>
        <w:tc>
          <w:tcPr>
            <w:tcW w:w="1260" w:type="dxa"/>
            <w:tcBorders>
              <w:top w:val="single" w:sz="4" w:space="0" w:color="auto"/>
              <w:left w:val="single" w:sz="4" w:space="0" w:color="auto"/>
              <w:bottom w:val="single" w:sz="4" w:space="0" w:color="auto"/>
              <w:right w:val="single" w:sz="4" w:space="0" w:color="auto"/>
            </w:tcBorders>
          </w:tcPr>
          <w:p w14:paraId="7B6C15DD" w14:textId="77777777" w:rsidR="00395FD4" w:rsidRDefault="00395FD4" w:rsidP="00395FD4">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tcPr>
          <w:p w14:paraId="7C8FC9D3" w14:textId="77777777" w:rsidR="00395FD4" w:rsidRDefault="00395FD4" w:rsidP="00395FD4">
            <w:pPr>
              <w:spacing w:after="0" w:line="240" w:lineRule="auto"/>
              <w:jc w:val="center"/>
            </w:pPr>
            <w:r>
              <w:t>2.9</w:t>
            </w:r>
          </w:p>
        </w:tc>
      </w:tr>
      <w:tr w:rsidR="00395FD4" w14:paraId="45A9B06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044C23E1"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80926C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221C1C4" w14:textId="77777777" w:rsidR="00395FD4" w:rsidRDefault="00395FD4" w:rsidP="00395FD4">
            <w:pPr>
              <w:spacing w:after="0" w:line="240" w:lineRule="auto"/>
              <w:jc w:val="center"/>
            </w:pPr>
            <w:r>
              <w:t>19%</w:t>
            </w:r>
          </w:p>
        </w:tc>
        <w:tc>
          <w:tcPr>
            <w:tcW w:w="1080" w:type="dxa"/>
            <w:tcBorders>
              <w:top w:val="single" w:sz="4" w:space="0" w:color="auto"/>
              <w:left w:val="single" w:sz="4" w:space="0" w:color="auto"/>
              <w:bottom w:val="single" w:sz="4" w:space="0" w:color="auto"/>
              <w:right w:val="single" w:sz="4" w:space="0" w:color="auto"/>
            </w:tcBorders>
          </w:tcPr>
          <w:p w14:paraId="34134077" w14:textId="77777777" w:rsidR="00395FD4" w:rsidRDefault="00395FD4" w:rsidP="00395FD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619CDAE9" w14:textId="77777777" w:rsidR="00395FD4" w:rsidRDefault="00395FD4" w:rsidP="00395FD4">
            <w:pPr>
              <w:spacing w:after="0" w:line="240" w:lineRule="auto"/>
              <w:jc w:val="center"/>
            </w:pPr>
            <w:r>
              <w:t>42%</w:t>
            </w:r>
          </w:p>
        </w:tc>
        <w:tc>
          <w:tcPr>
            <w:tcW w:w="1260" w:type="dxa"/>
            <w:tcBorders>
              <w:top w:val="single" w:sz="4" w:space="0" w:color="auto"/>
              <w:left w:val="single" w:sz="4" w:space="0" w:color="auto"/>
              <w:bottom w:val="single" w:sz="4" w:space="0" w:color="auto"/>
              <w:right w:val="single" w:sz="4" w:space="0" w:color="auto"/>
            </w:tcBorders>
          </w:tcPr>
          <w:p w14:paraId="59871A00"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tcPr>
          <w:p w14:paraId="2EFD476B" w14:textId="77777777" w:rsidR="00395FD4" w:rsidRDefault="00395FD4" w:rsidP="00395FD4">
            <w:pPr>
              <w:spacing w:after="0" w:line="240" w:lineRule="auto"/>
              <w:jc w:val="center"/>
            </w:pPr>
            <w:r>
              <w:t>2.3</w:t>
            </w:r>
          </w:p>
        </w:tc>
      </w:tr>
      <w:tr w:rsidR="00395FD4" w14:paraId="46FAF4A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9E16C23"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7FE32D5"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DF11774" w14:textId="77777777" w:rsidR="00395FD4" w:rsidRDefault="00395FD4" w:rsidP="00395FD4">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tcPr>
          <w:p w14:paraId="551DA391" w14:textId="77777777" w:rsidR="00395FD4" w:rsidRDefault="00395FD4" w:rsidP="00395FD4">
            <w:pPr>
              <w:spacing w:after="0" w:line="240" w:lineRule="auto"/>
              <w:jc w:val="center"/>
            </w:pPr>
            <w:r>
              <w:t>24</w:t>
            </w:r>
          </w:p>
        </w:tc>
        <w:tc>
          <w:tcPr>
            <w:tcW w:w="1170" w:type="dxa"/>
            <w:tcBorders>
              <w:top w:val="single" w:sz="4" w:space="0" w:color="auto"/>
              <w:left w:val="single" w:sz="4" w:space="0" w:color="auto"/>
              <w:bottom w:val="single" w:sz="4" w:space="0" w:color="auto"/>
              <w:right w:val="single" w:sz="4" w:space="0" w:color="auto"/>
            </w:tcBorders>
          </w:tcPr>
          <w:p w14:paraId="6D18D734" w14:textId="77777777" w:rsidR="00395FD4" w:rsidRDefault="00395FD4" w:rsidP="00395FD4">
            <w:pPr>
              <w:spacing w:after="0" w:line="240" w:lineRule="auto"/>
              <w:jc w:val="center"/>
            </w:pPr>
            <w:r>
              <w:t>51</w:t>
            </w:r>
          </w:p>
        </w:tc>
        <w:tc>
          <w:tcPr>
            <w:tcW w:w="1260" w:type="dxa"/>
            <w:tcBorders>
              <w:top w:val="single" w:sz="4" w:space="0" w:color="auto"/>
              <w:left w:val="single" w:sz="4" w:space="0" w:color="auto"/>
              <w:bottom w:val="single" w:sz="4" w:space="0" w:color="auto"/>
              <w:right w:val="single" w:sz="4" w:space="0" w:color="auto"/>
            </w:tcBorders>
          </w:tcPr>
          <w:p w14:paraId="6D04C473" w14:textId="77777777" w:rsidR="00395FD4" w:rsidRDefault="00395FD4" w:rsidP="00395FD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tcPr>
          <w:p w14:paraId="6AF1529B" w14:textId="77777777" w:rsidR="00395FD4" w:rsidRDefault="00395FD4" w:rsidP="00395FD4">
            <w:pPr>
              <w:spacing w:after="0" w:line="240" w:lineRule="auto"/>
              <w:jc w:val="center"/>
            </w:pPr>
            <w:r>
              <w:t>2.6</w:t>
            </w:r>
          </w:p>
        </w:tc>
      </w:tr>
      <w:tr w:rsidR="00395FD4" w14:paraId="710459F6"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48782C1"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DAFFDC7"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3A7A910" w14:textId="77777777" w:rsidR="00395FD4" w:rsidRDefault="00395FD4" w:rsidP="00395FD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320DA8B3" w14:textId="77777777" w:rsidR="00395FD4" w:rsidRDefault="00395FD4" w:rsidP="00395FD4">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tcPr>
          <w:p w14:paraId="510DA55B" w14:textId="77777777" w:rsidR="00395FD4" w:rsidRDefault="00395FD4" w:rsidP="00395FD4">
            <w:pPr>
              <w:spacing w:after="0" w:line="240" w:lineRule="auto"/>
              <w:jc w:val="center"/>
            </w:pPr>
            <w:r>
              <w:t>56%</w:t>
            </w:r>
          </w:p>
        </w:tc>
        <w:tc>
          <w:tcPr>
            <w:tcW w:w="1260" w:type="dxa"/>
            <w:tcBorders>
              <w:top w:val="single" w:sz="4" w:space="0" w:color="auto"/>
              <w:left w:val="single" w:sz="4" w:space="0" w:color="auto"/>
              <w:bottom w:val="single" w:sz="4" w:space="0" w:color="auto"/>
              <w:right w:val="single" w:sz="4" w:space="0" w:color="auto"/>
            </w:tcBorders>
          </w:tcPr>
          <w:p w14:paraId="138D7518" w14:textId="77777777" w:rsidR="00395FD4" w:rsidRDefault="00395FD4" w:rsidP="00395FD4">
            <w:pPr>
              <w:spacing w:after="0" w:line="240" w:lineRule="auto"/>
              <w:jc w:val="center"/>
            </w:pPr>
            <w:r>
              <w:t>9%</w:t>
            </w:r>
          </w:p>
        </w:tc>
        <w:tc>
          <w:tcPr>
            <w:tcW w:w="1098" w:type="dxa"/>
            <w:tcBorders>
              <w:top w:val="single" w:sz="4" w:space="0" w:color="auto"/>
              <w:left w:val="single" w:sz="4" w:space="0" w:color="auto"/>
              <w:bottom w:val="single" w:sz="4" w:space="0" w:color="auto"/>
              <w:right w:val="single" w:sz="4" w:space="0" w:color="auto"/>
            </w:tcBorders>
          </w:tcPr>
          <w:p w14:paraId="34D1D5D0" w14:textId="77777777" w:rsidR="00395FD4" w:rsidRDefault="00395FD4" w:rsidP="00395FD4">
            <w:pPr>
              <w:spacing w:after="0" w:line="240" w:lineRule="auto"/>
              <w:jc w:val="center"/>
            </w:pPr>
          </w:p>
        </w:tc>
      </w:tr>
      <w:tr w:rsidR="00395FD4" w14:paraId="7EC810C2"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C248F" w14:textId="77777777" w:rsidR="00395FD4" w:rsidRDefault="00395FD4" w:rsidP="00395FD4">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1354E5"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CB1F5"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33B28A" w14:textId="77777777" w:rsidR="00395FD4" w:rsidRDefault="00395FD4" w:rsidP="00395FD4">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503E5" w14:textId="77777777" w:rsidR="00395FD4" w:rsidRDefault="00395FD4" w:rsidP="00395FD4">
            <w:pPr>
              <w:spacing w:after="0" w:line="240" w:lineRule="auto"/>
              <w:jc w:val="center"/>
            </w:pPr>
            <w:r>
              <w:t>55%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31EAA" w14:textId="77777777" w:rsidR="00395FD4" w:rsidRDefault="00395FD4" w:rsidP="00395FD4">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C3BA0" w14:textId="77777777" w:rsidR="00395FD4" w:rsidRDefault="00395FD4" w:rsidP="00395FD4">
            <w:pPr>
              <w:spacing w:after="0" w:line="240" w:lineRule="auto"/>
              <w:jc w:val="center"/>
            </w:pPr>
            <w:r>
              <w:t>2.9</w:t>
            </w:r>
          </w:p>
        </w:tc>
      </w:tr>
      <w:tr w:rsidR="00395FD4" w14:paraId="1AB67502"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5C37E60D"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81649A"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FD46A7"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8C6549" w14:textId="77777777" w:rsidR="00395FD4" w:rsidRDefault="00395FD4" w:rsidP="00395FD4">
            <w:pPr>
              <w:spacing w:after="0" w:line="240" w:lineRule="auto"/>
              <w:jc w:val="center"/>
            </w:pPr>
            <w:r>
              <w:t>28%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67B96" w14:textId="77777777" w:rsidR="00395FD4" w:rsidRDefault="00395FD4" w:rsidP="00395FD4">
            <w:pPr>
              <w:spacing w:after="0" w:line="240" w:lineRule="auto"/>
              <w:jc w:val="center"/>
            </w:pPr>
            <w:r>
              <w:t>56%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8FE9B5" w14:textId="77777777" w:rsidR="00395FD4" w:rsidRDefault="00395FD4" w:rsidP="00395FD4">
            <w:pPr>
              <w:spacing w:after="0" w:line="240" w:lineRule="auto"/>
              <w:jc w:val="center"/>
            </w:pPr>
            <w:r>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0591C8" w14:textId="77777777" w:rsidR="00395FD4" w:rsidRDefault="00395FD4" w:rsidP="00395FD4">
            <w:pPr>
              <w:spacing w:after="0" w:line="240" w:lineRule="auto"/>
              <w:jc w:val="center"/>
            </w:pPr>
            <w:r>
              <w:t>2.9</w:t>
            </w:r>
          </w:p>
        </w:tc>
      </w:tr>
      <w:tr w:rsidR="00395FD4" w14:paraId="17C04F79"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64B38EEA"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E81E5"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A14B2" w14:textId="77777777" w:rsidR="00395FD4" w:rsidRDefault="00395FD4" w:rsidP="00395FD4">
            <w:pPr>
              <w:spacing w:after="0" w:line="240" w:lineRule="auto"/>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8B6B9" w14:textId="77777777" w:rsidR="00395FD4" w:rsidRDefault="00395FD4" w:rsidP="00395FD4">
            <w:pPr>
              <w:spacing w:after="0" w:line="240" w:lineRule="auto"/>
              <w:jc w:val="center"/>
            </w:pPr>
            <w:r>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6AAAD" w14:textId="77777777" w:rsidR="00395FD4" w:rsidRDefault="00395FD4" w:rsidP="00395FD4">
            <w:pPr>
              <w:spacing w:after="0" w:line="240" w:lineRule="auto"/>
              <w:jc w:val="center"/>
            </w:pPr>
            <w:r>
              <w:t>15%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E9606" w14:textId="77777777" w:rsidR="00395FD4" w:rsidRDefault="00395FD4" w:rsidP="00395FD4">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E42AA" w14:textId="77777777" w:rsidR="00395FD4" w:rsidRDefault="00395FD4" w:rsidP="00395FD4">
            <w:pPr>
              <w:spacing w:after="0" w:line="240" w:lineRule="auto"/>
              <w:jc w:val="center"/>
            </w:pPr>
            <w:r>
              <w:t>2.4</w:t>
            </w:r>
          </w:p>
        </w:tc>
      </w:tr>
      <w:tr w:rsidR="00395FD4" w14:paraId="01B81AA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7B59505"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22C646"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D1CA7" w14:textId="77777777" w:rsidR="00395FD4" w:rsidRDefault="00395FD4" w:rsidP="00395FD4">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13FD5" w14:textId="77777777" w:rsidR="00395FD4" w:rsidRDefault="00395FD4" w:rsidP="00395FD4">
            <w:pPr>
              <w:spacing w:after="0" w:line="240" w:lineRule="auto"/>
              <w:jc w:val="center"/>
            </w:pPr>
            <w: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AB050" w14:textId="77777777" w:rsidR="00395FD4" w:rsidRDefault="00395FD4" w:rsidP="00395FD4">
            <w:pPr>
              <w:spacing w:after="0" w:line="240" w:lineRule="auto"/>
              <w:jc w:val="center"/>
            </w:pPr>
            <w: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2AB00C" w14:textId="77777777" w:rsidR="00395FD4" w:rsidRDefault="00395FD4" w:rsidP="00395FD4">
            <w:pPr>
              <w:spacing w:after="0" w:line="240" w:lineRule="auto"/>
              <w:jc w:val="center"/>
            </w:pPr>
            <w:r>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0A509" w14:textId="77777777" w:rsidR="00395FD4" w:rsidRDefault="00395FD4" w:rsidP="00395FD4">
            <w:pPr>
              <w:spacing w:after="0" w:line="240" w:lineRule="auto"/>
              <w:jc w:val="center"/>
            </w:pPr>
            <w:r>
              <w:t>2.8</w:t>
            </w:r>
          </w:p>
        </w:tc>
      </w:tr>
      <w:tr w:rsidR="00395FD4" w14:paraId="27FBFB87"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0EE3E824"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4D74A3"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806D9A" w14:textId="77777777" w:rsidR="00395FD4" w:rsidRDefault="00395FD4" w:rsidP="00395FD4">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9855D" w14:textId="77777777" w:rsidR="00395FD4" w:rsidRDefault="00395FD4" w:rsidP="00395FD4">
            <w:pPr>
              <w:spacing w:after="0" w:line="240" w:lineRule="auto"/>
              <w:jc w:val="center"/>
            </w:pPr>
            <w:r>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E0125" w14:textId="77777777" w:rsidR="00395FD4" w:rsidRDefault="00395FD4" w:rsidP="00395FD4">
            <w:pPr>
              <w:spacing w:after="0" w:line="240" w:lineRule="auto"/>
              <w:jc w:val="center"/>
            </w:pPr>
            <w:r>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FEE9C4" w14:textId="77777777" w:rsidR="00395FD4" w:rsidRDefault="00395FD4" w:rsidP="00395FD4">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AF1D2" w14:textId="77777777" w:rsidR="00395FD4" w:rsidRDefault="00395FD4" w:rsidP="00395FD4">
            <w:pPr>
              <w:spacing w:after="0" w:line="240" w:lineRule="auto"/>
              <w:jc w:val="center"/>
            </w:pPr>
          </w:p>
        </w:tc>
      </w:tr>
      <w:tr w:rsidR="00395FD4" w14:paraId="28FD8F73"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08ED35A6" w14:textId="77777777" w:rsidR="00395FD4" w:rsidRDefault="00395FD4" w:rsidP="00395FD4">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0F2FDF59"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A981C18" w14:textId="77777777" w:rsidR="00395FD4" w:rsidRDefault="00395FD4" w:rsidP="00395FD4">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tcPr>
          <w:p w14:paraId="787A987C" w14:textId="77777777" w:rsidR="00395FD4" w:rsidRDefault="00395FD4" w:rsidP="00395FD4">
            <w:pPr>
              <w:spacing w:after="0" w:line="240" w:lineRule="auto"/>
              <w:jc w:val="center"/>
            </w:pPr>
            <w:r>
              <w:t>40%</w:t>
            </w:r>
          </w:p>
        </w:tc>
        <w:tc>
          <w:tcPr>
            <w:tcW w:w="1170" w:type="dxa"/>
            <w:tcBorders>
              <w:top w:val="single" w:sz="4" w:space="0" w:color="auto"/>
              <w:left w:val="single" w:sz="4" w:space="0" w:color="auto"/>
              <w:bottom w:val="single" w:sz="4" w:space="0" w:color="auto"/>
              <w:right w:val="single" w:sz="4" w:space="0" w:color="auto"/>
            </w:tcBorders>
          </w:tcPr>
          <w:p w14:paraId="1238D019" w14:textId="77777777" w:rsidR="00395FD4" w:rsidRDefault="00395FD4" w:rsidP="00395FD4">
            <w:pPr>
              <w:spacing w:after="0" w:line="240" w:lineRule="auto"/>
              <w:jc w:val="center"/>
            </w:pPr>
            <w:r>
              <w:t>40%</w:t>
            </w:r>
          </w:p>
        </w:tc>
        <w:tc>
          <w:tcPr>
            <w:tcW w:w="1260" w:type="dxa"/>
            <w:tcBorders>
              <w:top w:val="single" w:sz="4" w:space="0" w:color="auto"/>
              <w:left w:val="single" w:sz="4" w:space="0" w:color="auto"/>
              <w:bottom w:val="single" w:sz="4" w:space="0" w:color="auto"/>
              <w:right w:val="single" w:sz="4" w:space="0" w:color="auto"/>
            </w:tcBorders>
          </w:tcPr>
          <w:p w14:paraId="28941D16" w14:textId="77777777" w:rsidR="00395FD4" w:rsidRDefault="00395FD4" w:rsidP="00395FD4">
            <w:pPr>
              <w:spacing w:after="0" w:line="240" w:lineRule="auto"/>
              <w:jc w:val="center"/>
            </w:pPr>
            <w:r>
              <w:t>15%</w:t>
            </w:r>
          </w:p>
        </w:tc>
        <w:tc>
          <w:tcPr>
            <w:tcW w:w="1098" w:type="dxa"/>
            <w:tcBorders>
              <w:top w:val="single" w:sz="4" w:space="0" w:color="auto"/>
              <w:left w:val="single" w:sz="4" w:space="0" w:color="auto"/>
              <w:bottom w:val="single" w:sz="4" w:space="0" w:color="auto"/>
              <w:right w:val="single" w:sz="4" w:space="0" w:color="auto"/>
            </w:tcBorders>
          </w:tcPr>
          <w:p w14:paraId="552C8BD7" w14:textId="77777777" w:rsidR="00395FD4" w:rsidRDefault="00395FD4" w:rsidP="00395FD4">
            <w:pPr>
              <w:spacing w:after="0" w:line="240" w:lineRule="auto"/>
              <w:jc w:val="center"/>
            </w:pPr>
            <w:r>
              <w:t>2.7</w:t>
            </w:r>
          </w:p>
        </w:tc>
      </w:tr>
      <w:tr w:rsidR="00395FD4" w14:paraId="72AF28A9"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274E82D"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9FBBF1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9DDDC45"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5F582EE3" w14:textId="77777777" w:rsidR="00395FD4" w:rsidRDefault="00395FD4" w:rsidP="00395FD4">
            <w:pPr>
              <w:spacing w:after="0" w:line="240" w:lineRule="auto"/>
              <w:jc w:val="center"/>
            </w:pPr>
            <w:r>
              <w:t>22%</w:t>
            </w:r>
          </w:p>
        </w:tc>
        <w:tc>
          <w:tcPr>
            <w:tcW w:w="1170" w:type="dxa"/>
            <w:tcBorders>
              <w:top w:val="single" w:sz="4" w:space="0" w:color="auto"/>
              <w:left w:val="single" w:sz="4" w:space="0" w:color="auto"/>
              <w:bottom w:val="single" w:sz="4" w:space="0" w:color="auto"/>
              <w:right w:val="single" w:sz="4" w:space="0" w:color="auto"/>
            </w:tcBorders>
          </w:tcPr>
          <w:p w14:paraId="550BA2EA" w14:textId="77777777" w:rsidR="00395FD4" w:rsidRDefault="00395FD4" w:rsidP="00395FD4">
            <w:pPr>
              <w:spacing w:after="0" w:line="240" w:lineRule="auto"/>
              <w:jc w:val="center"/>
            </w:pPr>
            <w:r>
              <w:t>67%</w:t>
            </w:r>
          </w:p>
        </w:tc>
        <w:tc>
          <w:tcPr>
            <w:tcW w:w="1260" w:type="dxa"/>
            <w:tcBorders>
              <w:top w:val="single" w:sz="4" w:space="0" w:color="auto"/>
              <w:left w:val="single" w:sz="4" w:space="0" w:color="auto"/>
              <w:bottom w:val="single" w:sz="4" w:space="0" w:color="auto"/>
              <w:right w:val="single" w:sz="4" w:space="0" w:color="auto"/>
            </w:tcBorders>
          </w:tcPr>
          <w:p w14:paraId="3A75CCCA" w14:textId="77777777" w:rsidR="00395FD4" w:rsidRDefault="00395FD4" w:rsidP="00395FD4">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543E3CCB" w14:textId="77777777" w:rsidR="00395FD4" w:rsidRDefault="00395FD4" w:rsidP="00395FD4">
            <w:pPr>
              <w:spacing w:after="0" w:line="240" w:lineRule="auto"/>
              <w:jc w:val="center"/>
            </w:pPr>
            <w:r>
              <w:t>2.9</w:t>
            </w:r>
          </w:p>
        </w:tc>
      </w:tr>
      <w:tr w:rsidR="00395FD4" w14:paraId="520F5DCD"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4B7D155"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AE6801F"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7CE01B9" w14:textId="77777777" w:rsidR="00395FD4" w:rsidRDefault="00395FD4" w:rsidP="00395FD4">
            <w:pPr>
              <w:spacing w:after="0" w:line="240" w:lineRule="auto"/>
              <w:jc w:val="center"/>
            </w:pPr>
            <w:r>
              <w:t>12%</w:t>
            </w:r>
          </w:p>
        </w:tc>
        <w:tc>
          <w:tcPr>
            <w:tcW w:w="1080" w:type="dxa"/>
            <w:tcBorders>
              <w:top w:val="single" w:sz="4" w:space="0" w:color="auto"/>
              <w:left w:val="single" w:sz="4" w:space="0" w:color="auto"/>
              <w:bottom w:val="single" w:sz="4" w:space="0" w:color="auto"/>
              <w:right w:val="single" w:sz="4" w:space="0" w:color="auto"/>
            </w:tcBorders>
          </w:tcPr>
          <w:p w14:paraId="1524F598"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tcPr>
          <w:p w14:paraId="45EE8476"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tcPr>
          <w:p w14:paraId="6A5C7E34" w14:textId="77777777" w:rsidR="00395FD4" w:rsidRDefault="00395FD4" w:rsidP="00395FD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tcPr>
          <w:p w14:paraId="79627AD6" w14:textId="77777777" w:rsidR="00395FD4" w:rsidRDefault="00395FD4" w:rsidP="00395FD4">
            <w:pPr>
              <w:spacing w:after="0" w:line="240" w:lineRule="auto"/>
              <w:jc w:val="center"/>
            </w:pPr>
            <w:r>
              <w:t>2.5</w:t>
            </w:r>
          </w:p>
        </w:tc>
      </w:tr>
      <w:tr w:rsidR="00395FD4" w14:paraId="107CE12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328E5744"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9B6A4B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ED9F898"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5B229936"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tcPr>
          <w:p w14:paraId="595C9D15" w14:textId="77777777" w:rsidR="00395FD4" w:rsidRDefault="00395FD4" w:rsidP="00395FD4">
            <w:pPr>
              <w:spacing w:after="0" w:line="240" w:lineRule="auto"/>
              <w:jc w:val="center"/>
            </w:pPr>
            <w:r>
              <w:t>44</w:t>
            </w:r>
          </w:p>
        </w:tc>
        <w:tc>
          <w:tcPr>
            <w:tcW w:w="1260" w:type="dxa"/>
            <w:tcBorders>
              <w:top w:val="single" w:sz="4" w:space="0" w:color="auto"/>
              <w:left w:val="single" w:sz="4" w:space="0" w:color="auto"/>
              <w:bottom w:val="single" w:sz="4" w:space="0" w:color="auto"/>
              <w:right w:val="single" w:sz="4" w:space="0" w:color="auto"/>
            </w:tcBorders>
          </w:tcPr>
          <w:p w14:paraId="5103211E" w14:textId="77777777" w:rsidR="00395FD4" w:rsidRDefault="00395FD4" w:rsidP="00395FD4">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001A6AB9" w14:textId="77777777" w:rsidR="00395FD4" w:rsidRDefault="00395FD4" w:rsidP="00395FD4">
            <w:pPr>
              <w:spacing w:after="0" w:line="240" w:lineRule="auto"/>
              <w:jc w:val="center"/>
            </w:pPr>
            <w:r>
              <w:t>2.7</w:t>
            </w:r>
          </w:p>
        </w:tc>
      </w:tr>
      <w:tr w:rsidR="00395FD4" w14:paraId="2B0D8D6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1D538A8"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BEB5770"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E861789"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5941D748" w14:textId="77777777" w:rsidR="00395FD4" w:rsidRDefault="00395FD4" w:rsidP="00395FD4">
            <w:pPr>
              <w:spacing w:after="0" w:line="240" w:lineRule="auto"/>
              <w:jc w:val="center"/>
            </w:pPr>
            <w:r>
              <w:t>34%</w:t>
            </w:r>
          </w:p>
        </w:tc>
        <w:tc>
          <w:tcPr>
            <w:tcW w:w="1170" w:type="dxa"/>
            <w:tcBorders>
              <w:top w:val="single" w:sz="4" w:space="0" w:color="auto"/>
              <w:left w:val="single" w:sz="4" w:space="0" w:color="auto"/>
              <w:bottom w:val="single" w:sz="4" w:space="0" w:color="auto"/>
              <w:right w:val="single" w:sz="4" w:space="0" w:color="auto"/>
            </w:tcBorders>
          </w:tcPr>
          <w:p w14:paraId="4DECD04E" w14:textId="77777777" w:rsidR="00395FD4" w:rsidRDefault="00395FD4" w:rsidP="00395FD4">
            <w:pPr>
              <w:spacing w:after="0" w:line="240" w:lineRule="auto"/>
              <w:jc w:val="center"/>
            </w:pPr>
            <w:r>
              <w:t>48%</w:t>
            </w:r>
          </w:p>
        </w:tc>
        <w:tc>
          <w:tcPr>
            <w:tcW w:w="1260" w:type="dxa"/>
            <w:tcBorders>
              <w:top w:val="single" w:sz="4" w:space="0" w:color="auto"/>
              <w:left w:val="single" w:sz="4" w:space="0" w:color="auto"/>
              <w:bottom w:val="single" w:sz="4" w:space="0" w:color="auto"/>
              <w:right w:val="single" w:sz="4" w:space="0" w:color="auto"/>
            </w:tcBorders>
          </w:tcPr>
          <w:p w14:paraId="11001070" w14:textId="77777777" w:rsidR="00395FD4" w:rsidRDefault="00395FD4" w:rsidP="00395FD4">
            <w:pPr>
              <w:spacing w:after="0" w:line="240" w:lineRule="auto"/>
              <w:jc w:val="center"/>
            </w:pPr>
            <w:r>
              <w:t>12%</w:t>
            </w:r>
          </w:p>
        </w:tc>
        <w:tc>
          <w:tcPr>
            <w:tcW w:w="1098" w:type="dxa"/>
            <w:tcBorders>
              <w:top w:val="single" w:sz="4" w:space="0" w:color="auto"/>
              <w:left w:val="single" w:sz="4" w:space="0" w:color="auto"/>
              <w:bottom w:val="single" w:sz="4" w:space="0" w:color="auto"/>
              <w:right w:val="single" w:sz="4" w:space="0" w:color="auto"/>
            </w:tcBorders>
          </w:tcPr>
          <w:p w14:paraId="4A8352D5" w14:textId="77777777" w:rsidR="00395FD4" w:rsidRDefault="00395FD4" w:rsidP="00395FD4">
            <w:pPr>
              <w:spacing w:after="0" w:line="240" w:lineRule="auto"/>
              <w:jc w:val="center"/>
            </w:pPr>
          </w:p>
        </w:tc>
      </w:tr>
      <w:tr w:rsidR="00395FD4" w14:paraId="3C2E6B5E" w14:textId="77777777" w:rsidTr="000F5BEE">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F72C1F" w14:textId="77777777" w:rsidR="00395FD4" w:rsidRDefault="00395FD4" w:rsidP="00395FD4">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646A7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5542D4"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F1928F"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06617"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A98101"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6FEEC" w14:textId="77777777" w:rsidR="00395FD4" w:rsidRPr="007A2952" w:rsidRDefault="00395FD4" w:rsidP="00395FD4">
            <w:pPr>
              <w:spacing w:after="0" w:line="240" w:lineRule="auto"/>
              <w:jc w:val="center"/>
              <w:rPr>
                <w:b/>
              </w:rPr>
            </w:pPr>
            <w:r w:rsidRPr="007A2952">
              <w:rPr>
                <w:b/>
              </w:rPr>
              <w:t>11.2</w:t>
            </w:r>
          </w:p>
        </w:tc>
      </w:tr>
      <w:tr w:rsidR="00395FD4" w14:paraId="446F0EE4"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BD9C180"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E128DC"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96634"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28A0A"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76A7D5"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15624"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229306" w14:textId="77777777" w:rsidR="00395FD4" w:rsidRPr="007A2952" w:rsidRDefault="00395FD4" w:rsidP="00395FD4">
            <w:pPr>
              <w:spacing w:after="0" w:line="240" w:lineRule="auto"/>
              <w:jc w:val="center"/>
              <w:rPr>
                <w:b/>
              </w:rPr>
            </w:pPr>
            <w:r w:rsidRPr="007A2952">
              <w:rPr>
                <w:b/>
              </w:rPr>
              <w:t>11.8</w:t>
            </w:r>
          </w:p>
        </w:tc>
      </w:tr>
      <w:tr w:rsidR="00395FD4" w14:paraId="1028CA14"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39B2621"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2B002"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F7057B"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A27D6"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702A8"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2D8634"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8241F3" w14:textId="77777777" w:rsidR="00395FD4" w:rsidRPr="007A2952" w:rsidRDefault="00395FD4" w:rsidP="00395FD4">
            <w:pPr>
              <w:spacing w:after="0" w:line="240" w:lineRule="auto"/>
              <w:jc w:val="center"/>
              <w:rPr>
                <w:b/>
              </w:rPr>
            </w:pPr>
            <w:r w:rsidRPr="007A2952">
              <w:rPr>
                <w:b/>
              </w:rPr>
              <w:t>9.8</w:t>
            </w:r>
          </w:p>
        </w:tc>
      </w:tr>
      <w:tr w:rsidR="00395FD4" w14:paraId="3ADA2426"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7DD2557"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EE420D" w14:textId="77777777" w:rsidR="00395FD4" w:rsidRDefault="00395FD4" w:rsidP="00395FD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8BAD6"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47843"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677FD"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05C9A0"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4D91F" w14:textId="77777777" w:rsidR="00395FD4" w:rsidRPr="007A2952" w:rsidRDefault="00395FD4" w:rsidP="00395FD4">
            <w:pPr>
              <w:spacing w:after="0" w:line="240" w:lineRule="auto"/>
              <w:jc w:val="center"/>
              <w:rPr>
                <w:b/>
              </w:rPr>
            </w:pPr>
            <w:r w:rsidRPr="007A2952">
              <w:rPr>
                <w:b/>
              </w:rPr>
              <w:t>10.9</w:t>
            </w:r>
          </w:p>
        </w:tc>
      </w:tr>
    </w:tbl>
    <w:p w14:paraId="5DA98DE3" w14:textId="77777777" w:rsidR="00395FD4" w:rsidRDefault="00395FD4" w:rsidP="00395FD4">
      <w:pPr>
        <w:spacing w:after="0" w:line="240" w:lineRule="auto"/>
      </w:pPr>
    </w:p>
    <w:p w14:paraId="4CB51AE6" w14:textId="77777777" w:rsidR="00395FD4" w:rsidRDefault="00395FD4" w:rsidP="00395FD4">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395FD4" w14:paraId="152152C7" w14:textId="77777777" w:rsidTr="000F5BEE">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5AD5D6CC" w14:textId="77777777" w:rsidR="00395FD4" w:rsidRDefault="00395FD4" w:rsidP="00395FD4">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589E49DE" w14:textId="77777777" w:rsidR="00395FD4" w:rsidRDefault="00395FD4" w:rsidP="00395FD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B84A9DB" w14:textId="77777777" w:rsidR="00395FD4" w:rsidRDefault="00395FD4" w:rsidP="00395FD4">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3B751917" w14:textId="77777777" w:rsidR="00395FD4" w:rsidRDefault="00395FD4" w:rsidP="00395FD4">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16505BBA" w14:textId="77777777" w:rsidR="00395FD4" w:rsidRDefault="00395FD4" w:rsidP="00395FD4">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23DBB647" w14:textId="77777777" w:rsidR="00395FD4" w:rsidRDefault="00395FD4" w:rsidP="00395FD4">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3EEC951D" w14:textId="77777777" w:rsidR="00395FD4" w:rsidRDefault="00395FD4" w:rsidP="00395FD4">
            <w:pPr>
              <w:spacing w:after="0" w:line="240" w:lineRule="auto"/>
              <w:jc w:val="center"/>
            </w:pPr>
            <w:r>
              <w:t>Avg Number of points</w:t>
            </w:r>
          </w:p>
        </w:tc>
      </w:tr>
      <w:tr w:rsidR="00395FD4" w14:paraId="2FD2056B"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3A715C95"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29F99420" w14:textId="77777777" w:rsidR="00395FD4" w:rsidRDefault="00395FD4" w:rsidP="00395FD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6B45ADA" w14:textId="77777777" w:rsidR="00395FD4" w:rsidRDefault="00395FD4" w:rsidP="00395FD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300E451F" w14:textId="77777777" w:rsidR="00395FD4" w:rsidRDefault="00395FD4" w:rsidP="00395FD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2E7E8DA1" w14:textId="77777777" w:rsidR="00395FD4" w:rsidRDefault="00395FD4" w:rsidP="00395FD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80C2B62"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5E93CE6" w14:textId="77777777" w:rsidR="00395FD4" w:rsidRDefault="00395FD4" w:rsidP="00395FD4">
            <w:pPr>
              <w:spacing w:after="0" w:line="240" w:lineRule="auto"/>
              <w:jc w:val="center"/>
            </w:pPr>
            <w:r>
              <w:t>(1 to 4)</w:t>
            </w:r>
          </w:p>
        </w:tc>
      </w:tr>
      <w:tr w:rsidR="00395FD4" w14:paraId="48FA39A3"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26A6C0" w14:textId="77777777" w:rsidR="00395FD4" w:rsidRDefault="00395FD4" w:rsidP="00395FD4">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D7D52A"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975B0" w14:textId="77777777" w:rsidR="00395FD4" w:rsidRDefault="00395FD4" w:rsidP="00395FD4">
            <w:pPr>
              <w:spacing w:after="0" w:line="240" w:lineRule="auto"/>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C4BB14" w14:textId="77777777" w:rsidR="00395FD4" w:rsidRDefault="00395FD4" w:rsidP="00395FD4">
            <w:pPr>
              <w:spacing w:after="0" w:line="240" w:lineRule="auto"/>
              <w:jc w:val="center"/>
            </w:pPr>
            <w: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9B573" w14:textId="77777777" w:rsidR="00395FD4" w:rsidRDefault="00395FD4" w:rsidP="00395FD4">
            <w:pPr>
              <w:spacing w:after="0" w:line="240" w:lineRule="auto"/>
              <w:jc w:val="center"/>
            </w:pPr>
            <w: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2C5AE" w14:textId="77777777" w:rsidR="00395FD4" w:rsidRDefault="00395FD4" w:rsidP="00395FD4">
            <w:pPr>
              <w:spacing w:after="0" w:line="240" w:lineRule="auto"/>
              <w:jc w:val="center"/>
            </w:pPr>
            <w:r>
              <w:t>28%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69A4D" w14:textId="77777777" w:rsidR="00395FD4" w:rsidRDefault="00395FD4" w:rsidP="00395FD4">
            <w:pPr>
              <w:spacing w:after="0" w:line="240" w:lineRule="auto"/>
              <w:jc w:val="center"/>
            </w:pPr>
            <w:r>
              <w:t>2.9</w:t>
            </w:r>
          </w:p>
        </w:tc>
      </w:tr>
      <w:tr w:rsidR="00395FD4" w14:paraId="4C0D0875"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2820EDC"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80F64D"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59C6B"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FEBAC4" w14:textId="77777777" w:rsidR="00395FD4" w:rsidRDefault="00395FD4" w:rsidP="00395FD4">
            <w:pPr>
              <w:spacing w:after="0" w:line="240" w:lineRule="auto"/>
              <w:jc w:val="center"/>
            </w:pPr>
            <w: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FE1D3" w14:textId="77777777" w:rsidR="00395FD4" w:rsidRDefault="00395FD4" w:rsidP="00395FD4">
            <w:pPr>
              <w:spacing w:after="0" w:line="240" w:lineRule="auto"/>
              <w:jc w:val="center"/>
            </w:pPr>
            <w:r>
              <w:t>67%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970F5A" w14:textId="77777777" w:rsidR="00395FD4" w:rsidRDefault="00395FD4" w:rsidP="00395FD4">
            <w:pPr>
              <w:spacing w:after="0" w:line="240" w:lineRule="auto"/>
              <w:jc w:val="center"/>
            </w:pPr>
            <w:r>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4D645" w14:textId="77777777" w:rsidR="00395FD4" w:rsidRDefault="00395FD4" w:rsidP="00395FD4">
            <w:pPr>
              <w:spacing w:after="0" w:line="240" w:lineRule="auto"/>
              <w:jc w:val="center"/>
            </w:pPr>
            <w:r>
              <w:t>3.0</w:t>
            </w:r>
          </w:p>
        </w:tc>
      </w:tr>
      <w:tr w:rsidR="00395FD4" w14:paraId="462C9D22"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B0A3FDB"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4075BF"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1FB47" w14:textId="77777777" w:rsidR="00395FD4" w:rsidRDefault="00395FD4" w:rsidP="00395FD4">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192EE" w14:textId="77777777" w:rsidR="00395FD4" w:rsidRDefault="00395FD4" w:rsidP="00395FD4">
            <w:pPr>
              <w:spacing w:after="0" w:line="240" w:lineRule="auto"/>
              <w:jc w:val="center"/>
            </w:pPr>
            <w:r>
              <w:t>54%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AEA0E1" w14:textId="77777777" w:rsidR="00395FD4" w:rsidRDefault="00395FD4" w:rsidP="00395FD4">
            <w:pPr>
              <w:spacing w:after="0" w:line="240" w:lineRule="auto"/>
              <w:jc w:val="center"/>
            </w:pPr>
            <w:r>
              <w:t>23%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5ED193" w14:textId="77777777" w:rsidR="00395FD4" w:rsidRDefault="00395FD4" w:rsidP="00395FD4">
            <w:pPr>
              <w:spacing w:after="0" w:line="240" w:lineRule="auto"/>
              <w:jc w:val="center"/>
            </w:pPr>
            <w: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9AB55E" w14:textId="77777777" w:rsidR="00395FD4" w:rsidRDefault="00395FD4" w:rsidP="00395FD4">
            <w:pPr>
              <w:spacing w:after="0" w:line="240" w:lineRule="auto"/>
              <w:jc w:val="center"/>
            </w:pPr>
            <w:r>
              <w:t>2.5</w:t>
            </w:r>
          </w:p>
        </w:tc>
      </w:tr>
      <w:tr w:rsidR="00395FD4" w14:paraId="3EDF4B9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3894EDDB"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5AF7E"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A52CE" w14:textId="77777777" w:rsidR="00395FD4" w:rsidRDefault="00395FD4" w:rsidP="00395FD4">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7A777"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0592C" w14:textId="77777777" w:rsidR="00395FD4" w:rsidRDefault="00395FD4" w:rsidP="00395FD4">
            <w:pPr>
              <w:spacing w:after="0" w:line="240" w:lineRule="auto"/>
              <w:jc w:val="center"/>
            </w:pPr>
            <w: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F9B7C2" w14:textId="77777777" w:rsidR="00395FD4" w:rsidRDefault="00395FD4" w:rsidP="00395FD4">
            <w:pPr>
              <w:spacing w:after="0" w:line="240" w:lineRule="auto"/>
              <w:jc w:val="center"/>
            </w:pPr>
            <w:r>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0B9852" w14:textId="77777777" w:rsidR="00395FD4" w:rsidRDefault="00395FD4" w:rsidP="00395FD4">
            <w:pPr>
              <w:spacing w:after="0" w:line="240" w:lineRule="auto"/>
              <w:jc w:val="center"/>
            </w:pPr>
            <w:r>
              <w:t>2.8</w:t>
            </w:r>
          </w:p>
        </w:tc>
      </w:tr>
      <w:tr w:rsidR="00395FD4" w14:paraId="7765D2AE"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763DCD7"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1BD6AE"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7C25A" w14:textId="77777777" w:rsidR="00395FD4" w:rsidRDefault="00395FD4" w:rsidP="00395FD4">
            <w:pPr>
              <w:spacing w:after="0" w:line="240" w:lineRule="auto"/>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B7DB53" w14:textId="77777777" w:rsidR="00395FD4" w:rsidRDefault="00395FD4" w:rsidP="00395FD4">
            <w:pPr>
              <w:spacing w:after="0" w:line="240" w:lineRule="auto"/>
              <w:jc w:val="center"/>
            </w:pPr>
            <w:r>
              <w:t>34%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65D6D2" w14:textId="77777777" w:rsidR="00395FD4" w:rsidRDefault="00395FD4" w:rsidP="00395FD4">
            <w:pPr>
              <w:spacing w:after="0" w:line="240" w:lineRule="auto"/>
              <w:jc w:val="center"/>
            </w:pPr>
            <w:r>
              <w:t>41%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EEFDB3" w14:textId="77777777" w:rsidR="00395FD4" w:rsidRDefault="00395FD4" w:rsidP="00395FD4">
            <w:pPr>
              <w:spacing w:after="0" w:line="240" w:lineRule="auto"/>
              <w:jc w:val="center"/>
            </w:pPr>
            <w:r>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77379" w14:textId="77777777" w:rsidR="00395FD4" w:rsidRDefault="00395FD4" w:rsidP="00395FD4">
            <w:pPr>
              <w:spacing w:after="0" w:line="240" w:lineRule="auto"/>
              <w:jc w:val="center"/>
            </w:pPr>
          </w:p>
        </w:tc>
      </w:tr>
      <w:tr w:rsidR="00395FD4" w14:paraId="716A342B"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1850425E" w14:textId="77777777" w:rsidR="00395FD4" w:rsidRDefault="00395FD4" w:rsidP="00395FD4">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A0ECC0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4B59451" w14:textId="77777777" w:rsidR="00395FD4" w:rsidRDefault="00395FD4" w:rsidP="00395FD4">
            <w:pPr>
              <w:spacing w:after="0" w:line="240" w:lineRule="auto"/>
              <w:jc w:val="center"/>
            </w:pPr>
            <w:r>
              <w:t>19%</w:t>
            </w:r>
          </w:p>
        </w:tc>
        <w:tc>
          <w:tcPr>
            <w:tcW w:w="1080" w:type="dxa"/>
            <w:tcBorders>
              <w:top w:val="single" w:sz="4" w:space="0" w:color="auto"/>
              <w:left w:val="single" w:sz="4" w:space="0" w:color="auto"/>
              <w:bottom w:val="single" w:sz="4" w:space="0" w:color="auto"/>
              <w:right w:val="single" w:sz="4" w:space="0" w:color="auto"/>
            </w:tcBorders>
          </w:tcPr>
          <w:p w14:paraId="45079941" w14:textId="77777777" w:rsidR="00395FD4" w:rsidRDefault="00395FD4" w:rsidP="00395FD4">
            <w:pPr>
              <w:spacing w:after="0" w:line="240" w:lineRule="auto"/>
              <w:jc w:val="center"/>
            </w:pPr>
            <w:r>
              <w:t>38%</w:t>
            </w:r>
          </w:p>
        </w:tc>
        <w:tc>
          <w:tcPr>
            <w:tcW w:w="1170" w:type="dxa"/>
            <w:tcBorders>
              <w:top w:val="single" w:sz="4" w:space="0" w:color="auto"/>
              <w:left w:val="single" w:sz="4" w:space="0" w:color="auto"/>
              <w:bottom w:val="single" w:sz="4" w:space="0" w:color="auto"/>
              <w:right w:val="single" w:sz="4" w:space="0" w:color="auto"/>
            </w:tcBorders>
          </w:tcPr>
          <w:p w14:paraId="4F8F246F" w14:textId="77777777" w:rsidR="00395FD4" w:rsidRDefault="00395FD4" w:rsidP="00395FD4">
            <w:pPr>
              <w:spacing w:after="0" w:line="240" w:lineRule="auto"/>
              <w:jc w:val="center"/>
            </w:pPr>
            <w:r>
              <w:t>34%</w:t>
            </w:r>
          </w:p>
        </w:tc>
        <w:tc>
          <w:tcPr>
            <w:tcW w:w="1260" w:type="dxa"/>
            <w:tcBorders>
              <w:top w:val="single" w:sz="4" w:space="0" w:color="auto"/>
              <w:left w:val="single" w:sz="4" w:space="0" w:color="auto"/>
              <w:bottom w:val="single" w:sz="4" w:space="0" w:color="auto"/>
              <w:right w:val="single" w:sz="4" w:space="0" w:color="auto"/>
            </w:tcBorders>
          </w:tcPr>
          <w:p w14:paraId="41759DA7" w14:textId="77777777" w:rsidR="00395FD4" w:rsidRDefault="00395FD4" w:rsidP="00395FD4">
            <w:pPr>
              <w:spacing w:after="0" w:line="240" w:lineRule="auto"/>
              <w:jc w:val="center"/>
            </w:pPr>
            <w:r>
              <w:t>9%</w:t>
            </w:r>
          </w:p>
        </w:tc>
        <w:tc>
          <w:tcPr>
            <w:tcW w:w="1098" w:type="dxa"/>
            <w:tcBorders>
              <w:top w:val="single" w:sz="4" w:space="0" w:color="auto"/>
              <w:left w:val="single" w:sz="4" w:space="0" w:color="auto"/>
              <w:bottom w:val="single" w:sz="4" w:space="0" w:color="auto"/>
              <w:right w:val="single" w:sz="4" w:space="0" w:color="auto"/>
            </w:tcBorders>
          </w:tcPr>
          <w:p w14:paraId="582DD5A6" w14:textId="77777777" w:rsidR="00395FD4" w:rsidRDefault="00395FD4" w:rsidP="00395FD4">
            <w:pPr>
              <w:spacing w:after="0" w:line="240" w:lineRule="auto"/>
              <w:jc w:val="center"/>
            </w:pPr>
            <w:r>
              <w:t>2.3</w:t>
            </w:r>
          </w:p>
        </w:tc>
      </w:tr>
      <w:tr w:rsidR="00395FD4" w14:paraId="7CBDDF2A"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26040EC"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1A75569"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B844F0C"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tcPr>
          <w:p w14:paraId="7DD95825" w14:textId="77777777" w:rsidR="00395FD4" w:rsidRDefault="00395FD4" w:rsidP="00395FD4">
            <w:pPr>
              <w:spacing w:after="0" w:line="240" w:lineRule="auto"/>
              <w:jc w:val="center"/>
            </w:pPr>
            <w:r>
              <w:t>50%</w:t>
            </w:r>
          </w:p>
        </w:tc>
        <w:tc>
          <w:tcPr>
            <w:tcW w:w="1170" w:type="dxa"/>
            <w:tcBorders>
              <w:top w:val="single" w:sz="4" w:space="0" w:color="auto"/>
              <w:left w:val="single" w:sz="4" w:space="0" w:color="auto"/>
              <w:bottom w:val="single" w:sz="4" w:space="0" w:color="auto"/>
              <w:right w:val="single" w:sz="4" w:space="0" w:color="auto"/>
            </w:tcBorders>
          </w:tcPr>
          <w:p w14:paraId="16178D03" w14:textId="77777777" w:rsidR="00395FD4" w:rsidRDefault="00395FD4" w:rsidP="00395FD4">
            <w:pPr>
              <w:spacing w:after="0" w:line="240" w:lineRule="auto"/>
              <w:jc w:val="center"/>
            </w:pPr>
            <w:r>
              <w:t>39%</w:t>
            </w:r>
          </w:p>
        </w:tc>
        <w:tc>
          <w:tcPr>
            <w:tcW w:w="1260" w:type="dxa"/>
            <w:tcBorders>
              <w:top w:val="single" w:sz="4" w:space="0" w:color="auto"/>
              <w:left w:val="single" w:sz="4" w:space="0" w:color="auto"/>
              <w:bottom w:val="single" w:sz="4" w:space="0" w:color="auto"/>
              <w:right w:val="single" w:sz="4" w:space="0" w:color="auto"/>
            </w:tcBorders>
          </w:tcPr>
          <w:p w14:paraId="20897273" w14:textId="77777777" w:rsidR="00395FD4" w:rsidRDefault="00395FD4" w:rsidP="00395FD4">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tcPr>
          <w:p w14:paraId="53F86EC2" w14:textId="77777777" w:rsidR="00395FD4" w:rsidRDefault="00395FD4" w:rsidP="00395FD4">
            <w:pPr>
              <w:spacing w:after="0" w:line="240" w:lineRule="auto"/>
              <w:jc w:val="center"/>
            </w:pPr>
            <w:r>
              <w:t>2.4</w:t>
            </w:r>
          </w:p>
        </w:tc>
      </w:tr>
      <w:tr w:rsidR="00395FD4" w14:paraId="1655BDD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B275488"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EE2AC10"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8EFC6AA" w14:textId="77777777" w:rsidR="00395FD4" w:rsidRDefault="00395FD4" w:rsidP="00395FD4">
            <w:pPr>
              <w:spacing w:after="0" w:line="240" w:lineRule="auto"/>
              <w:jc w:val="center"/>
            </w:pPr>
            <w:r>
              <w:t>35%</w:t>
            </w:r>
          </w:p>
        </w:tc>
        <w:tc>
          <w:tcPr>
            <w:tcW w:w="1080" w:type="dxa"/>
            <w:tcBorders>
              <w:top w:val="single" w:sz="4" w:space="0" w:color="auto"/>
              <w:left w:val="single" w:sz="4" w:space="0" w:color="auto"/>
              <w:bottom w:val="single" w:sz="4" w:space="0" w:color="auto"/>
              <w:right w:val="single" w:sz="4" w:space="0" w:color="auto"/>
            </w:tcBorders>
          </w:tcPr>
          <w:p w14:paraId="51A55454"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tcPr>
          <w:p w14:paraId="4EA0FBEC" w14:textId="77777777" w:rsidR="00395FD4" w:rsidRDefault="00395FD4" w:rsidP="00395FD4">
            <w:pPr>
              <w:spacing w:after="0" w:line="240" w:lineRule="auto"/>
              <w:jc w:val="center"/>
            </w:pPr>
            <w:r>
              <w:t>31%</w:t>
            </w:r>
          </w:p>
        </w:tc>
        <w:tc>
          <w:tcPr>
            <w:tcW w:w="1260" w:type="dxa"/>
            <w:tcBorders>
              <w:top w:val="single" w:sz="4" w:space="0" w:color="auto"/>
              <w:left w:val="single" w:sz="4" w:space="0" w:color="auto"/>
              <w:bottom w:val="single" w:sz="4" w:space="0" w:color="auto"/>
              <w:right w:val="single" w:sz="4" w:space="0" w:color="auto"/>
            </w:tcBorders>
          </w:tcPr>
          <w:p w14:paraId="10ED6BAC"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tcPr>
          <w:p w14:paraId="7F485E47" w14:textId="77777777" w:rsidR="00395FD4" w:rsidRDefault="00395FD4" w:rsidP="00395FD4">
            <w:pPr>
              <w:spacing w:after="0" w:line="240" w:lineRule="auto"/>
              <w:jc w:val="center"/>
            </w:pPr>
            <w:r>
              <w:t>2.0</w:t>
            </w:r>
          </w:p>
        </w:tc>
      </w:tr>
      <w:tr w:rsidR="00395FD4" w14:paraId="575B377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2616255"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D0646AD"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4D20EA0" w14:textId="77777777" w:rsidR="00395FD4" w:rsidRDefault="00395FD4" w:rsidP="00395FD4">
            <w:pPr>
              <w:spacing w:after="0" w:line="240" w:lineRule="auto"/>
              <w:jc w:val="center"/>
            </w:pPr>
            <w:r>
              <w:t>19</w:t>
            </w:r>
          </w:p>
        </w:tc>
        <w:tc>
          <w:tcPr>
            <w:tcW w:w="1080" w:type="dxa"/>
            <w:tcBorders>
              <w:top w:val="single" w:sz="4" w:space="0" w:color="auto"/>
              <w:left w:val="single" w:sz="4" w:space="0" w:color="auto"/>
              <w:bottom w:val="single" w:sz="4" w:space="0" w:color="auto"/>
              <w:right w:val="single" w:sz="4" w:space="0" w:color="auto"/>
            </w:tcBorders>
          </w:tcPr>
          <w:p w14:paraId="5987D74E" w14:textId="77777777" w:rsidR="00395FD4" w:rsidRDefault="00395FD4" w:rsidP="00395FD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4B5BBA9B" w14:textId="77777777" w:rsidR="00395FD4" w:rsidRDefault="00395FD4" w:rsidP="00395FD4">
            <w:pPr>
              <w:spacing w:after="0" w:line="240" w:lineRule="auto"/>
              <w:jc w:val="center"/>
            </w:pPr>
            <w:r>
              <w:t>31</w:t>
            </w:r>
          </w:p>
        </w:tc>
        <w:tc>
          <w:tcPr>
            <w:tcW w:w="1260" w:type="dxa"/>
            <w:tcBorders>
              <w:top w:val="single" w:sz="4" w:space="0" w:color="auto"/>
              <w:left w:val="single" w:sz="4" w:space="0" w:color="auto"/>
              <w:bottom w:val="single" w:sz="4" w:space="0" w:color="auto"/>
              <w:right w:val="single" w:sz="4" w:space="0" w:color="auto"/>
            </w:tcBorders>
          </w:tcPr>
          <w:p w14:paraId="19129C09" w14:textId="77777777" w:rsidR="00395FD4" w:rsidRDefault="00395FD4" w:rsidP="00395FD4">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tcPr>
          <w:p w14:paraId="79F8C2EF" w14:textId="77777777" w:rsidR="00395FD4" w:rsidRDefault="00395FD4" w:rsidP="00395FD4">
            <w:pPr>
              <w:spacing w:after="0" w:line="240" w:lineRule="auto"/>
              <w:jc w:val="center"/>
            </w:pPr>
            <w:r>
              <w:t>2.3</w:t>
            </w:r>
          </w:p>
        </w:tc>
      </w:tr>
      <w:tr w:rsidR="00395FD4" w14:paraId="6AE7FCB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616BDF1E"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25B6AA7"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817399A" w14:textId="77777777" w:rsidR="00395FD4" w:rsidRDefault="00395FD4" w:rsidP="00395FD4">
            <w:pPr>
              <w:spacing w:after="0" w:line="240" w:lineRule="auto"/>
              <w:jc w:val="center"/>
            </w:pPr>
            <w:r>
              <w:t>21%</w:t>
            </w:r>
          </w:p>
        </w:tc>
        <w:tc>
          <w:tcPr>
            <w:tcW w:w="1080" w:type="dxa"/>
            <w:tcBorders>
              <w:top w:val="single" w:sz="4" w:space="0" w:color="auto"/>
              <w:left w:val="single" w:sz="4" w:space="0" w:color="auto"/>
              <w:bottom w:val="single" w:sz="4" w:space="0" w:color="auto"/>
              <w:right w:val="single" w:sz="4" w:space="0" w:color="auto"/>
            </w:tcBorders>
          </w:tcPr>
          <w:p w14:paraId="7E096D82" w14:textId="77777777" w:rsidR="00395FD4" w:rsidRDefault="00395FD4" w:rsidP="00395FD4">
            <w:pPr>
              <w:spacing w:after="0" w:line="240" w:lineRule="auto"/>
              <w:jc w:val="center"/>
            </w:pPr>
            <w:r>
              <w:t>38%</w:t>
            </w:r>
          </w:p>
        </w:tc>
        <w:tc>
          <w:tcPr>
            <w:tcW w:w="1170" w:type="dxa"/>
            <w:tcBorders>
              <w:top w:val="single" w:sz="4" w:space="0" w:color="auto"/>
              <w:left w:val="single" w:sz="4" w:space="0" w:color="auto"/>
              <w:bottom w:val="single" w:sz="4" w:space="0" w:color="auto"/>
              <w:right w:val="single" w:sz="4" w:space="0" w:color="auto"/>
            </w:tcBorders>
          </w:tcPr>
          <w:p w14:paraId="4ABB1DA3" w14:textId="77777777" w:rsidR="00395FD4" w:rsidRDefault="00395FD4" w:rsidP="00395FD4">
            <w:pPr>
              <w:spacing w:after="0" w:line="240" w:lineRule="auto"/>
              <w:jc w:val="center"/>
            </w:pPr>
            <w:r>
              <w:t>34%</w:t>
            </w:r>
          </w:p>
        </w:tc>
        <w:tc>
          <w:tcPr>
            <w:tcW w:w="1260" w:type="dxa"/>
            <w:tcBorders>
              <w:top w:val="single" w:sz="4" w:space="0" w:color="auto"/>
              <w:left w:val="single" w:sz="4" w:space="0" w:color="auto"/>
              <w:bottom w:val="single" w:sz="4" w:space="0" w:color="auto"/>
              <w:right w:val="single" w:sz="4" w:space="0" w:color="auto"/>
            </w:tcBorders>
          </w:tcPr>
          <w:p w14:paraId="076CC5DE" w14:textId="77777777" w:rsidR="00395FD4" w:rsidRDefault="00395FD4" w:rsidP="00395FD4">
            <w:pPr>
              <w:spacing w:after="0" w:line="240" w:lineRule="auto"/>
              <w:jc w:val="center"/>
            </w:pPr>
            <w:r>
              <w:t>7%</w:t>
            </w:r>
          </w:p>
        </w:tc>
        <w:tc>
          <w:tcPr>
            <w:tcW w:w="1098" w:type="dxa"/>
            <w:tcBorders>
              <w:top w:val="single" w:sz="4" w:space="0" w:color="auto"/>
              <w:left w:val="single" w:sz="4" w:space="0" w:color="auto"/>
              <w:bottom w:val="single" w:sz="4" w:space="0" w:color="auto"/>
              <w:right w:val="single" w:sz="4" w:space="0" w:color="auto"/>
            </w:tcBorders>
          </w:tcPr>
          <w:p w14:paraId="72EF8C58" w14:textId="77777777" w:rsidR="00395FD4" w:rsidRDefault="00395FD4" w:rsidP="00395FD4">
            <w:pPr>
              <w:spacing w:after="0" w:line="240" w:lineRule="auto"/>
              <w:jc w:val="center"/>
            </w:pPr>
          </w:p>
        </w:tc>
      </w:tr>
      <w:tr w:rsidR="00395FD4" w14:paraId="2EF1EEB1"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D7A05F" w14:textId="77777777" w:rsidR="00395FD4" w:rsidRDefault="00395FD4" w:rsidP="00395FD4">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041E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C9874" w14:textId="77777777" w:rsidR="00395FD4" w:rsidRDefault="00395FD4" w:rsidP="00395FD4">
            <w:pPr>
              <w:spacing w:after="0" w:line="240" w:lineRule="auto"/>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515EB4" w14:textId="77777777" w:rsidR="00395FD4" w:rsidRDefault="00395FD4" w:rsidP="00395FD4">
            <w:pPr>
              <w:spacing w:after="0" w:line="240" w:lineRule="auto"/>
              <w:jc w:val="center"/>
            </w:pPr>
            <w:r>
              <w:t>38%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ADA95" w14:textId="77777777" w:rsidR="00395FD4" w:rsidRDefault="00395FD4" w:rsidP="00395FD4">
            <w:pPr>
              <w:spacing w:after="0" w:line="240" w:lineRule="auto"/>
              <w:jc w:val="center"/>
            </w:pPr>
            <w: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07300"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89DFE" w14:textId="77777777" w:rsidR="00395FD4" w:rsidRDefault="00395FD4" w:rsidP="00395FD4">
            <w:pPr>
              <w:spacing w:after="0" w:line="240" w:lineRule="auto"/>
              <w:jc w:val="center"/>
            </w:pPr>
            <w:r>
              <w:t>2.4</w:t>
            </w:r>
          </w:p>
        </w:tc>
      </w:tr>
      <w:tr w:rsidR="00395FD4" w14:paraId="724A7559"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125ED8D7"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1701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262734" w14:textId="77777777" w:rsidR="00395FD4" w:rsidRDefault="00395FD4" w:rsidP="00395FD4">
            <w:pPr>
              <w:spacing w:after="0" w:line="240" w:lineRule="auto"/>
              <w:jc w:val="center"/>
            </w:pPr>
            <w:r>
              <w:t>17%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BAD19A" w14:textId="091C8EF9" w:rsidR="00395FD4" w:rsidRDefault="00395FD4" w:rsidP="00395FD4">
            <w:pPr>
              <w:spacing w:after="0" w:line="240" w:lineRule="auto"/>
              <w:jc w:val="center"/>
            </w:pPr>
            <w:r>
              <w:t>33</w:t>
            </w:r>
            <w:r w:rsidR="001C3294">
              <w:t>%</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7E75F"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40D0A" w14:textId="77777777" w:rsidR="00395FD4" w:rsidRDefault="00395FD4" w:rsidP="00395FD4">
            <w:pPr>
              <w:spacing w:after="0" w:line="240" w:lineRule="auto"/>
              <w:jc w:val="center"/>
            </w:pPr>
            <w: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51744" w14:textId="77777777" w:rsidR="00395FD4" w:rsidRDefault="00395FD4" w:rsidP="00395FD4">
            <w:pPr>
              <w:spacing w:after="0" w:line="240" w:lineRule="auto"/>
              <w:jc w:val="center"/>
            </w:pPr>
            <w:r>
              <w:t>2.3</w:t>
            </w:r>
          </w:p>
        </w:tc>
      </w:tr>
      <w:tr w:rsidR="00395FD4" w14:paraId="467B1057"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D84DBE2"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F42D0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FC9F9" w14:textId="77777777" w:rsidR="00395FD4" w:rsidRDefault="00395FD4" w:rsidP="00395FD4">
            <w:pPr>
              <w:spacing w:after="0" w:line="240" w:lineRule="auto"/>
              <w:jc w:val="center"/>
            </w:pPr>
            <w:r>
              <w:t>42%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40EED" w14:textId="77777777" w:rsidR="00395FD4" w:rsidRDefault="00395FD4" w:rsidP="00395FD4">
            <w:pPr>
              <w:spacing w:after="0" w:line="240" w:lineRule="auto"/>
              <w:jc w:val="center"/>
            </w:pPr>
            <w: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D8026" w14:textId="77777777" w:rsidR="00395FD4" w:rsidRDefault="00395FD4" w:rsidP="00395FD4">
            <w:pPr>
              <w:spacing w:after="0" w:line="240" w:lineRule="auto"/>
              <w:jc w:val="center"/>
            </w:pPr>
            <w:r>
              <w:t>23%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A1AC7"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307D" w14:textId="77777777" w:rsidR="00395FD4" w:rsidRDefault="00395FD4" w:rsidP="00395FD4">
            <w:pPr>
              <w:spacing w:after="0" w:line="240" w:lineRule="auto"/>
              <w:jc w:val="center"/>
            </w:pPr>
            <w:r>
              <w:t>1.9</w:t>
            </w:r>
          </w:p>
        </w:tc>
      </w:tr>
      <w:tr w:rsidR="00395FD4" w14:paraId="7F322EA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A2EA6C7"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123F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CB3F0" w14:textId="77777777" w:rsidR="00395FD4" w:rsidRDefault="00395FD4" w:rsidP="00395FD4">
            <w:pPr>
              <w:spacing w:after="0" w:line="240" w:lineRule="auto"/>
              <w:jc w:val="center"/>
            </w:pPr>
            <w:r>
              <w:t>21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FBA6E" w14:textId="77777777" w:rsidR="00395FD4" w:rsidRDefault="00395FD4" w:rsidP="00395FD4">
            <w:pPr>
              <w:spacing w:after="0" w:line="240" w:lineRule="auto"/>
              <w:jc w:val="center"/>
            </w:pPr>
            <w: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FE94D" w14:textId="77777777" w:rsidR="00395FD4" w:rsidRDefault="00395FD4" w:rsidP="00395FD4">
            <w:pPr>
              <w:spacing w:after="0" w:line="240" w:lineRule="auto"/>
              <w:jc w:val="center"/>
            </w:pPr>
            <w: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5F28E" w14:textId="77777777" w:rsidR="00395FD4" w:rsidRDefault="00395FD4" w:rsidP="00395FD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72BA4" w14:textId="77777777" w:rsidR="00395FD4" w:rsidRDefault="00395FD4" w:rsidP="00395FD4">
            <w:pPr>
              <w:spacing w:after="0" w:line="240" w:lineRule="auto"/>
              <w:jc w:val="center"/>
            </w:pPr>
            <w:r>
              <w:t>2.2</w:t>
            </w:r>
          </w:p>
        </w:tc>
      </w:tr>
      <w:tr w:rsidR="00395FD4" w14:paraId="661CD57A"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334DB71"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53FE"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4A1E3A" w14:textId="77777777" w:rsidR="00395FD4" w:rsidRDefault="00395FD4" w:rsidP="00395FD4">
            <w:pPr>
              <w:spacing w:after="0" w:line="240" w:lineRule="auto"/>
              <w:jc w:val="center"/>
            </w:pPr>
            <w:r>
              <w:t>23%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66094" w14:textId="77777777" w:rsidR="00395FD4" w:rsidRDefault="00395FD4" w:rsidP="00395FD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63C883" w14:textId="77777777" w:rsidR="00395FD4" w:rsidRDefault="00395FD4" w:rsidP="00395FD4">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100CA7" w14:textId="77777777" w:rsidR="00395FD4" w:rsidRDefault="00395FD4" w:rsidP="00395FD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22BF2" w14:textId="77777777" w:rsidR="00395FD4" w:rsidRDefault="00395FD4" w:rsidP="00395FD4">
            <w:pPr>
              <w:spacing w:after="0" w:line="240" w:lineRule="auto"/>
              <w:jc w:val="center"/>
            </w:pPr>
          </w:p>
        </w:tc>
      </w:tr>
      <w:tr w:rsidR="00395FD4" w14:paraId="1A40A55D"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7B369F1B" w14:textId="77777777" w:rsidR="00395FD4" w:rsidRDefault="00395FD4" w:rsidP="00395FD4">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7982BD53"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7A6165C" w14:textId="77777777" w:rsidR="00395FD4" w:rsidRDefault="00395FD4" w:rsidP="00395FD4">
            <w:pPr>
              <w:spacing w:after="0" w:line="240" w:lineRule="auto"/>
              <w:jc w:val="center"/>
            </w:pPr>
            <w:r>
              <w:t>23%</w:t>
            </w:r>
          </w:p>
        </w:tc>
        <w:tc>
          <w:tcPr>
            <w:tcW w:w="1080" w:type="dxa"/>
            <w:tcBorders>
              <w:top w:val="single" w:sz="4" w:space="0" w:color="auto"/>
              <w:left w:val="single" w:sz="4" w:space="0" w:color="auto"/>
              <w:bottom w:val="single" w:sz="4" w:space="0" w:color="auto"/>
              <w:right w:val="single" w:sz="4" w:space="0" w:color="auto"/>
            </w:tcBorders>
          </w:tcPr>
          <w:p w14:paraId="29B48EFB" w14:textId="77777777" w:rsidR="00395FD4" w:rsidRDefault="00395FD4" w:rsidP="00395FD4">
            <w:pPr>
              <w:spacing w:after="0" w:line="240" w:lineRule="auto"/>
              <w:jc w:val="center"/>
            </w:pPr>
            <w:r>
              <w:t>36%</w:t>
            </w:r>
          </w:p>
        </w:tc>
        <w:tc>
          <w:tcPr>
            <w:tcW w:w="1170" w:type="dxa"/>
            <w:tcBorders>
              <w:top w:val="single" w:sz="4" w:space="0" w:color="auto"/>
              <w:left w:val="single" w:sz="4" w:space="0" w:color="auto"/>
              <w:bottom w:val="single" w:sz="4" w:space="0" w:color="auto"/>
              <w:right w:val="single" w:sz="4" w:space="0" w:color="auto"/>
            </w:tcBorders>
          </w:tcPr>
          <w:p w14:paraId="0EDDF892" w14:textId="77777777" w:rsidR="00395FD4" w:rsidRDefault="00395FD4" w:rsidP="00395FD4">
            <w:pPr>
              <w:spacing w:after="0" w:line="240" w:lineRule="auto"/>
              <w:jc w:val="center"/>
            </w:pPr>
            <w:r>
              <w:t>28%</w:t>
            </w:r>
          </w:p>
        </w:tc>
        <w:tc>
          <w:tcPr>
            <w:tcW w:w="1260" w:type="dxa"/>
            <w:tcBorders>
              <w:top w:val="single" w:sz="4" w:space="0" w:color="auto"/>
              <w:left w:val="single" w:sz="4" w:space="0" w:color="auto"/>
              <w:bottom w:val="single" w:sz="4" w:space="0" w:color="auto"/>
              <w:right w:val="single" w:sz="4" w:space="0" w:color="auto"/>
            </w:tcBorders>
          </w:tcPr>
          <w:p w14:paraId="7495B428" w14:textId="77777777" w:rsidR="00395FD4" w:rsidRDefault="00395FD4" w:rsidP="00395FD4">
            <w:pPr>
              <w:spacing w:after="0" w:line="240" w:lineRule="auto"/>
              <w:jc w:val="center"/>
            </w:pPr>
            <w:r>
              <w:t>13%</w:t>
            </w:r>
          </w:p>
        </w:tc>
        <w:tc>
          <w:tcPr>
            <w:tcW w:w="1098" w:type="dxa"/>
            <w:tcBorders>
              <w:top w:val="single" w:sz="4" w:space="0" w:color="auto"/>
              <w:left w:val="single" w:sz="4" w:space="0" w:color="auto"/>
              <w:bottom w:val="single" w:sz="4" w:space="0" w:color="auto"/>
              <w:right w:val="single" w:sz="4" w:space="0" w:color="auto"/>
            </w:tcBorders>
          </w:tcPr>
          <w:p w14:paraId="2E2D486F" w14:textId="77777777" w:rsidR="00395FD4" w:rsidRDefault="00395FD4" w:rsidP="00395FD4">
            <w:pPr>
              <w:spacing w:after="0" w:line="240" w:lineRule="auto"/>
              <w:jc w:val="center"/>
            </w:pPr>
            <w:r>
              <w:t>2.3</w:t>
            </w:r>
          </w:p>
        </w:tc>
      </w:tr>
      <w:tr w:rsidR="00395FD4" w14:paraId="299DCF9B"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3D14AEDC"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D851219"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51443AA"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tcPr>
          <w:p w14:paraId="0574B0E5" w14:textId="77777777" w:rsidR="00395FD4" w:rsidRDefault="00395FD4" w:rsidP="00395FD4">
            <w:pPr>
              <w:spacing w:after="0" w:line="240" w:lineRule="auto"/>
              <w:jc w:val="center"/>
            </w:pPr>
            <w:r>
              <w:t>33%</w:t>
            </w:r>
          </w:p>
        </w:tc>
        <w:tc>
          <w:tcPr>
            <w:tcW w:w="1170" w:type="dxa"/>
            <w:tcBorders>
              <w:top w:val="single" w:sz="4" w:space="0" w:color="auto"/>
              <w:left w:val="single" w:sz="4" w:space="0" w:color="auto"/>
              <w:bottom w:val="single" w:sz="4" w:space="0" w:color="auto"/>
              <w:right w:val="single" w:sz="4" w:space="0" w:color="auto"/>
            </w:tcBorders>
          </w:tcPr>
          <w:p w14:paraId="68B2F663"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tcPr>
          <w:p w14:paraId="34A332D2" w14:textId="77777777" w:rsidR="00395FD4" w:rsidRDefault="00395FD4" w:rsidP="00395FD4">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73E1699E" w14:textId="77777777" w:rsidR="00395FD4" w:rsidRDefault="00395FD4" w:rsidP="00395FD4">
            <w:pPr>
              <w:spacing w:after="0" w:line="240" w:lineRule="auto"/>
              <w:jc w:val="center"/>
            </w:pPr>
            <w:r>
              <w:t>2.7</w:t>
            </w:r>
          </w:p>
        </w:tc>
      </w:tr>
      <w:tr w:rsidR="00395FD4" w14:paraId="24B4C3A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63234DE"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F22EE0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A128A64" w14:textId="77777777" w:rsidR="00395FD4" w:rsidRDefault="00395FD4" w:rsidP="00395FD4">
            <w:pPr>
              <w:spacing w:after="0" w:line="240" w:lineRule="auto"/>
              <w:jc w:val="center"/>
            </w:pPr>
            <w:r>
              <w:t>27%</w:t>
            </w:r>
          </w:p>
        </w:tc>
        <w:tc>
          <w:tcPr>
            <w:tcW w:w="1080" w:type="dxa"/>
            <w:tcBorders>
              <w:top w:val="single" w:sz="4" w:space="0" w:color="auto"/>
              <w:left w:val="single" w:sz="4" w:space="0" w:color="auto"/>
              <w:bottom w:val="single" w:sz="4" w:space="0" w:color="auto"/>
              <w:right w:val="single" w:sz="4" w:space="0" w:color="auto"/>
            </w:tcBorders>
          </w:tcPr>
          <w:p w14:paraId="2453DDF2" w14:textId="77777777" w:rsidR="00395FD4" w:rsidRDefault="00395FD4" w:rsidP="00395FD4">
            <w:pPr>
              <w:spacing w:after="0" w:line="240" w:lineRule="auto"/>
              <w:jc w:val="center"/>
            </w:pPr>
            <w:r>
              <w:t>46%</w:t>
            </w:r>
          </w:p>
        </w:tc>
        <w:tc>
          <w:tcPr>
            <w:tcW w:w="1170" w:type="dxa"/>
            <w:tcBorders>
              <w:top w:val="single" w:sz="4" w:space="0" w:color="auto"/>
              <w:left w:val="single" w:sz="4" w:space="0" w:color="auto"/>
              <w:bottom w:val="single" w:sz="4" w:space="0" w:color="auto"/>
              <w:right w:val="single" w:sz="4" w:space="0" w:color="auto"/>
            </w:tcBorders>
          </w:tcPr>
          <w:p w14:paraId="4076488F" w14:textId="77777777" w:rsidR="00395FD4" w:rsidRDefault="00395FD4" w:rsidP="00395FD4">
            <w:pPr>
              <w:spacing w:after="0" w:line="240" w:lineRule="auto"/>
              <w:jc w:val="center"/>
            </w:pPr>
            <w:r>
              <w:t>19%</w:t>
            </w:r>
          </w:p>
        </w:tc>
        <w:tc>
          <w:tcPr>
            <w:tcW w:w="1260" w:type="dxa"/>
            <w:tcBorders>
              <w:top w:val="single" w:sz="4" w:space="0" w:color="auto"/>
              <w:left w:val="single" w:sz="4" w:space="0" w:color="auto"/>
              <w:bottom w:val="single" w:sz="4" w:space="0" w:color="auto"/>
              <w:right w:val="single" w:sz="4" w:space="0" w:color="auto"/>
            </w:tcBorders>
          </w:tcPr>
          <w:p w14:paraId="14CA5FE8" w14:textId="77777777" w:rsidR="00395FD4" w:rsidRDefault="00395FD4" w:rsidP="00395FD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tcPr>
          <w:p w14:paraId="32CE0579" w14:textId="77777777" w:rsidR="00395FD4" w:rsidRDefault="00395FD4" w:rsidP="00395FD4">
            <w:pPr>
              <w:spacing w:after="0" w:line="240" w:lineRule="auto"/>
              <w:jc w:val="center"/>
            </w:pPr>
            <w:r>
              <w:t>2.1</w:t>
            </w:r>
          </w:p>
        </w:tc>
      </w:tr>
      <w:tr w:rsidR="00395FD4" w14:paraId="5B322D89"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5C2CF8F"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DA17E62"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77A62DA" w14:textId="77777777" w:rsidR="00395FD4" w:rsidRDefault="00395FD4" w:rsidP="00395FD4">
            <w:pPr>
              <w:spacing w:after="0" w:line="240" w:lineRule="auto"/>
              <w:jc w:val="center"/>
            </w:pPr>
            <w:r>
              <w:t>19</w:t>
            </w:r>
          </w:p>
        </w:tc>
        <w:tc>
          <w:tcPr>
            <w:tcW w:w="1080" w:type="dxa"/>
            <w:tcBorders>
              <w:top w:val="single" w:sz="4" w:space="0" w:color="auto"/>
              <w:left w:val="single" w:sz="4" w:space="0" w:color="auto"/>
              <w:bottom w:val="single" w:sz="4" w:space="0" w:color="auto"/>
              <w:right w:val="single" w:sz="4" w:space="0" w:color="auto"/>
            </w:tcBorders>
          </w:tcPr>
          <w:p w14:paraId="4D2EF23A" w14:textId="77777777" w:rsidR="00395FD4" w:rsidRDefault="00395FD4" w:rsidP="00395FD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1D0F7B48" w14:textId="77777777" w:rsidR="00395FD4" w:rsidRDefault="00395FD4" w:rsidP="00395FD4">
            <w:pPr>
              <w:spacing w:after="0" w:line="240" w:lineRule="auto"/>
              <w:jc w:val="center"/>
            </w:pPr>
            <w:r>
              <w:t>27</w:t>
            </w:r>
          </w:p>
        </w:tc>
        <w:tc>
          <w:tcPr>
            <w:tcW w:w="1260" w:type="dxa"/>
            <w:tcBorders>
              <w:top w:val="single" w:sz="4" w:space="0" w:color="auto"/>
              <w:left w:val="single" w:sz="4" w:space="0" w:color="auto"/>
              <w:bottom w:val="single" w:sz="4" w:space="0" w:color="auto"/>
              <w:right w:val="single" w:sz="4" w:space="0" w:color="auto"/>
            </w:tcBorders>
          </w:tcPr>
          <w:p w14:paraId="75F93552" w14:textId="77777777" w:rsidR="00395FD4" w:rsidRDefault="00395FD4" w:rsidP="00395FD4">
            <w:pPr>
              <w:spacing w:after="0" w:line="240" w:lineRule="auto"/>
              <w:jc w:val="center"/>
            </w:pPr>
            <w:r>
              <w:t>10</w:t>
            </w:r>
          </w:p>
        </w:tc>
        <w:tc>
          <w:tcPr>
            <w:tcW w:w="1098" w:type="dxa"/>
            <w:tcBorders>
              <w:top w:val="single" w:sz="4" w:space="0" w:color="auto"/>
              <w:left w:val="single" w:sz="4" w:space="0" w:color="auto"/>
              <w:bottom w:val="single" w:sz="4" w:space="0" w:color="auto"/>
              <w:right w:val="single" w:sz="4" w:space="0" w:color="auto"/>
            </w:tcBorders>
          </w:tcPr>
          <w:p w14:paraId="747F8585" w14:textId="77777777" w:rsidR="00395FD4" w:rsidRDefault="00395FD4" w:rsidP="00395FD4">
            <w:pPr>
              <w:spacing w:after="0" w:line="240" w:lineRule="auto"/>
              <w:jc w:val="center"/>
            </w:pPr>
            <w:r>
              <w:t>2.3</w:t>
            </w:r>
          </w:p>
        </w:tc>
      </w:tr>
      <w:tr w:rsidR="00395FD4" w14:paraId="52722C83"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2F09C21A"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468376A"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D229A6D" w14:textId="77777777" w:rsidR="00395FD4" w:rsidRDefault="00395FD4" w:rsidP="00395FD4">
            <w:pPr>
              <w:spacing w:after="0" w:line="240" w:lineRule="auto"/>
              <w:jc w:val="center"/>
            </w:pPr>
            <w:r>
              <w:t>21%</w:t>
            </w:r>
          </w:p>
        </w:tc>
        <w:tc>
          <w:tcPr>
            <w:tcW w:w="1080" w:type="dxa"/>
            <w:tcBorders>
              <w:top w:val="single" w:sz="4" w:space="0" w:color="auto"/>
              <w:left w:val="single" w:sz="4" w:space="0" w:color="auto"/>
              <w:bottom w:val="single" w:sz="4" w:space="0" w:color="auto"/>
              <w:right w:val="single" w:sz="4" w:space="0" w:color="auto"/>
            </w:tcBorders>
          </w:tcPr>
          <w:p w14:paraId="438B14EC" w14:textId="77777777" w:rsidR="00395FD4" w:rsidRDefault="00395FD4" w:rsidP="00395FD4">
            <w:pPr>
              <w:spacing w:after="0" w:line="240" w:lineRule="auto"/>
              <w:jc w:val="center"/>
            </w:pPr>
            <w:r>
              <w:t>38%</w:t>
            </w:r>
          </w:p>
        </w:tc>
        <w:tc>
          <w:tcPr>
            <w:tcW w:w="1170" w:type="dxa"/>
            <w:tcBorders>
              <w:top w:val="single" w:sz="4" w:space="0" w:color="auto"/>
              <w:left w:val="single" w:sz="4" w:space="0" w:color="auto"/>
              <w:bottom w:val="single" w:sz="4" w:space="0" w:color="auto"/>
              <w:right w:val="single" w:sz="4" w:space="0" w:color="auto"/>
            </w:tcBorders>
          </w:tcPr>
          <w:p w14:paraId="49AE8CF5" w14:textId="77777777" w:rsidR="00395FD4" w:rsidRDefault="00395FD4" w:rsidP="00395FD4">
            <w:pPr>
              <w:spacing w:after="0" w:line="240" w:lineRule="auto"/>
              <w:jc w:val="center"/>
            </w:pPr>
            <w:r>
              <w:t>30%</w:t>
            </w:r>
          </w:p>
        </w:tc>
        <w:tc>
          <w:tcPr>
            <w:tcW w:w="1260" w:type="dxa"/>
            <w:tcBorders>
              <w:top w:val="single" w:sz="4" w:space="0" w:color="auto"/>
              <w:left w:val="single" w:sz="4" w:space="0" w:color="auto"/>
              <w:bottom w:val="single" w:sz="4" w:space="0" w:color="auto"/>
              <w:right w:val="single" w:sz="4" w:space="0" w:color="auto"/>
            </w:tcBorders>
          </w:tcPr>
          <w:p w14:paraId="48626A12" w14:textId="77777777" w:rsidR="00395FD4" w:rsidRDefault="00395FD4" w:rsidP="00395FD4">
            <w:pPr>
              <w:spacing w:after="0" w:line="240" w:lineRule="auto"/>
              <w:jc w:val="center"/>
            </w:pPr>
            <w:r>
              <w:t>11%</w:t>
            </w:r>
          </w:p>
        </w:tc>
        <w:tc>
          <w:tcPr>
            <w:tcW w:w="1098" w:type="dxa"/>
            <w:tcBorders>
              <w:top w:val="single" w:sz="4" w:space="0" w:color="auto"/>
              <w:left w:val="single" w:sz="4" w:space="0" w:color="auto"/>
              <w:bottom w:val="single" w:sz="4" w:space="0" w:color="auto"/>
              <w:right w:val="single" w:sz="4" w:space="0" w:color="auto"/>
            </w:tcBorders>
          </w:tcPr>
          <w:p w14:paraId="028C10EE" w14:textId="77777777" w:rsidR="00395FD4" w:rsidRDefault="00395FD4" w:rsidP="00395FD4">
            <w:pPr>
              <w:spacing w:after="0" w:line="240" w:lineRule="auto"/>
              <w:jc w:val="center"/>
            </w:pPr>
          </w:p>
        </w:tc>
      </w:tr>
      <w:tr w:rsidR="00395FD4" w14:paraId="345777D1" w14:textId="77777777" w:rsidTr="000F5BEE">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228453" w14:textId="77777777" w:rsidR="00395FD4" w:rsidRDefault="00395FD4" w:rsidP="00395FD4">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3B0965"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425BD"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886B8F"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932F5E"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D0637"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41006" w14:textId="77777777" w:rsidR="00395FD4" w:rsidRPr="007A2952" w:rsidRDefault="00395FD4" w:rsidP="00395FD4">
            <w:pPr>
              <w:spacing w:after="0" w:line="240" w:lineRule="auto"/>
              <w:jc w:val="center"/>
              <w:rPr>
                <w:b/>
              </w:rPr>
            </w:pPr>
            <w:r w:rsidRPr="007A2952">
              <w:rPr>
                <w:b/>
              </w:rPr>
              <w:t>9.9</w:t>
            </w:r>
          </w:p>
        </w:tc>
      </w:tr>
      <w:tr w:rsidR="00395FD4" w14:paraId="30CB561C"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A9C6B43"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B71D"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CC235"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329AC"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26AB9"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520BC"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5AAEE" w14:textId="77777777" w:rsidR="00395FD4" w:rsidRPr="007A2952" w:rsidRDefault="00395FD4" w:rsidP="00395FD4">
            <w:pPr>
              <w:spacing w:after="0" w:line="240" w:lineRule="auto"/>
              <w:jc w:val="center"/>
              <w:rPr>
                <w:b/>
              </w:rPr>
            </w:pPr>
            <w:r w:rsidRPr="007A2952">
              <w:rPr>
                <w:b/>
              </w:rPr>
              <w:t>10.4</w:t>
            </w:r>
          </w:p>
        </w:tc>
      </w:tr>
      <w:tr w:rsidR="00395FD4" w14:paraId="79895A43"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3B34E5C"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D1DF4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EDDE3"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3316B"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CBBB8C"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6D65A"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A3B7F" w14:textId="77777777" w:rsidR="00395FD4" w:rsidRPr="007A2952" w:rsidRDefault="00395FD4" w:rsidP="00395FD4">
            <w:pPr>
              <w:spacing w:after="0" w:line="240" w:lineRule="auto"/>
              <w:jc w:val="center"/>
              <w:rPr>
                <w:b/>
              </w:rPr>
            </w:pPr>
            <w:r w:rsidRPr="007A2952">
              <w:rPr>
                <w:b/>
              </w:rPr>
              <w:t>8.5</w:t>
            </w:r>
          </w:p>
        </w:tc>
      </w:tr>
      <w:tr w:rsidR="00395FD4" w14:paraId="3D13ADDD"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558C888"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11DD8D" w14:textId="77777777" w:rsidR="00395FD4" w:rsidRDefault="00395FD4" w:rsidP="00395FD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D4362"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BF0CA6"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55147E"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01DF5"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8A2754" w14:textId="77777777" w:rsidR="00395FD4" w:rsidRPr="007A2952" w:rsidRDefault="00395FD4" w:rsidP="00395FD4">
            <w:pPr>
              <w:spacing w:after="0" w:line="240" w:lineRule="auto"/>
              <w:jc w:val="center"/>
              <w:rPr>
                <w:b/>
              </w:rPr>
            </w:pPr>
            <w:r w:rsidRPr="007A2952">
              <w:rPr>
                <w:b/>
              </w:rPr>
              <w:t>9.6</w:t>
            </w:r>
          </w:p>
        </w:tc>
      </w:tr>
    </w:tbl>
    <w:p w14:paraId="3701C3CA" w14:textId="77777777" w:rsidR="00395FD4" w:rsidRDefault="00395FD4" w:rsidP="00395FD4">
      <w:pPr>
        <w:spacing w:after="0" w:line="240" w:lineRule="auto"/>
      </w:pPr>
    </w:p>
    <w:p w14:paraId="59C0E151" w14:textId="77777777" w:rsidR="00395FD4" w:rsidRDefault="00395FD4" w:rsidP="00395FD4">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395FD4" w14:paraId="23B844C1" w14:textId="77777777" w:rsidTr="000F5BEE">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790BE76" w14:textId="77777777" w:rsidR="00395FD4" w:rsidRDefault="00395FD4" w:rsidP="000F5BEE">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66E78D21" w14:textId="77777777" w:rsidR="00395FD4" w:rsidRDefault="00395FD4" w:rsidP="000F5BEE">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C1E2A24" w14:textId="77777777" w:rsidR="00395FD4" w:rsidRDefault="00395FD4" w:rsidP="000F5BEE">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C438A49" w14:textId="77777777" w:rsidR="00395FD4" w:rsidRDefault="00395FD4" w:rsidP="000F5BEE">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1CD8E1" w14:textId="77777777" w:rsidR="00395FD4" w:rsidRDefault="00395FD4" w:rsidP="000F5BEE">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B8F8B7" w14:textId="77777777" w:rsidR="00395FD4" w:rsidRDefault="00395FD4" w:rsidP="000F5BEE">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22A8189" w14:textId="77777777" w:rsidR="00395FD4" w:rsidRDefault="00395FD4" w:rsidP="000F5BEE">
            <w:pPr>
              <w:spacing w:after="0" w:line="240" w:lineRule="auto"/>
              <w:jc w:val="center"/>
            </w:pPr>
            <w:r>
              <w:t>Avg Number of points</w:t>
            </w:r>
          </w:p>
        </w:tc>
      </w:tr>
      <w:tr w:rsidR="00395FD4" w14:paraId="220ECA7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6F326DBD" w14:textId="77777777" w:rsidR="00395FD4" w:rsidRDefault="00395FD4" w:rsidP="00395FD4">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7CA8CC64" w14:textId="77777777" w:rsidR="00395FD4" w:rsidRDefault="00395FD4" w:rsidP="00395FD4">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72B60559" w14:textId="77777777" w:rsidR="00395FD4" w:rsidRDefault="00395FD4" w:rsidP="00395FD4">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BF80C43" w14:textId="77777777" w:rsidR="00395FD4" w:rsidRDefault="00395FD4" w:rsidP="00395FD4">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05FB3398" w14:textId="77777777" w:rsidR="00395FD4" w:rsidRDefault="00395FD4" w:rsidP="00395FD4">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0F70C1D"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7098695B" w14:textId="77777777" w:rsidR="00395FD4" w:rsidRDefault="00395FD4" w:rsidP="00395FD4">
            <w:pPr>
              <w:spacing w:after="0" w:line="240" w:lineRule="auto"/>
              <w:jc w:val="center"/>
            </w:pPr>
            <w:r>
              <w:t>(1 to 4)</w:t>
            </w:r>
          </w:p>
        </w:tc>
      </w:tr>
      <w:tr w:rsidR="00395FD4" w14:paraId="512046B3"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8E043" w14:textId="77777777" w:rsidR="00395FD4" w:rsidRDefault="00395FD4" w:rsidP="00395FD4">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403F4F"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992CB" w14:textId="77777777" w:rsidR="00395FD4" w:rsidRDefault="00395FD4" w:rsidP="00395FD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1281A" w14:textId="77777777" w:rsidR="00395FD4" w:rsidRDefault="00395FD4" w:rsidP="00395FD4">
            <w:pPr>
              <w:spacing w:after="0" w:line="240" w:lineRule="auto"/>
              <w:jc w:val="center"/>
            </w:pPr>
            <w:r>
              <w:t>45%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3C2352" w14:textId="77777777" w:rsidR="00395FD4" w:rsidRDefault="00395FD4" w:rsidP="00395FD4">
            <w:pPr>
              <w:spacing w:after="0" w:line="240" w:lineRule="auto"/>
              <w:jc w:val="center"/>
            </w:pPr>
            <w: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3CB44" w14:textId="77777777" w:rsidR="00395FD4" w:rsidRDefault="00395FD4" w:rsidP="00395FD4">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39DEAD" w14:textId="77777777" w:rsidR="00395FD4" w:rsidRDefault="00395FD4" w:rsidP="00395FD4">
            <w:pPr>
              <w:spacing w:after="0" w:line="240" w:lineRule="auto"/>
              <w:jc w:val="center"/>
            </w:pPr>
            <w:r>
              <w:t>2.4</w:t>
            </w:r>
          </w:p>
        </w:tc>
      </w:tr>
      <w:tr w:rsidR="00395FD4" w14:paraId="285E435B"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5E450F2D"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641C7F"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6043D" w14:textId="77777777" w:rsidR="00395FD4" w:rsidRDefault="00395FD4" w:rsidP="00395FD4">
            <w:pPr>
              <w:spacing w:after="0" w:line="240" w:lineRule="auto"/>
              <w:jc w:val="center"/>
            </w:pPr>
            <w:r>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D524E" w14:textId="77777777" w:rsidR="00395FD4" w:rsidRDefault="00395FD4" w:rsidP="00395FD4">
            <w:pPr>
              <w:spacing w:after="0" w:line="240" w:lineRule="auto"/>
              <w:jc w:val="center"/>
            </w:pPr>
            <w:r>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4B5260" w14:textId="77777777" w:rsidR="00395FD4" w:rsidRDefault="00395FD4" w:rsidP="00395FD4">
            <w:pPr>
              <w:spacing w:after="0" w:line="240" w:lineRule="auto"/>
              <w:jc w:val="center"/>
            </w:pPr>
            <w: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4171F" w14:textId="77777777" w:rsidR="00395FD4" w:rsidRDefault="00395FD4" w:rsidP="00395FD4">
            <w:pPr>
              <w:spacing w:after="0" w:line="240" w:lineRule="auto"/>
              <w:jc w:val="center"/>
            </w:pPr>
            <w: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17EFFA" w14:textId="77777777" w:rsidR="00395FD4" w:rsidRDefault="00395FD4" w:rsidP="00395FD4">
            <w:pPr>
              <w:spacing w:after="0" w:line="240" w:lineRule="auto"/>
              <w:jc w:val="center"/>
            </w:pPr>
            <w:r>
              <w:t>2.3</w:t>
            </w:r>
          </w:p>
        </w:tc>
      </w:tr>
      <w:tr w:rsidR="00395FD4" w14:paraId="642F1E9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34AC55D"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495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37BAB" w14:textId="77777777" w:rsidR="00395FD4" w:rsidRDefault="00395FD4" w:rsidP="00395FD4">
            <w:pPr>
              <w:spacing w:after="0" w:line="240" w:lineRule="auto"/>
              <w:jc w:val="center"/>
            </w:pPr>
            <w:r>
              <w:t>38%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EC47C2" w14:textId="77777777" w:rsidR="00395FD4" w:rsidRDefault="00395FD4" w:rsidP="00395FD4">
            <w:pPr>
              <w:spacing w:after="0" w:line="240" w:lineRule="auto"/>
              <w:jc w:val="center"/>
            </w:pPr>
            <w: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9A20A" w14:textId="77777777" w:rsidR="00395FD4" w:rsidRDefault="00395FD4" w:rsidP="00395FD4">
            <w:pPr>
              <w:spacing w:after="0" w:line="240" w:lineRule="auto"/>
              <w:jc w:val="center"/>
            </w:pPr>
            <w: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A14D4" w14:textId="77777777" w:rsidR="00395FD4" w:rsidRDefault="00395FD4" w:rsidP="00395FD4">
            <w:pPr>
              <w:spacing w:after="0" w:line="240" w:lineRule="auto"/>
              <w:jc w:val="center"/>
            </w:pPr>
            <w: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9DCF85" w14:textId="77777777" w:rsidR="00395FD4" w:rsidRDefault="00395FD4" w:rsidP="00395FD4">
            <w:pPr>
              <w:spacing w:after="0" w:line="240" w:lineRule="auto"/>
              <w:jc w:val="center"/>
            </w:pPr>
            <w:r>
              <w:t>2.0</w:t>
            </w:r>
          </w:p>
        </w:tc>
      </w:tr>
      <w:tr w:rsidR="00395FD4" w14:paraId="5772353F"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EB5A207"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15ED9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479370" w14:textId="77777777" w:rsidR="00395FD4" w:rsidRDefault="00395FD4" w:rsidP="00395FD4">
            <w:pPr>
              <w:spacing w:after="0" w:line="240" w:lineRule="auto"/>
              <w:jc w:val="center"/>
            </w:pPr>
            <w:r>
              <w:t>16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01FA1" w14:textId="77777777" w:rsidR="00395FD4" w:rsidRDefault="00395FD4" w:rsidP="00395FD4">
            <w:pPr>
              <w:spacing w:after="0" w:line="240" w:lineRule="auto"/>
              <w:jc w:val="center"/>
            </w:pPr>
            <w:r>
              <w:t>37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FA4BB7" w14:textId="77777777" w:rsidR="00395FD4" w:rsidRDefault="00395FD4" w:rsidP="00395FD4">
            <w:pPr>
              <w:spacing w:after="0" w:line="240" w:lineRule="auto"/>
              <w:jc w:val="center"/>
            </w:pPr>
            <w: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7785B" w14:textId="77777777" w:rsidR="00395FD4" w:rsidRDefault="00395FD4" w:rsidP="00395FD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1122D6" w14:textId="77777777" w:rsidR="00395FD4" w:rsidRDefault="00395FD4" w:rsidP="00395FD4">
            <w:pPr>
              <w:spacing w:after="0" w:line="240" w:lineRule="auto"/>
              <w:jc w:val="center"/>
            </w:pPr>
            <w:r>
              <w:t>2.3</w:t>
            </w:r>
          </w:p>
        </w:tc>
      </w:tr>
      <w:tr w:rsidR="00395FD4" w14:paraId="544F8F34"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537192FE"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2103B3"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7B34E" w14:textId="77777777" w:rsidR="00395FD4" w:rsidRDefault="00395FD4" w:rsidP="00395FD4">
            <w:pPr>
              <w:spacing w:after="0" w:line="240" w:lineRule="auto"/>
              <w:jc w:val="center"/>
            </w:pPr>
            <w:r>
              <w:t>18%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6A9E7" w14:textId="77777777" w:rsidR="00395FD4" w:rsidRDefault="00395FD4" w:rsidP="00395FD4">
            <w:pPr>
              <w:spacing w:after="0" w:line="240" w:lineRule="auto"/>
              <w:jc w:val="center"/>
            </w:pPr>
            <w:r>
              <w:t>41%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70D258" w14:textId="77777777" w:rsidR="00395FD4" w:rsidRDefault="00395FD4" w:rsidP="00395FD4">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424220" w14:textId="77777777" w:rsidR="00395FD4" w:rsidRDefault="00395FD4" w:rsidP="00395FD4">
            <w:pPr>
              <w:spacing w:after="0" w:line="240" w:lineRule="auto"/>
              <w:jc w:val="center"/>
            </w:pPr>
            <w:r>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EF9C65" w14:textId="77777777" w:rsidR="00395FD4" w:rsidRDefault="00395FD4" w:rsidP="00395FD4">
            <w:pPr>
              <w:spacing w:after="0" w:line="240" w:lineRule="auto"/>
              <w:jc w:val="center"/>
            </w:pPr>
          </w:p>
        </w:tc>
      </w:tr>
      <w:tr w:rsidR="00395FD4" w14:paraId="0EF71A4B"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0B35A6CB" w14:textId="77777777" w:rsidR="00395FD4" w:rsidRDefault="00395FD4" w:rsidP="00395FD4">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244C789D"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4BBE1B9" w14:textId="77777777" w:rsidR="00395FD4" w:rsidRDefault="00395FD4" w:rsidP="00395FD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56CF4302" w14:textId="77777777" w:rsidR="00395FD4" w:rsidRDefault="00395FD4" w:rsidP="00395FD4">
            <w:pPr>
              <w:spacing w:after="0" w:line="240" w:lineRule="auto"/>
              <w:jc w:val="center"/>
            </w:pPr>
            <w:r>
              <w:t>19%</w:t>
            </w:r>
          </w:p>
        </w:tc>
        <w:tc>
          <w:tcPr>
            <w:tcW w:w="1170" w:type="dxa"/>
            <w:tcBorders>
              <w:top w:val="single" w:sz="4" w:space="0" w:color="auto"/>
              <w:left w:val="single" w:sz="4" w:space="0" w:color="auto"/>
              <w:bottom w:val="single" w:sz="4" w:space="0" w:color="auto"/>
              <w:right w:val="single" w:sz="4" w:space="0" w:color="auto"/>
            </w:tcBorders>
          </w:tcPr>
          <w:p w14:paraId="684A8488" w14:textId="77777777" w:rsidR="00395FD4" w:rsidRDefault="00395FD4" w:rsidP="00395FD4">
            <w:pPr>
              <w:spacing w:after="0" w:line="240" w:lineRule="auto"/>
              <w:jc w:val="center"/>
            </w:pPr>
            <w:r>
              <w:t>60%</w:t>
            </w:r>
          </w:p>
        </w:tc>
        <w:tc>
          <w:tcPr>
            <w:tcW w:w="1260" w:type="dxa"/>
            <w:tcBorders>
              <w:top w:val="single" w:sz="4" w:space="0" w:color="auto"/>
              <w:left w:val="single" w:sz="4" w:space="0" w:color="auto"/>
              <w:bottom w:val="single" w:sz="4" w:space="0" w:color="auto"/>
              <w:right w:val="single" w:sz="4" w:space="0" w:color="auto"/>
            </w:tcBorders>
          </w:tcPr>
          <w:p w14:paraId="0DCB4953" w14:textId="77777777" w:rsidR="00395FD4" w:rsidRDefault="00395FD4" w:rsidP="00395FD4">
            <w:pPr>
              <w:spacing w:after="0" w:line="240" w:lineRule="auto"/>
              <w:jc w:val="center"/>
            </w:pPr>
            <w:r>
              <w:t>13%</w:t>
            </w:r>
          </w:p>
        </w:tc>
        <w:tc>
          <w:tcPr>
            <w:tcW w:w="1098" w:type="dxa"/>
            <w:tcBorders>
              <w:top w:val="single" w:sz="4" w:space="0" w:color="auto"/>
              <w:left w:val="single" w:sz="4" w:space="0" w:color="auto"/>
              <w:bottom w:val="single" w:sz="4" w:space="0" w:color="auto"/>
              <w:right w:val="single" w:sz="4" w:space="0" w:color="auto"/>
            </w:tcBorders>
          </w:tcPr>
          <w:p w14:paraId="4AC8A88E" w14:textId="77777777" w:rsidR="00395FD4" w:rsidRDefault="00395FD4" w:rsidP="00395FD4">
            <w:pPr>
              <w:spacing w:after="0" w:line="240" w:lineRule="auto"/>
              <w:jc w:val="center"/>
            </w:pPr>
            <w:r>
              <w:t>2.8</w:t>
            </w:r>
          </w:p>
        </w:tc>
      </w:tr>
      <w:tr w:rsidR="00395FD4" w14:paraId="430A56AF"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38B86665"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53CFE8B"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FFDE9C5"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tcPr>
          <w:p w14:paraId="2AFE0B27" w14:textId="77777777" w:rsidR="00395FD4" w:rsidRDefault="00395FD4" w:rsidP="00395FD4">
            <w:pPr>
              <w:spacing w:after="0" w:line="240" w:lineRule="auto"/>
              <w:jc w:val="center"/>
            </w:pPr>
            <w:r>
              <w:t>22%</w:t>
            </w:r>
          </w:p>
        </w:tc>
        <w:tc>
          <w:tcPr>
            <w:tcW w:w="1170" w:type="dxa"/>
            <w:tcBorders>
              <w:top w:val="single" w:sz="4" w:space="0" w:color="auto"/>
              <w:left w:val="single" w:sz="4" w:space="0" w:color="auto"/>
              <w:bottom w:val="single" w:sz="4" w:space="0" w:color="auto"/>
              <w:right w:val="single" w:sz="4" w:space="0" w:color="auto"/>
            </w:tcBorders>
          </w:tcPr>
          <w:p w14:paraId="6EFE8FD0" w14:textId="77777777" w:rsidR="00395FD4" w:rsidRDefault="00395FD4" w:rsidP="00395FD4">
            <w:pPr>
              <w:spacing w:after="0" w:line="240" w:lineRule="auto"/>
              <w:jc w:val="center"/>
            </w:pPr>
            <w:r>
              <w:t>67%</w:t>
            </w:r>
          </w:p>
        </w:tc>
        <w:tc>
          <w:tcPr>
            <w:tcW w:w="1260" w:type="dxa"/>
            <w:tcBorders>
              <w:top w:val="single" w:sz="4" w:space="0" w:color="auto"/>
              <w:left w:val="single" w:sz="4" w:space="0" w:color="auto"/>
              <w:bottom w:val="single" w:sz="4" w:space="0" w:color="auto"/>
              <w:right w:val="single" w:sz="4" w:space="0" w:color="auto"/>
            </w:tcBorders>
          </w:tcPr>
          <w:p w14:paraId="36E004B1" w14:textId="77777777" w:rsidR="00395FD4" w:rsidRDefault="00395FD4" w:rsidP="00395FD4">
            <w:pPr>
              <w:spacing w:after="0" w:line="240" w:lineRule="auto"/>
              <w:jc w:val="center"/>
            </w:pPr>
            <w:r>
              <w:t>6%</w:t>
            </w:r>
          </w:p>
        </w:tc>
        <w:tc>
          <w:tcPr>
            <w:tcW w:w="1098" w:type="dxa"/>
            <w:tcBorders>
              <w:top w:val="single" w:sz="4" w:space="0" w:color="auto"/>
              <w:left w:val="single" w:sz="4" w:space="0" w:color="auto"/>
              <w:bottom w:val="single" w:sz="4" w:space="0" w:color="auto"/>
              <w:right w:val="single" w:sz="4" w:space="0" w:color="auto"/>
            </w:tcBorders>
          </w:tcPr>
          <w:p w14:paraId="4B20C3F4" w14:textId="77777777" w:rsidR="00395FD4" w:rsidRDefault="00395FD4" w:rsidP="00395FD4">
            <w:pPr>
              <w:spacing w:after="0" w:line="240" w:lineRule="auto"/>
              <w:jc w:val="center"/>
            </w:pPr>
            <w:r>
              <w:t>2.7</w:t>
            </w:r>
          </w:p>
        </w:tc>
      </w:tr>
      <w:tr w:rsidR="00395FD4" w14:paraId="5632C39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EAC58C1"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4D5D482"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0A464464" w14:textId="77777777" w:rsidR="00395FD4" w:rsidRDefault="00395FD4" w:rsidP="00395FD4">
            <w:pPr>
              <w:spacing w:after="0" w:line="240" w:lineRule="auto"/>
              <w:jc w:val="center"/>
            </w:pPr>
            <w:r>
              <w:t>15%</w:t>
            </w:r>
          </w:p>
        </w:tc>
        <w:tc>
          <w:tcPr>
            <w:tcW w:w="1080" w:type="dxa"/>
            <w:tcBorders>
              <w:top w:val="single" w:sz="4" w:space="0" w:color="auto"/>
              <w:left w:val="single" w:sz="4" w:space="0" w:color="auto"/>
              <w:bottom w:val="single" w:sz="4" w:space="0" w:color="auto"/>
              <w:right w:val="single" w:sz="4" w:space="0" w:color="auto"/>
            </w:tcBorders>
          </w:tcPr>
          <w:p w14:paraId="44BA568B" w14:textId="77777777" w:rsidR="00395FD4" w:rsidRDefault="00395FD4" w:rsidP="00395FD4">
            <w:pPr>
              <w:spacing w:after="0" w:line="240" w:lineRule="auto"/>
              <w:jc w:val="center"/>
            </w:pPr>
            <w:r>
              <w:t>65%</w:t>
            </w:r>
          </w:p>
        </w:tc>
        <w:tc>
          <w:tcPr>
            <w:tcW w:w="1170" w:type="dxa"/>
            <w:tcBorders>
              <w:top w:val="single" w:sz="4" w:space="0" w:color="auto"/>
              <w:left w:val="single" w:sz="4" w:space="0" w:color="auto"/>
              <w:bottom w:val="single" w:sz="4" w:space="0" w:color="auto"/>
              <w:right w:val="single" w:sz="4" w:space="0" w:color="auto"/>
            </w:tcBorders>
          </w:tcPr>
          <w:p w14:paraId="3B96DE66" w14:textId="77777777" w:rsidR="00395FD4" w:rsidRDefault="00395FD4" w:rsidP="00395FD4">
            <w:pPr>
              <w:spacing w:after="0" w:line="240" w:lineRule="auto"/>
              <w:jc w:val="center"/>
            </w:pPr>
            <w:r>
              <w:t>15%</w:t>
            </w:r>
          </w:p>
        </w:tc>
        <w:tc>
          <w:tcPr>
            <w:tcW w:w="1260" w:type="dxa"/>
            <w:tcBorders>
              <w:top w:val="single" w:sz="4" w:space="0" w:color="auto"/>
              <w:left w:val="single" w:sz="4" w:space="0" w:color="auto"/>
              <w:bottom w:val="single" w:sz="4" w:space="0" w:color="auto"/>
              <w:right w:val="single" w:sz="4" w:space="0" w:color="auto"/>
            </w:tcBorders>
          </w:tcPr>
          <w:p w14:paraId="25DEC8F8" w14:textId="77777777" w:rsidR="00395FD4" w:rsidRDefault="00395FD4" w:rsidP="00395FD4">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tcPr>
          <w:p w14:paraId="6ED0AABB" w14:textId="77777777" w:rsidR="00395FD4" w:rsidRDefault="00395FD4" w:rsidP="00395FD4">
            <w:pPr>
              <w:spacing w:after="0" w:line="240" w:lineRule="auto"/>
              <w:jc w:val="center"/>
            </w:pPr>
            <w:r>
              <w:t>2.1</w:t>
            </w:r>
          </w:p>
        </w:tc>
      </w:tr>
      <w:tr w:rsidR="00395FD4" w14:paraId="26CC4881"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485606C"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BD10BC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DBD33D8" w14:textId="77777777" w:rsidR="00395FD4" w:rsidRDefault="00395FD4" w:rsidP="00395FD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3E7AD6E9" w14:textId="77777777" w:rsidR="00395FD4" w:rsidRDefault="00395FD4" w:rsidP="00395FD4">
            <w:pPr>
              <w:spacing w:after="0" w:line="240" w:lineRule="auto"/>
              <w:jc w:val="center"/>
            </w:pPr>
            <w:r>
              <w:t>30</w:t>
            </w:r>
          </w:p>
        </w:tc>
        <w:tc>
          <w:tcPr>
            <w:tcW w:w="1170" w:type="dxa"/>
            <w:tcBorders>
              <w:top w:val="single" w:sz="4" w:space="0" w:color="auto"/>
              <w:left w:val="single" w:sz="4" w:space="0" w:color="auto"/>
              <w:bottom w:val="single" w:sz="4" w:space="0" w:color="auto"/>
              <w:right w:val="single" w:sz="4" w:space="0" w:color="auto"/>
            </w:tcBorders>
          </w:tcPr>
          <w:p w14:paraId="099382A3" w14:textId="77777777" w:rsidR="00395FD4" w:rsidRDefault="00395FD4" w:rsidP="00395FD4">
            <w:pPr>
              <w:spacing w:after="0" w:line="240" w:lineRule="auto"/>
              <w:jc w:val="center"/>
            </w:pPr>
            <w:r>
              <w:t>44</w:t>
            </w:r>
          </w:p>
        </w:tc>
        <w:tc>
          <w:tcPr>
            <w:tcW w:w="1260" w:type="dxa"/>
            <w:tcBorders>
              <w:top w:val="single" w:sz="4" w:space="0" w:color="auto"/>
              <w:left w:val="single" w:sz="4" w:space="0" w:color="auto"/>
              <w:bottom w:val="single" w:sz="4" w:space="0" w:color="auto"/>
              <w:right w:val="single" w:sz="4" w:space="0" w:color="auto"/>
            </w:tcBorders>
          </w:tcPr>
          <w:p w14:paraId="7B076075" w14:textId="77777777" w:rsidR="00395FD4" w:rsidRDefault="00395FD4" w:rsidP="00395FD4">
            <w:pPr>
              <w:spacing w:after="0" w:line="240" w:lineRule="auto"/>
              <w:jc w:val="center"/>
            </w:pPr>
            <w:r>
              <w:t>8</w:t>
            </w:r>
          </w:p>
        </w:tc>
        <w:tc>
          <w:tcPr>
            <w:tcW w:w="1098" w:type="dxa"/>
            <w:tcBorders>
              <w:top w:val="single" w:sz="4" w:space="0" w:color="auto"/>
              <w:left w:val="single" w:sz="4" w:space="0" w:color="auto"/>
              <w:bottom w:val="single" w:sz="4" w:space="0" w:color="auto"/>
              <w:right w:val="single" w:sz="4" w:space="0" w:color="auto"/>
            </w:tcBorders>
          </w:tcPr>
          <w:p w14:paraId="650C6003" w14:textId="77777777" w:rsidR="00395FD4" w:rsidRDefault="00395FD4" w:rsidP="00395FD4">
            <w:pPr>
              <w:spacing w:after="0" w:line="240" w:lineRule="auto"/>
              <w:jc w:val="center"/>
            </w:pPr>
            <w:r>
              <w:t>2.6</w:t>
            </w:r>
          </w:p>
        </w:tc>
      </w:tr>
      <w:tr w:rsidR="00395FD4" w14:paraId="10A42BB5"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0606488B"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A19C18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92156DF" w14:textId="77777777" w:rsidR="00395FD4" w:rsidRDefault="00395FD4" w:rsidP="00395FD4">
            <w:pPr>
              <w:spacing w:after="0" w:line="240" w:lineRule="auto"/>
              <w:jc w:val="center"/>
            </w:pPr>
            <w:r>
              <w:t>10%</w:t>
            </w:r>
          </w:p>
        </w:tc>
        <w:tc>
          <w:tcPr>
            <w:tcW w:w="1080" w:type="dxa"/>
            <w:tcBorders>
              <w:top w:val="single" w:sz="4" w:space="0" w:color="auto"/>
              <w:left w:val="single" w:sz="4" w:space="0" w:color="auto"/>
              <w:bottom w:val="single" w:sz="4" w:space="0" w:color="auto"/>
              <w:right w:val="single" w:sz="4" w:space="0" w:color="auto"/>
            </w:tcBorders>
          </w:tcPr>
          <w:p w14:paraId="5F0E56CB" w14:textId="77777777" w:rsidR="00395FD4" w:rsidRDefault="00395FD4" w:rsidP="00395FD4">
            <w:pPr>
              <w:spacing w:after="0" w:line="240" w:lineRule="auto"/>
              <w:jc w:val="center"/>
            </w:pPr>
            <w:r>
              <w:t>33%</w:t>
            </w:r>
          </w:p>
        </w:tc>
        <w:tc>
          <w:tcPr>
            <w:tcW w:w="1170" w:type="dxa"/>
            <w:tcBorders>
              <w:top w:val="single" w:sz="4" w:space="0" w:color="auto"/>
              <w:left w:val="single" w:sz="4" w:space="0" w:color="auto"/>
              <w:bottom w:val="single" w:sz="4" w:space="0" w:color="auto"/>
              <w:right w:val="single" w:sz="4" w:space="0" w:color="auto"/>
            </w:tcBorders>
          </w:tcPr>
          <w:p w14:paraId="442482E9" w14:textId="77777777" w:rsidR="00395FD4" w:rsidRDefault="00395FD4" w:rsidP="00395FD4">
            <w:pPr>
              <w:spacing w:after="0" w:line="240" w:lineRule="auto"/>
              <w:jc w:val="center"/>
            </w:pPr>
            <w:r>
              <w:t>48%</w:t>
            </w:r>
          </w:p>
        </w:tc>
        <w:tc>
          <w:tcPr>
            <w:tcW w:w="1260" w:type="dxa"/>
            <w:tcBorders>
              <w:top w:val="single" w:sz="4" w:space="0" w:color="auto"/>
              <w:left w:val="single" w:sz="4" w:space="0" w:color="auto"/>
              <w:bottom w:val="single" w:sz="4" w:space="0" w:color="auto"/>
              <w:right w:val="single" w:sz="4" w:space="0" w:color="auto"/>
            </w:tcBorders>
          </w:tcPr>
          <w:p w14:paraId="47BF0454" w14:textId="77777777" w:rsidR="00395FD4" w:rsidRDefault="00395FD4" w:rsidP="00395FD4">
            <w:pPr>
              <w:spacing w:after="0" w:line="240" w:lineRule="auto"/>
              <w:jc w:val="center"/>
            </w:pPr>
            <w:r>
              <w:t>9%</w:t>
            </w:r>
          </w:p>
        </w:tc>
        <w:tc>
          <w:tcPr>
            <w:tcW w:w="1098" w:type="dxa"/>
            <w:tcBorders>
              <w:top w:val="single" w:sz="4" w:space="0" w:color="auto"/>
              <w:left w:val="single" w:sz="4" w:space="0" w:color="auto"/>
              <w:bottom w:val="single" w:sz="4" w:space="0" w:color="auto"/>
              <w:right w:val="single" w:sz="4" w:space="0" w:color="auto"/>
            </w:tcBorders>
          </w:tcPr>
          <w:p w14:paraId="0615E2A3" w14:textId="77777777" w:rsidR="00395FD4" w:rsidRDefault="00395FD4" w:rsidP="00395FD4">
            <w:pPr>
              <w:spacing w:after="0" w:line="240" w:lineRule="auto"/>
              <w:jc w:val="center"/>
            </w:pPr>
          </w:p>
        </w:tc>
      </w:tr>
      <w:tr w:rsidR="00395FD4" w14:paraId="44CE7E2D" w14:textId="77777777" w:rsidTr="000F5BEE">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2D83D7" w14:textId="77777777" w:rsidR="00395FD4" w:rsidRDefault="00395FD4" w:rsidP="00395FD4">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794B7"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10082" w14:textId="77777777" w:rsidR="00395FD4" w:rsidRDefault="00395FD4" w:rsidP="00395FD4">
            <w:pPr>
              <w:spacing w:after="0" w:line="240" w:lineRule="auto"/>
              <w:jc w:val="center"/>
            </w:pPr>
            <w: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2E67" w14:textId="77777777" w:rsidR="00395FD4" w:rsidRDefault="00395FD4" w:rsidP="00395FD4">
            <w:pPr>
              <w:spacing w:after="0" w:line="240" w:lineRule="auto"/>
              <w:jc w:val="center"/>
            </w:pPr>
            <w:r>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EA0195" w14:textId="77777777" w:rsidR="00395FD4" w:rsidRDefault="00395FD4" w:rsidP="00395FD4">
            <w:pPr>
              <w:spacing w:after="0" w:line="240" w:lineRule="auto"/>
              <w:jc w:val="center"/>
            </w:pPr>
            <w:r>
              <w:t>47%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B74A4" w14:textId="77777777" w:rsidR="00395FD4" w:rsidRDefault="00395FD4" w:rsidP="00395FD4">
            <w:pPr>
              <w:spacing w:after="0" w:line="240" w:lineRule="auto"/>
              <w:jc w:val="center"/>
            </w:pPr>
            <w:r>
              <w:t>32%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6844D" w14:textId="77777777" w:rsidR="00395FD4" w:rsidRDefault="00395FD4" w:rsidP="00395FD4">
            <w:pPr>
              <w:spacing w:after="0" w:line="240" w:lineRule="auto"/>
              <w:jc w:val="center"/>
            </w:pPr>
            <w:r>
              <w:t>3.0</w:t>
            </w:r>
          </w:p>
        </w:tc>
      </w:tr>
      <w:tr w:rsidR="00395FD4" w14:paraId="785C0D68"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0CB5618"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B2B713"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64460"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9BCA3" w14:textId="77777777" w:rsidR="00395FD4" w:rsidRDefault="00395FD4" w:rsidP="00395FD4">
            <w:pPr>
              <w:spacing w:after="0" w:line="240" w:lineRule="auto"/>
              <w:jc w:val="center"/>
            </w:pPr>
            <w:r>
              <w:t>39%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66A808" w14:textId="77777777" w:rsidR="00395FD4" w:rsidRDefault="00395FD4" w:rsidP="00395FD4">
            <w:pPr>
              <w:spacing w:after="0" w:line="240" w:lineRule="auto"/>
              <w:jc w:val="center"/>
            </w:pPr>
            <w: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492D9F" w14:textId="77777777" w:rsidR="00395FD4" w:rsidRDefault="00395FD4" w:rsidP="00395FD4">
            <w:pPr>
              <w:spacing w:after="0" w:line="240" w:lineRule="auto"/>
              <w:jc w:val="center"/>
            </w:pPr>
            <w:r>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80A32" w14:textId="77777777" w:rsidR="00395FD4" w:rsidRDefault="00395FD4" w:rsidP="00395FD4">
            <w:pPr>
              <w:spacing w:after="0" w:line="240" w:lineRule="auto"/>
              <w:jc w:val="center"/>
            </w:pPr>
            <w:r>
              <w:t>2.8</w:t>
            </w:r>
          </w:p>
        </w:tc>
      </w:tr>
      <w:tr w:rsidR="00395FD4" w14:paraId="43C3B1AC"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E7B48B0"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A0762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1BDDD" w14:textId="77777777" w:rsidR="00395FD4" w:rsidRDefault="00395FD4" w:rsidP="00395FD4">
            <w:pPr>
              <w:spacing w:after="0" w:line="240" w:lineRule="auto"/>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D9F40" w14:textId="77777777" w:rsidR="00395FD4" w:rsidRDefault="00395FD4" w:rsidP="00395FD4">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133D88"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C57BB" w14:textId="77777777" w:rsidR="00395FD4" w:rsidRDefault="00395FD4" w:rsidP="00395FD4">
            <w:pPr>
              <w:spacing w:after="0" w:line="240" w:lineRule="auto"/>
              <w:jc w:val="center"/>
            </w:pPr>
            <w:r>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2E8C27" w14:textId="77777777" w:rsidR="00395FD4" w:rsidRDefault="00395FD4" w:rsidP="00395FD4">
            <w:pPr>
              <w:spacing w:after="0" w:line="240" w:lineRule="auto"/>
              <w:jc w:val="center"/>
            </w:pPr>
            <w:r>
              <w:t>2.8</w:t>
            </w:r>
          </w:p>
        </w:tc>
      </w:tr>
      <w:tr w:rsidR="00395FD4" w14:paraId="46F68FBE"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4583F6EA"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A44A45"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C21C0C"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AD040" w14:textId="77777777" w:rsidR="00395FD4" w:rsidRDefault="00395FD4" w:rsidP="00395FD4">
            <w:pPr>
              <w:spacing w:after="0" w:line="240" w:lineRule="auto"/>
              <w:jc w:val="center"/>
            </w:pPr>
            <w:r>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4038F" w14:textId="77777777" w:rsidR="00395FD4" w:rsidRDefault="00395FD4" w:rsidP="00395FD4">
            <w:pPr>
              <w:spacing w:after="0" w:line="240" w:lineRule="auto"/>
              <w:jc w:val="center"/>
            </w:pPr>
            <w:r>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97CC3" w14:textId="77777777" w:rsidR="00395FD4" w:rsidRDefault="00395FD4" w:rsidP="00395FD4">
            <w:pPr>
              <w:spacing w:after="0" w:line="240" w:lineRule="auto"/>
              <w:jc w:val="center"/>
            </w:pPr>
            <w:r>
              <w:t>24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540954" w14:textId="77777777" w:rsidR="00395FD4" w:rsidRDefault="00395FD4" w:rsidP="00395FD4">
            <w:pPr>
              <w:spacing w:after="0" w:line="240" w:lineRule="auto"/>
              <w:jc w:val="center"/>
            </w:pPr>
            <w:r>
              <w:t>2.9</w:t>
            </w:r>
          </w:p>
        </w:tc>
      </w:tr>
      <w:tr w:rsidR="00395FD4" w14:paraId="4C163F20"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BF536A6"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E7B37"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0998AA"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287A0" w14:textId="77777777" w:rsidR="00395FD4" w:rsidRDefault="00395FD4" w:rsidP="00395FD4">
            <w:pPr>
              <w:spacing w:after="0" w:line="240" w:lineRule="auto"/>
              <w:jc w:val="center"/>
            </w:pPr>
            <w:r>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9E51C" w14:textId="77777777" w:rsidR="00395FD4" w:rsidRDefault="00395FD4" w:rsidP="00395FD4">
            <w:pPr>
              <w:spacing w:after="0" w:line="240" w:lineRule="auto"/>
              <w:jc w:val="center"/>
            </w:pPr>
            <w: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730CB" w14:textId="77777777" w:rsidR="00395FD4" w:rsidRDefault="00395FD4" w:rsidP="00395FD4">
            <w:pPr>
              <w:spacing w:after="0" w:line="240" w:lineRule="auto"/>
              <w:jc w:val="center"/>
            </w:pPr>
            <w:r>
              <w:t>26%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7E2D7" w14:textId="77777777" w:rsidR="00395FD4" w:rsidRDefault="00395FD4" w:rsidP="00395FD4">
            <w:pPr>
              <w:spacing w:after="0" w:line="240" w:lineRule="auto"/>
              <w:jc w:val="center"/>
            </w:pPr>
          </w:p>
        </w:tc>
      </w:tr>
      <w:tr w:rsidR="00395FD4" w14:paraId="1BCFCA31" w14:textId="77777777" w:rsidTr="000F5BEE">
        <w:tc>
          <w:tcPr>
            <w:tcW w:w="2970" w:type="dxa"/>
            <w:vMerge w:val="restart"/>
            <w:tcBorders>
              <w:top w:val="single" w:sz="4" w:space="0" w:color="auto"/>
              <w:left w:val="single" w:sz="4" w:space="0" w:color="auto"/>
              <w:bottom w:val="single" w:sz="4" w:space="0" w:color="auto"/>
              <w:right w:val="single" w:sz="4" w:space="0" w:color="auto"/>
            </w:tcBorders>
            <w:hideMark/>
          </w:tcPr>
          <w:p w14:paraId="0C80937B" w14:textId="77777777" w:rsidR="00395FD4" w:rsidRDefault="00395FD4" w:rsidP="00395FD4">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3BA69BE4"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1B75B3D" w14:textId="77777777" w:rsidR="00395FD4" w:rsidRDefault="00395FD4" w:rsidP="00395FD4">
            <w:pPr>
              <w:spacing w:after="0" w:line="240" w:lineRule="auto"/>
              <w:jc w:val="center"/>
            </w:pPr>
            <w:r>
              <w:t>9%</w:t>
            </w:r>
          </w:p>
        </w:tc>
        <w:tc>
          <w:tcPr>
            <w:tcW w:w="1080" w:type="dxa"/>
            <w:tcBorders>
              <w:top w:val="single" w:sz="4" w:space="0" w:color="auto"/>
              <w:left w:val="single" w:sz="4" w:space="0" w:color="auto"/>
              <w:bottom w:val="single" w:sz="4" w:space="0" w:color="auto"/>
              <w:right w:val="single" w:sz="4" w:space="0" w:color="auto"/>
            </w:tcBorders>
          </w:tcPr>
          <w:p w14:paraId="7233EBBA" w14:textId="77777777" w:rsidR="00395FD4" w:rsidRDefault="00395FD4" w:rsidP="00395FD4">
            <w:pPr>
              <w:spacing w:after="0" w:line="240" w:lineRule="auto"/>
              <w:jc w:val="center"/>
            </w:pPr>
            <w:r>
              <w:t>23%</w:t>
            </w:r>
          </w:p>
        </w:tc>
        <w:tc>
          <w:tcPr>
            <w:tcW w:w="1170" w:type="dxa"/>
            <w:tcBorders>
              <w:top w:val="single" w:sz="4" w:space="0" w:color="auto"/>
              <w:left w:val="single" w:sz="4" w:space="0" w:color="auto"/>
              <w:bottom w:val="single" w:sz="4" w:space="0" w:color="auto"/>
              <w:right w:val="single" w:sz="4" w:space="0" w:color="auto"/>
            </w:tcBorders>
          </w:tcPr>
          <w:p w14:paraId="4CE74418" w14:textId="77777777" w:rsidR="00395FD4" w:rsidRDefault="00395FD4" w:rsidP="00395FD4">
            <w:pPr>
              <w:spacing w:after="0" w:line="240" w:lineRule="auto"/>
              <w:jc w:val="center"/>
            </w:pPr>
            <w:r>
              <w:t>43%</w:t>
            </w:r>
          </w:p>
        </w:tc>
        <w:tc>
          <w:tcPr>
            <w:tcW w:w="1260" w:type="dxa"/>
            <w:tcBorders>
              <w:top w:val="single" w:sz="4" w:space="0" w:color="auto"/>
              <w:left w:val="single" w:sz="4" w:space="0" w:color="auto"/>
              <w:bottom w:val="single" w:sz="4" w:space="0" w:color="auto"/>
              <w:right w:val="single" w:sz="4" w:space="0" w:color="auto"/>
            </w:tcBorders>
          </w:tcPr>
          <w:p w14:paraId="5F2C317F" w14:textId="77777777" w:rsidR="00395FD4" w:rsidRDefault="00395FD4" w:rsidP="00395FD4">
            <w:pPr>
              <w:spacing w:after="0" w:line="240" w:lineRule="auto"/>
              <w:jc w:val="center"/>
            </w:pPr>
            <w:r>
              <w:t>26%</w:t>
            </w:r>
          </w:p>
        </w:tc>
        <w:tc>
          <w:tcPr>
            <w:tcW w:w="1098" w:type="dxa"/>
            <w:tcBorders>
              <w:top w:val="single" w:sz="4" w:space="0" w:color="auto"/>
              <w:left w:val="single" w:sz="4" w:space="0" w:color="auto"/>
              <w:bottom w:val="single" w:sz="4" w:space="0" w:color="auto"/>
              <w:right w:val="single" w:sz="4" w:space="0" w:color="auto"/>
            </w:tcBorders>
          </w:tcPr>
          <w:p w14:paraId="3D73BABD" w14:textId="77777777" w:rsidR="00395FD4" w:rsidRDefault="00395FD4" w:rsidP="00395FD4">
            <w:pPr>
              <w:spacing w:after="0" w:line="240" w:lineRule="auto"/>
              <w:jc w:val="center"/>
            </w:pPr>
            <w:r>
              <w:t>2.9</w:t>
            </w:r>
          </w:p>
        </w:tc>
      </w:tr>
      <w:tr w:rsidR="00395FD4" w14:paraId="47899B63"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0D8C7200"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FFE2651"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3410D3BC" w14:textId="77777777" w:rsidR="00395FD4" w:rsidRDefault="00395FD4" w:rsidP="00395FD4">
            <w:pPr>
              <w:spacing w:after="0"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14:paraId="049792C4" w14:textId="77777777" w:rsidR="00395FD4" w:rsidRDefault="00395FD4" w:rsidP="00395FD4">
            <w:pPr>
              <w:spacing w:after="0" w:line="240" w:lineRule="auto"/>
              <w:jc w:val="center"/>
            </w:pPr>
            <w:r>
              <w:t>33%</w:t>
            </w:r>
          </w:p>
        </w:tc>
        <w:tc>
          <w:tcPr>
            <w:tcW w:w="1170" w:type="dxa"/>
            <w:tcBorders>
              <w:top w:val="single" w:sz="4" w:space="0" w:color="auto"/>
              <w:left w:val="single" w:sz="4" w:space="0" w:color="auto"/>
              <w:bottom w:val="single" w:sz="4" w:space="0" w:color="auto"/>
              <w:right w:val="single" w:sz="4" w:space="0" w:color="auto"/>
            </w:tcBorders>
          </w:tcPr>
          <w:p w14:paraId="45E616E9" w14:textId="77777777" w:rsidR="00395FD4" w:rsidRDefault="00395FD4" w:rsidP="00395FD4">
            <w:pPr>
              <w:spacing w:after="0" w:line="240" w:lineRule="auto"/>
              <w:jc w:val="center"/>
            </w:pPr>
            <w:r>
              <w:t>50%</w:t>
            </w:r>
          </w:p>
        </w:tc>
        <w:tc>
          <w:tcPr>
            <w:tcW w:w="1260" w:type="dxa"/>
            <w:tcBorders>
              <w:top w:val="single" w:sz="4" w:space="0" w:color="auto"/>
              <w:left w:val="single" w:sz="4" w:space="0" w:color="auto"/>
              <w:bottom w:val="single" w:sz="4" w:space="0" w:color="auto"/>
              <w:right w:val="single" w:sz="4" w:space="0" w:color="auto"/>
            </w:tcBorders>
          </w:tcPr>
          <w:p w14:paraId="2709BAD8" w14:textId="77777777" w:rsidR="00395FD4" w:rsidRDefault="00395FD4" w:rsidP="00395FD4">
            <w:pPr>
              <w:spacing w:after="0" w:line="240" w:lineRule="auto"/>
              <w:jc w:val="center"/>
            </w:pPr>
            <w:r>
              <w:t>17%</w:t>
            </w:r>
          </w:p>
        </w:tc>
        <w:tc>
          <w:tcPr>
            <w:tcW w:w="1098" w:type="dxa"/>
            <w:tcBorders>
              <w:top w:val="single" w:sz="4" w:space="0" w:color="auto"/>
              <w:left w:val="single" w:sz="4" w:space="0" w:color="auto"/>
              <w:bottom w:val="single" w:sz="4" w:space="0" w:color="auto"/>
              <w:right w:val="single" w:sz="4" w:space="0" w:color="auto"/>
            </w:tcBorders>
          </w:tcPr>
          <w:p w14:paraId="3B51ADE9" w14:textId="77777777" w:rsidR="00395FD4" w:rsidRDefault="00395FD4" w:rsidP="00395FD4">
            <w:pPr>
              <w:spacing w:after="0" w:line="240" w:lineRule="auto"/>
              <w:jc w:val="center"/>
            </w:pPr>
            <w:r>
              <w:t>2.8</w:t>
            </w:r>
          </w:p>
        </w:tc>
      </w:tr>
      <w:tr w:rsidR="00395FD4" w14:paraId="25B69D46"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051AF358"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5F62A4B"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7FC16957" w14:textId="77777777" w:rsidR="00395FD4" w:rsidRDefault="00395FD4" w:rsidP="00395FD4">
            <w:pPr>
              <w:spacing w:after="0" w:line="240" w:lineRule="auto"/>
              <w:jc w:val="center"/>
            </w:pPr>
            <w:r>
              <w:t>4%</w:t>
            </w:r>
          </w:p>
        </w:tc>
        <w:tc>
          <w:tcPr>
            <w:tcW w:w="1080" w:type="dxa"/>
            <w:tcBorders>
              <w:top w:val="single" w:sz="4" w:space="0" w:color="auto"/>
              <w:left w:val="single" w:sz="4" w:space="0" w:color="auto"/>
              <w:bottom w:val="single" w:sz="4" w:space="0" w:color="auto"/>
              <w:right w:val="single" w:sz="4" w:space="0" w:color="auto"/>
            </w:tcBorders>
          </w:tcPr>
          <w:p w14:paraId="39F3369A" w14:textId="77777777" w:rsidR="00395FD4" w:rsidRDefault="00395FD4" w:rsidP="00395FD4">
            <w:pPr>
              <w:spacing w:after="0" w:line="240" w:lineRule="auto"/>
              <w:jc w:val="center"/>
            </w:pPr>
            <w:r>
              <w:t>35%</w:t>
            </w:r>
          </w:p>
        </w:tc>
        <w:tc>
          <w:tcPr>
            <w:tcW w:w="1170" w:type="dxa"/>
            <w:tcBorders>
              <w:top w:val="single" w:sz="4" w:space="0" w:color="auto"/>
              <w:left w:val="single" w:sz="4" w:space="0" w:color="auto"/>
              <w:bottom w:val="single" w:sz="4" w:space="0" w:color="auto"/>
              <w:right w:val="single" w:sz="4" w:space="0" w:color="auto"/>
            </w:tcBorders>
          </w:tcPr>
          <w:p w14:paraId="42827F7F" w14:textId="77777777" w:rsidR="00395FD4" w:rsidRDefault="00395FD4" w:rsidP="00395FD4">
            <w:pPr>
              <w:spacing w:after="0" w:line="240" w:lineRule="auto"/>
              <w:jc w:val="center"/>
            </w:pPr>
            <w:r>
              <w:t>35%</w:t>
            </w:r>
          </w:p>
        </w:tc>
        <w:tc>
          <w:tcPr>
            <w:tcW w:w="1260" w:type="dxa"/>
            <w:tcBorders>
              <w:top w:val="single" w:sz="4" w:space="0" w:color="auto"/>
              <w:left w:val="single" w:sz="4" w:space="0" w:color="auto"/>
              <w:bottom w:val="single" w:sz="4" w:space="0" w:color="auto"/>
              <w:right w:val="single" w:sz="4" w:space="0" w:color="auto"/>
            </w:tcBorders>
          </w:tcPr>
          <w:p w14:paraId="236204E7" w14:textId="77777777" w:rsidR="00395FD4" w:rsidRDefault="00395FD4" w:rsidP="00395FD4">
            <w:pPr>
              <w:spacing w:after="0" w:line="240" w:lineRule="auto"/>
              <w:jc w:val="center"/>
            </w:pPr>
            <w:r>
              <w:t>27%</w:t>
            </w:r>
          </w:p>
        </w:tc>
        <w:tc>
          <w:tcPr>
            <w:tcW w:w="1098" w:type="dxa"/>
            <w:tcBorders>
              <w:top w:val="single" w:sz="4" w:space="0" w:color="auto"/>
              <w:left w:val="single" w:sz="4" w:space="0" w:color="auto"/>
              <w:bottom w:val="single" w:sz="4" w:space="0" w:color="auto"/>
              <w:right w:val="single" w:sz="4" w:space="0" w:color="auto"/>
            </w:tcBorders>
          </w:tcPr>
          <w:p w14:paraId="0262DCA0" w14:textId="77777777" w:rsidR="00395FD4" w:rsidRDefault="00395FD4" w:rsidP="00395FD4">
            <w:pPr>
              <w:spacing w:after="0" w:line="240" w:lineRule="auto"/>
              <w:jc w:val="center"/>
            </w:pPr>
            <w:r>
              <w:t>2.8</w:t>
            </w:r>
          </w:p>
        </w:tc>
      </w:tr>
      <w:tr w:rsidR="00395FD4" w14:paraId="07AFB9CB"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69BC5448"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8FA346E"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1BA5DD7"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55AEE0F0" w14:textId="77777777" w:rsidR="00395FD4" w:rsidRDefault="00395FD4" w:rsidP="00395FD4">
            <w:pPr>
              <w:spacing w:after="0" w:line="240" w:lineRule="auto"/>
              <w:jc w:val="center"/>
            </w:pPr>
            <w:r>
              <w:t>26</w:t>
            </w:r>
          </w:p>
        </w:tc>
        <w:tc>
          <w:tcPr>
            <w:tcW w:w="1170" w:type="dxa"/>
            <w:tcBorders>
              <w:top w:val="single" w:sz="4" w:space="0" w:color="auto"/>
              <w:left w:val="single" w:sz="4" w:space="0" w:color="auto"/>
              <w:bottom w:val="single" w:sz="4" w:space="0" w:color="auto"/>
              <w:right w:val="single" w:sz="4" w:space="0" w:color="auto"/>
            </w:tcBorders>
          </w:tcPr>
          <w:p w14:paraId="30F83D3E" w14:textId="77777777" w:rsidR="00395FD4" w:rsidRDefault="00395FD4" w:rsidP="00395FD4">
            <w:pPr>
              <w:spacing w:after="0" w:line="240" w:lineRule="auto"/>
              <w:jc w:val="center"/>
            </w:pPr>
            <w:r>
              <w:t>38</w:t>
            </w:r>
          </w:p>
        </w:tc>
        <w:tc>
          <w:tcPr>
            <w:tcW w:w="1260" w:type="dxa"/>
            <w:tcBorders>
              <w:top w:val="single" w:sz="4" w:space="0" w:color="auto"/>
              <w:left w:val="single" w:sz="4" w:space="0" w:color="auto"/>
              <w:bottom w:val="single" w:sz="4" w:space="0" w:color="auto"/>
              <w:right w:val="single" w:sz="4" w:space="0" w:color="auto"/>
            </w:tcBorders>
          </w:tcPr>
          <w:p w14:paraId="3E523623" w14:textId="77777777" w:rsidR="00395FD4" w:rsidRDefault="00395FD4" w:rsidP="00395FD4">
            <w:pPr>
              <w:spacing w:after="0" w:line="240" w:lineRule="auto"/>
              <w:jc w:val="center"/>
            </w:pPr>
            <w:r>
              <w:t>22</w:t>
            </w:r>
          </w:p>
        </w:tc>
        <w:tc>
          <w:tcPr>
            <w:tcW w:w="1098" w:type="dxa"/>
            <w:tcBorders>
              <w:top w:val="single" w:sz="4" w:space="0" w:color="auto"/>
              <w:left w:val="single" w:sz="4" w:space="0" w:color="auto"/>
              <w:bottom w:val="single" w:sz="4" w:space="0" w:color="auto"/>
              <w:right w:val="single" w:sz="4" w:space="0" w:color="auto"/>
            </w:tcBorders>
          </w:tcPr>
          <w:p w14:paraId="72F3A28C" w14:textId="77777777" w:rsidR="00395FD4" w:rsidRDefault="00395FD4" w:rsidP="00395FD4">
            <w:pPr>
              <w:spacing w:after="0" w:line="240" w:lineRule="auto"/>
              <w:jc w:val="center"/>
            </w:pPr>
            <w:r>
              <w:t>2.8</w:t>
            </w:r>
          </w:p>
        </w:tc>
      </w:tr>
      <w:tr w:rsidR="00395FD4" w14:paraId="605917F5" w14:textId="77777777" w:rsidTr="000F5BEE">
        <w:tc>
          <w:tcPr>
            <w:tcW w:w="2970" w:type="dxa"/>
            <w:vMerge/>
            <w:tcBorders>
              <w:top w:val="single" w:sz="4" w:space="0" w:color="auto"/>
              <w:left w:val="single" w:sz="4" w:space="0" w:color="auto"/>
              <w:bottom w:val="single" w:sz="4" w:space="0" w:color="auto"/>
              <w:right w:val="single" w:sz="4" w:space="0" w:color="auto"/>
            </w:tcBorders>
            <w:hideMark/>
          </w:tcPr>
          <w:p w14:paraId="7B7747A1" w14:textId="77777777" w:rsidR="00395FD4" w:rsidRDefault="00395FD4" w:rsidP="00395FD4">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A03F61B"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5054525" w14:textId="77777777" w:rsidR="00395FD4" w:rsidRDefault="00395FD4" w:rsidP="00395FD4">
            <w:pPr>
              <w:spacing w:after="0" w:line="240" w:lineRule="auto"/>
              <w:jc w:val="center"/>
            </w:pPr>
            <w:r>
              <w:t>5%</w:t>
            </w:r>
          </w:p>
        </w:tc>
        <w:tc>
          <w:tcPr>
            <w:tcW w:w="1080" w:type="dxa"/>
            <w:tcBorders>
              <w:top w:val="single" w:sz="4" w:space="0" w:color="auto"/>
              <w:left w:val="single" w:sz="4" w:space="0" w:color="auto"/>
              <w:bottom w:val="single" w:sz="4" w:space="0" w:color="auto"/>
              <w:right w:val="single" w:sz="4" w:space="0" w:color="auto"/>
            </w:tcBorders>
          </w:tcPr>
          <w:p w14:paraId="663A8663" w14:textId="77777777" w:rsidR="00395FD4" w:rsidRDefault="00395FD4" w:rsidP="00395FD4">
            <w:pPr>
              <w:spacing w:after="0" w:line="240" w:lineRule="auto"/>
              <w:jc w:val="center"/>
            </w:pPr>
            <w:r>
              <w:t>29%</w:t>
            </w:r>
          </w:p>
        </w:tc>
        <w:tc>
          <w:tcPr>
            <w:tcW w:w="1170" w:type="dxa"/>
            <w:tcBorders>
              <w:top w:val="single" w:sz="4" w:space="0" w:color="auto"/>
              <w:left w:val="single" w:sz="4" w:space="0" w:color="auto"/>
              <w:bottom w:val="single" w:sz="4" w:space="0" w:color="auto"/>
              <w:right w:val="single" w:sz="4" w:space="0" w:color="auto"/>
            </w:tcBorders>
          </w:tcPr>
          <w:p w14:paraId="6E427E2C" w14:textId="77777777" w:rsidR="00395FD4" w:rsidRDefault="00395FD4" w:rsidP="00395FD4">
            <w:pPr>
              <w:spacing w:after="0" w:line="240" w:lineRule="auto"/>
              <w:jc w:val="center"/>
            </w:pPr>
            <w:r>
              <w:t>42%</w:t>
            </w:r>
          </w:p>
        </w:tc>
        <w:tc>
          <w:tcPr>
            <w:tcW w:w="1260" w:type="dxa"/>
            <w:tcBorders>
              <w:top w:val="single" w:sz="4" w:space="0" w:color="auto"/>
              <w:left w:val="single" w:sz="4" w:space="0" w:color="auto"/>
              <w:bottom w:val="single" w:sz="4" w:space="0" w:color="auto"/>
              <w:right w:val="single" w:sz="4" w:space="0" w:color="auto"/>
            </w:tcBorders>
          </w:tcPr>
          <w:p w14:paraId="07EF41A5" w14:textId="77777777" w:rsidR="00395FD4" w:rsidRDefault="00395FD4" w:rsidP="00395FD4">
            <w:pPr>
              <w:spacing w:after="0" w:line="240" w:lineRule="auto"/>
              <w:jc w:val="center"/>
            </w:pPr>
            <w:r>
              <w:t>24%</w:t>
            </w:r>
          </w:p>
        </w:tc>
        <w:tc>
          <w:tcPr>
            <w:tcW w:w="1098" w:type="dxa"/>
            <w:tcBorders>
              <w:top w:val="single" w:sz="4" w:space="0" w:color="auto"/>
              <w:left w:val="single" w:sz="4" w:space="0" w:color="auto"/>
              <w:bottom w:val="single" w:sz="4" w:space="0" w:color="auto"/>
              <w:right w:val="single" w:sz="4" w:space="0" w:color="auto"/>
            </w:tcBorders>
          </w:tcPr>
          <w:p w14:paraId="00B5FA89" w14:textId="77777777" w:rsidR="00395FD4" w:rsidRDefault="00395FD4" w:rsidP="00395FD4">
            <w:pPr>
              <w:spacing w:after="0" w:line="240" w:lineRule="auto"/>
              <w:jc w:val="center"/>
            </w:pPr>
          </w:p>
        </w:tc>
      </w:tr>
      <w:tr w:rsidR="00395FD4" w14:paraId="4EDC7233" w14:textId="77777777" w:rsidTr="000F5BEE">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90911" w14:textId="77777777" w:rsidR="00395FD4" w:rsidRDefault="00395FD4" w:rsidP="00395FD4">
            <w:pPr>
              <w:spacing w:after="0" w:line="240" w:lineRule="auto"/>
              <w:jc w:val="center"/>
              <w:rPr>
                <w:rFonts w:ascii="Calibri" w:hAnsi="Calibri"/>
                <w:b/>
                <w:color w:val="000000"/>
              </w:rPr>
            </w:pPr>
            <w:r>
              <w:rPr>
                <w:rFonts w:ascii="Calibri" w:hAnsi="Calibri"/>
                <w:b/>
                <w:color w:val="000000"/>
              </w:rPr>
              <w:t xml:space="preserve">Total Score </w:t>
            </w:r>
            <w:proofErr w:type="gramStart"/>
            <w:r>
              <w:rPr>
                <w:rFonts w:ascii="Calibri" w:hAnsi="Calibri"/>
                <w:b/>
                <w:color w:val="000000"/>
              </w:rPr>
              <w:t>For</w:t>
            </w:r>
            <w:proofErr w:type="gramEnd"/>
            <w:r>
              <w:rPr>
                <w:rFonts w:ascii="Calibri" w:hAnsi="Calibri"/>
                <w:b/>
                <w:color w:val="000000"/>
              </w:rPr>
              <w:t xml:space="preserve">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A82A"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94F0B"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A0F2B"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4CAF9"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BA7F2"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6C190" w14:textId="77777777" w:rsidR="00395FD4" w:rsidRPr="00865742" w:rsidRDefault="00395FD4" w:rsidP="00395FD4">
            <w:pPr>
              <w:spacing w:after="0" w:line="240" w:lineRule="auto"/>
              <w:jc w:val="center"/>
              <w:rPr>
                <w:b/>
              </w:rPr>
            </w:pPr>
            <w:r w:rsidRPr="00865742">
              <w:rPr>
                <w:b/>
              </w:rPr>
              <w:t>11.1</w:t>
            </w:r>
          </w:p>
        </w:tc>
      </w:tr>
      <w:tr w:rsidR="00395FD4" w14:paraId="04DF4547"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A15F3E7"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3ADBE8"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317D7"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74AA"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66444"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15B9E"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14B137" w14:textId="77777777" w:rsidR="00395FD4" w:rsidRPr="00865742" w:rsidRDefault="00395FD4" w:rsidP="00395FD4">
            <w:pPr>
              <w:spacing w:after="0" w:line="240" w:lineRule="auto"/>
              <w:jc w:val="center"/>
              <w:rPr>
                <w:b/>
              </w:rPr>
            </w:pPr>
            <w:r w:rsidRPr="00865742">
              <w:rPr>
                <w:b/>
              </w:rPr>
              <w:t>10.7</w:t>
            </w:r>
          </w:p>
        </w:tc>
      </w:tr>
      <w:tr w:rsidR="00395FD4" w14:paraId="6C6F1416"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4717469"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B9BCA" w14:textId="77777777" w:rsidR="00395FD4" w:rsidRDefault="00395FD4" w:rsidP="00395FD4">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45E55"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03EDCC"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C67BF5"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E3F77"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5B3CA" w14:textId="77777777" w:rsidR="00395FD4" w:rsidRPr="00865742" w:rsidRDefault="00395FD4" w:rsidP="00395FD4">
            <w:pPr>
              <w:spacing w:after="0" w:line="240" w:lineRule="auto"/>
              <w:jc w:val="center"/>
              <w:rPr>
                <w:b/>
              </w:rPr>
            </w:pPr>
            <w:r w:rsidRPr="00865742">
              <w:rPr>
                <w:b/>
              </w:rPr>
              <w:t>9.7</w:t>
            </w:r>
          </w:p>
        </w:tc>
      </w:tr>
      <w:tr w:rsidR="00395FD4" w14:paraId="6038C579" w14:textId="77777777" w:rsidTr="000F5BEE">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C6289AC" w14:textId="77777777" w:rsidR="00395FD4" w:rsidRDefault="00395FD4" w:rsidP="00395FD4">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488B16" w14:textId="77777777" w:rsidR="00395FD4" w:rsidRDefault="00395FD4" w:rsidP="00395FD4">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0CB1B8" w14:textId="77777777" w:rsidR="00395FD4" w:rsidRDefault="00395FD4" w:rsidP="00395FD4">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0ABAE1" w14:textId="77777777" w:rsidR="00395FD4" w:rsidRDefault="00395FD4" w:rsidP="00395FD4">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B03E2D" w14:textId="77777777" w:rsidR="00395FD4" w:rsidRDefault="00395FD4" w:rsidP="00395FD4">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E2886" w14:textId="77777777" w:rsidR="00395FD4" w:rsidRDefault="00395FD4" w:rsidP="00395FD4">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759743" w14:textId="77777777" w:rsidR="00395FD4" w:rsidRPr="00865742" w:rsidRDefault="00395FD4" w:rsidP="00395FD4">
            <w:pPr>
              <w:spacing w:after="0" w:line="240" w:lineRule="auto"/>
              <w:jc w:val="center"/>
              <w:rPr>
                <w:b/>
              </w:rPr>
            </w:pPr>
            <w:r w:rsidRPr="00865742">
              <w:rPr>
                <w:b/>
              </w:rPr>
              <w:t>10.6</w:t>
            </w:r>
          </w:p>
        </w:tc>
      </w:tr>
    </w:tbl>
    <w:p w14:paraId="611F1DD2" w14:textId="77777777" w:rsidR="00D75211" w:rsidRDefault="00D75211" w:rsidP="003F0BCE"/>
    <w:p w14:paraId="01C7DD3B" w14:textId="77777777" w:rsidR="00D75211" w:rsidRDefault="00D75211" w:rsidP="003F0BCE"/>
    <w:p w14:paraId="6B7ECF09" w14:textId="77777777" w:rsidR="00D75211" w:rsidRDefault="00D75211" w:rsidP="003F0BCE"/>
    <w:p w14:paraId="7AD98BB9" w14:textId="77777777" w:rsidR="00D75211" w:rsidRDefault="00D75211" w:rsidP="003F0BCE"/>
    <w:p w14:paraId="06D227EE" w14:textId="77777777" w:rsidR="00D75211" w:rsidRDefault="00D75211" w:rsidP="003F0BCE"/>
    <w:p w14:paraId="47528258" w14:textId="77777777" w:rsidR="00D75211" w:rsidRDefault="00D75211" w:rsidP="003F0BCE"/>
    <w:sectPr w:rsidR="00D75211" w:rsidSect="002F1EBE">
      <w:footerReference w:type="default" r:id="rId5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72B3" w14:textId="77777777" w:rsidR="00C30753" w:rsidRDefault="00C30753" w:rsidP="00B93273">
      <w:pPr>
        <w:spacing w:after="0" w:line="240" w:lineRule="auto"/>
      </w:pPr>
      <w:r>
        <w:separator/>
      </w:r>
    </w:p>
  </w:endnote>
  <w:endnote w:type="continuationSeparator" w:id="0">
    <w:p w14:paraId="4CC9A784" w14:textId="77777777" w:rsidR="00C30753" w:rsidRDefault="00C3075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913569"/>
      <w:docPartObj>
        <w:docPartGallery w:val="Page Numbers (Bottom of Page)"/>
        <w:docPartUnique/>
      </w:docPartObj>
    </w:sdtPr>
    <w:sdtContent>
      <w:p w14:paraId="2731CFFC" w14:textId="11BBDA75" w:rsidR="00644B30" w:rsidRDefault="00644B30">
        <w:pPr>
          <w:pStyle w:val="Footer"/>
          <w:jc w:val="right"/>
        </w:pPr>
        <w:r>
          <w:fldChar w:fldCharType="begin"/>
        </w:r>
        <w:r>
          <w:instrText xml:space="preserve"> PAGE   \* MERGEFORMAT </w:instrText>
        </w:r>
        <w:r>
          <w:fldChar w:fldCharType="separate"/>
        </w:r>
        <w:r>
          <w:rPr>
            <w:noProof/>
          </w:rPr>
          <w:t>92</w:t>
        </w:r>
        <w:r>
          <w:rPr>
            <w:noProof/>
          </w:rPr>
          <w:fldChar w:fldCharType="end"/>
        </w:r>
      </w:p>
    </w:sdtContent>
  </w:sdt>
  <w:p w14:paraId="3D04CAB1" w14:textId="77777777" w:rsidR="00644B30" w:rsidRDefault="0064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Content>
      <w:p w14:paraId="786AD1E9" w14:textId="18D556C4" w:rsidR="00644B30" w:rsidRDefault="00644B30">
        <w:pPr>
          <w:pStyle w:val="Footer"/>
          <w:jc w:val="right"/>
        </w:pPr>
        <w:r>
          <w:fldChar w:fldCharType="begin"/>
        </w:r>
        <w:r>
          <w:instrText xml:space="preserve"> PAGE   \* MERGEFORMAT </w:instrText>
        </w:r>
        <w:r>
          <w:fldChar w:fldCharType="separate"/>
        </w:r>
        <w:r>
          <w:rPr>
            <w:noProof/>
          </w:rPr>
          <w:t>96</w:t>
        </w:r>
        <w:r>
          <w:rPr>
            <w:noProof/>
          </w:rPr>
          <w:fldChar w:fldCharType="end"/>
        </w:r>
      </w:p>
    </w:sdtContent>
  </w:sdt>
  <w:p w14:paraId="3503D633" w14:textId="77777777" w:rsidR="00644B30" w:rsidRDefault="00644B30"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BB0A" w14:textId="77777777" w:rsidR="00C30753" w:rsidRDefault="00C30753" w:rsidP="00B93273">
      <w:pPr>
        <w:spacing w:after="0" w:line="240" w:lineRule="auto"/>
      </w:pPr>
      <w:r>
        <w:separator/>
      </w:r>
    </w:p>
  </w:footnote>
  <w:footnote w:type="continuationSeparator" w:id="0">
    <w:p w14:paraId="1EBC800B" w14:textId="77777777" w:rsidR="00C30753" w:rsidRDefault="00C30753" w:rsidP="00B93273">
      <w:pPr>
        <w:spacing w:after="0" w:line="240" w:lineRule="auto"/>
      </w:pPr>
      <w:r>
        <w:continuationSeparator/>
      </w:r>
    </w:p>
  </w:footnote>
  <w:footnote w:id="1">
    <w:p w14:paraId="4A34D51F" w14:textId="77777777" w:rsidR="00644B30" w:rsidRPr="00406A80" w:rsidRDefault="00644B30" w:rsidP="00BA3EE1">
      <w:pPr>
        <w:pStyle w:val="FootnoteText"/>
        <w:rPr>
          <w:rFonts w:ascii="Calibri" w:hAnsi="Calibri" w:cs="Calibri"/>
          <w:sz w:val="19"/>
          <w:szCs w:val="19"/>
        </w:rPr>
      </w:pPr>
      <w:r w:rsidRPr="00406A80">
        <w:rPr>
          <w:rStyle w:val="FootnoteReference"/>
          <w:rFonts w:ascii="Calibri" w:hAnsi="Calibri" w:cs="Calibri"/>
          <w:sz w:val="19"/>
          <w:szCs w:val="19"/>
        </w:rPr>
        <w:footnoteRef/>
      </w:r>
      <w:r w:rsidRPr="00406A80">
        <w:rPr>
          <w:rFonts w:ascii="Calibri" w:hAnsi="Calibri" w:cs="Calibri"/>
          <w:sz w:val="19"/>
          <w:szCs w:val="19"/>
        </w:rPr>
        <w:t xml:space="preserve"> Students in the high needs group are in one or more of the following student groups: </w:t>
      </w:r>
      <w:proofErr w:type="gramStart"/>
      <w:r w:rsidRPr="00406A80">
        <w:rPr>
          <w:rFonts w:ascii="Calibri" w:hAnsi="Calibri" w:cs="Calibri"/>
          <w:sz w:val="19"/>
          <w:szCs w:val="19"/>
        </w:rPr>
        <w:t>economically disadvantaged</w:t>
      </w:r>
      <w:proofErr w:type="gramEnd"/>
      <w:r w:rsidRPr="00406A80">
        <w:rPr>
          <w:rFonts w:ascii="Calibri" w:hAnsi="Calibri" w:cs="Calibri"/>
          <w:sz w:val="19"/>
          <w:szCs w:val="19"/>
        </w:rPr>
        <w:t xml:space="preserve"> students, students with disabilities, and English learners (ELs) or former ELs.</w:t>
      </w:r>
    </w:p>
  </w:footnote>
  <w:footnote w:id="2">
    <w:p w14:paraId="67E0E5CB" w14:textId="77777777" w:rsidR="00644B30" w:rsidRPr="001F2D93" w:rsidRDefault="00644B30" w:rsidP="00BA3EE1">
      <w:pPr>
        <w:pStyle w:val="FootnoteText"/>
        <w:rPr>
          <w:rFonts w:asciiTheme="minorHAnsi" w:hAnsiTheme="minorHAnsi" w:cstheme="minorHAnsi"/>
          <w:sz w:val="19"/>
          <w:szCs w:val="19"/>
        </w:rPr>
      </w:pPr>
      <w:r w:rsidRPr="00406A80">
        <w:rPr>
          <w:rStyle w:val="FootnoteReference"/>
          <w:rFonts w:asciiTheme="minorHAnsi" w:hAnsiTheme="minorHAnsi" w:cstheme="minorHAnsi"/>
          <w:sz w:val="19"/>
          <w:szCs w:val="19"/>
        </w:rPr>
        <w:footnoteRef/>
      </w:r>
      <w:r w:rsidRPr="00406A80">
        <w:rPr>
          <w:rFonts w:asciiTheme="minorHAnsi" w:hAnsiTheme="minorHAnsi" w:cstheme="minorHAnsi"/>
          <w:sz w:val="19"/>
          <w:szCs w:val="19"/>
        </w:rPr>
        <w:t xml:space="preserve"> In 2014–2015, “economically disadvantaged,” based on direct certification by Health and Human services, replaced “low-income,” based on family income self-reporting for the federal lunch program.</w:t>
      </w:r>
      <w:r w:rsidRPr="001F2D93">
        <w:rPr>
          <w:rFonts w:asciiTheme="minorHAnsi" w:hAnsiTheme="minorHAnsi" w:cstheme="minorHAnsi"/>
          <w:sz w:val="19"/>
          <w:szCs w:val="19"/>
        </w:rPr>
        <w:t xml:space="preserve"> </w:t>
      </w:r>
    </w:p>
  </w:footnote>
  <w:footnote w:id="3">
    <w:p w14:paraId="7C78D7A9" w14:textId="3198F578" w:rsidR="00644B30" w:rsidRPr="00406A80" w:rsidRDefault="00644B30">
      <w:pPr>
        <w:pStyle w:val="FootnoteText"/>
        <w:rPr>
          <w:rFonts w:ascii="Calibri" w:hAnsi="Calibri" w:cs="Calibri"/>
          <w:sz w:val="19"/>
          <w:szCs w:val="19"/>
        </w:rPr>
      </w:pPr>
      <w:r w:rsidRPr="00406A80">
        <w:rPr>
          <w:rStyle w:val="FootnoteReference"/>
          <w:rFonts w:ascii="Calibri" w:hAnsi="Calibri" w:cs="Calibri"/>
          <w:sz w:val="19"/>
          <w:szCs w:val="19"/>
        </w:rPr>
        <w:footnoteRef/>
      </w:r>
      <w:r w:rsidRPr="00406A80">
        <w:rPr>
          <w:rFonts w:ascii="Calibri" w:hAnsi="Calibri" w:cs="Calibri"/>
          <w:sz w:val="19"/>
          <w:szCs w:val="19"/>
        </w:rPr>
        <w:t xml:space="preserve"> Framingham’s elementary and middle schools ranged from the 9</w:t>
      </w:r>
      <w:r w:rsidRPr="00406A80">
        <w:rPr>
          <w:rFonts w:ascii="Calibri" w:hAnsi="Calibri" w:cs="Calibri"/>
          <w:sz w:val="19"/>
          <w:szCs w:val="19"/>
          <w:vertAlign w:val="superscript"/>
        </w:rPr>
        <w:t>th</w:t>
      </w:r>
      <w:r w:rsidRPr="00406A80">
        <w:rPr>
          <w:rFonts w:ascii="Calibri" w:hAnsi="Calibri" w:cs="Calibri"/>
          <w:sz w:val="19"/>
          <w:szCs w:val="19"/>
        </w:rPr>
        <w:t xml:space="preserve"> percentile to the</w:t>
      </w:r>
      <w:r>
        <w:rPr>
          <w:rFonts w:ascii="Calibri" w:hAnsi="Calibri" w:cs="Calibri"/>
          <w:sz w:val="19"/>
          <w:szCs w:val="19"/>
        </w:rPr>
        <w:t xml:space="preserve"> </w:t>
      </w:r>
      <w:r w:rsidRPr="00406A80">
        <w:rPr>
          <w:rFonts w:ascii="Calibri" w:hAnsi="Calibri" w:cs="Calibri"/>
          <w:sz w:val="19"/>
          <w:szCs w:val="19"/>
        </w:rPr>
        <w:t>79</w:t>
      </w:r>
      <w:r w:rsidRPr="00406A80">
        <w:rPr>
          <w:rFonts w:ascii="Calibri" w:hAnsi="Calibri" w:cs="Calibri"/>
          <w:sz w:val="19"/>
          <w:szCs w:val="19"/>
          <w:vertAlign w:val="superscript"/>
        </w:rPr>
        <w:t>th</w:t>
      </w:r>
      <w:r w:rsidRPr="00406A80">
        <w:rPr>
          <w:rFonts w:ascii="Calibri" w:hAnsi="Calibri" w:cs="Calibri"/>
          <w:sz w:val="19"/>
          <w:szCs w:val="19"/>
        </w:rPr>
        <w:t xml:space="preserve"> percentile of elementary and middle schools in the Commonwealth and its high school was in the 40</w:t>
      </w:r>
      <w:r w:rsidRPr="00406A80">
        <w:rPr>
          <w:rFonts w:ascii="Calibri" w:hAnsi="Calibri" w:cs="Calibri"/>
          <w:sz w:val="19"/>
          <w:szCs w:val="19"/>
          <w:vertAlign w:val="superscript"/>
        </w:rPr>
        <w:t>th</w:t>
      </w:r>
      <w:r w:rsidRPr="00406A80">
        <w:rPr>
          <w:rFonts w:ascii="Calibri" w:hAnsi="Calibri" w:cs="Calibri"/>
          <w:sz w:val="19"/>
          <w:szCs w:val="19"/>
        </w:rPr>
        <w:t xml:space="preserve"> percentile.</w:t>
      </w:r>
    </w:p>
  </w:footnote>
  <w:footnote w:id="4">
    <w:p w14:paraId="10BD7B08" w14:textId="540DC845" w:rsidR="00644B30" w:rsidRPr="00406A80" w:rsidRDefault="00644B30">
      <w:pPr>
        <w:pStyle w:val="FootnoteText"/>
        <w:rPr>
          <w:rFonts w:asciiTheme="minorHAnsi" w:hAnsiTheme="minorHAnsi" w:cstheme="minorHAnsi"/>
          <w:sz w:val="19"/>
          <w:szCs w:val="19"/>
        </w:rPr>
      </w:pPr>
      <w:r w:rsidRPr="00406A80">
        <w:rPr>
          <w:rStyle w:val="FootnoteReference"/>
          <w:rFonts w:asciiTheme="minorHAnsi" w:hAnsiTheme="minorHAnsi" w:cstheme="minorHAnsi"/>
          <w:sz w:val="19"/>
          <w:szCs w:val="19"/>
        </w:rPr>
        <w:footnoteRef/>
      </w:r>
      <w:r w:rsidRPr="00406A80">
        <w:rPr>
          <w:rFonts w:asciiTheme="minorHAnsi" w:hAnsiTheme="minorHAnsi" w:cstheme="minorHAnsi"/>
          <w:sz w:val="19"/>
          <w:szCs w:val="19"/>
        </w:rPr>
        <w:t xml:space="preserve"> All K-8 schools have at least one ELA coach, a math coach and an ELD coach. Some have SEL coaches to support PBIS programs and to help build strong school culture and climate.</w:t>
      </w:r>
    </w:p>
  </w:footnote>
  <w:footnote w:id="5">
    <w:p w14:paraId="39CCB670" w14:textId="77777777" w:rsidR="00644B30" w:rsidRPr="00EC5B5A" w:rsidRDefault="00644B30" w:rsidP="0080745C">
      <w:pPr>
        <w:pStyle w:val="FootnoteText"/>
        <w:rPr>
          <w:rFonts w:asciiTheme="minorHAnsi" w:hAnsiTheme="minorHAnsi" w:cstheme="minorHAnsi"/>
          <w:sz w:val="19"/>
          <w:szCs w:val="19"/>
        </w:rPr>
      </w:pPr>
      <w:r w:rsidRPr="00385F16">
        <w:rPr>
          <w:rStyle w:val="FootnoteReference"/>
          <w:rFonts w:asciiTheme="minorHAnsi" w:hAnsiTheme="minorHAnsi" w:cstheme="minorHAnsi"/>
          <w:sz w:val="19"/>
          <w:szCs w:val="19"/>
        </w:rPr>
        <w:footnoteRef/>
      </w:r>
      <w:r w:rsidRPr="00385F16">
        <w:rPr>
          <w:rFonts w:asciiTheme="minorHAnsi" w:hAnsiTheme="minorHAnsi" w:cstheme="minorHAnsi"/>
          <w:sz w:val="19"/>
          <w:szCs w:val="19"/>
        </w:rPr>
        <w:t xml:space="preserve"> High-quality feedback is specific, timely, and actionable.</w:t>
      </w:r>
    </w:p>
  </w:footnote>
  <w:footnote w:id="6">
    <w:p w14:paraId="4BD69F5A" w14:textId="6949F028" w:rsidR="00644B30" w:rsidRPr="00E0187B" w:rsidRDefault="00644B30" w:rsidP="00720791">
      <w:pPr>
        <w:pStyle w:val="FootnoteText"/>
        <w:rPr>
          <w:rFonts w:asciiTheme="minorHAnsi" w:hAnsiTheme="minorHAnsi" w:cstheme="minorHAnsi"/>
          <w:sz w:val="19"/>
          <w:szCs w:val="19"/>
        </w:rPr>
      </w:pPr>
      <w:r w:rsidRPr="00EC5B5A">
        <w:rPr>
          <w:rStyle w:val="FootnoteReference"/>
          <w:rFonts w:asciiTheme="minorHAnsi" w:hAnsiTheme="minorHAnsi" w:cstheme="minorHAnsi"/>
          <w:sz w:val="19"/>
          <w:szCs w:val="19"/>
        </w:rPr>
        <w:footnoteRef/>
      </w:r>
      <w:r w:rsidRPr="00EC5B5A">
        <w:rPr>
          <w:rFonts w:asciiTheme="minorHAnsi" w:hAnsiTheme="minorHAnsi" w:cstheme="minorHAnsi"/>
          <w:sz w:val="19"/>
          <w:szCs w:val="19"/>
        </w:rPr>
        <w:t xml:space="preserve"> The 2017–2020 Annotated Strategic Plan replaced an earlier and shorter version of the Strategic Plan.</w:t>
      </w:r>
      <w:r w:rsidRPr="00E0187B">
        <w:rPr>
          <w:rFonts w:asciiTheme="minorHAnsi" w:hAnsiTheme="minorHAnsi" w:cstheme="minorHAnsi"/>
          <w:sz w:val="19"/>
          <w:szCs w:val="19"/>
        </w:rPr>
        <w:t xml:space="preserve"> </w:t>
      </w:r>
    </w:p>
  </w:footnote>
  <w:footnote w:id="7">
    <w:p w14:paraId="44CEFE0A" w14:textId="58F58F5C" w:rsidR="00644B30" w:rsidRPr="00EC5B5A" w:rsidRDefault="00644B30">
      <w:pPr>
        <w:pStyle w:val="FootnoteText"/>
        <w:rPr>
          <w:rFonts w:asciiTheme="minorHAnsi" w:hAnsiTheme="minorHAnsi" w:cstheme="minorHAnsi"/>
          <w:sz w:val="19"/>
          <w:szCs w:val="19"/>
        </w:rPr>
      </w:pPr>
      <w:r w:rsidRPr="00284B7C">
        <w:rPr>
          <w:rStyle w:val="FootnoteReference"/>
          <w:rFonts w:asciiTheme="minorHAnsi" w:hAnsiTheme="minorHAnsi" w:cstheme="minorHAnsi"/>
          <w:sz w:val="19"/>
          <w:szCs w:val="19"/>
        </w:rPr>
        <w:footnoteRef/>
      </w:r>
      <w:r w:rsidRPr="00284B7C">
        <w:rPr>
          <w:rFonts w:asciiTheme="minorHAnsi" w:hAnsiTheme="minorHAnsi" w:cstheme="minorHAnsi"/>
          <w:sz w:val="19"/>
          <w:szCs w:val="19"/>
        </w:rPr>
        <w:t xml:space="preserve"> On March 12, 2018, the school committee approved a new policy on inclusive sports participation, which ensures that “students can participate in athletics and co-curricular activities in a manner consistent with their gender identity.”</w:t>
      </w:r>
    </w:p>
  </w:footnote>
  <w:footnote w:id="8">
    <w:p w14:paraId="694E2232" w14:textId="71D5B7BE" w:rsidR="00644B30" w:rsidRPr="00EC5B5A" w:rsidRDefault="00644B30">
      <w:pPr>
        <w:pStyle w:val="FootnoteText"/>
        <w:rPr>
          <w:rFonts w:asciiTheme="minorHAnsi" w:hAnsiTheme="minorHAnsi" w:cstheme="minorHAnsi"/>
          <w:sz w:val="19"/>
          <w:szCs w:val="19"/>
        </w:rPr>
      </w:pPr>
      <w:r w:rsidRPr="00EC5B5A">
        <w:rPr>
          <w:rStyle w:val="FootnoteReference"/>
          <w:rFonts w:asciiTheme="minorHAnsi" w:hAnsiTheme="minorHAnsi" w:cstheme="minorHAnsi"/>
          <w:sz w:val="19"/>
          <w:szCs w:val="19"/>
        </w:rPr>
        <w:footnoteRef/>
      </w:r>
      <w:r w:rsidRPr="00EC5B5A">
        <w:rPr>
          <w:rFonts w:asciiTheme="minorHAnsi" w:hAnsiTheme="minorHAnsi" w:cstheme="minorHAnsi"/>
          <w:sz w:val="19"/>
          <w:szCs w:val="19"/>
        </w:rPr>
        <w:t xml:space="preserve"> SMART goals are Specific and Strategic; Measurable; Action Oriented; Rigorous, Realistic, and Results Focused; and Timed and Tracked.</w:t>
      </w:r>
    </w:p>
  </w:footnote>
  <w:footnote w:id="9">
    <w:p w14:paraId="1173A38B" w14:textId="09D127A2" w:rsidR="00644B30" w:rsidRPr="00D3795C" w:rsidRDefault="00644B30" w:rsidP="000464AC">
      <w:pPr>
        <w:pStyle w:val="FootnoteText"/>
        <w:rPr>
          <w:rFonts w:asciiTheme="minorHAnsi" w:hAnsiTheme="minorHAnsi" w:cstheme="minorHAnsi"/>
          <w:sz w:val="19"/>
          <w:szCs w:val="19"/>
        </w:rPr>
      </w:pPr>
      <w:r w:rsidRPr="00D3795C">
        <w:rPr>
          <w:rStyle w:val="FootnoteReference"/>
          <w:rFonts w:asciiTheme="minorHAnsi" w:hAnsiTheme="minorHAnsi" w:cstheme="minorHAnsi"/>
          <w:sz w:val="19"/>
          <w:szCs w:val="19"/>
        </w:rPr>
        <w:footnoteRef/>
      </w:r>
      <w:r w:rsidRPr="00D3795C">
        <w:rPr>
          <w:rFonts w:asciiTheme="minorHAnsi" w:hAnsiTheme="minorHAnsi" w:cstheme="minorHAnsi"/>
          <w:sz w:val="19"/>
          <w:szCs w:val="19"/>
        </w:rPr>
        <w:t xml:space="preserve"> Units contain overviews, clear objectives, timelines, resources, essential questions, learning outcomes often expressed as knowledge, </w:t>
      </w:r>
      <w:proofErr w:type="gramStart"/>
      <w:r w:rsidRPr="00D3795C">
        <w:rPr>
          <w:rFonts w:asciiTheme="minorHAnsi" w:hAnsiTheme="minorHAnsi" w:cstheme="minorHAnsi"/>
          <w:sz w:val="19"/>
          <w:szCs w:val="19"/>
        </w:rPr>
        <w:t>skills</w:t>
      </w:r>
      <w:proofErr w:type="gramEnd"/>
      <w:r w:rsidRPr="00D3795C">
        <w:rPr>
          <w:rFonts w:asciiTheme="minorHAnsi" w:hAnsiTheme="minorHAnsi" w:cstheme="minorHAnsi"/>
          <w:sz w:val="19"/>
          <w:szCs w:val="19"/>
        </w:rPr>
        <w:t xml:space="preserve"> and understandings, usually an array of formative and summative assessments, tasks and projects.  Many units also showed connections to prior and future knowledge, common misconceptions, and instructional strategies.</w:t>
      </w:r>
    </w:p>
  </w:footnote>
  <w:footnote w:id="10">
    <w:p w14:paraId="660ADAC1" w14:textId="4BD79957" w:rsidR="00644B30" w:rsidRPr="00EC5B5A" w:rsidRDefault="00644B30">
      <w:pPr>
        <w:pStyle w:val="FootnoteText"/>
        <w:rPr>
          <w:rFonts w:asciiTheme="minorHAnsi" w:hAnsiTheme="minorHAnsi" w:cstheme="minorHAnsi"/>
          <w:sz w:val="19"/>
          <w:szCs w:val="19"/>
        </w:rPr>
      </w:pPr>
      <w:r w:rsidRPr="007C4A16">
        <w:rPr>
          <w:rStyle w:val="FootnoteReference"/>
          <w:rFonts w:asciiTheme="minorHAnsi" w:hAnsiTheme="minorHAnsi" w:cstheme="minorHAnsi"/>
          <w:sz w:val="19"/>
          <w:szCs w:val="19"/>
        </w:rPr>
        <w:footnoteRef/>
      </w:r>
      <w:r w:rsidRPr="007C4A16">
        <w:rPr>
          <w:rFonts w:asciiTheme="minorHAnsi" w:hAnsiTheme="minorHAnsi" w:cstheme="minorHAnsi"/>
          <w:sz w:val="19"/>
          <w:szCs w:val="19"/>
        </w:rPr>
        <w:t xml:space="preserve"> </w:t>
      </w:r>
      <w:r w:rsidRPr="007C4A16">
        <w:rPr>
          <w:rFonts w:asciiTheme="minorHAnsi" w:hAnsiTheme="minorHAnsi" w:cstheme="minorHAnsi"/>
          <w:i/>
          <w:color w:val="444444"/>
          <w:sz w:val="19"/>
          <w:szCs w:val="19"/>
        </w:rPr>
        <w:t>The House on Mango Street</w:t>
      </w:r>
      <w:r w:rsidRPr="007C4A16">
        <w:rPr>
          <w:rFonts w:asciiTheme="minorHAnsi" w:hAnsiTheme="minorHAnsi" w:cstheme="minorHAnsi"/>
          <w:color w:val="444444"/>
          <w:sz w:val="19"/>
          <w:szCs w:val="19"/>
        </w:rPr>
        <w:t xml:space="preserve"> is written from the perspective of teenage Latina, </w:t>
      </w:r>
      <w:r w:rsidRPr="007C4A16">
        <w:rPr>
          <w:rStyle w:val="Strong"/>
          <w:rFonts w:asciiTheme="minorHAnsi" w:eastAsiaTheme="minorHAnsi" w:hAnsiTheme="minorHAnsi" w:cstheme="minorHAnsi"/>
          <w:b w:val="0"/>
          <w:color w:val="444444"/>
          <w:sz w:val="19"/>
          <w:szCs w:val="19"/>
        </w:rPr>
        <w:t>Esperanza Cordero</w:t>
      </w:r>
      <w:r w:rsidRPr="007C4A16">
        <w:rPr>
          <w:rFonts w:asciiTheme="minorHAnsi" w:hAnsiTheme="minorHAnsi" w:cstheme="minorHAnsi"/>
          <w:color w:val="444444"/>
          <w:sz w:val="19"/>
          <w:szCs w:val="19"/>
        </w:rPr>
        <w:t>, who struggles with her life in a Chicano and Puerto Rican neighborhood of Chicago.</w:t>
      </w:r>
    </w:p>
  </w:footnote>
  <w:footnote w:id="11">
    <w:p w14:paraId="12D7523C" w14:textId="0F79CDDB" w:rsidR="00644B30" w:rsidRPr="00EC5B5A" w:rsidRDefault="00644B30">
      <w:pPr>
        <w:pStyle w:val="FootnoteText"/>
        <w:rPr>
          <w:rFonts w:asciiTheme="minorHAnsi" w:hAnsiTheme="minorHAnsi" w:cstheme="minorHAnsi"/>
          <w:sz w:val="19"/>
          <w:szCs w:val="19"/>
        </w:rPr>
      </w:pPr>
      <w:r w:rsidRPr="00385F16">
        <w:rPr>
          <w:rStyle w:val="FootnoteReference"/>
          <w:rFonts w:asciiTheme="minorHAnsi" w:hAnsiTheme="minorHAnsi" w:cstheme="minorHAnsi"/>
          <w:sz w:val="19"/>
          <w:szCs w:val="19"/>
        </w:rPr>
        <w:footnoteRef/>
      </w:r>
      <w:r w:rsidRPr="00385F16">
        <w:rPr>
          <w:rFonts w:asciiTheme="minorHAnsi" w:hAnsiTheme="minorHAnsi" w:cstheme="minorHAnsi"/>
          <w:sz w:val="19"/>
          <w:szCs w:val="19"/>
        </w:rPr>
        <w:t xml:space="preserve"> High-quality feedback is specific, timely, and actionable.</w:t>
      </w:r>
    </w:p>
  </w:footnote>
  <w:footnote w:id="12">
    <w:p w14:paraId="21930302" w14:textId="77777777" w:rsidR="00644B30" w:rsidRPr="00806B4A" w:rsidRDefault="00644B30" w:rsidP="00BD3640">
      <w:pPr>
        <w:pStyle w:val="FootnoteText"/>
        <w:rPr>
          <w:rFonts w:asciiTheme="minorHAnsi" w:hAnsiTheme="minorHAnsi" w:cstheme="minorHAnsi"/>
          <w:sz w:val="19"/>
          <w:szCs w:val="19"/>
        </w:rPr>
      </w:pPr>
      <w:r w:rsidRPr="00A16535">
        <w:rPr>
          <w:rStyle w:val="FootnoteReference"/>
          <w:rFonts w:asciiTheme="minorHAnsi" w:hAnsiTheme="minorHAnsi" w:cstheme="minorHAnsi"/>
          <w:sz w:val="19"/>
          <w:szCs w:val="19"/>
        </w:rPr>
        <w:footnoteRef/>
      </w:r>
      <w:r w:rsidRPr="00A16535">
        <w:rPr>
          <w:rFonts w:asciiTheme="minorHAnsi" w:hAnsiTheme="minorHAnsi" w:cstheme="minorHAnsi"/>
          <w:sz w:val="19"/>
          <w:szCs w:val="19"/>
        </w:rPr>
        <w:t xml:space="preserve"> SMART goals are Strategic and Specific; Measurable: Action Oriented; Rigorous, Realistic, and Results Focused; and Timed and Tracked.</w:t>
      </w:r>
    </w:p>
    <w:p w14:paraId="6CC0F5F2" w14:textId="50245B71" w:rsidR="00644B30" w:rsidRDefault="00644B30">
      <w:pPr>
        <w:pStyle w:val="FootnoteText"/>
      </w:pPr>
    </w:p>
  </w:footnote>
  <w:footnote w:id="13">
    <w:p w14:paraId="7CA3EEF1" w14:textId="77777777" w:rsidR="00644B30" w:rsidRPr="00385F16" w:rsidRDefault="00644B30" w:rsidP="00170EA9">
      <w:pPr>
        <w:pStyle w:val="FootnoteText"/>
        <w:rPr>
          <w:rFonts w:asciiTheme="minorHAnsi" w:hAnsiTheme="minorHAnsi" w:cstheme="minorHAnsi"/>
          <w:sz w:val="19"/>
          <w:szCs w:val="19"/>
        </w:rPr>
      </w:pPr>
      <w:r w:rsidRPr="00385F16">
        <w:rPr>
          <w:rStyle w:val="FootnoteReference"/>
          <w:rFonts w:asciiTheme="minorHAnsi" w:hAnsiTheme="minorHAnsi" w:cstheme="minorHAnsi"/>
          <w:sz w:val="19"/>
          <w:szCs w:val="19"/>
        </w:rPr>
        <w:footnoteRef/>
      </w:r>
      <w:r w:rsidRPr="00385F16">
        <w:rPr>
          <w:rFonts w:asciiTheme="minorHAnsi" w:hAnsiTheme="minorHAnsi" w:cstheme="minorHAnsi"/>
          <w:sz w:val="19"/>
          <w:szCs w:val="19"/>
        </w:rPr>
        <w:t xml:space="preserve"> LGBTQ stands for lesbian, gay, bi-sexual, transgender, and queer.</w:t>
      </w:r>
    </w:p>
  </w:footnote>
  <w:footnote w:id="14">
    <w:p w14:paraId="34D436B7" w14:textId="65C83E82" w:rsidR="00644B30" w:rsidRPr="00406A80" w:rsidRDefault="00644B30">
      <w:pPr>
        <w:pStyle w:val="FootnoteText"/>
        <w:rPr>
          <w:rFonts w:asciiTheme="minorHAnsi" w:hAnsiTheme="minorHAnsi" w:cstheme="minorHAnsi"/>
          <w:sz w:val="19"/>
          <w:szCs w:val="19"/>
        </w:rPr>
      </w:pPr>
      <w:r w:rsidRPr="00406A80">
        <w:rPr>
          <w:rStyle w:val="FootnoteReference"/>
          <w:rFonts w:asciiTheme="minorHAnsi" w:hAnsiTheme="minorHAnsi" w:cstheme="minorHAnsi"/>
          <w:sz w:val="19"/>
          <w:szCs w:val="19"/>
        </w:rPr>
        <w:footnoteRef/>
      </w:r>
      <w:r w:rsidRPr="00406A80">
        <w:rPr>
          <w:rFonts w:asciiTheme="minorHAnsi" w:hAnsiTheme="minorHAnsi" w:cstheme="minorHAnsi"/>
          <w:sz w:val="19"/>
          <w:szCs w:val="19"/>
        </w:rPr>
        <w:t xml:space="preserve"> Chronic absence is defined as the percentage of students absent 10 </w:t>
      </w:r>
      <w:r>
        <w:rPr>
          <w:rFonts w:asciiTheme="minorHAnsi" w:hAnsiTheme="minorHAnsi" w:cstheme="minorHAnsi"/>
          <w:sz w:val="19"/>
          <w:szCs w:val="19"/>
        </w:rPr>
        <w:t xml:space="preserve">percent </w:t>
      </w:r>
      <w:r w:rsidRPr="00406A80">
        <w:rPr>
          <w:rFonts w:asciiTheme="minorHAnsi" w:hAnsiTheme="minorHAnsi" w:cstheme="minorHAnsi"/>
          <w:sz w:val="19"/>
          <w:szCs w:val="19"/>
        </w:rPr>
        <w:t>or more of their total number of student days of membership in a school.</w:t>
      </w:r>
    </w:p>
  </w:footnote>
  <w:footnote w:id="15">
    <w:p w14:paraId="032397E3" w14:textId="0E614FD1" w:rsidR="00644B30" w:rsidRPr="00EC5B5A" w:rsidRDefault="00644B30">
      <w:pPr>
        <w:pStyle w:val="FootnoteText"/>
        <w:rPr>
          <w:rFonts w:asciiTheme="minorHAnsi" w:hAnsiTheme="minorHAnsi"/>
          <w:sz w:val="19"/>
          <w:szCs w:val="19"/>
        </w:rPr>
      </w:pPr>
      <w:r w:rsidRPr="00143926">
        <w:rPr>
          <w:rStyle w:val="FootnoteReference"/>
          <w:rFonts w:asciiTheme="minorHAnsi" w:hAnsiTheme="minorHAnsi"/>
          <w:sz w:val="19"/>
          <w:szCs w:val="19"/>
        </w:rPr>
        <w:footnoteRef/>
      </w:r>
      <w:r w:rsidRPr="00143926">
        <w:rPr>
          <w:rFonts w:asciiTheme="minorHAnsi" w:hAnsiTheme="minorHAnsi"/>
          <w:sz w:val="19"/>
          <w:szCs w:val="19"/>
        </w:rPr>
        <w:t xml:space="preserve"> NEASC stands for New England Association of Schools and Colleges.</w:t>
      </w:r>
    </w:p>
  </w:footnote>
  <w:footnote w:id="16">
    <w:p w14:paraId="696F0782" w14:textId="77777777" w:rsidR="00644B30" w:rsidRPr="00143926" w:rsidRDefault="00644B30" w:rsidP="00057B42">
      <w:pPr>
        <w:pStyle w:val="FootnoteText"/>
        <w:rPr>
          <w:rFonts w:asciiTheme="minorHAnsi" w:hAnsiTheme="minorHAnsi" w:cstheme="minorHAnsi"/>
          <w:sz w:val="19"/>
          <w:szCs w:val="19"/>
        </w:rPr>
      </w:pPr>
      <w:r w:rsidRPr="00143926">
        <w:rPr>
          <w:rStyle w:val="FootnoteReference"/>
          <w:rFonts w:asciiTheme="minorHAnsi" w:hAnsiTheme="minorHAnsi" w:cstheme="minorHAnsi"/>
          <w:sz w:val="19"/>
          <w:szCs w:val="19"/>
        </w:rPr>
        <w:footnoteRef/>
      </w:r>
      <w:r w:rsidRPr="00143926">
        <w:rPr>
          <w:rFonts w:asciiTheme="minorHAnsi" w:hAnsiTheme="minorHAnsi" w:cstheme="minorHAnsi"/>
          <w:sz w:val="19"/>
          <w:szCs w:val="19"/>
        </w:rPr>
        <w:t xml:space="preserve"> The schools are Barbieri, Dunning, Hemenway, King, McCarthy, and Potter.  </w:t>
      </w:r>
    </w:p>
  </w:footnote>
  <w:footnote w:id="17">
    <w:p w14:paraId="3809F259" w14:textId="05E322EF" w:rsidR="00644B30" w:rsidRPr="00EC5B5A" w:rsidRDefault="00644B30">
      <w:pPr>
        <w:pStyle w:val="FootnoteText"/>
        <w:rPr>
          <w:rFonts w:asciiTheme="minorHAnsi" w:hAnsiTheme="minorHAnsi" w:cstheme="minorHAnsi"/>
          <w:sz w:val="19"/>
          <w:szCs w:val="19"/>
        </w:rPr>
      </w:pPr>
      <w:r w:rsidRPr="00143926">
        <w:rPr>
          <w:rStyle w:val="FootnoteReference"/>
          <w:rFonts w:asciiTheme="minorHAnsi" w:hAnsiTheme="minorHAnsi" w:cstheme="minorHAnsi"/>
          <w:sz w:val="19"/>
          <w:szCs w:val="19"/>
        </w:rPr>
        <w:footnoteRef/>
      </w:r>
      <w:r w:rsidRPr="00143926">
        <w:rPr>
          <w:rFonts w:asciiTheme="minorHAnsi" w:hAnsiTheme="minorHAnsi" w:cstheme="minorHAnsi"/>
          <w:sz w:val="19"/>
          <w:szCs w:val="19"/>
        </w:rPr>
        <w:t xml:space="preserve"> Thayer Campus is the district’s alternative high-school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5B3F0322" w:rsidR="00644B30" w:rsidRDefault="00644B30" w:rsidP="002F1EBE">
    <w:pPr>
      <w:spacing w:after="240"/>
    </w:pPr>
    <w:r>
      <w:rPr>
        <w:sz w:val="19"/>
        <w:szCs w:val="19"/>
      </w:rPr>
      <w:t>Framingham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8323C9C" w:rsidR="00644B30" w:rsidRDefault="00644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16D"/>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3B309AB"/>
    <w:multiLevelType w:val="hybridMultilevel"/>
    <w:tmpl w:val="30A20D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31A"/>
    <w:multiLevelType w:val="multilevel"/>
    <w:tmpl w:val="F41A4744"/>
    <w:lvl w:ilvl="0">
      <w:start w:val="2"/>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B6354"/>
    <w:multiLevelType w:val="hybridMultilevel"/>
    <w:tmpl w:val="1742B892"/>
    <w:lvl w:ilvl="0" w:tplc="0409000F">
      <w:start w:val="1"/>
      <w:numFmt w:val="decimal"/>
      <w:lvlText w:val="%1."/>
      <w:lvlJc w:val="left"/>
      <w:pPr>
        <w:ind w:left="720" w:hanging="360"/>
      </w:pPr>
    </w:lvl>
    <w:lvl w:ilvl="1" w:tplc="306060F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A5460"/>
    <w:multiLevelType w:val="multilevel"/>
    <w:tmpl w:val="0B2A923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E39"/>
    <w:multiLevelType w:val="hybridMultilevel"/>
    <w:tmpl w:val="7B780728"/>
    <w:lvl w:ilvl="0" w:tplc="1338903E">
      <w:start w:val="1"/>
      <w:numFmt w:val="bullet"/>
      <w:lvlText w:val=""/>
      <w:lvlJc w:val="left"/>
      <w:pPr>
        <w:ind w:left="1200" w:hanging="360"/>
      </w:pPr>
      <w:rPr>
        <w:rFonts w:ascii="Symbol" w:hAnsi="Symbol" w:hint="default"/>
        <w:sz w:val="22"/>
        <w:szCs w:val="22"/>
      </w:rPr>
    </w:lvl>
    <w:lvl w:ilvl="1" w:tplc="04090003">
      <w:start w:val="1"/>
      <w:numFmt w:val="bullet"/>
      <w:lvlText w:val="o"/>
      <w:lvlJc w:val="left"/>
      <w:pPr>
        <w:ind w:left="1920" w:hanging="360"/>
      </w:pPr>
      <w:rPr>
        <w:rFonts w:ascii="Courier New" w:hAnsi="Courier New" w:cs="Courier New" w:hint="default"/>
        <w:b w:val="0"/>
        <w:color w:val="auto"/>
        <w:sz w:val="22"/>
        <w:szCs w:val="22"/>
      </w:rPr>
    </w:lvl>
    <w:lvl w:ilvl="2" w:tplc="50DA4246">
      <w:start w:val="1"/>
      <w:numFmt w:val="bullet"/>
      <w:lvlText w:val=""/>
      <w:lvlJc w:val="left"/>
      <w:pPr>
        <w:ind w:left="2640" w:hanging="360"/>
      </w:pPr>
      <w:rPr>
        <w:rFonts w:ascii="Symbol" w:hAnsi="Symbol" w:hint="default"/>
        <w:color w:val="auto"/>
      </w:rPr>
    </w:lvl>
    <w:lvl w:ilvl="3" w:tplc="0409000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0E0D29EA"/>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0F24AD2"/>
    <w:multiLevelType w:val="hybridMultilevel"/>
    <w:tmpl w:val="7ECE3C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22011F"/>
    <w:multiLevelType w:val="multilevel"/>
    <w:tmpl w:val="887EB0DC"/>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201A15"/>
    <w:multiLevelType w:val="multilevel"/>
    <w:tmpl w:val="10804C3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A990A0D"/>
    <w:multiLevelType w:val="multilevel"/>
    <w:tmpl w:val="E5A0E83C"/>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Bidi"/>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B485635"/>
    <w:multiLevelType w:val="hybridMultilevel"/>
    <w:tmpl w:val="549EC10A"/>
    <w:lvl w:ilvl="0" w:tplc="0409000F">
      <w:start w:val="1"/>
      <w:numFmt w:val="decimal"/>
      <w:lvlText w:val="%1."/>
      <w:lvlJc w:val="left"/>
      <w:pPr>
        <w:ind w:left="1350" w:hanging="360"/>
      </w:pPr>
    </w:lvl>
    <w:lvl w:ilvl="1" w:tplc="445E22BA">
      <w:start w:val="1"/>
      <w:numFmt w:val="upperLetter"/>
      <w:lvlText w:val="%2."/>
      <w:lvlJc w:val="left"/>
      <w:pPr>
        <w:ind w:left="810" w:hanging="360"/>
      </w:pPr>
      <w:rPr>
        <w:rFonts w:hint="default"/>
        <w:b/>
      </w:rPr>
    </w:lvl>
    <w:lvl w:ilvl="2" w:tplc="0409001B">
      <w:start w:val="1"/>
      <w:numFmt w:val="lowerRoman"/>
      <w:lvlText w:val="%3."/>
      <w:lvlJc w:val="right"/>
      <w:pPr>
        <w:ind w:left="720" w:hanging="180"/>
      </w:pPr>
    </w:lvl>
    <w:lvl w:ilvl="3" w:tplc="500A0BAE">
      <w:start w:val="3"/>
      <w:numFmt w:val="decimal"/>
      <w:lvlText w:val="%4"/>
      <w:lvlJc w:val="left"/>
      <w:pPr>
        <w:ind w:left="1440" w:hanging="360"/>
      </w:pPr>
      <w:rPr>
        <w:rFonts w:hint="default"/>
      </w:r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6" w15:restartNumberingAfterBreak="0">
    <w:nsid w:val="1B537D3F"/>
    <w:multiLevelType w:val="hybridMultilevel"/>
    <w:tmpl w:val="3C20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C22389"/>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C3A04A4"/>
    <w:multiLevelType w:val="hybridMultilevel"/>
    <w:tmpl w:val="75747658"/>
    <w:lvl w:ilvl="0" w:tplc="0E9CF2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F1155"/>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21" w15:restartNumberingAfterBreak="0">
    <w:nsid w:val="22240717"/>
    <w:multiLevelType w:val="hybridMultilevel"/>
    <w:tmpl w:val="35BA85F6"/>
    <w:lvl w:ilvl="0" w:tplc="04090019">
      <w:start w:val="1"/>
      <w:numFmt w:val="lowerLetter"/>
      <w:lvlText w:val="%1."/>
      <w:lvlJc w:val="left"/>
      <w:pPr>
        <w:ind w:left="6120" w:hanging="360"/>
      </w:p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15:restartNumberingAfterBreak="0">
    <w:nsid w:val="22512322"/>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266472BC"/>
    <w:multiLevelType w:val="hybridMultilevel"/>
    <w:tmpl w:val="1BC6BCE6"/>
    <w:lvl w:ilvl="0" w:tplc="491E7F46">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F3809"/>
    <w:multiLevelType w:val="hybridMultilevel"/>
    <w:tmpl w:val="103C0EAE"/>
    <w:lvl w:ilvl="0" w:tplc="0409000F">
      <w:start w:val="1"/>
      <w:numFmt w:val="decimal"/>
      <w:lvlText w:val="%1."/>
      <w:lvlJc w:val="left"/>
      <w:pPr>
        <w:ind w:left="1440" w:hanging="360"/>
      </w:pPr>
    </w:lvl>
    <w:lvl w:ilvl="1" w:tplc="A67A06FC">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C335216"/>
    <w:multiLevelType w:val="hybridMultilevel"/>
    <w:tmpl w:val="EBC4839E"/>
    <w:lvl w:ilvl="0" w:tplc="58229EB6">
      <w:start w:val="4"/>
      <w:numFmt w:val="decimal"/>
      <w:lvlText w:val="%1."/>
      <w:lvlJc w:val="left"/>
      <w:pPr>
        <w:ind w:left="1080" w:hanging="360"/>
      </w:pPr>
      <w:rPr>
        <w:rFonts w:hint="default"/>
      </w:rPr>
    </w:lvl>
    <w:lvl w:ilvl="1" w:tplc="CA58342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7361DA"/>
    <w:multiLevelType w:val="hybridMultilevel"/>
    <w:tmpl w:val="F992EFAE"/>
    <w:lvl w:ilvl="0" w:tplc="0409000F">
      <w:start w:val="1"/>
      <w:numFmt w:val="decimal"/>
      <w:lvlText w:val="%1."/>
      <w:lvlJc w:val="left"/>
      <w:pPr>
        <w:ind w:left="1440" w:hanging="360"/>
      </w:pPr>
    </w:lvl>
    <w:lvl w:ilvl="1" w:tplc="ABAA0704">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D7D5FDB"/>
    <w:multiLevelType w:val="multilevel"/>
    <w:tmpl w:val="DC9E23B0"/>
    <w:lvl w:ilvl="0">
      <w:start w:val="1"/>
      <w:numFmt w:val="upperLetter"/>
      <w:lvlText w:val="%1."/>
      <w:lvlJc w:val="left"/>
      <w:pPr>
        <w:ind w:left="810" w:hanging="360"/>
      </w:pPr>
      <w:rPr>
        <w:rFonts w:hint="default"/>
        <w:b/>
        <w:i w:val="0"/>
      </w:rPr>
    </w:lvl>
    <w:lvl w:ilvl="1">
      <w:start w:val="1"/>
      <w:numFmt w:val="upperLetter"/>
      <w:lvlText w:val="%2."/>
      <w:lvlJc w:val="left"/>
      <w:pPr>
        <w:ind w:left="360" w:hanging="360"/>
      </w:pPr>
      <w:rPr>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364E07B0"/>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365F149E"/>
    <w:multiLevelType w:val="hybridMultilevel"/>
    <w:tmpl w:val="7FDA6F28"/>
    <w:lvl w:ilvl="0" w:tplc="FACAAA7E">
      <w:start w:val="1"/>
      <w:numFmt w:val="decimal"/>
      <w:lvlText w:val="%1."/>
      <w:lvlJc w:val="left"/>
      <w:pPr>
        <w:ind w:left="720" w:hanging="360"/>
      </w:pPr>
    </w:lvl>
    <w:lvl w:ilvl="1" w:tplc="201053B2" w:tentative="1">
      <w:start w:val="1"/>
      <w:numFmt w:val="lowerLetter"/>
      <w:lvlText w:val="%2."/>
      <w:lvlJc w:val="left"/>
      <w:pPr>
        <w:ind w:left="1440" w:hanging="360"/>
      </w:pPr>
    </w:lvl>
    <w:lvl w:ilvl="2" w:tplc="2F0C264C" w:tentative="1">
      <w:start w:val="1"/>
      <w:numFmt w:val="lowerRoman"/>
      <w:lvlText w:val="%3."/>
      <w:lvlJc w:val="right"/>
      <w:pPr>
        <w:ind w:left="2160" w:hanging="180"/>
      </w:pPr>
    </w:lvl>
    <w:lvl w:ilvl="3" w:tplc="7D883848" w:tentative="1">
      <w:start w:val="1"/>
      <w:numFmt w:val="decimal"/>
      <w:lvlText w:val="%4."/>
      <w:lvlJc w:val="left"/>
      <w:pPr>
        <w:ind w:left="2880" w:hanging="360"/>
      </w:pPr>
    </w:lvl>
    <w:lvl w:ilvl="4" w:tplc="9D8C8A66" w:tentative="1">
      <w:start w:val="1"/>
      <w:numFmt w:val="lowerLetter"/>
      <w:lvlText w:val="%5."/>
      <w:lvlJc w:val="left"/>
      <w:pPr>
        <w:ind w:left="3600" w:hanging="360"/>
      </w:pPr>
    </w:lvl>
    <w:lvl w:ilvl="5" w:tplc="EA185704" w:tentative="1">
      <w:start w:val="1"/>
      <w:numFmt w:val="lowerRoman"/>
      <w:lvlText w:val="%6."/>
      <w:lvlJc w:val="right"/>
      <w:pPr>
        <w:ind w:left="4320" w:hanging="180"/>
      </w:pPr>
    </w:lvl>
    <w:lvl w:ilvl="6" w:tplc="8D36C310" w:tentative="1">
      <w:start w:val="1"/>
      <w:numFmt w:val="decimal"/>
      <w:lvlText w:val="%7."/>
      <w:lvlJc w:val="left"/>
      <w:pPr>
        <w:ind w:left="5040" w:hanging="360"/>
      </w:pPr>
    </w:lvl>
    <w:lvl w:ilvl="7" w:tplc="D20C99F0" w:tentative="1">
      <w:start w:val="1"/>
      <w:numFmt w:val="lowerLetter"/>
      <w:lvlText w:val="%8."/>
      <w:lvlJc w:val="left"/>
      <w:pPr>
        <w:ind w:left="5760" w:hanging="360"/>
      </w:pPr>
    </w:lvl>
    <w:lvl w:ilvl="8" w:tplc="F61076C6" w:tentative="1">
      <w:start w:val="1"/>
      <w:numFmt w:val="lowerRoman"/>
      <w:lvlText w:val="%9."/>
      <w:lvlJc w:val="right"/>
      <w:pPr>
        <w:ind w:left="6480" w:hanging="180"/>
      </w:pPr>
    </w:lvl>
  </w:abstractNum>
  <w:abstractNum w:abstractNumId="31" w15:restartNumberingAfterBreak="0">
    <w:nsid w:val="37DC2CBD"/>
    <w:multiLevelType w:val="hybridMultilevel"/>
    <w:tmpl w:val="3FDC6FB4"/>
    <w:lvl w:ilvl="0" w:tplc="A648A24C">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911EA44A">
      <w:start w:val="1"/>
      <w:numFmt w:val="decimal"/>
      <w:lvlText w:val="%7."/>
      <w:lvlJc w:val="left"/>
      <w:pPr>
        <w:ind w:left="5760" w:hanging="360"/>
      </w:pPr>
      <w:rPr>
        <w:i w:val="0"/>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96055F0"/>
    <w:multiLevelType w:val="hybridMultilevel"/>
    <w:tmpl w:val="D0085C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8116A4"/>
    <w:multiLevelType w:val="hybridMultilevel"/>
    <w:tmpl w:val="763C7A6C"/>
    <w:lvl w:ilvl="0" w:tplc="FC04F00A">
      <w:start w:val="1"/>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AF76F0"/>
    <w:multiLevelType w:val="hybridMultilevel"/>
    <w:tmpl w:val="D7A2F918"/>
    <w:lvl w:ilvl="0" w:tplc="7206F03A">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AACCEBB2">
      <w:start w:val="1"/>
      <w:numFmt w:val="upperLetter"/>
      <w:lvlText w:val="%3."/>
      <w:lvlJc w:val="left"/>
      <w:pPr>
        <w:ind w:left="360" w:hanging="36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3CF37E83"/>
    <w:multiLevelType w:val="hybridMultilevel"/>
    <w:tmpl w:val="9A88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FA1DE6"/>
    <w:multiLevelType w:val="hybridMultilevel"/>
    <w:tmpl w:val="1E0CF848"/>
    <w:lvl w:ilvl="0" w:tplc="0FF6CF38">
      <w:start w:val="1"/>
      <w:numFmt w:val="upperLetter"/>
      <w:lvlText w:val="%1."/>
      <w:lvlJc w:val="left"/>
      <w:pPr>
        <w:ind w:left="450" w:hanging="360"/>
      </w:pPr>
      <w:rPr>
        <w:rFonts w:hint="default"/>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2475022"/>
    <w:multiLevelType w:val="hybridMultilevel"/>
    <w:tmpl w:val="AA22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22354D"/>
    <w:multiLevelType w:val="hybridMultilevel"/>
    <w:tmpl w:val="D13474D0"/>
    <w:lvl w:ilvl="0" w:tplc="1BB67720">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DDBE4ED6">
      <w:start w:val="1"/>
      <w:numFmt w:val="upp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8CA38CB"/>
    <w:multiLevelType w:val="multilevel"/>
    <w:tmpl w:val="AE74282E"/>
    <w:lvl w:ilvl="0">
      <w:start w:val="4"/>
      <w:numFmt w:val="upperLetter"/>
      <w:lvlText w:val="%1."/>
      <w:lvlJc w:val="left"/>
      <w:pPr>
        <w:ind w:left="81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49FB7275"/>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4B302CC9"/>
    <w:multiLevelType w:val="hybridMultilevel"/>
    <w:tmpl w:val="B1A48340"/>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344BB6"/>
    <w:multiLevelType w:val="hybridMultilevel"/>
    <w:tmpl w:val="96747DD4"/>
    <w:lvl w:ilvl="0" w:tplc="7C400030">
      <w:start w:val="3"/>
      <w:numFmt w:val="upperLetter"/>
      <w:lvlText w:val="%1."/>
      <w:lvlJc w:val="left"/>
      <w:pPr>
        <w:ind w:left="61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FD5BE9"/>
    <w:multiLevelType w:val="hybridMultilevel"/>
    <w:tmpl w:val="A796C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505937FC"/>
    <w:multiLevelType w:val="multilevel"/>
    <w:tmpl w:val="04C2CB3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432D17"/>
    <w:multiLevelType w:val="hybridMultilevel"/>
    <w:tmpl w:val="2530F144"/>
    <w:lvl w:ilvl="0" w:tplc="F7BA30C4">
      <w:start w:val="1"/>
      <w:numFmt w:val="bullet"/>
      <w:lvlText w:val=""/>
      <w:lvlJc w:val="left"/>
      <w:pPr>
        <w:tabs>
          <w:tab w:val="num" w:pos="250"/>
        </w:tabs>
        <w:ind w:left="970" w:hanging="360"/>
      </w:pPr>
      <w:rPr>
        <w:rFonts w:ascii="Symbol" w:hAnsi="Symbol" w:hint="default"/>
        <w:color w:val="auto"/>
        <w:sz w:val="22"/>
        <w:szCs w:val="22"/>
      </w:rPr>
    </w:lvl>
    <w:lvl w:ilvl="1" w:tplc="6554D684">
      <w:start w:val="1"/>
      <w:numFmt w:val="bullet"/>
      <w:lvlText w:val="o"/>
      <w:lvlJc w:val="left"/>
      <w:pPr>
        <w:ind w:left="1474" w:hanging="360"/>
      </w:pPr>
      <w:rPr>
        <w:rFonts w:asciiTheme="minorHAnsi" w:hAnsiTheme="minorHAnsi" w:cstheme="minorHAnsi"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5157416E"/>
    <w:multiLevelType w:val="hybridMultilevel"/>
    <w:tmpl w:val="D67C091C"/>
    <w:lvl w:ilvl="0" w:tplc="F7BA30C4">
      <w:start w:val="1"/>
      <w:numFmt w:val="bullet"/>
      <w:lvlText w:val=""/>
      <w:lvlJc w:val="left"/>
      <w:pPr>
        <w:tabs>
          <w:tab w:val="num" w:pos="250"/>
        </w:tabs>
        <w:ind w:left="970" w:hanging="360"/>
      </w:pPr>
      <w:rPr>
        <w:rFonts w:ascii="Symbol" w:hAnsi="Symbol" w:hint="default"/>
        <w:color w:val="auto"/>
        <w:sz w:val="22"/>
        <w:szCs w:val="22"/>
      </w:rPr>
    </w:lvl>
    <w:lvl w:ilvl="1" w:tplc="50DA4246">
      <w:start w:val="1"/>
      <w:numFmt w:val="bullet"/>
      <w:lvlText w:val=""/>
      <w:lvlJc w:val="left"/>
      <w:pPr>
        <w:ind w:left="1474" w:hanging="360"/>
      </w:pPr>
      <w:rPr>
        <w:rFonts w:ascii="Symbol" w:hAnsi="Symbol" w:hint="default"/>
        <w:color w:val="auto"/>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2" w15:restartNumberingAfterBreak="0">
    <w:nsid w:val="52EF61E0"/>
    <w:multiLevelType w:val="hybridMultilevel"/>
    <w:tmpl w:val="1B20D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2610D"/>
    <w:multiLevelType w:val="hybridMultilevel"/>
    <w:tmpl w:val="DB92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CA1DBF"/>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5E70278C"/>
    <w:multiLevelType w:val="hybridMultilevel"/>
    <w:tmpl w:val="5F72FFE6"/>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C2326FE6">
      <w:start w:val="4"/>
      <w:numFmt w:val="decimal"/>
      <w:lvlText w:val="%3."/>
      <w:lvlJc w:val="left"/>
      <w:pPr>
        <w:ind w:left="234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972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843B87"/>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5EAD6A88"/>
    <w:multiLevelType w:val="hybridMultilevel"/>
    <w:tmpl w:val="7FDA6F28"/>
    <w:lvl w:ilvl="0" w:tplc="A14A3EBC">
      <w:start w:val="1"/>
      <w:numFmt w:val="decimal"/>
      <w:lvlText w:val="%1."/>
      <w:lvlJc w:val="left"/>
      <w:pPr>
        <w:ind w:left="720" w:hanging="360"/>
      </w:pPr>
    </w:lvl>
    <w:lvl w:ilvl="1" w:tplc="1BD897DA" w:tentative="1">
      <w:start w:val="1"/>
      <w:numFmt w:val="lowerLetter"/>
      <w:lvlText w:val="%2."/>
      <w:lvlJc w:val="left"/>
      <w:pPr>
        <w:ind w:left="1440" w:hanging="360"/>
      </w:pPr>
    </w:lvl>
    <w:lvl w:ilvl="2" w:tplc="00008136" w:tentative="1">
      <w:start w:val="1"/>
      <w:numFmt w:val="lowerRoman"/>
      <w:lvlText w:val="%3."/>
      <w:lvlJc w:val="right"/>
      <w:pPr>
        <w:ind w:left="2160" w:hanging="180"/>
      </w:pPr>
    </w:lvl>
    <w:lvl w:ilvl="3" w:tplc="90323326" w:tentative="1">
      <w:start w:val="1"/>
      <w:numFmt w:val="decimal"/>
      <w:lvlText w:val="%4."/>
      <w:lvlJc w:val="left"/>
      <w:pPr>
        <w:ind w:left="2880" w:hanging="360"/>
      </w:pPr>
    </w:lvl>
    <w:lvl w:ilvl="4" w:tplc="84B47402" w:tentative="1">
      <w:start w:val="1"/>
      <w:numFmt w:val="lowerLetter"/>
      <w:lvlText w:val="%5."/>
      <w:lvlJc w:val="left"/>
      <w:pPr>
        <w:ind w:left="3600" w:hanging="360"/>
      </w:pPr>
    </w:lvl>
    <w:lvl w:ilvl="5" w:tplc="F56E085C" w:tentative="1">
      <w:start w:val="1"/>
      <w:numFmt w:val="lowerRoman"/>
      <w:lvlText w:val="%6."/>
      <w:lvlJc w:val="right"/>
      <w:pPr>
        <w:ind w:left="4320" w:hanging="180"/>
      </w:pPr>
    </w:lvl>
    <w:lvl w:ilvl="6" w:tplc="30CC6BDA" w:tentative="1">
      <w:start w:val="1"/>
      <w:numFmt w:val="decimal"/>
      <w:lvlText w:val="%7."/>
      <w:lvlJc w:val="left"/>
      <w:pPr>
        <w:ind w:left="5040" w:hanging="360"/>
      </w:pPr>
    </w:lvl>
    <w:lvl w:ilvl="7" w:tplc="272C4D0E" w:tentative="1">
      <w:start w:val="1"/>
      <w:numFmt w:val="lowerLetter"/>
      <w:lvlText w:val="%8."/>
      <w:lvlJc w:val="left"/>
      <w:pPr>
        <w:ind w:left="5760" w:hanging="360"/>
      </w:pPr>
    </w:lvl>
    <w:lvl w:ilvl="8" w:tplc="73BA2A36" w:tentative="1">
      <w:start w:val="1"/>
      <w:numFmt w:val="lowerRoman"/>
      <w:lvlText w:val="%9."/>
      <w:lvlJc w:val="right"/>
      <w:pPr>
        <w:ind w:left="6480" w:hanging="180"/>
      </w:pPr>
    </w:lvl>
  </w:abstractNum>
  <w:abstractNum w:abstractNumId="61" w15:restartNumberingAfterBreak="0">
    <w:nsid w:val="5F5505C1"/>
    <w:multiLevelType w:val="hybridMultilevel"/>
    <w:tmpl w:val="9418DB06"/>
    <w:lvl w:ilvl="0" w:tplc="15D8444C">
      <w:start w:val="1"/>
      <w:numFmt w:val="decimal"/>
      <w:lvlText w:val="%1."/>
      <w:lvlJc w:val="left"/>
      <w:pPr>
        <w:ind w:left="1440" w:hanging="360"/>
      </w:pPr>
      <w:rPr>
        <w:rFonts w:asciiTheme="minorHAnsi" w:eastAsiaTheme="minorHAnsi" w:hAnsiTheme="minorHAnsi" w:cstheme="minorBidi"/>
      </w:rPr>
    </w:lvl>
    <w:lvl w:ilvl="1" w:tplc="E5A22498">
      <w:start w:val="1"/>
      <w:numFmt w:val="upperLetter"/>
      <w:lvlText w:val="%2."/>
      <w:lvlJc w:val="left"/>
      <w:pPr>
        <w:ind w:left="2160" w:hanging="360"/>
      </w:pPr>
      <w:rPr>
        <w:rFonts w:asciiTheme="minorHAnsi" w:eastAsiaTheme="minorHAnsi" w:hAnsiTheme="minorHAnsi" w:cstheme="minorBidi"/>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04C1732"/>
    <w:multiLevelType w:val="multilevel"/>
    <w:tmpl w:val="47A02EA6"/>
    <w:lvl w:ilvl="0">
      <w:start w:val="2"/>
      <w:numFmt w:val="upperLetter"/>
      <w:lvlText w:val="%1."/>
      <w:lvlJc w:val="left"/>
      <w:pPr>
        <w:ind w:left="540" w:hanging="360"/>
      </w:pPr>
      <w:rPr>
        <w:rFonts w:hint="default"/>
        <w:b/>
        <w:i w:val="0"/>
      </w:rPr>
    </w:lvl>
    <w:lvl w:ilvl="1">
      <w:start w:val="5"/>
      <w:numFmt w:val="upperLetter"/>
      <w:lvlText w:val="%2."/>
      <w:lvlJc w:val="left"/>
      <w:pPr>
        <w:ind w:left="900" w:hanging="360"/>
      </w:pPr>
      <w:rPr>
        <w:rFonts w:hint="default"/>
        <w:b/>
        <w:i w:val="0"/>
      </w:rPr>
    </w:lvl>
    <w:lvl w:ilvl="2">
      <w:start w:val="2"/>
      <w:numFmt w:val="decimal"/>
      <w:lvlText w:val="%3."/>
      <w:lvlJc w:val="left"/>
      <w:pPr>
        <w:ind w:left="1260" w:hanging="360"/>
      </w:pPr>
      <w:rPr>
        <w:rFonts w:hint="default"/>
        <w:b/>
        <w:i w:val="0"/>
      </w:rPr>
    </w:lvl>
    <w:lvl w:ilvl="3">
      <w:start w:val="1"/>
      <w:numFmt w:val="lowerLetter"/>
      <w:lvlText w:val="%4."/>
      <w:lvlJc w:val="left"/>
      <w:pPr>
        <w:ind w:left="1620" w:hanging="360"/>
      </w:pPr>
      <w:rPr>
        <w:rFonts w:hint="default"/>
        <w:b w:val="0"/>
        <w:i w:val="0"/>
      </w:rPr>
    </w:lvl>
    <w:lvl w:ilvl="4">
      <w:start w:val="1"/>
      <w:numFmt w:val="lowerRoman"/>
      <w:lvlText w:val="%5."/>
      <w:lvlJc w:val="right"/>
      <w:pPr>
        <w:ind w:left="1980" w:hanging="360"/>
      </w:pPr>
      <w:rPr>
        <w:rFonts w:hint="default"/>
        <w:b w:val="0"/>
        <w:i w:val="0"/>
      </w:rPr>
    </w:lvl>
    <w:lvl w:ilvl="5">
      <w:start w:val="1"/>
      <w:numFmt w:val="lowerRoman"/>
      <w:lvlText w:val="%6."/>
      <w:lvlJc w:val="righ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63" w15:restartNumberingAfterBreak="0">
    <w:nsid w:val="61A70208"/>
    <w:multiLevelType w:val="multilevel"/>
    <w:tmpl w:val="34DAF286"/>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4" w15:restartNumberingAfterBreak="0">
    <w:nsid w:val="643063E5"/>
    <w:multiLevelType w:val="hybridMultilevel"/>
    <w:tmpl w:val="35AA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0075AE"/>
    <w:multiLevelType w:val="hybridMultilevel"/>
    <w:tmpl w:val="D5C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D25DF"/>
    <w:multiLevelType w:val="hybridMultilevel"/>
    <w:tmpl w:val="093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19A7A67"/>
    <w:multiLevelType w:val="hybridMultilevel"/>
    <w:tmpl w:val="6BAC3606"/>
    <w:lvl w:ilvl="0" w:tplc="84D2FE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352B4A"/>
    <w:multiLevelType w:val="hybridMultilevel"/>
    <w:tmpl w:val="DC6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275CB1"/>
    <w:multiLevelType w:val="hybridMultilevel"/>
    <w:tmpl w:val="5052D15C"/>
    <w:lvl w:ilvl="0" w:tplc="3B1C2450">
      <w:start w:val="3"/>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75" w15:restartNumberingAfterBreak="0">
    <w:nsid w:val="79EC22E6"/>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6" w15:restartNumberingAfterBreak="0">
    <w:nsid w:val="7A264703"/>
    <w:multiLevelType w:val="hybridMultilevel"/>
    <w:tmpl w:val="A5FE8C70"/>
    <w:lvl w:ilvl="0" w:tplc="04090001">
      <w:start w:val="1"/>
      <w:numFmt w:val="bullet"/>
      <w:lvlText w:val=""/>
      <w:lvlJc w:val="left"/>
      <w:pPr>
        <w:ind w:left="720" w:hanging="360"/>
      </w:pPr>
      <w:rPr>
        <w:rFonts w:ascii="Symbol" w:hAnsi="Symbol" w:hint="default"/>
      </w:rPr>
    </w:lvl>
    <w:lvl w:ilvl="1" w:tplc="1D70BF86">
      <w:start w:val="1"/>
      <w:numFmt w:val="bullet"/>
      <w:lvlText w:val="o"/>
      <w:lvlJc w:val="left"/>
      <w:pPr>
        <w:ind w:left="1440" w:hanging="360"/>
      </w:pPr>
      <w:rPr>
        <w:rFonts w:ascii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8" w15:restartNumberingAfterBreak="0">
    <w:nsid w:val="7AD1049F"/>
    <w:multiLevelType w:val="multilevel"/>
    <w:tmpl w:val="E94A42F4"/>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40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0" w15:restartNumberingAfterBreak="0">
    <w:nsid w:val="7E0B4152"/>
    <w:multiLevelType w:val="hybridMultilevel"/>
    <w:tmpl w:val="FD4C0E1C"/>
    <w:lvl w:ilvl="0" w:tplc="0E006890">
      <w:start w:val="1"/>
      <w:numFmt w:val="upperLetter"/>
      <w:lvlText w:val="%1."/>
      <w:lvlJc w:val="left"/>
      <w:pPr>
        <w:ind w:left="1440" w:hanging="360"/>
      </w:pPr>
      <w:rPr>
        <w:rFonts w:asciiTheme="minorHAnsi" w:eastAsiaTheme="minorHAnsi" w:hAnsiTheme="minorHAnsi" w:cstheme="minorBidi"/>
        <w:b/>
      </w:rPr>
    </w:lvl>
    <w:lvl w:ilvl="1" w:tplc="90BE39AC">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15:restartNumberingAfterBreak="0">
    <w:nsid w:val="7FB92510"/>
    <w:multiLevelType w:val="hybridMultilevel"/>
    <w:tmpl w:val="67EC25B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6"/>
  </w:num>
  <w:num w:numId="2">
    <w:abstractNumId w:val="77"/>
  </w:num>
  <w:num w:numId="3">
    <w:abstractNumId w:val="28"/>
  </w:num>
  <w:num w:numId="4">
    <w:abstractNumId w:val="47"/>
  </w:num>
  <w:num w:numId="5">
    <w:abstractNumId w:val="12"/>
  </w:num>
  <w:num w:numId="6">
    <w:abstractNumId w:val="74"/>
  </w:num>
  <w:num w:numId="7">
    <w:abstractNumId w:val="13"/>
  </w:num>
  <w:num w:numId="8">
    <w:abstractNumId w:val="14"/>
  </w:num>
  <w:num w:numId="9">
    <w:abstractNumId w:val="79"/>
  </w:num>
  <w:num w:numId="10">
    <w:abstractNumId w:val="49"/>
  </w:num>
  <w:num w:numId="11">
    <w:abstractNumId w:val="40"/>
  </w:num>
  <w:num w:numId="12">
    <w:abstractNumId w:val="78"/>
  </w:num>
  <w:num w:numId="13">
    <w:abstractNumId w:val="27"/>
  </w:num>
  <w:num w:numId="14">
    <w:abstractNumId w:val="21"/>
  </w:num>
  <w:num w:numId="15">
    <w:abstractNumId w:val="55"/>
  </w:num>
  <w:num w:numId="16">
    <w:abstractNumId w:val="4"/>
  </w:num>
  <w:num w:numId="17">
    <w:abstractNumId w:val="25"/>
  </w:num>
  <w:num w:numId="18">
    <w:abstractNumId w:val="63"/>
  </w:num>
  <w:num w:numId="19">
    <w:abstractNumId w:val="39"/>
  </w:num>
  <w:num w:numId="20">
    <w:abstractNumId w:val="2"/>
  </w:num>
  <w:num w:numId="21">
    <w:abstractNumId w:val="53"/>
  </w:num>
  <w:num w:numId="22">
    <w:abstractNumId w:val="67"/>
  </w:num>
  <w:num w:numId="23">
    <w:abstractNumId w:val="62"/>
  </w:num>
  <w:num w:numId="24">
    <w:abstractNumId w:val="33"/>
  </w:num>
  <w:num w:numId="25">
    <w:abstractNumId w:val="61"/>
  </w:num>
  <w:num w:numId="26">
    <w:abstractNumId w:val="9"/>
  </w:num>
  <w:num w:numId="27">
    <w:abstractNumId w:val="31"/>
  </w:num>
  <w:num w:numId="28">
    <w:abstractNumId w:val="7"/>
  </w:num>
  <w:num w:numId="29">
    <w:abstractNumId w:val="34"/>
  </w:num>
  <w:num w:numId="30">
    <w:abstractNumId w:val="15"/>
  </w:num>
  <w:num w:numId="31">
    <w:abstractNumId w:val="71"/>
  </w:num>
  <w:num w:numId="32">
    <w:abstractNumId w:val="68"/>
  </w:num>
  <w:num w:numId="33">
    <w:abstractNumId w:val="54"/>
  </w:num>
  <w:num w:numId="34">
    <w:abstractNumId w:val="81"/>
  </w:num>
  <w:num w:numId="35">
    <w:abstractNumId w:val="35"/>
  </w:num>
  <w:num w:numId="36">
    <w:abstractNumId w:val="72"/>
  </w:num>
  <w:num w:numId="37">
    <w:abstractNumId w:val="75"/>
  </w:num>
  <w:num w:numId="38">
    <w:abstractNumId w:val="42"/>
  </w:num>
  <w:num w:numId="39">
    <w:abstractNumId w:val="60"/>
  </w:num>
  <w:num w:numId="40">
    <w:abstractNumId w:val="19"/>
  </w:num>
  <w:num w:numId="41">
    <w:abstractNumId w:val="22"/>
  </w:num>
  <w:num w:numId="42">
    <w:abstractNumId w:val="59"/>
  </w:num>
  <w:num w:numId="43">
    <w:abstractNumId w:val="29"/>
  </w:num>
  <w:num w:numId="44">
    <w:abstractNumId w:val="0"/>
  </w:num>
  <w:num w:numId="45">
    <w:abstractNumId w:val="5"/>
  </w:num>
  <w:num w:numId="46">
    <w:abstractNumId w:val="8"/>
  </w:num>
  <w:num w:numId="47">
    <w:abstractNumId w:val="17"/>
  </w:num>
  <w:num w:numId="48">
    <w:abstractNumId w:val="57"/>
  </w:num>
  <w:num w:numId="49">
    <w:abstractNumId w:val="30"/>
  </w:num>
  <w:num w:numId="50">
    <w:abstractNumId w:val="80"/>
  </w:num>
  <w:num w:numId="51">
    <w:abstractNumId w:val="26"/>
  </w:num>
  <w:num w:numId="52">
    <w:abstractNumId w:val="48"/>
  </w:num>
  <w:num w:numId="53">
    <w:abstractNumId w:val="45"/>
  </w:num>
  <w:num w:numId="54">
    <w:abstractNumId w:val="37"/>
  </w:num>
  <w:num w:numId="55">
    <w:abstractNumId w:val="69"/>
  </w:num>
  <w:num w:numId="56">
    <w:abstractNumId w:val="73"/>
  </w:num>
  <w:num w:numId="57">
    <w:abstractNumId w:val="6"/>
  </w:num>
  <w:num w:numId="58">
    <w:abstractNumId w:val="3"/>
  </w:num>
  <w:num w:numId="59">
    <w:abstractNumId w:val="11"/>
  </w:num>
  <w:num w:numId="60">
    <w:abstractNumId w:val="24"/>
  </w:num>
  <w:num w:numId="61">
    <w:abstractNumId w:val="50"/>
  </w:num>
  <w:num w:numId="62">
    <w:abstractNumId w:val="23"/>
  </w:num>
  <w:num w:numId="63">
    <w:abstractNumId w:val="51"/>
  </w:num>
  <w:num w:numId="64">
    <w:abstractNumId w:val="43"/>
  </w:num>
  <w:num w:numId="65">
    <w:abstractNumId w:val="52"/>
  </w:num>
  <w:num w:numId="66">
    <w:abstractNumId w:val="65"/>
  </w:num>
  <w:num w:numId="67">
    <w:abstractNumId w:val="70"/>
  </w:num>
  <w:num w:numId="68">
    <w:abstractNumId w:val="76"/>
  </w:num>
  <w:num w:numId="69">
    <w:abstractNumId w:val="58"/>
  </w:num>
  <w:num w:numId="70">
    <w:abstractNumId w:val="10"/>
  </w:num>
  <w:num w:numId="71">
    <w:abstractNumId w:val="36"/>
  </w:num>
  <w:num w:numId="72">
    <w:abstractNumId w:val="66"/>
  </w:num>
  <w:num w:numId="73">
    <w:abstractNumId w:val="41"/>
  </w:num>
  <w:num w:numId="74">
    <w:abstractNumId w:val="16"/>
  </w:num>
  <w:num w:numId="75">
    <w:abstractNumId w:val="32"/>
  </w:num>
  <w:num w:numId="76">
    <w:abstractNumId w:val="1"/>
  </w:num>
  <w:num w:numId="77">
    <w:abstractNumId w:val="38"/>
  </w:num>
  <w:num w:numId="78">
    <w:abstractNumId w:val="64"/>
  </w:num>
  <w:num w:numId="79">
    <w:abstractNumId w:val="56"/>
  </w:num>
  <w:num w:numId="80">
    <w:abstractNumId w:val="20"/>
  </w:num>
  <w:num w:numId="81">
    <w:abstractNumId w:val="18"/>
  </w:num>
  <w:num w:numId="82">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1E56"/>
    <w:rsid w:val="00004340"/>
    <w:rsid w:val="00004B58"/>
    <w:rsid w:val="00005499"/>
    <w:rsid w:val="00006036"/>
    <w:rsid w:val="000071B6"/>
    <w:rsid w:val="000111A8"/>
    <w:rsid w:val="000128B0"/>
    <w:rsid w:val="00013D3E"/>
    <w:rsid w:val="0001404A"/>
    <w:rsid w:val="000158D2"/>
    <w:rsid w:val="00015F25"/>
    <w:rsid w:val="0001674A"/>
    <w:rsid w:val="00016D36"/>
    <w:rsid w:val="00017A77"/>
    <w:rsid w:val="00021CC5"/>
    <w:rsid w:val="00021FBE"/>
    <w:rsid w:val="00022B64"/>
    <w:rsid w:val="000232B1"/>
    <w:rsid w:val="00023452"/>
    <w:rsid w:val="00023C31"/>
    <w:rsid w:val="00025217"/>
    <w:rsid w:val="00025466"/>
    <w:rsid w:val="000266D0"/>
    <w:rsid w:val="0002718C"/>
    <w:rsid w:val="00030AD1"/>
    <w:rsid w:val="00030CC5"/>
    <w:rsid w:val="000311ED"/>
    <w:rsid w:val="00031975"/>
    <w:rsid w:val="000319DC"/>
    <w:rsid w:val="000348D7"/>
    <w:rsid w:val="00034A3B"/>
    <w:rsid w:val="000354F9"/>
    <w:rsid w:val="000360B1"/>
    <w:rsid w:val="00042249"/>
    <w:rsid w:val="000448BA"/>
    <w:rsid w:val="00045A42"/>
    <w:rsid w:val="00046396"/>
    <w:rsid w:val="000464AC"/>
    <w:rsid w:val="000467C1"/>
    <w:rsid w:val="00047CF1"/>
    <w:rsid w:val="00050F69"/>
    <w:rsid w:val="0005237B"/>
    <w:rsid w:val="00052A19"/>
    <w:rsid w:val="000540DF"/>
    <w:rsid w:val="00054B9E"/>
    <w:rsid w:val="00054DA9"/>
    <w:rsid w:val="000550BE"/>
    <w:rsid w:val="000552F1"/>
    <w:rsid w:val="000557C0"/>
    <w:rsid w:val="000567FA"/>
    <w:rsid w:val="00056F05"/>
    <w:rsid w:val="00057B42"/>
    <w:rsid w:val="000608DB"/>
    <w:rsid w:val="00064030"/>
    <w:rsid w:val="00064AA7"/>
    <w:rsid w:val="00067653"/>
    <w:rsid w:val="000718E9"/>
    <w:rsid w:val="00072975"/>
    <w:rsid w:val="00072D96"/>
    <w:rsid w:val="00073652"/>
    <w:rsid w:val="00076CB8"/>
    <w:rsid w:val="00077B9D"/>
    <w:rsid w:val="0008170D"/>
    <w:rsid w:val="00082306"/>
    <w:rsid w:val="00083AA1"/>
    <w:rsid w:val="00083C11"/>
    <w:rsid w:val="00083CAB"/>
    <w:rsid w:val="00085C1A"/>
    <w:rsid w:val="00086F6F"/>
    <w:rsid w:val="0008748D"/>
    <w:rsid w:val="0008798E"/>
    <w:rsid w:val="00090567"/>
    <w:rsid w:val="0009171C"/>
    <w:rsid w:val="00091B02"/>
    <w:rsid w:val="00091F16"/>
    <w:rsid w:val="00092F8E"/>
    <w:rsid w:val="00093A9A"/>
    <w:rsid w:val="0009417D"/>
    <w:rsid w:val="0009513B"/>
    <w:rsid w:val="00095236"/>
    <w:rsid w:val="000A0922"/>
    <w:rsid w:val="000A0933"/>
    <w:rsid w:val="000A0DBC"/>
    <w:rsid w:val="000A2B43"/>
    <w:rsid w:val="000A2D17"/>
    <w:rsid w:val="000A5511"/>
    <w:rsid w:val="000A58E9"/>
    <w:rsid w:val="000A61CC"/>
    <w:rsid w:val="000A61DA"/>
    <w:rsid w:val="000A6E79"/>
    <w:rsid w:val="000B33A6"/>
    <w:rsid w:val="000B3BCE"/>
    <w:rsid w:val="000B3CFA"/>
    <w:rsid w:val="000B7F72"/>
    <w:rsid w:val="000C06CB"/>
    <w:rsid w:val="000C0F6B"/>
    <w:rsid w:val="000C1A71"/>
    <w:rsid w:val="000C362F"/>
    <w:rsid w:val="000C3870"/>
    <w:rsid w:val="000C7D83"/>
    <w:rsid w:val="000D1425"/>
    <w:rsid w:val="000D3519"/>
    <w:rsid w:val="000D3F4E"/>
    <w:rsid w:val="000D45C3"/>
    <w:rsid w:val="000D671F"/>
    <w:rsid w:val="000E0138"/>
    <w:rsid w:val="000E0473"/>
    <w:rsid w:val="000E2726"/>
    <w:rsid w:val="000E28D7"/>
    <w:rsid w:val="000E342F"/>
    <w:rsid w:val="000E4984"/>
    <w:rsid w:val="000E51D5"/>
    <w:rsid w:val="000E5AF7"/>
    <w:rsid w:val="000E6FE5"/>
    <w:rsid w:val="000E7D58"/>
    <w:rsid w:val="000F4C2D"/>
    <w:rsid w:val="000F5BEE"/>
    <w:rsid w:val="000F681D"/>
    <w:rsid w:val="000F78AC"/>
    <w:rsid w:val="000F7DAF"/>
    <w:rsid w:val="00103E97"/>
    <w:rsid w:val="00105DA9"/>
    <w:rsid w:val="0010691E"/>
    <w:rsid w:val="00110B31"/>
    <w:rsid w:val="00111ADB"/>
    <w:rsid w:val="00111FA5"/>
    <w:rsid w:val="0011411A"/>
    <w:rsid w:val="001142C2"/>
    <w:rsid w:val="00114375"/>
    <w:rsid w:val="001146EB"/>
    <w:rsid w:val="0011472B"/>
    <w:rsid w:val="00115012"/>
    <w:rsid w:val="001153E5"/>
    <w:rsid w:val="00115B1F"/>
    <w:rsid w:val="0012094C"/>
    <w:rsid w:val="001212E4"/>
    <w:rsid w:val="00121CB2"/>
    <w:rsid w:val="001231DB"/>
    <w:rsid w:val="001248C7"/>
    <w:rsid w:val="00124E70"/>
    <w:rsid w:val="0012740B"/>
    <w:rsid w:val="001277D3"/>
    <w:rsid w:val="00127BD3"/>
    <w:rsid w:val="00127C9D"/>
    <w:rsid w:val="0013081A"/>
    <w:rsid w:val="00130901"/>
    <w:rsid w:val="0013118E"/>
    <w:rsid w:val="001311D9"/>
    <w:rsid w:val="00131B0E"/>
    <w:rsid w:val="001320EB"/>
    <w:rsid w:val="001341F7"/>
    <w:rsid w:val="001356DC"/>
    <w:rsid w:val="00135E1C"/>
    <w:rsid w:val="0013685E"/>
    <w:rsid w:val="00136A4C"/>
    <w:rsid w:val="00140889"/>
    <w:rsid w:val="001413AB"/>
    <w:rsid w:val="00142EF0"/>
    <w:rsid w:val="00143926"/>
    <w:rsid w:val="00143A20"/>
    <w:rsid w:val="001469B3"/>
    <w:rsid w:val="00151C1B"/>
    <w:rsid w:val="00154FFA"/>
    <w:rsid w:val="001550E4"/>
    <w:rsid w:val="00155443"/>
    <w:rsid w:val="00155B90"/>
    <w:rsid w:val="0016014B"/>
    <w:rsid w:val="00161B7E"/>
    <w:rsid w:val="00161CE9"/>
    <w:rsid w:val="00161ED5"/>
    <w:rsid w:val="00162AE8"/>
    <w:rsid w:val="00164396"/>
    <w:rsid w:val="0016441F"/>
    <w:rsid w:val="00164453"/>
    <w:rsid w:val="00165943"/>
    <w:rsid w:val="00165F3E"/>
    <w:rsid w:val="001673F5"/>
    <w:rsid w:val="00167AB5"/>
    <w:rsid w:val="00170501"/>
    <w:rsid w:val="00170D3B"/>
    <w:rsid w:val="00170EA9"/>
    <w:rsid w:val="00171D69"/>
    <w:rsid w:val="00171E1D"/>
    <w:rsid w:val="0017201D"/>
    <w:rsid w:val="0017241F"/>
    <w:rsid w:val="00174247"/>
    <w:rsid w:val="0017607A"/>
    <w:rsid w:val="001761EE"/>
    <w:rsid w:val="00177B6D"/>
    <w:rsid w:val="00182A95"/>
    <w:rsid w:val="0018372E"/>
    <w:rsid w:val="0018491E"/>
    <w:rsid w:val="00184D5C"/>
    <w:rsid w:val="00184EB3"/>
    <w:rsid w:val="00184EDF"/>
    <w:rsid w:val="0018693E"/>
    <w:rsid w:val="00190453"/>
    <w:rsid w:val="00191F74"/>
    <w:rsid w:val="001940FB"/>
    <w:rsid w:val="00195015"/>
    <w:rsid w:val="001962C7"/>
    <w:rsid w:val="00197C5E"/>
    <w:rsid w:val="001A0327"/>
    <w:rsid w:val="001A1616"/>
    <w:rsid w:val="001A4130"/>
    <w:rsid w:val="001A462B"/>
    <w:rsid w:val="001A64E3"/>
    <w:rsid w:val="001A7FE2"/>
    <w:rsid w:val="001B1C39"/>
    <w:rsid w:val="001B1D83"/>
    <w:rsid w:val="001B215E"/>
    <w:rsid w:val="001B2BD3"/>
    <w:rsid w:val="001B2F71"/>
    <w:rsid w:val="001B5137"/>
    <w:rsid w:val="001B57D8"/>
    <w:rsid w:val="001B6951"/>
    <w:rsid w:val="001B77EC"/>
    <w:rsid w:val="001C08DE"/>
    <w:rsid w:val="001C1380"/>
    <w:rsid w:val="001C1A05"/>
    <w:rsid w:val="001C21FA"/>
    <w:rsid w:val="001C3294"/>
    <w:rsid w:val="001C5333"/>
    <w:rsid w:val="001C5751"/>
    <w:rsid w:val="001C7A6B"/>
    <w:rsid w:val="001D0CF3"/>
    <w:rsid w:val="001D4758"/>
    <w:rsid w:val="001D5AEB"/>
    <w:rsid w:val="001D7064"/>
    <w:rsid w:val="001D7343"/>
    <w:rsid w:val="001E299C"/>
    <w:rsid w:val="001E2FB9"/>
    <w:rsid w:val="001E3F82"/>
    <w:rsid w:val="001F03D5"/>
    <w:rsid w:val="001F081B"/>
    <w:rsid w:val="001F0B2D"/>
    <w:rsid w:val="001F0EF5"/>
    <w:rsid w:val="001F0F8D"/>
    <w:rsid w:val="001F20EA"/>
    <w:rsid w:val="001F2D93"/>
    <w:rsid w:val="001F6E48"/>
    <w:rsid w:val="001F7BC3"/>
    <w:rsid w:val="00203351"/>
    <w:rsid w:val="00206456"/>
    <w:rsid w:val="002069F7"/>
    <w:rsid w:val="00207BB6"/>
    <w:rsid w:val="00210B80"/>
    <w:rsid w:val="00212017"/>
    <w:rsid w:val="00213F83"/>
    <w:rsid w:val="002143A6"/>
    <w:rsid w:val="002143B5"/>
    <w:rsid w:val="00215CEE"/>
    <w:rsid w:val="00217E84"/>
    <w:rsid w:val="00220524"/>
    <w:rsid w:val="002212BD"/>
    <w:rsid w:val="00222300"/>
    <w:rsid w:val="00222827"/>
    <w:rsid w:val="00225BBF"/>
    <w:rsid w:val="00226159"/>
    <w:rsid w:val="002264E6"/>
    <w:rsid w:val="00226750"/>
    <w:rsid w:val="002328DC"/>
    <w:rsid w:val="00234202"/>
    <w:rsid w:val="0023485E"/>
    <w:rsid w:val="00234C28"/>
    <w:rsid w:val="00235976"/>
    <w:rsid w:val="0023695F"/>
    <w:rsid w:val="00240068"/>
    <w:rsid w:val="00240481"/>
    <w:rsid w:val="00242A09"/>
    <w:rsid w:val="002431DB"/>
    <w:rsid w:val="002442D3"/>
    <w:rsid w:val="00245F0D"/>
    <w:rsid w:val="00246E73"/>
    <w:rsid w:val="00247791"/>
    <w:rsid w:val="00247A5F"/>
    <w:rsid w:val="00250115"/>
    <w:rsid w:val="002501E5"/>
    <w:rsid w:val="002505A1"/>
    <w:rsid w:val="00251117"/>
    <w:rsid w:val="00253118"/>
    <w:rsid w:val="00253FB9"/>
    <w:rsid w:val="00254330"/>
    <w:rsid w:val="0025446C"/>
    <w:rsid w:val="00255FAA"/>
    <w:rsid w:val="00256406"/>
    <w:rsid w:val="002579BF"/>
    <w:rsid w:val="00261E38"/>
    <w:rsid w:val="0026226B"/>
    <w:rsid w:val="002635DB"/>
    <w:rsid w:val="00263FEA"/>
    <w:rsid w:val="00265B94"/>
    <w:rsid w:val="00267303"/>
    <w:rsid w:val="0026795F"/>
    <w:rsid w:val="00270480"/>
    <w:rsid w:val="00270DBF"/>
    <w:rsid w:val="00271943"/>
    <w:rsid w:val="00274648"/>
    <w:rsid w:val="002761CE"/>
    <w:rsid w:val="0027683A"/>
    <w:rsid w:val="00277B51"/>
    <w:rsid w:val="00280A98"/>
    <w:rsid w:val="00280C16"/>
    <w:rsid w:val="00281533"/>
    <w:rsid w:val="002819AB"/>
    <w:rsid w:val="002830DB"/>
    <w:rsid w:val="00283D90"/>
    <w:rsid w:val="00284A88"/>
    <w:rsid w:val="00284B7C"/>
    <w:rsid w:val="00285B3D"/>
    <w:rsid w:val="00286E5E"/>
    <w:rsid w:val="00287621"/>
    <w:rsid w:val="0028766A"/>
    <w:rsid w:val="00287AD2"/>
    <w:rsid w:val="002902AE"/>
    <w:rsid w:val="0029387F"/>
    <w:rsid w:val="00293C94"/>
    <w:rsid w:val="0029450A"/>
    <w:rsid w:val="0029648D"/>
    <w:rsid w:val="002966C3"/>
    <w:rsid w:val="00296CB6"/>
    <w:rsid w:val="002A1214"/>
    <w:rsid w:val="002A1C2E"/>
    <w:rsid w:val="002A3659"/>
    <w:rsid w:val="002A36F3"/>
    <w:rsid w:val="002A3FD4"/>
    <w:rsid w:val="002A5367"/>
    <w:rsid w:val="002A680A"/>
    <w:rsid w:val="002B0B66"/>
    <w:rsid w:val="002B0CA0"/>
    <w:rsid w:val="002B452E"/>
    <w:rsid w:val="002B459E"/>
    <w:rsid w:val="002B4BC1"/>
    <w:rsid w:val="002B4F53"/>
    <w:rsid w:val="002B4FFB"/>
    <w:rsid w:val="002B5D64"/>
    <w:rsid w:val="002B5FFC"/>
    <w:rsid w:val="002B6B1C"/>
    <w:rsid w:val="002C0724"/>
    <w:rsid w:val="002C1D54"/>
    <w:rsid w:val="002C30C3"/>
    <w:rsid w:val="002C5935"/>
    <w:rsid w:val="002C5C86"/>
    <w:rsid w:val="002C6DCB"/>
    <w:rsid w:val="002D0A5A"/>
    <w:rsid w:val="002D135A"/>
    <w:rsid w:val="002D2511"/>
    <w:rsid w:val="002D2A3D"/>
    <w:rsid w:val="002D4124"/>
    <w:rsid w:val="002D5E78"/>
    <w:rsid w:val="002E1150"/>
    <w:rsid w:val="002E1407"/>
    <w:rsid w:val="002E1754"/>
    <w:rsid w:val="002E202C"/>
    <w:rsid w:val="002E2DBE"/>
    <w:rsid w:val="002E3BA0"/>
    <w:rsid w:val="002E3BD4"/>
    <w:rsid w:val="002E7E08"/>
    <w:rsid w:val="002F1EBE"/>
    <w:rsid w:val="002F2BB7"/>
    <w:rsid w:val="002F4B8D"/>
    <w:rsid w:val="002F6CA0"/>
    <w:rsid w:val="002F7F21"/>
    <w:rsid w:val="00301206"/>
    <w:rsid w:val="00301992"/>
    <w:rsid w:val="00303117"/>
    <w:rsid w:val="0030389E"/>
    <w:rsid w:val="003046FB"/>
    <w:rsid w:val="003067D5"/>
    <w:rsid w:val="00307F3A"/>
    <w:rsid w:val="003105EE"/>
    <w:rsid w:val="00311FD5"/>
    <w:rsid w:val="003124DE"/>
    <w:rsid w:val="00314ECE"/>
    <w:rsid w:val="00316E1A"/>
    <w:rsid w:val="00325CB2"/>
    <w:rsid w:val="003265D8"/>
    <w:rsid w:val="00326FE6"/>
    <w:rsid w:val="003272BA"/>
    <w:rsid w:val="00330289"/>
    <w:rsid w:val="00331310"/>
    <w:rsid w:val="003315A7"/>
    <w:rsid w:val="00331A10"/>
    <w:rsid w:val="00332EC2"/>
    <w:rsid w:val="00333B63"/>
    <w:rsid w:val="00335737"/>
    <w:rsid w:val="0034134A"/>
    <w:rsid w:val="00342350"/>
    <w:rsid w:val="00343D87"/>
    <w:rsid w:val="003440B3"/>
    <w:rsid w:val="00344FBA"/>
    <w:rsid w:val="00346B8D"/>
    <w:rsid w:val="00347183"/>
    <w:rsid w:val="00350132"/>
    <w:rsid w:val="00350684"/>
    <w:rsid w:val="00354DC9"/>
    <w:rsid w:val="0035548B"/>
    <w:rsid w:val="003560DE"/>
    <w:rsid w:val="0035799C"/>
    <w:rsid w:val="00357A5F"/>
    <w:rsid w:val="003605B9"/>
    <w:rsid w:val="00361710"/>
    <w:rsid w:val="00361C3A"/>
    <w:rsid w:val="0036533B"/>
    <w:rsid w:val="0036675F"/>
    <w:rsid w:val="0036742F"/>
    <w:rsid w:val="00370199"/>
    <w:rsid w:val="003713C7"/>
    <w:rsid w:val="003716DB"/>
    <w:rsid w:val="0037406F"/>
    <w:rsid w:val="00376713"/>
    <w:rsid w:val="00376A96"/>
    <w:rsid w:val="00377948"/>
    <w:rsid w:val="003819DA"/>
    <w:rsid w:val="00383EE1"/>
    <w:rsid w:val="00385F16"/>
    <w:rsid w:val="003861BC"/>
    <w:rsid w:val="00387566"/>
    <w:rsid w:val="00395FD4"/>
    <w:rsid w:val="003A0CFC"/>
    <w:rsid w:val="003A24C4"/>
    <w:rsid w:val="003A3B57"/>
    <w:rsid w:val="003A5BC8"/>
    <w:rsid w:val="003A6D2B"/>
    <w:rsid w:val="003B1F55"/>
    <w:rsid w:val="003B3B26"/>
    <w:rsid w:val="003B593A"/>
    <w:rsid w:val="003B6955"/>
    <w:rsid w:val="003B6C16"/>
    <w:rsid w:val="003B7523"/>
    <w:rsid w:val="003B7BF8"/>
    <w:rsid w:val="003C0D93"/>
    <w:rsid w:val="003C0FBC"/>
    <w:rsid w:val="003C2AAD"/>
    <w:rsid w:val="003C3F25"/>
    <w:rsid w:val="003C45EC"/>
    <w:rsid w:val="003D0496"/>
    <w:rsid w:val="003D12AE"/>
    <w:rsid w:val="003D3B32"/>
    <w:rsid w:val="003D47BC"/>
    <w:rsid w:val="003D4EF4"/>
    <w:rsid w:val="003D550D"/>
    <w:rsid w:val="003D67D5"/>
    <w:rsid w:val="003E028F"/>
    <w:rsid w:val="003E14A0"/>
    <w:rsid w:val="003E1B11"/>
    <w:rsid w:val="003E1F74"/>
    <w:rsid w:val="003E2F72"/>
    <w:rsid w:val="003E5B4D"/>
    <w:rsid w:val="003E6896"/>
    <w:rsid w:val="003F014E"/>
    <w:rsid w:val="003F0BCE"/>
    <w:rsid w:val="003F2AD7"/>
    <w:rsid w:val="003F4A74"/>
    <w:rsid w:val="003F5178"/>
    <w:rsid w:val="003F596E"/>
    <w:rsid w:val="003F7390"/>
    <w:rsid w:val="0040066F"/>
    <w:rsid w:val="00401566"/>
    <w:rsid w:val="00402735"/>
    <w:rsid w:val="00404846"/>
    <w:rsid w:val="004048FF"/>
    <w:rsid w:val="00405179"/>
    <w:rsid w:val="00406743"/>
    <w:rsid w:val="00406A80"/>
    <w:rsid w:val="00407224"/>
    <w:rsid w:val="00407E52"/>
    <w:rsid w:val="00412155"/>
    <w:rsid w:val="004129F2"/>
    <w:rsid w:val="00412EFA"/>
    <w:rsid w:val="00413246"/>
    <w:rsid w:val="00415C98"/>
    <w:rsid w:val="00415F2A"/>
    <w:rsid w:val="00416292"/>
    <w:rsid w:val="00416360"/>
    <w:rsid w:val="004165D8"/>
    <w:rsid w:val="00421C79"/>
    <w:rsid w:val="004220FF"/>
    <w:rsid w:val="00423C57"/>
    <w:rsid w:val="004244C1"/>
    <w:rsid w:val="00424AD6"/>
    <w:rsid w:val="004253AD"/>
    <w:rsid w:val="0042680A"/>
    <w:rsid w:val="0042741F"/>
    <w:rsid w:val="004326EC"/>
    <w:rsid w:val="00433A56"/>
    <w:rsid w:val="00434073"/>
    <w:rsid w:val="00434C16"/>
    <w:rsid w:val="004354AD"/>
    <w:rsid w:val="00436B7B"/>
    <w:rsid w:val="00440DFC"/>
    <w:rsid w:val="00441E31"/>
    <w:rsid w:val="004422EE"/>
    <w:rsid w:val="00442B6D"/>
    <w:rsid w:val="00446992"/>
    <w:rsid w:val="00446D3B"/>
    <w:rsid w:val="004471C5"/>
    <w:rsid w:val="00447A33"/>
    <w:rsid w:val="004504D7"/>
    <w:rsid w:val="00452C40"/>
    <w:rsid w:val="00455304"/>
    <w:rsid w:val="0045666F"/>
    <w:rsid w:val="004602AF"/>
    <w:rsid w:val="00460897"/>
    <w:rsid w:val="004609B0"/>
    <w:rsid w:val="00460CCE"/>
    <w:rsid w:val="00462127"/>
    <w:rsid w:val="0046311E"/>
    <w:rsid w:val="00463900"/>
    <w:rsid w:val="00464D14"/>
    <w:rsid w:val="004668C9"/>
    <w:rsid w:val="00466ED3"/>
    <w:rsid w:val="00471919"/>
    <w:rsid w:val="00471C81"/>
    <w:rsid w:val="00476D32"/>
    <w:rsid w:val="004809CF"/>
    <w:rsid w:val="004811F7"/>
    <w:rsid w:val="00481B2D"/>
    <w:rsid w:val="00482DB5"/>
    <w:rsid w:val="004850A6"/>
    <w:rsid w:val="00485DDA"/>
    <w:rsid w:val="00487549"/>
    <w:rsid w:val="00487C7B"/>
    <w:rsid w:val="0049099E"/>
    <w:rsid w:val="00490F05"/>
    <w:rsid w:val="00492618"/>
    <w:rsid w:val="0049499E"/>
    <w:rsid w:val="00494CFC"/>
    <w:rsid w:val="00497263"/>
    <w:rsid w:val="004A213A"/>
    <w:rsid w:val="004A5082"/>
    <w:rsid w:val="004B10E0"/>
    <w:rsid w:val="004B1B79"/>
    <w:rsid w:val="004B2685"/>
    <w:rsid w:val="004B2E61"/>
    <w:rsid w:val="004B5827"/>
    <w:rsid w:val="004B5FFC"/>
    <w:rsid w:val="004B6F1A"/>
    <w:rsid w:val="004C242A"/>
    <w:rsid w:val="004C3A8A"/>
    <w:rsid w:val="004C4A4F"/>
    <w:rsid w:val="004C502F"/>
    <w:rsid w:val="004C6E6C"/>
    <w:rsid w:val="004D0E11"/>
    <w:rsid w:val="004D1EDB"/>
    <w:rsid w:val="004D2E35"/>
    <w:rsid w:val="004D306D"/>
    <w:rsid w:val="004D3950"/>
    <w:rsid w:val="004D4F19"/>
    <w:rsid w:val="004D6CDD"/>
    <w:rsid w:val="004D7514"/>
    <w:rsid w:val="004E2CEC"/>
    <w:rsid w:val="004E516A"/>
    <w:rsid w:val="004E7B5A"/>
    <w:rsid w:val="004F0348"/>
    <w:rsid w:val="004F1AA1"/>
    <w:rsid w:val="004F3F8D"/>
    <w:rsid w:val="004F40CF"/>
    <w:rsid w:val="004F5C17"/>
    <w:rsid w:val="004F6982"/>
    <w:rsid w:val="00501812"/>
    <w:rsid w:val="00502631"/>
    <w:rsid w:val="00504BF6"/>
    <w:rsid w:val="005054F4"/>
    <w:rsid w:val="00506317"/>
    <w:rsid w:val="00514F43"/>
    <w:rsid w:val="005163D2"/>
    <w:rsid w:val="00517495"/>
    <w:rsid w:val="00522400"/>
    <w:rsid w:val="0052247D"/>
    <w:rsid w:val="005240FD"/>
    <w:rsid w:val="005249B2"/>
    <w:rsid w:val="0052565A"/>
    <w:rsid w:val="00526514"/>
    <w:rsid w:val="005272DA"/>
    <w:rsid w:val="00530360"/>
    <w:rsid w:val="00531ED5"/>
    <w:rsid w:val="00533A9B"/>
    <w:rsid w:val="00533F76"/>
    <w:rsid w:val="005359EE"/>
    <w:rsid w:val="00536607"/>
    <w:rsid w:val="00536926"/>
    <w:rsid w:val="00537138"/>
    <w:rsid w:val="00540721"/>
    <w:rsid w:val="00541905"/>
    <w:rsid w:val="00542743"/>
    <w:rsid w:val="00543103"/>
    <w:rsid w:val="00544983"/>
    <w:rsid w:val="00545A94"/>
    <w:rsid w:val="00545BA3"/>
    <w:rsid w:val="00546EA4"/>
    <w:rsid w:val="0055115D"/>
    <w:rsid w:val="00552AD1"/>
    <w:rsid w:val="00552DC1"/>
    <w:rsid w:val="00553287"/>
    <w:rsid w:val="005538AF"/>
    <w:rsid w:val="005547CE"/>
    <w:rsid w:val="00555C64"/>
    <w:rsid w:val="005566E1"/>
    <w:rsid w:val="00557D8E"/>
    <w:rsid w:val="00560D31"/>
    <w:rsid w:val="00561940"/>
    <w:rsid w:val="005619AE"/>
    <w:rsid w:val="00562114"/>
    <w:rsid w:val="00563413"/>
    <w:rsid w:val="005634AD"/>
    <w:rsid w:val="00565D43"/>
    <w:rsid w:val="00566228"/>
    <w:rsid w:val="005665D5"/>
    <w:rsid w:val="00567031"/>
    <w:rsid w:val="005716A0"/>
    <w:rsid w:val="005724E3"/>
    <w:rsid w:val="0057358C"/>
    <w:rsid w:val="005758EA"/>
    <w:rsid w:val="00575C46"/>
    <w:rsid w:val="005763AF"/>
    <w:rsid w:val="00576837"/>
    <w:rsid w:val="00576C1F"/>
    <w:rsid w:val="0057733B"/>
    <w:rsid w:val="005804FD"/>
    <w:rsid w:val="00580BEA"/>
    <w:rsid w:val="0058168A"/>
    <w:rsid w:val="0058397A"/>
    <w:rsid w:val="00584CE3"/>
    <w:rsid w:val="005863BA"/>
    <w:rsid w:val="0058675F"/>
    <w:rsid w:val="005868E4"/>
    <w:rsid w:val="00587E73"/>
    <w:rsid w:val="00591E71"/>
    <w:rsid w:val="00592B72"/>
    <w:rsid w:val="00592C28"/>
    <w:rsid w:val="00593105"/>
    <w:rsid w:val="00593550"/>
    <w:rsid w:val="00593FF3"/>
    <w:rsid w:val="005A233F"/>
    <w:rsid w:val="005A2B22"/>
    <w:rsid w:val="005A3C1A"/>
    <w:rsid w:val="005A3E37"/>
    <w:rsid w:val="005A5251"/>
    <w:rsid w:val="005A7E55"/>
    <w:rsid w:val="005B328B"/>
    <w:rsid w:val="005B362A"/>
    <w:rsid w:val="005B37D6"/>
    <w:rsid w:val="005B5492"/>
    <w:rsid w:val="005B572E"/>
    <w:rsid w:val="005B611C"/>
    <w:rsid w:val="005C0876"/>
    <w:rsid w:val="005C1AC7"/>
    <w:rsid w:val="005C2611"/>
    <w:rsid w:val="005C34AF"/>
    <w:rsid w:val="005C48A0"/>
    <w:rsid w:val="005C56D6"/>
    <w:rsid w:val="005C5CDC"/>
    <w:rsid w:val="005C72BA"/>
    <w:rsid w:val="005D1037"/>
    <w:rsid w:val="005D1436"/>
    <w:rsid w:val="005D3866"/>
    <w:rsid w:val="005D467C"/>
    <w:rsid w:val="005D4E4C"/>
    <w:rsid w:val="005D7AE1"/>
    <w:rsid w:val="005D7F30"/>
    <w:rsid w:val="005E11F6"/>
    <w:rsid w:val="005E1913"/>
    <w:rsid w:val="005E270C"/>
    <w:rsid w:val="005E2768"/>
    <w:rsid w:val="005E2B9B"/>
    <w:rsid w:val="005E3817"/>
    <w:rsid w:val="005E3E2A"/>
    <w:rsid w:val="005E513A"/>
    <w:rsid w:val="005F0C2C"/>
    <w:rsid w:val="005F395A"/>
    <w:rsid w:val="005F4BE2"/>
    <w:rsid w:val="005F51DF"/>
    <w:rsid w:val="005F743B"/>
    <w:rsid w:val="006011FD"/>
    <w:rsid w:val="006016FB"/>
    <w:rsid w:val="00601CEE"/>
    <w:rsid w:val="00601DA1"/>
    <w:rsid w:val="00603395"/>
    <w:rsid w:val="0060387E"/>
    <w:rsid w:val="00604B1B"/>
    <w:rsid w:val="0060543B"/>
    <w:rsid w:val="00605ADF"/>
    <w:rsid w:val="00605E05"/>
    <w:rsid w:val="006063E1"/>
    <w:rsid w:val="00607371"/>
    <w:rsid w:val="00607F43"/>
    <w:rsid w:val="00610761"/>
    <w:rsid w:val="006115CF"/>
    <w:rsid w:val="00611855"/>
    <w:rsid w:val="00612514"/>
    <w:rsid w:val="0061396E"/>
    <w:rsid w:val="006160BB"/>
    <w:rsid w:val="006202CB"/>
    <w:rsid w:val="00621503"/>
    <w:rsid w:val="00622071"/>
    <w:rsid w:val="006232DB"/>
    <w:rsid w:val="00623B98"/>
    <w:rsid w:val="006241DB"/>
    <w:rsid w:val="006248DE"/>
    <w:rsid w:val="00626EDD"/>
    <w:rsid w:val="00630C29"/>
    <w:rsid w:val="0063286D"/>
    <w:rsid w:val="006333A8"/>
    <w:rsid w:val="006356C5"/>
    <w:rsid w:val="00640A38"/>
    <w:rsid w:val="00641A92"/>
    <w:rsid w:val="00642427"/>
    <w:rsid w:val="00642557"/>
    <w:rsid w:val="0064287E"/>
    <w:rsid w:val="00643795"/>
    <w:rsid w:val="00644B30"/>
    <w:rsid w:val="00644BB2"/>
    <w:rsid w:val="00647720"/>
    <w:rsid w:val="006508E0"/>
    <w:rsid w:val="00654478"/>
    <w:rsid w:val="00655C11"/>
    <w:rsid w:val="00661991"/>
    <w:rsid w:val="00661DF6"/>
    <w:rsid w:val="0066427A"/>
    <w:rsid w:val="00664579"/>
    <w:rsid w:val="00665F04"/>
    <w:rsid w:val="0066614E"/>
    <w:rsid w:val="00667A4E"/>
    <w:rsid w:val="0067148E"/>
    <w:rsid w:val="006717AE"/>
    <w:rsid w:val="00674057"/>
    <w:rsid w:val="0067581D"/>
    <w:rsid w:val="00675835"/>
    <w:rsid w:val="00675A60"/>
    <w:rsid w:val="00677F48"/>
    <w:rsid w:val="006817F0"/>
    <w:rsid w:val="00682109"/>
    <w:rsid w:val="0068213D"/>
    <w:rsid w:val="00686DEF"/>
    <w:rsid w:val="00687DCC"/>
    <w:rsid w:val="00692D8E"/>
    <w:rsid w:val="00697F37"/>
    <w:rsid w:val="006A077A"/>
    <w:rsid w:val="006A0A4D"/>
    <w:rsid w:val="006A2E1A"/>
    <w:rsid w:val="006A58BC"/>
    <w:rsid w:val="006B00DE"/>
    <w:rsid w:val="006B2C64"/>
    <w:rsid w:val="006B64C4"/>
    <w:rsid w:val="006B675F"/>
    <w:rsid w:val="006B6BAD"/>
    <w:rsid w:val="006B7372"/>
    <w:rsid w:val="006B75AE"/>
    <w:rsid w:val="006C0AFC"/>
    <w:rsid w:val="006C0D00"/>
    <w:rsid w:val="006C1A81"/>
    <w:rsid w:val="006C40A6"/>
    <w:rsid w:val="006D0158"/>
    <w:rsid w:val="006D0620"/>
    <w:rsid w:val="006D2A0F"/>
    <w:rsid w:val="006D406E"/>
    <w:rsid w:val="006D548A"/>
    <w:rsid w:val="006D585D"/>
    <w:rsid w:val="006D656A"/>
    <w:rsid w:val="006D7846"/>
    <w:rsid w:val="006D7CAA"/>
    <w:rsid w:val="006E34EF"/>
    <w:rsid w:val="006E3532"/>
    <w:rsid w:val="006E5C2D"/>
    <w:rsid w:val="006E6BBB"/>
    <w:rsid w:val="006E6F56"/>
    <w:rsid w:val="006E7D3A"/>
    <w:rsid w:val="006F0AC0"/>
    <w:rsid w:val="006F24A4"/>
    <w:rsid w:val="006F3AC4"/>
    <w:rsid w:val="006F7721"/>
    <w:rsid w:val="00701EDD"/>
    <w:rsid w:val="007020C7"/>
    <w:rsid w:val="00703895"/>
    <w:rsid w:val="00707FD1"/>
    <w:rsid w:val="00712744"/>
    <w:rsid w:val="0071368B"/>
    <w:rsid w:val="00713B03"/>
    <w:rsid w:val="00713FEF"/>
    <w:rsid w:val="00715ABF"/>
    <w:rsid w:val="0071736C"/>
    <w:rsid w:val="0072054F"/>
    <w:rsid w:val="00720791"/>
    <w:rsid w:val="00720BBE"/>
    <w:rsid w:val="00720D18"/>
    <w:rsid w:val="0072250B"/>
    <w:rsid w:val="00724BFE"/>
    <w:rsid w:val="00725A0A"/>
    <w:rsid w:val="007265B3"/>
    <w:rsid w:val="00727245"/>
    <w:rsid w:val="0073487A"/>
    <w:rsid w:val="00736C0B"/>
    <w:rsid w:val="00740199"/>
    <w:rsid w:val="007460C3"/>
    <w:rsid w:val="00747B7D"/>
    <w:rsid w:val="00751977"/>
    <w:rsid w:val="007535FD"/>
    <w:rsid w:val="00754040"/>
    <w:rsid w:val="007545DC"/>
    <w:rsid w:val="00754E95"/>
    <w:rsid w:val="00755ED6"/>
    <w:rsid w:val="0075647F"/>
    <w:rsid w:val="00760345"/>
    <w:rsid w:val="00762C64"/>
    <w:rsid w:val="00763EC9"/>
    <w:rsid w:val="0076731E"/>
    <w:rsid w:val="00772205"/>
    <w:rsid w:val="00772B97"/>
    <w:rsid w:val="00772C1C"/>
    <w:rsid w:val="00775458"/>
    <w:rsid w:val="00775D9A"/>
    <w:rsid w:val="00775F69"/>
    <w:rsid w:val="00777131"/>
    <w:rsid w:val="00782672"/>
    <w:rsid w:val="00782D97"/>
    <w:rsid w:val="00784201"/>
    <w:rsid w:val="00784CEE"/>
    <w:rsid w:val="00784FDD"/>
    <w:rsid w:val="00785A01"/>
    <w:rsid w:val="007865BC"/>
    <w:rsid w:val="00787585"/>
    <w:rsid w:val="00790AFE"/>
    <w:rsid w:val="00790B52"/>
    <w:rsid w:val="00790C59"/>
    <w:rsid w:val="00791445"/>
    <w:rsid w:val="007921BE"/>
    <w:rsid w:val="0079407D"/>
    <w:rsid w:val="00796995"/>
    <w:rsid w:val="007A34B1"/>
    <w:rsid w:val="007A3D04"/>
    <w:rsid w:val="007A4EA3"/>
    <w:rsid w:val="007A5EAF"/>
    <w:rsid w:val="007B0A58"/>
    <w:rsid w:val="007B1859"/>
    <w:rsid w:val="007B26AA"/>
    <w:rsid w:val="007B3AAA"/>
    <w:rsid w:val="007B4984"/>
    <w:rsid w:val="007B7B6E"/>
    <w:rsid w:val="007C01ED"/>
    <w:rsid w:val="007C42A6"/>
    <w:rsid w:val="007C49BF"/>
    <w:rsid w:val="007C4A16"/>
    <w:rsid w:val="007C5207"/>
    <w:rsid w:val="007C52BD"/>
    <w:rsid w:val="007C5623"/>
    <w:rsid w:val="007C7B2F"/>
    <w:rsid w:val="007D0482"/>
    <w:rsid w:val="007D12F8"/>
    <w:rsid w:val="007D1E6C"/>
    <w:rsid w:val="007D4689"/>
    <w:rsid w:val="007D7332"/>
    <w:rsid w:val="007D7B62"/>
    <w:rsid w:val="007E00BA"/>
    <w:rsid w:val="007E072E"/>
    <w:rsid w:val="007E22AC"/>
    <w:rsid w:val="007E2586"/>
    <w:rsid w:val="007E2E80"/>
    <w:rsid w:val="007E3ACB"/>
    <w:rsid w:val="007E41F3"/>
    <w:rsid w:val="007E44C0"/>
    <w:rsid w:val="007E4D82"/>
    <w:rsid w:val="007E5E8C"/>
    <w:rsid w:val="007F0BC2"/>
    <w:rsid w:val="007F0D73"/>
    <w:rsid w:val="007F24F6"/>
    <w:rsid w:val="007F46E6"/>
    <w:rsid w:val="007F4A7C"/>
    <w:rsid w:val="007F53D7"/>
    <w:rsid w:val="00800763"/>
    <w:rsid w:val="008007A1"/>
    <w:rsid w:val="008009D0"/>
    <w:rsid w:val="008013C8"/>
    <w:rsid w:val="00801932"/>
    <w:rsid w:val="00803186"/>
    <w:rsid w:val="00803EE7"/>
    <w:rsid w:val="00805567"/>
    <w:rsid w:val="00806FF0"/>
    <w:rsid w:val="0080745C"/>
    <w:rsid w:val="008108B8"/>
    <w:rsid w:val="0081097F"/>
    <w:rsid w:val="00811CED"/>
    <w:rsid w:val="0081487B"/>
    <w:rsid w:val="00814E3A"/>
    <w:rsid w:val="00817D1F"/>
    <w:rsid w:val="008211EE"/>
    <w:rsid w:val="00823851"/>
    <w:rsid w:val="00830C49"/>
    <w:rsid w:val="00832A3A"/>
    <w:rsid w:val="008331F6"/>
    <w:rsid w:val="00834082"/>
    <w:rsid w:val="00834845"/>
    <w:rsid w:val="00834F2A"/>
    <w:rsid w:val="00835579"/>
    <w:rsid w:val="00835E7F"/>
    <w:rsid w:val="00837281"/>
    <w:rsid w:val="00837D37"/>
    <w:rsid w:val="0084168F"/>
    <w:rsid w:val="00841AE4"/>
    <w:rsid w:val="00842EA2"/>
    <w:rsid w:val="008458F6"/>
    <w:rsid w:val="00847F5E"/>
    <w:rsid w:val="008503B1"/>
    <w:rsid w:val="00851916"/>
    <w:rsid w:val="00856727"/>
    <w:rsid w:val="008603B2"/>
    <w:rsid w:val="008603EB"/>
    <w:rsid w:val="00861B5E"/>
    <w:rsid w:val="0086304D"/>
    <w:rsid w:val="0086364C"/>
    <w:rsid w:val="00864680"/>
    <w:rsid w:val="00865035"/>
    <w:rsid w:val="00867F33"/>
    <w:rsid w:val="00872189"/>
    <w:rsid w:val="008739FC"/>
    <w:rsid w:val="00875082"/>
    <w:rsid w:val="00876462"/>
    <w:rsid w:val="00880DCF"/>
    <w:rsid w:val="0088155A"/>
    <w:rsid w:val="00881805"/>
    <w:rsid w:val="00881923"/>
    <w:rsid w:val="008821A4"/>
    <w:rsid w:val="0088352E"/>
    <w:rsid w:val="0088427A"/>
    <w:rsid w:val="0088457A"/>
    <w:rsid w:val="00885AC5"/>
    <w:rsid w:val="00885FD7"/>
    <w:rsid w:val="008878DF"/>
    <w:rsid w:val="00891CE7"/>
    <w:rsid w:val="0089285B"/>
    <w:rsid w:val="0089512A"/>
    <w:rsid w:val="008957F0"/>
    <w:rsid w:val="008963AE"/>
    <w:rsid w:val="0089667F"/>
    <w:rsid w:val="008A3807"/>
    <w:rsid w:val="008A4FB9"/>
    <w:rsid w:val="008B0AD3"/>
    <w:rsid w:val="008B426E"/>
    <w:rsid w:val="008B5F86"/>
    <w:rsid w:val="008B5FDB"/>
    <w:rsid w:val="008B67AA"/>
    <w:rsid w:val="008C248A"/>
    <w:rsid w:val="008C3ECF"/>
    <w:rsid w:val="008C409F"/>
    <w:rsid w:val="008C473D"/>
    <w:rsid w:val="008C792B"/>
    <w:rsid w:val="008D002B"/>
    <w:rsid w:val="008D0B6D"/>
    <w:rsid w:val="008D1B8A"/>
    <w:rsid w:val="008D2F03"/>
    <w:rsid w:val="008D5152"/>
    <w:rsid w:val="008D52DE"/>
    <w:rsid w:val="008D6672"/>
    <w:rsid w:val="008D6D4E"/>
    <w:rsid w:val="008D70F6"/>
    <w:rsid w:val="008D75A9"/>
    <w:rsid w:val="008E26DB"/>
    <w:rsid w:val="008E314D"/>
    <w:rsid w:val="008E36E8"/>
    <w:rsid w:val="008F41F2"/>
    <w:rsid w:val="008F47D6"/>
    <w:rsid w:val="008F48B6"/>
    <w:rsid w:val="008F7C92"/>
    <w:rsid w:val="00901C7C"/>
    <w:rsid w:val="0090221D"/>
    <w:rsid w:val="009035B8"/>
    <w:rsid w:val="00903A52"/>
    <w:rsid w:val="00905E6D"/>
    <w:rsid w:val="009064A6"/>
    <w:rsid w:val="00910D18"/>
    <w:rsid w:val="00915DB6"/>
    <w:rsid w:val="009160FA"/>
    <w:rsid w:val="00917AA9"/>
    <w:rsid w:val="0092040E"/>
    <w:rsid w:val="0092061D"/>
    <w:rsid w:val="00923A55"/>
    <w:rsid w:val="00923C5B"/>
    <w:rsid w:val="009245EF"/>
    <w:rsid w:val="009254C7"/>
    <w:rsid w:val="009278E6"/>
    <w:rsid w:val="00930008"/>
    <w:rsid w:val="00931979"/>
    <w:rsid w:val="00935CCF"/>
    <w:rsid w:val="00936CEF"/>
    <w:rsid w:val="009406FB"/>
    <w:rsid w:val="00941031"/>
    <w:rsid w:val="00941ED5"/>
    <w:rsid w:val="00942A55"/>
    <w:rsid w:val="00943FD8"/>
    <w:rsid w:val="00951F33"/>
    <w:rsid w:val="00953338"/>
    <w:rsid w:val="009551BB"/>
    <w:rsid w:val="00956544"/>
    <w:rsid w:val="00961DE0"/>
    <w:rsid w:val="009641A0"/>
    <w:rsid w:val="009658B9"/>
    <w:rsid w:val="009678D8"/>
    <w:rsid w:val="00972B2C"/>
    <w:rsid w:val="00972C13"/>
    <w:rsid w:val="00972E64"/>
    <w:rsid w:val="0097328E"/>
    <w:rsid w:val="00973526"/>
    <w:rsid w:val="00973AC3"/>
    <w:rsid w:val="009742B7"/>
    <w:rsid w:val="009770B2"/>
    <w:rsid w:val="00982588"/>
    <w:rsid w:val="009864F0"/>
    <w:rsid w:val="00987029"/>
    <w:rsid w:val="0099020C"/>
    <w:rsid w:val="009926A9"/>
    <w:rsid w:val="00995E60"/>
    <w:rsid w:val="009A05F7"/>
    <w:rsid w:val="009A1BD0"/>
    <w:rsid w:val="009A2160"/>
    <w:rsid w:val="009A37EA"/>
    <w:rsid w:val="009A46D8"/>
    <w:rsid w:val="009A4A36"/>
    <w:rsid w:val="009A69B0"/>
    <w:rsid w:val="009B05D2"/>
    <w:rsid w:val="009B3840"/>
    <w:rsid w:val="009B3D10"/>
    <w:rsid w:val="009B532B"/>
    <w:rsid w:val="009B7133"/>
    <w:rsid w:val="009C084D"/>
    <w:rsid w:val="009C234C"/>
    <w:rsid w:val="009C25B8"/>
    <w:rsid w:val="009C2AD8"/>
    <w:rsid w:val="009C3EE3"/>
    <w:rsid w:val="009D1DD6"/>
    <w:rsid w:val="009D21BE"/>
    <w:rsid w:val="009D27CE"/>
    <w:rsid w:val="009D3B74"/>
    <w:rsid w:val="009D5153"/>
    <w:rsid w:val="009D6BBE"/>
    <w:rsid w:val="009E05C8"/>
    <w:rsid w:val="009E4BA6"/>
    <w:rsid w:val="009E5EA5"/>
    <w:rsid w:val="009E73FA"/>
    <w:rsid w:val="009F0490"/>
    <w:rsid w:val="009F175D"/>
    <w:rsid w:val="009F194A"/>
    <w:rsid w:val="009F1A16"/>
    <w:rsid w:val="009F4AA8"/>
    <w:rsid w:val="009F63D5"/>
    <w:rsid w:val="009F7E67"/>
    <w:rsid w:val="00A019DA"/>
    <w:rsid w:val="00A01A53"/>
    <w:rsid w:val="00A020BB"/>
    <w:rsid w:val="00A05657"/>
    <w:rsid w:val="00A05F7D"/>
    <w:rsid w:val="00A064C8"/>
    <w:rsid w:val="00A0669A"/>
    <w:rsid w:val="00A07B67"/>
    <w:rsid w:val="00A07DA6"/>
    <w:rsid w:val="00A1141A"/>
    <w:rsid w:val="00A12DB9"/>
    <w:rsid w:val="00A12F25"/>
    <w:rsid w:val="00A15EC3"/>
    <w:rsid w:val="00A16535"/>
    <w:rsid w:val="00A224B0"/>
    <w:rsid w:val="00A229D1"/>
    <w:rsid w:val="00A22D51"/>
    <w:rsid w:val="00A24563"/>
    <w:rsid w:val="00A24E57"/>
    <w:rsid w:val="00A2512D"/>
    <w:rsid w:val="00A257E9"/>
    <w:rsid w:val="00A25975"/>
    <w:rsid w:val="00A27622"/>
    <w:rsid w:val="00A30BF6"/>
    <w:rsid w:val="00A31797"/>
    <w:rsid w:val="00A36B2C"/>
    <w:rsid w:val="00A41D64"/>
    <w:rsid w:val="00A420AB"/>
    <w:rsid w:val="00A447C5"/>
    <w:rsid w:val="00A456B2"/>
    <w:rsid w:val="00A45B28"/>
    <w:rsid w:val="00A462F3"/>
    <w:rsid w:val="00A5026F"/>
    <w:rsid w:val="00A50A5D"/>
    <w:rsid w:val="00A50B56"/>
    <w:rsid w:val="00A50D17"/>
    <w:rsid w:val="00A54FBB"/>
    <w:rsid w:val="00A550B9"/>
    <w:rsid w:val="00A55ADB"/>
    <w:rsid w:val="00A609F9"/>
    <w:rsid w:val="00A60AC7"/>
    <w:rsid w:val="00A62958"/>
    <w:rsid w:val="00A62EB1"/>
    <w:rsid w:val="00A63E1D"/>
    <w:rsid w:val="00A66217"/>
    <w:rsid w:val="00A66222"/>
    <w:rsid w:val="00A66BFC"/>
    <w:rsid w:val="00A67052"/>
    <w:rsid w:val="00A67D71"/>
    <w:rsid w:val="00A704AB"/>
    <w:rsid w:val="00A7129B"/>
    <w:rsid w:val="00A7236A"/>
    <w:rsid w:val="00A73F77"/>
    <w:rsid w:val="00A7596A"/>
    <w:rsid w:val="00A7603B"/>
    <w:rsid w:val="00A81149"/>
    <w:rsid w:val="00A817F2"/>
    <w:rsid w:val="00A82136"/>
    <w:rsid w:val="00A87F8C"/>
    <w:rsid w:val="00A90FA5"/>
    <w:rsid w:val="00A9116F"/>
    <w:rsid w:val="00A91E10"/>
    <w:rsid w:val="00A93178"/>
    <w:rsid w:val="00A94C3E"/>
    <w:rsid w:val="00A959B9"/>
    <w:rsid w:val="00A96EF8"/>
    <w:rsid w:val="00A9709D"/>
    <w:rsid w:val="00AA4559"/>
    <w:rsid w:val="00AA45EB"/>
    <w:rsid w:val="00AA5352"/>
    <w:rsid w:val="00AA5657"/>
    <w:rsid w:val="00AA6467"/>
    <w:rsid w:val="00AA6994"/>
    <w:rsid w:val="00AB102F"/>
    <w:rsid w:val="00AB2855"/>
    <w:rsid w:val="00AB2C44"/>
    <w:rsid w:val="00AB5C1A"/>
    <w:rsid w:val="00AB639B"/>
    <w:rsid w:val="00AB6A20"/>
    <w:rsid w:val="00AB77F6"/>
    <w:rsid w:val="00AB7E42"/>
    <w:rsid w:val="00AC0735"/>
    <w:rsid w:val="00AC0D37"/>
    <w:rsid w:val="00AC3C97"/>
    <w:rsid w:val="00AC4495"/>
    <w:rsid w:val="00AC4DF0"/>
    <w:rsid w:val="00AC5676"/>
    <w:rsid w:val="00AC6E55"/>
    <w:rsid w:val="00AD0103"/>
    <w:rsid w:val="00AD3BAD"/>
    <w:rsid w:val="00AD3EB6"/>
    <w:rsid w:val="00AD6B81"/>
    <w:rsid w:val="00AD75E1"/>
    <w:rsid w:val="00AE0417"/>
    <w:rsid w:val="00AE0C23"/>
    <w:rsid w:val="00AE157A"/>
    <w:rsid w:val="00AE1BC2"/>
    <w:rsid w:val="00AE2AD9"/>
    <w:rsid w:val="00AE2C11"/>
    <w:rsid w:val="00AE4C02"/>
    <w:rsid w:val="00AE731F"/>
    <w:rsid w:val="00AE7410"/>
    <w:rsid w:val="00AF155E"/>
    <w:rsid w:val="00AF1BEE"/>
    <w:rsid w:val="00AF305C"/>
    <w:rsid w:val="00AF35F1"/>
    <w:rsid w:val="00B01C0C"/>
    <w:rsid w:val="00B02685"/>
    <w:rsid w:val="00B047C0"/>
    <w:rsid w:val="00B058A8"/>
    <w:rsid w:val="00B07382"/>
    <w:rsid w:val="00B11378"/>
    <w:rsid w:val="00B12467"/>
    <w:rsid w:val="00B13E41"/>
    <w:rsid w:val="00B1500A"/>
    <w:rsid w:val="00B178CD"/>
    <w:rsid w:val="00B21975"/>
    <w:rsid w:val="00B21BDF"/>
    <w:rsid w:val="00B22429"/>
    <w:rsid w:val="00B230D8"/>
    <w:rsid w:val="00B23D75"/>
    <w:rsid w:val="00B2588D"/>
    <w:rsid w:val="00B30EE0"/>
    <w:rsid w:val="00B31854"/>
    <w:rsid w:val="00B36C5B"/>
    <w:rsid w:val="00B405E9"/>
    <w:rsid w:val="00B4341E"/>
    <w:rsid w:val="00B439E0"/>
    <w:rsid w:val="00B44EB5"/>
    <w:rsid w:val="00B45BF2"/>
    <w:rsid w:val="00B46741"/>
    <w:rsid w:val="00B501A9"/>
    <w:rsid w:val="00B513E3"/>
    <w:rsid w:val="00B57D79"/>
    <w:rsid w:val="00B60F58"/>
    <w:rsid w:val="00B6106A"/>
    <w:rsid w:val="00B63280"/>
    <w:rsid w:val="00B63FC3"/>
    <w:rsid w:val="00B65A5C"/>
    <w:rsid w:val="00B677C2"/>
    <w:rsid w:val="00B72C59"/>
    <w:rsid w:val="00B74CA8"/>
    <w:rsid w:val="00B75038"/>
    <w:rsid w:val="00B76427"/>
    <w:rsid w:val="00B778D4"/>
    <w:rsid w:val="00B80F6B"/>
    <w:rsid w:val="00B83A97"/>
    <w:rsid w:val="00B83DCF"/>
    <w:rsid w:val="00B84C3C"/>
    <w:rsid w:val="00B856EF"/>
    <w:rsid w:val="00B87BD3"/>
    <w:rsid w:val="00B91EE2"/>
    <w:rsid w:val="00B93273"/>
    <w:rsid w:val="00B94309"/>
    <w:rsid w:val="00B9502B"/>
    <w:rsid w:val="00B95EBF"/>
    <w:rsid w:val="00B96176"/>
    <w:rsid w:val="00BA29DD"/>
    <w:rsid w:val="00BA3EE1"/>
    <w:rsid w:val="00BA5C9B"/>
    <w:rsid w:val="00BA5F89"/>
    <w:rsid w:val="00BA62E9"/>
    <w:rsid w:val="00BA7650"/>
    <w:rsid w:val="00BB010E"/>
    <w:rsid w:val="00BB32F6"/>
    <w:rsid w:val="00BB331E"/>
    <w:rsid w:val="00BB54FE"/>
    <w:rsid w:val="00BB6A2C"/>
    <w:rsid w:val="00BB7402"/>
    <w:rsid w:val="00BC0636"/>
    <w:rsid w:val="00BC074D"/>
    <w:rsid w:val="00BC0B82"/>
    <w:rsid w:val="00BC1281"/>
    <w:rsid w:val="00BC15F6"/>
    <w:rsid w:val="00BC22CA"/>
    <w:rsid w:val="00BC2ED5"/>
    <w:rsid w:val="00BC4EE9"/>
    <w:rsid w:val="00BC4F7A"/>
    <w:rsid w:val="00BC63B7"/>
    <w:rsid w:val="00BC79B9"/>
    <w:rsid w:val="00BD0F72"/>
    <w:rsid w:val="00BD1976"/>
    <w:rsid w:val="00BD1CCC"/>
    <w:rsid w:val="00BD2969"/>
    <w:rsid w:val="00BD3620"/>
    <w:rsid w:val="00BD3640"/>
    <w:rsid w:val="00BD5F1C"/>
    <w:rsid w:val="00BD7B41"/>
    <w:rsid w:val="00BE0D2C"/>
    <w:rsid w:val="00BE182E"/>
    <w:rsid w:val="00BE18B6"/>
    <w:rsid w:val="00BE3B4B"/>
    <w:rsid w:val="00BE4AA3"/>
    <w:rsid w:val="00BE5478"/>
    <w:rsid w:val="00BE5490"/>
    <w:rsid w:val="00BE67A1"/>
    <w:rsid w:val="00BE6D1E"/>
    <w:rsid w:val="00BE7ED7"/>
    <w:rsid w:val="00BE7F4A"/>
    <w:rsid w:val="00BF696F"/>
    <w:rsid w:val="00BF69D3"/>
    <w:rsid w:val="00BF78C0"/>
    <w:rsid w:val="00C00061"/>
    <w:rsid w:val="00C04ED6"/>
    <w:rsid w:val="00C07A06"/>
    <w:rsid w:val="00C07B76"/>
    <w:rsid w:val="00C14307"/>
    <w:rsid w:val="00C14CA1"/>
    <w:rsid w:val="00C15348"/>
    <w:rsid w:val="00C20011"/>
    <w:rsid w:val="00C20608"/>
    <w:rsid w:val="00C2196D"/>
    <w:rsid w:val="00C21EF7"/>
    <w:rsid w:val="00C21F78"/>
    <w:rsid w:val="00C2351B"/>
    <w:rsid w:val="00C23FB4"/>
    <w:rsid w:val="00C248AD"/>
    <w:rsid w:val="00C25D0E"/>
    <w:rsid w:val="00C275D7"/>
    <w:rsid w:val="00C27F65"/>
    <w:rsid w:val="00C3049A"/>
    <w:rsid w:val="00C3056A"/>
    <w:rsid w:val="00C30753"/>
    <w:rsid w:val="00C32F7F"/>
    <w:rsid w:val="00C3312E"/>
    <w:rsid w:val="00C35B46"/>
    <w:rsid w:val="00C37BB4"/>
    <w:rsid w:val="00C4025B"/>
    <w:rsid w:val="00C40942"/>
    <w:rsid w:val="00C412C4"/>
    <w:rsid w:val="00C423B1"/>
    <w:rsid w:val="00C42B04"/>
    <w:rsid w:val="00C45A64"/>
    <w:rsid w:val="00C45AC0"/>
    <w:rsid w:val="00C477FB"/>
    <w:rsid w:val="00C508A0"/>
    <w:rsid w:val="00C5113C"/>
    <w:rsid w:val="00C5214E"/>
    <w:rsid w:val="00C53BBF"/>
    <w:rsid w:val="00C551CD"/>
    <w:rsid w:val="00C5622E"/>
    <w:rsid w:val="00C6043A"/>
    <w:rsid w:val="00C62594"/>
    <w:rsid w:val="00C6311F"/>
    <w:rsid w:val="00C63A19"/>
    <w:rsid w:val="00C63CFE"/>
    <w:rsid w:val="00C65821"/>
    <w:rsid w:val="00C66816"/>
    <w:rsid w:val="00C71D92"/>
    <w:rsid w:val="00C71E9E"/>
    <w:rsid w:val="00C72EAC"/>
    <w:rsid w:val="00C737A7"/>
    <w:rsid w:val="00C7492E"/>
    <w:rsid w:val="00C8003D"/>
    <w:rsid w:val="00C83CAF"/>
    <w:rsid w:val="00C8448F"/>
    <w:rsid w:val="00C84DCA"/>
    <w:rsid w:val="00C85463"/>
    <w:rsid w:val="00C85626"/>
    <w:rsid w:val="00C85CD0"/>
    <w:rsid w:val="00C87FE1"/>
    <w:rsid w:val="00C90B4B"/>
    <w:rsid w:val="00C93DB6"/>
    <w:rsid w:val="00C95D90"/>
    <w:rsid w:val="00C96A33"/>
    <w:rsid w:val="00C96E5A"/>
    <w:rsid w:val="00C97422"/>
    <w:rsid w:val="00C97F82"/>
    <w:rsid w:val="00CA28AE"/>
    <w:rsid w:val="00CA2AD4"/>
    <w:rsid w:val="00CA34F0"/>
    <w:rsid w:val="00CA5A91"/>
    <w:rsid w:val="00CA7B2C"/>
    <w:rsid w:val="00CB045A"/>
    <w:rsid w:val="00CB15B7"/>
    <w:rsid w:val="00CB547E"/>
    <w:rsid w:val="00CB564A"/>
    <w:rsid w:val="00CB5BC2"/>
    <w:rsid w:val="00CB6CBA"/>
    <w:rsid w:val="00CC324A"/>
    <w:rsid w:val="00CC3A6F"/>
    <w:rsid w:val="00CC47E1"/>
    <w:rsid w:val="00CC4C53"/>
    <w:rsid w:val="00CC5131"/>
    <w:rsid w:val="00CC5727"/>
    <w:rsid w:val="00CC5D99"/>
    <w:rsid w:val="00CD0574"/>
    <w:rsid w:val="00CD1238"/>
    <w:rsid w:val="00CD12FE"/>
    <w:rsid w:val="00CD275B"/>
    <w:rsid w:val="00CD4FAA"/>
    <w:rsid w:val="00CD7631"/>
    <w:rsid w:val="00CE196A"/>
    <w:rsid w:val="00CE197E"/>
    <w:rsid w:val="00CE1BD6"/>
    <w:rsid w:val="00CE480B"/>
    <w:rsid w:val="00CF2A5F"/>
    <w:rsid w:val="00CF2E09"/>
    <w:rsid w:val="00CF35BF"/>
    <w:rsid w:val="00CF43E5"/>
    <w:rsid w:val="00CF7974"/>
    <w:rsid w:val="00D0085D"/>
    <w:rsid w:val="00D01307"/>
    <w:rsid w:val="00D03913"/>
    <w:rsid w:val="00D03EEC"/>
    <w:rsid w:val="00D04F87"/>
    <w:rsid w:val="00D04F8D"/>
    <w:rsid w:val="00D05A95"/>
    <w:rsid w:val="00D05D01"/>
    <w:rsid w:val="00D06A91"/>
    <w:rsid w:val="00D071D9"/>
    <w:rsid w:val="00D075BD"/>
    <w:rsid w:val="00D07D0E"/>
    <w:rsid w:val="00D07E6C"/>
    <w:rsid w:val="00D104BE"/>
    <w:rsid w:val="00D105C7"/>
    <w:rsid w:val="00D10F0C"/>
    <w:rsid w:val="00D110ED"/>
    <w:rsid w:val="00D137B0"/>
    <w:rsid w:val="00D13863"/>
    <w:rsid w:val="00D13890"/>
    <w:rsid w:val="00D14E17"/>
    <w:rsid w:val="00D14FFF"/>
    <w:rsid w:val="00D1559E"/>
    <w:rsid w:val="00D156CF"/>
    <w:rsid w:val="00D15E33"/>
    <w:rsid w:val="00D17F05"/>
    <w:rsid w:val="00D21BCE"/>
    <w:rsid w:val="00D226EA"/>
    <w:rsid w:val="00D22733"/>
    <w:rsid w:val="00D2444E"/>
    <w:rsid w:val="00D260CB"/>
    <w:rsid w:val="00D306EE"/>
    <w:rsid w:val="00D31436"/>
    <w:rsid w:val="00D31B9D"/>
    <w:rsid w:val="00D31CF0"/>
    <w:rsid w:val="00D3581B"/>
    <w:rsid w:val="00D3587D"/>
    <w:rsid w:val="00D3795C"/>
    <w:rsid w:val="00D37CFD"/>
    <w:rsid w:val="00D40199"/>
    <w:rsid w:val="00D42906"/>
    <w:rsid w:val="00D43D4F"/>
    <w:rsid w:val="00D440B1"/>
    <w:rsid w:val="00D44A0D"/>
    <w:rsid w:val="00D44B55"/>
    <w:rsid w:val="00D44B8F"/>
    <w:rsid w:val="00D45B05"/>
    <w:rsid w:val="00D474B9"/>
    <w:rsid w:val="00D50A99"/>
    <w:rsid w:val="00D53617"/>
    <w:rsid w:val="00D53BB9"/>
    <w:rsid w:val="00D549BC"/>
    <w:rsid w:val="00D559F3"/>
    <w:rsid w:val="00D570F6"/>
    <w:rsid w:val="00D60430"/>
    <w:rsid w:val="00D60BCF"/>
    <w:rsid w:val="00D619A9"/>
    <w:rsid w:val="00D61A0E"/>
    <w:rsid w:val="00D61EB9"/>
    <w:rsid w:val="00D62FBD"/>
    <w:rsid w:val="00D6417E"/>
    <w:rsid w:val="00D6468F"/>
    <w:rsid w:val="00D64C1E"/>
    <w:rsid w:val="00D66D36"/>
    <w:rsid w:val="00D71101"/>
    <w:rsid w:val="00D7250B"/>
    <w:rsid w:val="00D74260"/>
    <w:rsid w:val="00D75211"/>
    <w:rsid w:val="00D75485"/>
    <w:rsid w:val="00D80981"/>
    <w:rsid w:val="00D80CEF"/>
    <w:rsid w:val="00D8293F"/>
    <w:rsid w:val="00D85699"/>
    <w:rsid w:val="00D85ADE"/>
    <w:rsid w:val="00D85FD3"/>
    <w:rsid w:val="00D862CB"/>
    <w:rsid w:val="00D86B5A"/>
    <w:rsid w:val="00D956F9"/>
    <w:rsid w:val="00DA0B53"/>
    <w:rsid w:val="00DA16EE"/>
    <w:rsid w:val="00DA19C1"/>
    <w:rsid w:val="00DA3964"/>
    <w:rsid w:val="00DA6832"/>
    <w:rsid w:val="00DA75AC"/>
    <w:rsid w:val="00DB0332"/>
    <w:rsid w:val="00DB06BD"/>
    <w:rsid w:val="00DB0BBF"/>
    <w:rsid w:val="00DB0BD8"/>
    <w:rsid w:val="00DB1E74"/>
    <w:rsid w:val="00DB2C74"/>
    <w:rsid w:val="00DB491C"/>
    <w:rsid w:val="00DB607E"/>
    <w:rsid w:val="00DB7A1B"/>
    <w:rsid w:val="00DB7C14"/>
    <w:rsid w:val="00DC29AC"/>
    <w:rsid w:val="00DC4079"/>
    <w:rsid w:val="00DC748F"/>
    <w:rsid w:val="00DD0BA1"/>
    <w:rsid w:val="00DD1E61"/>
    <w:rsid w:val="00DD4D0F"/>
    <w:rsid w:val="00DD52A9"/>
    <w:rsid w:val="00DD5CCB"/>
    <w:rsid w:val="00DD5E94"/>
    <w:rsid w:val="00DD62ED"/>
    <w:rsid w:val="00DD7EFA"/>
    <w:rsid w:val="00DE008B"/>
    <w:rsid w:val="00DE1800"/>
    <w:rsid w:val="00DE1A98"/>
    <w:rsid w:val="00DE1CDB"/>
    <w:rsid w:val="00DE2CEF"/>
    <w:rsid w:val="00DE3108"/>
    <w:rsid w:val="00DE33D5"/>
    <w:rsid w:val="00DE35F9"/>
    <w:rsid w:val="00DE7C2F"/>
    <w:rsid w:val="00DE7FEA"/>
    <w:rsid w:val="00DF0016"/>
    <w:rsid w:val="00DF0C63"/>
    <w:rsid w:val="00DF0F80"/>
    <w:rsid w:val="00DF3788"/>
    <w:rsid w:val="00DF4E9A"/>
    <w:rsid w:val="00DF5586"/>
    <w:rsid w:val="00E00A68"/>
    <w:rsid w:val="00E01229"/>
    <w:rsid w:val="00E0187B"/>
    <w:rsid w:val="00E01A72"/>
    <w:rsid w:val="00E01DA7"/>
    <w:rsid w:val="00E0429C"/>
    <w:rsid w:val="00E0459A"/>
    <w:rsid w:val="00E05BF3"/>
    <w:rsid w:val="00E06B7F"/>
    <w:rsid w:val="00E10520"/>
    <w:rsid w:val="00E10B44"/>
    <w:rsid w:val="00E14CC7"/>
    <w:rsid w:val="00E152BB"/>
    <w:rsid w:val="00E16672"/>
    <w:rsid w:val="00E169AE"/>
    <w:rsid w:val="00E20675"/>
    <w:rsid w:val="00E20913"/>
    <w:rsid w:val="00E21748"/>
    <w:rsid w:val="00E21E66"/>
    <w:rsid w:val="00E2470F"/>
    <w:rsid w:val="00E24EAD"/>
    <w:rsid w:val="00E255EB"/>
    <w:rsid w:val="00E27925"/>
    <w:rsid w:val="00E27A95"/>
    <w:rsid w:val="00E3011B"/>
    <w:rsid w:val="00E30510"/>
    <w:rsid w:val="00E30C14"/>
    <w:rsid w:val="00E324DC"/>
    <w:rsid w:val="00E32C13"/>
    <w:rsid w:val="00E32E30"/>
    <w:rsid w:val="00E34721"/>
    <w:rsid w:val="00E357D3"/>
    <w:rsid w:val="00E35B57"/>
    <w:rsid w:val="00E377DD"/>
    <w:rsid w:val="00E42AA4"/>
    <w:rsid w:val="00E4369E"/>
    <w:rsid w:val="00E43895"/>
    <w:rsid w:val="00E44927"/>
    <w:rsid w:val="00E44CE3"/>
    <w:rsid w:val="00E4631D"/>
    <w:rsid w:val="00E50704"/>
    <w:rsid w:val="00E50952"/>
    <w:rsid w:val="00E50DC3"/>
    <w:rsid w:val="00E510E1"/>
    <w:rsid w:val="00E51112"/>
    <w:rsid w:val="00E51B53"/>
    <w:rsid w:val="00E527A7"/>
    <w:rsid w:val="00E537CB"/>
    <w:rsid w:val="00E55364"/>
    <w:rsid w:val="00E5651A"/>
    <w:rsid w:val="00E579B6"/>
    <w:rsid w:val="00E60DA6"/>
    <w:rsid w:val="00E62054"/>
    <w:rsid w:val="00E6241B"/>
    <w:rsid w:val="00E624C7"/>
    <w:rsid w:val="00E6367E"/>
    <w:rsid w:val="00E637F1"/>
    <w:rsid w:val="00E657B9"/>
    <w:rsid w:val="00E665AB"/>
    <w:rsid w:val="00E70BA4"/>
    <w:rsid w:val="00E714BC"/>
    <w:rsid w:val="00E71ABA"/>
    <w:rsid w:val="00E71FCE"/>
    <w:rsid w:val="00E724C1"/>
    <w:rsid w:val="00E7382E"/>
    <w:rsid w:val="00E73C22"/>
    <w:rsid w:val="00E74331"/>
    <w:rsid w:val="00E75FB5"/>
    <w:rsid w:val="00E80E33"/>
    <w:rsid w:val="00E83D84"/>
    <w:rsid w:val="00E84215"/>
    <w:rsid w:val="00E842B8"/>
    <w:rsid w:val="00E8602A"/>
    <w:rsid w:val="00E87A9C"/>
    <w:rsid w:val="00E87F07"/>
    <w:rsid w:val="00E90EC5"/>
    <w:rsid w:val="00E91875"/>
    <w:rsid w:val="00E91B52"/>
    <w:rsid w:val="00E94F6F"/>
    <w:rsid w:val="00E96184"/>
    <w:rsid w:val="00E97DA5"/>
    <w:rsid w:val="00EA0955"/>
    <w:rsid w:val="00EA16D0"/>
    <w:rsid w:val="00EA1BD3"/>
    <w:rsid w:val="00EA57CD"/>
    <w:rsid w:val="00EA7AB4"/>
    <w:rsid w:val="00EB1B95"/>
    <w:rsid w:val="00EB1DA7"/>
    <w:rsid w:val="00EB2B20"/>
    <w:rsid w:val="00EB3026"/>
    <w:rsid w:val="00EB30F5"/>
    <w:rsid w:val="00EB35CE"/>
    <w:rsid w:val="00EB3D63"/>
    <w:rsid w:val="00EB4702"/>
    <w:rsid w:val="00EC22FE"/>
    <w:rsid w:val="00EC2A57"/>
    <w:rsid w:val="00EC4C49"/>
    <w:rsid w:val="00EC5B5A"/>
    <w:rsid w:val="00ED0260"/>
    <w:rsid w:val="00ED1FF5"/>
    <w:rsid w:val="00ED2C75"/>
    <w:rsid w:val="00ED3281"/>
    <w:rsid w:val="00ED68BB"/>
    <w:rsid w:val="00ED6962"/>
    <w:rsid w:val="00ED7096"/>
    <w:rsid w:val="00ED7D80"/>
    <w:rsid w:val="00EE0735"/>
    <w:rsid w:val="00EE3625"/>
    <w:rsid w:val="00EE4DAB"/>
    <w:rsid w:val="00EE6EEB"/>
    <w:rsid w:val="00EE761F"/>
    <w:rsid w:val="00EF0B53"/>
    <w:rsid w:val="00EF0D67"/>
    <w:rsid w:val="00EF1301"/>
    <w:rsid w:val="00EF150C"/>
    <w:rsid w:val="00EF21C5"/>
    <w:rsid w:val="00EF3EE3"/>
    <w:rsid w:val="00EF41DC"/>
    <w:rsid w:val="00EF488B"/>
    <w:rsid w:val="00EF70CF"/>
    <w:rsid w:val="00F00A80"/>
    <w:rsid w:val="00F00A97"/>
    <w:rsid w:val="00F03DB4"/>
    <w:rsid w:val="00F0518F"/>
    <w:rsid w:val="00F056DB"/>
    <w:rsid w:val="00F05928"/>
    <w:rsid w:val="00F05D3C"/>
    <w:rsid w:val="00F05D53"/>
    <w:rsid w:val="00F06DF7"/>
    <w:rsid w:val="00F10033"/>
    <w:rsid w:val="00F11529"/>
    <w:rsid w:val="00F119B7"/>
    <w:rsid w:val="00F12D19"/>
    <w:rsid w:val="00F13EDA"/>
    <w:rsid w:val="00F2296B"/>
    <w:rsid w:val="00F243B2"/>
    <w:rsid w:val="00F246BF"/>
    <w:rsid w:val="00F27181"/>
    <w:rsid w:val="00F32495"/>
    <w:rsid w:val="00F330D3"/>
    <w:rsid w:val="00F331A8"/>
    <w:rsid w:val="00F33E70"/>
    <w:rsid w:val="00F37A4F"/>
    <w:rsid w:val="00F401C4"/>
    <w:rsid w:val="00F40E84"/>
    <w:rsid w:val="00F4107C"/>
    <w:rsid w:val="00F41C14"/>
    <w:rsid w:val="00F42AD3"/>
    <w:rsid w:val="00F440ED"/>
    <w:rsid w:val="00F477F8"/>
    <w:rsid w:val="00F507BC"/>
    <w:rsid w:val="00F525F9"/>
    <w:rsid w:val="00F52BD5"/>
    <w:rsid w:val="00F5359F"/>
    <w:rsid w:val="00F55F43"/>
    <w:rsid w:val="00F57240"/>
    <w:rsid w:val="00F61958"/>
    <w:rsid w:val="00F63241"/>
    <w:rsid w:val="00F632C8"/>
    <w:rsid w:val="00F635F6"/>
    <w:rsid w:val="00F64F03"/>
    <w:rsid w:val="00F672BC"/>
    <w:rsid w:val="00F7332B"/>
    <w:rsid w:val="00F734DF"/>
    <w:rsid w:val="00F741EE"/>
    <w:rsid w:val="00F7469E"/>
    <w:rsid w:val="00F75D73"/>
    <w:rsid w:val="00F8389C"/>
    <w:rsid w:val="00F84FAD"/>
    <w:rsid w:val="00F86031"/>
    <w:rsid w:val="00F90B6C"/>
    <w:rsid w:val="00F932AA"/>
    <w:rsid w:val="00F94367"/>
    <w:rsid w:val="00F948B2"/>
    <w:rsid w:val="00F96879"/>
    <w:rsid w:val="00FA01C1"/>
    <w:rsid w:val="00FA2D50"/>
    <w:rsid w:val="00FA35ED"/>
    <w:rsid w:val="00FA4227"/>
    <w:rsid w:val="00FA4265"/>
    <w:rsid w:val="00FA5EF4"/>
    <w:rsid w:val="00FA66D8"/>
    <w:rsid w:val="00FA78B9"/>
    <w:rsid w:val="00FA7E50"/>
    <w:rsid w:val="00FB012C"/>
    <w:rsid w:val="00FB14A4"/>
    <w:rsid w:val="00FB2691"/>
    <w:rsid w:val="00FB2BDC"/>
    <w:rsid w:val="00FB42B4"/>
    <w:rsid w:val="00FB64E1"/>
    <w:rsid w:val="00FB6BBC"/>
    <w:rsid w:val="00FB7756"/>
    <w:rsid w:val="00FC3504"/>
    <w:rsid w:val="00FC4E26"/>
    <w:rsid w:val="00FC786D"/>
    <w:rsid w:val="00FC7C6F"/>
    <w:rsid w:val="00FD0453"/>
    <w:rsid w:val="00FD0C25"/>
    <w:rsid w:val="00FD1152"/>
    <w:rsid w:val="00FD2170"/>
    <w:rsid w:val="00FD297C"/>
    <w:rsid w:val="00FD56DE"/>
    <w:rsid w:val="00FD5D7A"/>
    <w:rsid w:val="00FE1FD0"/>
    <w:rsid w:val="00FE20BC"/>
    <w:rsid w:val="00FE2534"/>
    <w:rsid w:val="00FE285C"/>
    <w:rsid w:val="00FE51DA"/>
    <w:rsid w:val="00FE74E3"/>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A7E5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character" w:styleId="Emphasis">
    <w:name w:val="Emphasis"/>
    <w:basedOn w:val="DefaultParagraphFont"/>
    <w:uiPriority w:val="20"/>
    <w:qFormat/>
    <w:rsid w:val="00F948B2"/>
    <w:rPr>
      <w:i/>
      <w:iCs/>
    </w:rPr>
  </w:style>
  <w:style w:type="paragraph" w:styleId="BodyTextIndent">
    <w:name w:val="Body Text Indent"/>
    <w:basedOn w:val="Normal"/>
    <w:link w:val="BodyTextIndentChar"/>
    <w:rsid w:val="00F948B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948B2"/>
    <w:rPr>
      <w:sz w:val="24"/>
      <w:szCs w:val="24"/>
    </w:rPr>
  </w:style>
  <w:style w:type="paragraph" w:styleId="FootnoteText">
    <w:name w:val="footnote text"/>
    <w:basedOn w:val="Normal"/>
    <w:link w:val="FootnoteTextChar"/>
    <w:uiPriority w:val="99"/>
    <w:rsid w:val="00F948B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948B2"/>
  </w:style>
  <w:style w:type="character" w:styleId="FootnoteReference">
    <w:name w:val="footnote reference"/>
    <w:basedOn w:val="DefaultParagraphFont"/>
    <w:uiPriority w:val="99"/>
    <w:rsid w:val="00F948B2"/>
    <w:rPr>
      <w:vertAlign w:val="superscript"/>
    </w:rPr>
  </w:style>
  <w:style w:type="paragraph" w:styleId="Revision">
    <w:name w:val="Revision"/>
    <w:hidden/>
    <w:uiPriority w:val="99"/>
    <w:semiHidden/>
    <w:rsid w:val="00F948B2"/>
    <w:rPr>
      <w:sz w:val="24"/>
      <w:szCs w:val="24"/>
    </w:rPr>
  </w:style>
  <w:style w:type="paragraph" w:styleId="NormalWeb">
    <w:name w:val="Normal (Web)"/>
    <w:basedOn w:val="Normal"/>
    <w:uiPriority w:val="99"/>
    <w:unhideWhenUsed/>
    <w:rsid w:val="00F948B2"/>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semiHidden/>
    <w:unhideWhenUsed/>
    <w:rsid w:val="00720791"/>
  </w:style>
  <w:style w:type="character" w:customStyle="1" w:styleId="UnresolvedMention1">
    <w:name w:val="Unresolved Mention1"/>
    <w:basedOn w:val="DefaultParagraphFont"/>
    <w:uiPriority w:val="99"/>
    <w:semiHidden/>
    <w:unhideWhenUsed/>
    <w:rsid w:val="00D559F3"/>
    <w:rPr>
      <w:color w:val="605E5C"/>
      <w:shd w:val="clear" w:color="auto" w:fill="E1DFDD"/>
    </w:rPr>
  </w:style>
  <w:style w:type="character" w:styleId="Strong">
    <w:name w:val="Strong"/>
    <w:basedOn w:val="DefaultParagraphFont"/>
    <w:uiPriority w:val="22"/>
    <w:qFormat/>
    <w:rsid w:val="003D3B32"/>
    <w:rPr>
      <w:b/>
      <w:bCs/>
    </w:rPr>
  </w:style>
  <w:style w:type="character" w:customStyle="1" w:styleId="Heading1Char">
    <w:name w:val="Heading 1 Char"/>
    <w:basedOn w:val="DefaultParagraphFont"/>
    <w:link w:val="Heading1"/>
    <w:uiPriority w:val="9"/>
    <w:rsid w:val="005A7E55"/>
    <w:rPr>
      <w:rFonts w:asciiTheme="majorHAnsi" w:eastAsiaTheme="majorEastAsia" w:hAnsiTheme="majorHAnsi" w:cstheme="majorBidi"/>
      <w:b/>
      <w:bCs/>
      <w:color w:val="365F91" w:themeColor="accent1" w:themeShade="BF"/>
      <w:sz w:val="28"/>
      <w:szCs w:val="28"/>
    </w:rPr>
  </w:style>
  <w:style w:type="character" w:customStyle="1" w:styleId="mw-reflink-text">
    <w:name w:val="mw-reflink-text"/>
    <w:basedOn w:val="DefaultParagraphFont"/>
    <w:rsid w:val="005A7E55"/>
  </w:style>
  <w:style w:type="numbering" w:customStyle="1" w:styleId="NoList2">
    <w:name w:val="No List2"/>
    <w:next w:val="NoList"/>
    <w:uiPriority w:val="99"/>
    <w:semiHidden/>
    <w:unhideWhenUsed/>
    <w:rsid w:val="00C3312E"/>
  </w:style>
  <w:style w:type="table" w:customStyle="1" w:styleId="TableGrid5">
    <w:name w:val="Table Grid5"/>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3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312E"/>
  </w:style>
  <w:style w:type="table" w:customStyle="1" w:styleId="TableGrid17">
    <w:name w:val="Table Grid17"/>
    <w:basedOn w:val="TableNormal"/>
    <w:uiPriority w:val="59"/>
    <w:rsid w:val="00C331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
    <w:name w:val="nav"/>
    <w:basedOn w:val="DefaultParagraphFont"/>
    <w:rsid w:val="00D64C1E"/>
  </w:style>
  <w:style w:type="character" w:customStyle="1" w:styleId="UnresolvedMention2">
    <w:name w:val="Unresolved Mention2"/>
    <w:basedOn w:val="DefaultParagraphFont"/>
    <w:uiPriority w:val="99"/>
    <w:semiHidden/>
    <w:unhideWhenUsed/>
    <w:rsid w:val="0036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397362365">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768694725">
      <w:bodyDiv w:val="1"/>
      <w:marLeft w:val="0"/>
      <w:marRight w:val="0"/>
      <w:marTop w:val="0"/>
      <w:marBottom w:val="0"/>
      <w:divBdr>
        <w:top w:val="none" w:sz="0" w:space="0" w:color="auto"/>
        <w:left w:val="none" w:sz="0" w:space="0" w:color="auto"/>
        <w:bottom w:val="none" w:sz="0" w:space="0" w:color="auto"/>
        <w:right w:val="none" w:sz="0" w:space="0" w:color="auto"/>
      </w:divBdr>
    </w:div>
    <w:div w:id="1039479254">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32424156">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09254234">
      <w:bodyDiv w:val="1"/>
      <w:marLeft w:val="0"/>
      <w:marRight w:val="0"/>
      <w:marTop w:val="0"/>
      <w:marBottom w:val="0"/>
      <w:divBdr>
        <w:top w:val="none" w:sz="0" w:space="0" w:color="auto"/>
        <w:left w:val="none" w:sz="0" w:space="0" w:color="auto"/>
        <w:bottom w:val="none" w:sz="0" w:space="0" w:color="auto"/>
        <w:right w:val="none" w:sz="0" w:space="0" w:color="auto"/>
      </w:divBdr>
    </w:div>
    <w:div w:id="1815022662">
      <w:bodyDiv w:val="1"/>
      <w:marLeft w:val="0"/>
      <w:marRight w:val="0"/>
      <w:marTop w:val="0"/>
      <w:marBottom w:val="0"/>
      <w:divBdr>
        <w:top w:val="none" w:sz="0" w:space="0" w:color="auto"/>
        <w:left w:val="none" w:sz="0" w:space="0" w:color="auto"/>
        <w:bottom w:val="none" w:sz="0" w:space="0" w:color="auto"/>
        <w:right w:val="none" w:sz="0" w:space="0" w:color="auto"/>
      </w:divBdr>
    </w:div>
    <w:div w:id="1947034760">
      <w:bodyDiv w:val="1"/>
      <w:marLeft w:val="0"/>
      <w:marRight w:val="0"/>
      <w:marTop w:val="0"/>
      <w:marBottom w:val="0"/>
      <w:divBdr>
        <w:top w:val="none" w:sz="0" w:space="0" w:color="auto"/>
        <w:left w:val="none" w:sz="0" w:space="0" w:color="auto"/>
        <w:bottom w:val="none" w:sz="0" w:space="0" w:color="auto"/>
        <w:right w:val="none" w:sz="0" w:space="0" w:color="auto"/>
      </w:divBdr>
    </w:div>
    <w:div w:id="1956670743">
      <w:bodyDiv w:val="1"/>
      <w:marLeft w:val="0"/>
      <w:marRight w:val="0"/>
      <w:marTop w:val="0"/>
      <w:marBottom w:val="0"/>
      <w:divBdr>
        <w:top w:val="none" w:sz="0" w:space="0" w:color="auto"/>
        <w:left w:val="none" w:sz="0" w:space="0" w:color="auto"/>
        <w:bottom w:val="none" w:sz="0" w:space="0" w:color="auto"/>
        <w:right w:val="none" w:sz="0" w:space="0" w:color="auto"/>
      </w:divBdr>
      <w:divsChild>
        <w:div w:id="917405033">
          <w:marLeft w:val="0"/>
          <w:marRight w:val="0"/>
          <w:marTop w:val="0"/>
          <w:marBottom w:val="0"/>
          <w:divBdr>
            <w:top w:val="none" w:sz="0" w:space="0" w:color="auto"/>
            <w:left w:val="none" w:sz="0" w:space="0" w:color="auto"/>
            <w:bottom w:val="none" w:sz="0" w:space="0" w:color="auto"/>
            <w:right w:val="none" w:sz="0" w:space="0" w:color="auto"/>
          </w:divBdr>
        </w:div>
        <w:div w:id="1397431613">
          <w:marLeft w:val="0"/>
          <w:marRight w:val="0"/>
          <w:marTop w:val="0"/>
          <w:marBottom w:val="0"/>
          <w:divBdr>
            <w:top w:val="none" w:sz="0" w:space="0" w:color="auto"/>
            <w:left w:val="none" w:sz="0" w:space="0" w:color="auto"/>
            <w:bottom w:val="none" w:sz="0" w:space="0" w:color="auto"/>
            <w:right w:val="none" w:sz="0" w:space="0" w:color="auto"/>
          </w:divBdr>
        </w:div>
        <w:div w:id="1211648082">
          <w:marLeft w:val="0"/>
          <w:marRight w:val="0"/>
          <w:marTop w:val="0"/>
          <w:marBottom w:val="0"/>
          <w:divBdr>
            <w:top w:val="none" w:sz="0" w:space="0" w:color="auto"/>
            <w:left w:val="none" w:sz="0" w:space="0" w:color="auto"/>
            <w:bottom w:val="none" w:sz="0" w:space="0" w:color="auto"/>
            <w:right w:val="none" w:sz="0" w:space="0" w:color="auto"/>
          </w:divBdr>
        </w:div>
        <w:div w:id="411390358">
          <w:marLeft w:val="0"/>
          <w:marRight w:val="0"/>
          <w:marTop w:val="0"/>
          <w:marBottom w:val="0"/>
          <w:divBdr>
            <w:top w:val="none" w:sz="0" w:space="0" w:color="auto"/>
            <w:left w:val="none" w:sz="0" w:space="0" w:color="auto"/>
            <w:bottom w:val="none" w:sz="0" w:space="0" w:color="auto"/>
            <w:right w:val="none" w:sz="0" w:space="0" w:color="auto"/>
          </w:divBdr>
        </w:div>
        <w:div w:id="385108674">
          <w:marLeft w:val="0"/>
          <w:marRight w:val="0"/>
          <w:marTop w:val="0"/>
          <w:marBottom w:val="0"/>
          <w:divBdr>
            <w:top w:val="none" w:sz="0" w:space="0" w:color="auto"/>
            <w:left w:val="none" w:sz="0" w:space="0" w:color="auto"/>
            <w:bottom w:val="none" w:sz="0" w:space="0" w:color="auto"/>
            <w:right w:val="none" w:sz="0" w:space="0" w:color="auto"/>
          </w:divBdr>
        </w:div>
        <w:div w:id="212038974">
          <w:marLeft w:val="0"/>
          <w:marRight w:val="0"/>
          <w:marTop w:val="0"/>
          <w:marBottom w:val="0"/>
          <w:divBdr>
            <w:top w:val="none" w:sz="0" w:space="0" w:color="auto"/>
            <w:left w:val="none" w:sz="0" w:space="0" w:color="auto"/>
            <w:bottom w:val="none" w:sz="0" w:space="0" w:color="auto"/>
            <w:right w:val="none" w:sz="0" w:space="0" w:color="auto"/>
          </w:divBdr>
        </w:div>
        <w:div w:id="1695499582">
          <w:marLeft w:val="0"/>
          <w:marRight w:val="0"/>
          <w:marTop w:val="0"/>
          <w:marBottom w:val="0"/>
          <w:divBdr>
            <w:top w:val="none" w:sz="0" w:space="0" w:color="auto"/>
            <w:left w:val="none" w:sz="0" w:space="0" w:color="auto"/>
            <w:bottom w:val="none" w:sz="0" w:space="0" w:color="auto"/>
            <w:right w:val="none" w:sz="0" w:space="0" w:color="auto"/>
          </w:divBdr>
        </w:div>
        <w:div w:id="52125659">
          <w:marLeft w:val="0"/>
          <w:marRight w:val="0"/>
          <w:marTop w:val="0"/>
          <w:marBottom w:val="0"/>
          <w:divBdr>
            <w:top w:val="none" w:sz="0" w:space="0" w:color="auto"/>
            <w:left w:val="none" w:sz="0" w:space="0" w:color="auto"/>
            <w:bottom w:val="none" w:sz="0" w:space="0" w:color="auto"/>
            <w:right w:val="none" w:sz="0" w:space="0" w:color="auto"/>
          </w:divBdr>
        </w:div>
        <w:div w:id="2011055864">
          <w:marLeft w:val="0"/>
          <w:marRight w:val="0"/>
          <w:marTop w:val="0"/>
          <w:marBottom w:val="0"/>
          <w:divBdr>
            <w:top w:val="none" w:sz="0" w:space="0" w:color="auto"/>
            <w:left w:val="none" w:sz="0" w:space="0" w:color="auto"/>
            <w:bottom w:val="none" w:sz="0" w:space="0" w:color="auto"/>
            <w:right w:val="none" w:sz="0" w:space="0" w:color="auto"/>
          </w:divBdr>
        </w:div>
        <w:div w:id="74988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mcas/parents/results-faq.html" TargetMode="External"/><Relationship Id="rId26" Type="http://schemas.openxmlformats.org/officeDocument/2006/relationships/hyperlink" Target="http://www.doe.mass.edu/accountability/toolkit/district-data-toolkit.pdf" TargetMode="External"/><Relationship Id="rId39" Type="http://schemas.openxmlformats.org/officeDocument/2006/relationships/hyperlink" Target="http://www2.ed.gov/about/inits/ed/chronicabsenteeism/toolkit.pdf" TargetMode="External"/><Relationship Id="rId21" Type="http://schemas.openxmlformats.org/officeDocument/2006/relationships/hyperlink" Target="http://www.doe.mass.edu/frameworks/observation/" TargetMode="External"/><Relationship Id="rId34" Type="http://schemas.openxmlformats.org/officeDocument/2006/relationships/hyperlink" Target="http://www.doe.mass.edu/pd/standards.html" TargetMode="External"/><Relationship Id="rId42" Type="http://schemas.openxmlformats.org/officeDocument/2006/relationships/hyperlink" Target="http://www.doe.mass.edu/dropout/ExitProtocol.docx" TargetMode="External"/><Relationship Id="rId47" Type="http://schemas.openxmlformats.org/officeDocument/2006/relationships/hyperlink" Target="https://sites.google.com/site/masswazcookbook/" TargetMode="External"/><Relationship Id="rId50" Type="http://schemas.openxmlformats.org/officeDocument/2006/relationships/hyperlink" Target="https://www.nsba.org/services/school-board-leadership-services/school-safety-and-security"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2.png"/><Relationship Id="rId25" Type="http://schemas.openxmlformats.org/officeDocument/2006/relationships/hyperlink" Target="http://www.doe.mass.edu/edeval/ddm/webinar/PartI-GapAnalysis.pdf" TargetMode="External"/><Relationship Id="rId33" Type="http://schemas.openxmlformats.org/officeDocument/2006/relationships/hyperlink" Target="http://www.doe.mass.edu/edeval/training/teachers/default.html" TargetMode="External"/><Relationship Id="rId38" Type="http://schemas.openxmlformats.org/officeDocument/2006/relationships/hyperlink" Target="http://www.doe.mass.edu/ccte/ccr/mycap/" TargetMode="External"/><Relationship Id="rId46" Type="http://schemas.openxmlformats.org/officeDocument/2006/relationships/hyperlink" Target="http://www.doe.mass.edu/ccte/ccr/ewi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edeval/resources/" TargetMode="External"/><Relationship Id="rId41" Type="http://schemas.openxmlformats.org/officeDocument/2006/relationships/hyperlink" Target="http://www.greatschoolspartnership.org/resources/ninth-grade-counts/" TargetMode="External"/><Relationship Id="rId54" Type="http://schemas.openxmlformats.org/officeDocument/2006/relationships/hyperlink" Target="http://www.doe.mass.edu/lawsregs/603cmr10.html?section=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du/docs/ese/accountability/dart/walkthrough/continuum-practice.pdf" TargetMode="External"/><Relationship Id="rId32" Type="http://schemas.openxmlformats.org/officeDocument/2006/relationships/hyperlink" Target="http://www.doe.mass.edu/edeval/resources/QRG-Streamline.pdf" TargetMode="External"/><Relationship Id="rId37" Type="http://schemas.openxmlformats.org/officeDocument/2006/relationships/hyperlink" Target="http://www.doe.mass.edu/educators/mentor/guidelines.pdf" TargetMode="External"/><Relationship Id="rId40" Type="http://schemas.openxmlformats.org/officeDocument/2006/relationships/hyperlink" Target="https://www.attendanceworks.org/resources/" TargetMode="External"/><Relationship Id="rId45" Type="http://schemas.openxmlformats.org/officeDocument/2006/relationships/hyperlink" Target="http://www.doe.mass.edu/dropout/ImpactSum.docx" TargetMode="External"/><Relationship Id="rId53" Type="http://schemas.openxmlformats.org/officeDocument/2006/relationships/hyperlink" Target="http://www.doe.mass.edu/finance/accounting/eoy/"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ucators/title-iia/ImplementationGuide2016.docx" TargetMode="External"/><Relationship Id="rId28" Type="http://schemas.openxmlformats.org/officeDocument/2006/relationships/hyperlink" Target="http://www.ma-calibration.com/" TargetMode="External"/><Relationship Id="rId36" Type="http://schemas.openxmlformats.org/officeDocument/2006/relationships/hyperlink" Target="https://youtu.be/zhuFioO8GbQ" TargetMode="External"/><Relationship Id="rId49" Type="http://schemas.openxmlformats.org/officeDocument/2006/relationships/hyperlink" Target="http://www.doe.mass.edu/sfs/emergencyplan/resources.html?section=topic"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edeval/resources/presentations/SMARTGoals/Handout5.pdf" TargetMode="External"/><Relationship Id="rId31" Type="http://schemas.openxmlformats.org/officeDocument/2006/relationships/hyperlink" Target="http://www.doe.mass.edu/edeval/resources/pln/OnTrack-EvaluatorCapacity.pdf" TargetMode="External"/><Relationship Id="rId44" Type="http://schemas.openxmlformats.org/officeDocument/2006/relationships/hyperlink" Target="http://www.doe.mass.edu/dropout/ImpactFlyer.docx" TargetMode="External"/><Relationship Id="rId52" Type="http://schemas.openxmlformats.org/officeDocument/2006/relationships/hyperlink" Target="https://www.nasponline.org/resources-and-publications/resources/school-safety-and-crisi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calibration/" TargetMode="External"/><Relationship Id="rId27" Type="http://schemas.openxmlformats.org/officeDocument/2006/relationships/hyperlink" Target="http://www.doe.mass.edu/edeval/resources/QRG-Feedback.pdf" TargetMode="External"/><Relationship Id="rId30" Type="http://schemas.openxmlformats.org/officeDocument/2006/relationships/hyperlink" Target="http://www.doe.mass.edu/edeval/resources/rubrics/" TargetMode="External"/><Relationship Id="rId35" Type="http://schemas.openxmlformats.org/officeDocument/2006/relationships/hyperlink" Target="http://www.mass.gov/edu/docs/ese/accountability/dsac/professional-development-self-assessment-guide.pdf" TargetMode="External"/><Relationship Id="rId43" Type="http://schemas.openxmlformats.org/officeDocument/2006/relationships/hyperlink" Target="https://ies.ed.gov/ncee/wwc/Docs/PracticeGuide/dp_pg_090308.pdf" TargetMode="External"/><Relationship Id="rId48" Type="http://schemas.openxmlformats.org/officeDocument/2006/relationships/hyperlink" Target="http://www.doe.mass.edu/mv/" TargetMode="External"/><Relationship Id="rId56" Type="http://schemas.openxmlformats.org/officeDocument/2006/relationships/hyperlink" Target="http://www.doe.mass.edu/finance/statistics/ppx.html" TargetMode="External"/><Relationship Id="rId8" Type="http://schemas.openxmlformats.org/officeDocument/2006/relationships/settings" Target="settings.xml"/><Relationship Id="rId51" Type="http://schemas.openxmlformats.org/officeDocument/2006/relationships/hyperlink" Target="https://www.naesp.org/school-safety-resourc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DESE-231-61920</_dlc_DocId>
    <_dlc_DocIdUrl xmlns="733efe1c-5bbe-4968-87dc-d400e65c879f">
      <Url>https://sharepoint.doemass.org/ese/webteam/cps/_layouts/DocIdRedir.aspx?ID=DESE-231-61920</Url>
      <Description>DESE-231-61920</Description>
    </_dlc_DocIdUrl>
    <_vti_RoutingExistingProperties xmlns="0a4e05da-b9bc-4326-ad73-01ef31b95567" xsi:nil="true"/>
    <_dlc_DocIdPersistId xmlns="733efe1c-5bbe-4968-87dc-d400e65c879f">true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7A5AD-6A50-4922-ADC0-B2CF660C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691A4A62-395A-4742-8BB2-A9EA12B99AB9}">
  <ds:schemaRefs>
    <ds:schemaRef ds:uri="http://schemas.openxmlformats.org/officeDocument/2006/bibliography"/>
  </ds:schemaRefs>
</ds:datastoreItem>
</file>

<file path=customXml/itemProps4.xml><?xml version="1.0" encoding="utf-8"?>
<ds:datastoreItem xmlns:ds="http://schemas.openxmlformats.org/officeDocument/2006/customXml" ds:itemID="{C130F4C1-9554-46B0-BEAF-23AD372561DB}">
  <ds:schemaRefs>
    <ds:schemaRef ds:uri="http://schemas.microsoft.com/sharepoint/v3/contenttype/forms"/>
  </ds:schemaRefs>
</ds:datastoreItem>
</file>

<file path=customXml/itemProps5.xml><?xml version="1.0" encoding="utf-8"?>
<ds:datastoreItem xmlns:ds="http://schemas.openxmlformats.org/officeDocument/2006/customXml" ds:itemID="{36D56084-B2C9-4E91-8339-B7DF1664B9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83</Pages>
  <Words>28577</Words>
  <Characters>159180</Characters>
  <Application>Microsoft Office Word</Application>
  <DocSecurity>0</DocSecurity>
  <Lines>6920</Lines>
  <Paragraphs>5689</Paragraphs>
  <ScaleCrop>false</ScaleCrop>
  <HeadingPairs>
    <vt:vector size="2" baseType="variant">
      <vt:variant>
        <vt:lpstr>Title</vt:lpstr>
      </vt:variant>
      <vt:variant>
        <vt:i4>1</vt:i4>
      </vt:variant>
    </vt:vector>
  </HeadingPairs>
  <TitlesOfParts>
    <vt:vector size="1" baseType="lpstr">
      <vt:lpstr>Framingham District Review Report 2020</vt:lpstr>
    </vt:vector>
  </TitlesOfParts>
  <Company>Microsoft</Company>
  <LinksUpToDate>false</LinksUpToDate>
  <CharactersWithSpaces>182068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Framingham District Review Report 2020</dc:title>
  <dc:subject>Framingham District Review Report 2020</dc:subject>
  <dc:creator>Long, Melinda (DESE)</dc:creator>
  <cp:lastModifiedBy>O'Brien-Driscoll, Courtney (EOE)</cp:lastModifiedBy>
  <cp:revision>3</cp:revision>
  <cp:lastPrinted>2019-08-02T14:42:00Z</cp:lastPrinted>
  <dcterms:created xsi:type="dcterms:W3CDTF">2020-06-29T17:47:00Z</dcterms:created>
  <dcterms:modified xsi:type="dcterms:W3CDTF">2020-06-30T15:27:00Z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02d323f8-50a2-4c51-9752-89e2ab78490a</vt:lpwstr>
  </property>
  <property fmtid="{D5CDD505-2E9C-101B-9397-08002B2CF9AE}" pid="5" name="metadate">
    <vt:lpwstr>Jun 29, 2020</vt:lpwstr>
  </property>
</Properties>
</file>