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B0993" w14:textId="3CCB3A51" w:rsidR="008E314D" w:rsidRDefault="00631031" w:rsidP="008E314D">
      <w:pPr>
        <w:tabs>
          <w:tab w:val="left" w:pos="360"/>
          <w:tab w:val="left" w:pos="720"/>
          <w:tab w:val="left" w:pos="1080"/>
          <w:tab w:val="left" w:pos="1440"/>
          <w:tab w:val="left" w:pos="1800"/>
          <w:tab w:val="left" w:pos="2160"/>
          <w:tab w:val="left" w:pos="2520"/>
          <w:tab w:val="left" w:pos="2880"/>
        </w:tabs>
        <w:ind w:right="3600"/>
        <w:rPr>
          <w:sz w:val="48"/>
          <w:szCs w:val="40"/>
        </w:rPr>
      </w:pPr>
      <w:r>
        <w:rPr>
          <w:sz w:val="48"/>
          <w:szCs w:val="40"/>
        </w:rPr>
        <w:t>Targeted</w:t>
      </w:r>
      <w:r w:rsidRPr="006F45C7">
        <w:rPr>
          <w:sz w:val="48"/>
          <w:szCs w:val="40"/>
        </w:rPr>
        <w:t xml:space="preserve"> </w:t>
      </w:r>
      <w:r w:rsidR="008E314D" w:rsidRPr="006F45C7">
        <w:rPr>
          <w:sz w:val="48"/>
          <w:szCs w:val="40"/>
        </w:rPr>
        <w:t xml:space="preserve">District Review Report </w:t>
      </w:r>
    </w:p>
    <w:p w14:paraId="47FB1263" w14:textId="77777777" w:rsidR="008E314D" w:rsidRDefault="00C64A1F" w:rsidP="008E314D">
      <w:pPr>
        <w:tabs>
          <w:tab w:val="left" w:pos="360"/>
          <w:tab w:val="left" w:pos="720"/>
          <w:tab w:val="left" w:pos="1080"/>
          <w:tab w:val="left" w:pos="1440"/>
          <w:tab w:val="left" w:pos="1800"/>
          <w:tab w:val="left" w:pos="2160"/>
          <w:tab w:val="left" w:pos="2520"/>
          <w:tab w:val="left" w:pos="2880"/>
        </w:tabs>
        <w:ind w:right="3600"/>
        <w:rPr>
          <w:sz w:val="36"/>
          <w:szCs w:val="40"/>
        </w:rPr>
      </w:pPr>
      <w:r>
        <w:rPr>
          <w:sz w:val="36"/>
          <w:szCs w:val="40"/>
        </w:rPr>
        <w:t>Wakefield Public Schools</w:t>
      </w:r>
    </w:p>
    <w:p w14:paraId="05FD2C78" w14:textId="30A31016" w:rsidR="008E314D" w:rsidRDefault="008E314D" w:rsidP="008E314D">
      <w:pPr>
        <w:pBdr>
          <w:bottom w:val="single" w:sz="4" w:space="1" w:color="auto"/>
        </w:pBdr>
        <w:tabs>
          <w:tab w:val="left" w:pos="360"/>
          <w:tab w:val="left" w:pos="720"/>
          <w:tab w:val="left" w:pos="1080"/>
          <w:tab w:val="left" w:pos="1440"/>
          <w:tab w:val="left" w:pos="1800"/>
          <w:tab w:val="left" w:pos="2160"/>
          <w:tab w:val="left" w:pos="2520"/>
          <w:tab w:val="left" w:pos="2880"/>
        </w:tabs>
        <w:ind w:right="3600"/>
        <w:rPr>
          <w:sz w:val="32"/>
          <w:szCs w:val="40"/>
        </w:rPr>
      </w:pPr>
      <w:r w:rsidRPr="006F41DF">
        <w:rPr>
          <w:sz w:val="32"/>
          <w:szCs w:val="40"/>
        </w:rPr>
        <w:t xml:space="preserve">Review conducted </w:t>
      </w:r>
      <w:r w:rsidR="00E52C66">
        <w:rPr>
          <w:sz w:val="32"/>
          <w:szCs w:val="40"/>
        </w:rPr>
        <w:t>March 5–</w:t>
      </w:r>
      <w:r w:rsidR="00913E25">
        <w:rPr>
          <w:sz w:val="32"/>
          <w:szCs w:val="40"/>
        </w:rPr>
        <w:t>7</w:t>
      </w:r>
      <w:r w:rsidR="00E52C66">
        <w:rPr>
          <w:sz w:val="32"/>
          <w:szCs w:val="40"/>
        </w:rPr>
        <w:t>, 2018</w:t>
      </w:r>
    </w:p>
    <w:p w14:paraId="5C9FBC87" w14:textId="77777777" w:rsidR="008E314D" w:rsidRDefault="005153DE"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Office of District Reviews and Monitoring</w:t>
      </w:r>
    </w:p>
    <w:p w14:paraId="77106513" w14:textId="77777777"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Massachusetts Department of Elementary and Secondary Education</w:t>
      </w:r>
    </w:p>
    <w:p w14:paraId="4B028888" w14:textId="77777777"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14:paraId="3B3CA259" w14:textId="77777777"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r>
        <w:rPr>
          <w:b/>
          <w:sz w:val="28"/>
        </w:rPr>
        <w:t>Organization of this Report</w:t>
      </w:r>
    </w:p>
    <w:p w14:paraId="085C1933" w14:textId="2E49A8A4" w:rsidR="008A19C5" w:rsidRDefault="00887203">
      <w:pPr>
        <w:pStyle w:val="TOC1"/>
        <w:rPr>
          <w:rFonts w:eastAsiaTheme="minorEastAsia"/>
        </w:rPr>
      </w:pPr>
      <w:r>
        <w:fldChar w:fldCharType="begin"/>
      </w:r>
      <w:r w:rsidR="008E314D">
        <w:instrText xml:space="preserve"> TOC \h \z \t "Section,1" </w:instrText>
      </w:r>
      <w:r>
        <w:fldChar w:fldCharType="separate"/>
      </w:r>
      <w:hyperlink w:anchor="_Toc532556044" w:history="1">
        <w:r w:rsidR="008A19C5" w:rsidRPr="00B606EB">
          <w:rPr>
            <w:rStyle w:val="Hyperlink"/>
          </w:rPr>
          <w:t>Executive Summary</w:t>
        </w:r>
        <w:r w:rsidR="008A19C5">
          <w:rPr>
            <w:webHidden/>
          </w:rPr>
          <w:tab/>
        </w:r>
        <w:r w:rsidR="008A19C5">
          <w:rPr>
            <w:webHidden/>
          </w:rPr>
          <w:fldChar w:fldCharType="begin"/>
        </w:r>
        <w:r w:rsidR="008A19C5">
          <w:rPr>
            <w:webHidden/>
          </w:rPr>
          <w:instrText xml:space="preserve"> PAGEREF _Toc532556044 \h </w:instrText>
        </w:r>
        <w:r w:rsidR="008A19C5">
          <w:rPr>
            <w:webHidden/>
          </w:rPr>
        </w:r>
        <w:r w:rsidR="008A19C5">
          <w:rPr>
            <w:webHidden/>
          </w:rPr>
          <w:fldChar w:fldCharType="separate"/>
        </w:r>
        <w:r w:rsidR="008A19C5">
          <w:rPr>
            <w:webHidden/>
          </w:rPr>
          <w:t>1</w:t>
        </w:r>
        <w:r w:rsidR="008A19C5">
          <w:rPr>
            <w:webHidden/>
          </w:rPr>
          <w:fldChar w:fldCharType="end"/>
        </w:r>
      </w:hyperlink>
    </w:p>
    <w:p w14:paraId="503F5F4A" w14:textId="69794007" w:rsidR="008A19C5" w:rsidRDefault="001F2357">
      <w:pPr>
        <w:pStyle w:val="TOC1"/>
        <w:rPr>
          <w:rFonts w:eastAsiaTheme="minorEastAsia"/>
        </w:rPr>
      </w:pPr>
      <w:hyperlink w:anchor="_Toc532556045" w:history="1">
        <w:r w:rsidR="008A19C5" w:rsidRPr="00B606EB">
          <w:rPr>
            <w:rStyle w:val="Hyperlink"/>
          </w:rPr>
          <w:t>Wakefield Public Schools Targeted District Review Overview</w:t>
        </w:r>
        <w:r w:rsidR="008A19C5">
          <w:rPr>
            <w:webHidden/>
          </w:rPr>
          <w:tab/>
        </w:r>
        <w:r w:rsidR="008A19C5">
          <w:rPr>
            <w:webHidden/>
          </w:rPr>
          <w:fldChar w:fldCharType="begin"/>
        </w:r>
        <w:r w:rsidR="008A19C5">
          <w:rPr>
            <w:webHidden/>
          </w:rPr>
          <w:instrText xml:space="preserve"> PAGEREF _Toc532556045 \h </w:instrText>
        </w:r>
        <w:r w:rsidR="008A19C5">
          <w:rPr>
            <w:webHidden/>
          </w:rPr>
        </w:r>
        <w:r w:rsidR="008A19C5">
          <w:rPr>
            <w:webHidden/>
          </w:rPr>
          <w:fldChar w:fldCharType="separate"/>
        </w:r>
        <w:r w:rsidR="008A19C5">
          <w:rPr>
            <w:webHidden/>
          </w:rPr>
          <w:t>4</w:t>
        </w:r>
        <w:r w:rsidR="008A19C5">
          <w:rPr>
            <w:webHidden/>
          </w:rPr>
          <w:fldChar w:fldCharType="end"/>
        </w:r>
      </w:hyperlink>
    </w:p>
    <w:p w14:paraId="2A3788B4" w14:textId="018941E7" w:rsidR="008A19C5" w:rsidRDefault="001F2357">
      <w:pPr>
        <w:pStyle w:val="TOC1"/>
        <w:rPr>
          <w:rFonts w:eastAsiaTheme="minorEastAsia"/>
        </w:rPr>
      </w:pPr>
      <w:hyperlink w:anchor="_Toc532556046" w:history="1">
        <w:r w:rsidR="008A19C5" w:rsidRPr="00B606EB">
          <w:rPr>
            <w:rStyle w:val="Hyperlink"/>
          </w:rPr>
          <w:t>Curriculum and Instruction</w:t>
        </w:r>
        <w:r w:rsidR="008A19C5">
          <w:rPr>
            <w:webHidden/>
          </w:rPr>
          <w:tab/>
        </w:r>
        <w:r w:rsidR="008A19C5">
          <w:rPr>
            <w:webHidden/>
          </w:rPr>
          <w:fldChar w:fldCharType="begin"/>
        </w:r>
        <w:r w:rsidR="008A19C5">
          <w:rPr>
            <w:webHidden/>
          </w:rPr>
          <w:instrText xml:space="preserve"> PAGEREF _Toc532556046 \h </w:instrText>
        </w:r>
        <w:r w:rsidR="008A19C5">
          <w:rPr>
            <w:webHidden/>
          </w:rPr>
        </w:r>
        <w:r w:rsidR="008A19C5">
          <w:rPr>
            <w:webHidden/>
          </w:rPr>
          <w:fldChar w:fldCharType="separate"/>
        </w:r>
        <w:r w:rsidR="008A19C5">
          <w:rPr>
            <w:webHidden/>
          </w:rPr>
          <w:t>16</w:t>
        </w:r>
        <w:r w:rsidR="008A19C5">
          <w:rPr>
            <w:webHidden/>
          </w:rPr>
          <w:fldChar w:fldCharType="end"/>
        </w:r>
      </w:hyperlink>
    </w:p>
    <w:p w14:paraId="2F842DAB" w14:textId="3407DED0" w:rsidR="008A19C5" w:rsidRDefault="001F2357">
      <w:pPr>
        <w:pStyle w:val="TOC1"/>
        <w:rPr>
          <w:rFonts w:eastAsiaTheme="minorEastAsia"/>
        </w:rPr>
      </w:pPr>
      <w:hyperlink w:anchor="_Toc532556047" w:history="1">
        <w:r w:rsidR="008A19C5" w:rsidRPr="00B606EB">
          <w:rPr>
            <w:rStyle w:val="Hyperlink"/>
          </w:rPr>
          <w:t>Assessment</w:t>
        </w:r>
        <w:r w:rsidR="008A19C5">
          <w:rPr>
            <w:webHidden/>
          </w:rPr>
          <w:tab/>
        </w:r>
        <w:r w:rsidR="008A19C5">
          <w:rPr>
            <w:webHidden/>
          </w:rPr>
          <w:fldChar w:fldCharType="begin"/>
        </w:r>
        <w:r w:rsidR="008A19C5">
          <w:rPr>
            <w:webHidden/>
          </w:rPr>
          <w:instrText xml:space="preserve"> PAGEREF _Toc532556047 \h </w:instrText>
        </w:r>
        <w:r w:rsidR="008A19C5">
          <w:rPr>
            <w:webHidden/>
          </w:rPr>
        </w:r>
        <w:r w:rsidR="008A19C5">
          <w:rPr>
            <w:webHidden/>
          </w:rPr>
          <w:fldChar w:fldCharType="separate"/>
        </w:r>
        <w:r w:rsidR="008A19C5">
          <w:rPr>
            <w:webHidden/>
          </w:rPr>
          <w:t>30</w:t>
        </w:r>
        <w:r w:rsidR="008A19C5">
          <w:rPr>
            <w:webHidden/>
          </w:rPr>
          <w:fldChar w:fldCharType="end"/>
        </w:r>
      </w:hyperlink>
    </w:p>
    <w:p w14:paraId="7CD8CF83" w14:textId="26DAE3E2" w:rsidR="008A19C5" w:rsidRDefault="001F2357">
      <w:pPr>
        <w:pStyle w:val="TOC1"/>
        <w:rPr>
          <w:rFonts w:eastAsiaTheme="minorEastAsia"/>
        </w:rPr>
      </w:pPr>
      <w:hyperlink w:anchor="_Toc532556048" w:history="1">
        <w:r w:rsidR="008A19C5" w:rsidRPr="00B606EB">
          <w:rPr>
            <w:rStyle w:val="Hyperlink"/>
          </w:rPr>
          <w:t>Student Support</w:t>
        </w:r>
        <w:r w:rsidR="008A19C5">
          <w:rPr>
            <w:webHidden/>
          </w:rPr>
          <w:tab/>
        </w:r>
        <w:r w:rsidR="008A19C5">
          <w:rPr>
            <w:webHidden/>
          </w:rPr>
          <w:fldChar w:fldCharType="begin"/>
        </w:r>
        <w:r w:rsidR="008A19C5">
          <w:rPr>
            <w:webHidden/>
          </w:rPr>
          <w:instrText xml:space="preserve"> PAGEREF _Toc532556048 \h </w:instrText>
        </w:r>
        <w:r w:rsidR="008A19C5">
          <w:rPr>
            <w:webHidden/>
          </w:rPr>
        </w:r>
        <w:r w:rsidR="008A19C5">
          <w:rPr>
            <w:webHidden/>
          </w:rPr>
          <w:fldChar w:fldCharType="separate"/>
        </w:r>
        <w:r w:rsidR="008A19C5">
          <w:rPr>
            <w:webHidden/>
          </w:rPr>
          <w:t>34</w:t>
        </w:r>
        <w:r w:rsidR="008A19C5">
          <w:rPr>
            <w:webHidden/>
          </w:rPr>
          <w:fldChar w:fldCharType="end"/>
        </w:r>
      </w:hyperlink>
    </w:p>
    <w:p w14:paraId="249DBEFD" w14:textId="72D57E4B" w:rsidR="008A19C5" w:rsidRDefault="001F2357">
      <w:pPr>
        <w:pStyle w:val="TOC1"/>
        <w:rPr>
          <w:rFonts w:eastAsiaTheme="minorEastAsia"/>
        </w:rPr>
      </w:pPr>
      <w:hyperlink w:anchor="_Toc532556049" w:history="1">
        <w:r w:rsidR="008A19C5" w:rsidRPr="00B606EB">
          <w:rPr>
            <w:rStyle w:val="Hyperlink"/>
          </w:rPr>
          <w:t>Appendix A: Review Team, Activities, Schedule, Site Visit</w:t>
        </w:r>
        <w:r w:rsidR="008A19C5">
          <w:rPr>
            <w:webHidden/>
          </w:rPr>
          <w:tab/>
        </w:r>
        <w:r w:rsidR="008A19C5">
          <w:rPr>
            <w:webHidden/>
          </w:rPr>
          <w:fldChar w:fldCharType="begin"/>
        </w:r>
        <w:r w:rsidR="008A19C5">
          <w:rPr>
            <w:webHidden/>
          </w:rPr>
          <w:instrText xml:space="preserve"> PAGEREF _Toc532556049 \h </w:instrText>
        </w:r>
        <w:r w:rsidR="008A19C5">
          <w:rPr>
            <w:webHidden/>
          </w:rPr>
        </w:r>
        <w:r w:rsidR="008A19C5">
          <w:rPr>
            <w:webHidden/>
          </w:rPr>
          <w:fldChar w:fldCharType="separate"/>
        </w:r>
        <w:r w:rsidR="008A19C5">
          <w:rPr>
            <w:webHidden/>
          </w:rPr>
          <w:t>41</w:t>
        </w:r>
        <w:r w:rsidR="008A19C5">
          <w:rPr>
            <w:webHidden/>
          </w:rPr>
          <w:fldChar w:fldCharType="end"/>
        </w:r>
      </w:hyperlink>
    </w:p>
    <w:p w14:paraId="52B4C70D" w14:textId="42DBD532" w:rsidR="008A19C5" w:rsidRDefault="001F2357">
      <w:pPr>
        <w:pStyle w:val="TOC1"/>
        <w:rPr>
          <w:rFonts w:eastAsiaTheme="minorEastAsia"/>
        </w:rPr>
      </w:pPr>
      <w:hyperlink w:anchor="_Toc532556050" w:history="1">
        <w:r w:rsidR="008A19C5" w:rsidRPr="00B606EB">
          <w:rPr>
            <w:rStyle w:val="Hyperlink"/>
          </w:rPr>
          <w:t>Appendix B: Enrollment, Attendance, Expenditures</w:t>
        </w:r>
        <w:r w:rsidR="008A19C5">
          <w:rPr>
            <w:webHidden/>
          </w:rPr>
          <w:tab/>
        </w:r>
        <w:r w:rsidR="008A19C5">
          <w:rPr>
            <w:webHidden/>
          </w:rPr>
          <w:fldChar w:fldCharType="begin"/>
        </w:r>
        <w:r w:rsidR="008A19C5">
          <w:rPr>
            <w:webHidden/>
          </w:rPr>
          <w:instrText xml:space="preserve"> PAGEREF _Toc532556050 \h </w:instrText>
        </w:r>
        <w:r w:rsidR="008A19C5">
          <w:rPr>
            <w:webHidden/>
          </w:rPr>
        </w:r>
        <w:r w:rsidR="008A19C5">
          <w:rPr>
            <w:webHidden/>
          </w:rPr>
          <w:fldChar w:fldCharType="separate"/>
        </w:r>
        <w:r w:rsidR="008A19C5">
          <w:rPr>
            <w:webHidden/>
          </w:rPr>
          <w:t>43</w:t>
        </w:r>
        <w:r w:rsidR="008A19C5">
          <w:rPr>
            <w:webHidden/>
          </w:rPr>
          <w:fldChar w:fldCharType="end"/>
        </w:r>
      </w:hyperlink>
    </w:p>
    <w:p w14:paraId="7C452113" w14:textId="26D66D44" w:rsidR="008A19C5" w:rsidRDefault="001F2357">
      <w:pPr>
        <w:pStyle w:val="TOC1"/>
        <w:rPr>
          <w:rFonts w:eastAsiaTheme="minorEastAsia"/>
        </w:rPr>
      </w:pPr>
      <w:hyperlink w:anchor="_Toc532556051" w:history="1">
        <w:r w:rsidR="008A19C5" w:rsidRPr="00B606EB">
          <w:rPr>
            <w:rStyle w:val="Hyperlink"/>
          </w:rPr>
          <w:t>Appendix C: Instructional Inventory</w:t>
        </w:r>
        <w:r w:rsidR="008A19C5">
          <w:rPr>
            <w:webHidden/>
          </w:rPr>
          <w:tab/>
        </w:r>
        <w:r w:rsidR="008A19C5">
          <w:rPr>
            <w:webHidden/>
          </w:rPr>
          <w:fldChar w:fldCharType="begin"/>
        </w:r>
        <w:r w:rsidR="008A19C5">
          <w:rPr>
            <w:webHidden/>
          </w:rPr>
          <w:instrText xml:space="preserve"> PAGEREF _Toc532556051 \h </w:instrText>
        </w:r>
        <w:r w:rsidR="008A19C5">
          <w:rPr>
            <w:webHidden/>
          </w:rPr>
        </w:r>
        <w:r w:rsidR="008A19C5">
          <w:rPr>
            <w:webHidden/>
          </w:rPr>
          <w:fldChar w:fldCharType="separate"/>
        </w:r>
        <w:r w:rsidR="008A19C5">
          <w:rPr>
            <w:webHidden/>
          </w:rPr>
          <w:t>47</w:t>
        </w:r>
        <w:r w:rsidR="008A19C5">
          <w:rPr>
            <w:webHidden/>
          </w:rPr>
          <w:fldChar w:fldCharType="end"/>
        </w:r>
      </w:hyperlink>
    </w:p>
    <w:p w14:paraId="3A4178BE" w14:textId="0C648C03" w:rsidR="008E314D" w:rsidRDefault="00887203" w:rsidP="005153DE">
      <w:pPr>
        <w:pStyle w:val="TOC1"/>
        <w:rPr>
          <w:b/>
        </w:rPr>
      </w:pPr>
      <w:r>
        <w:fldChar w:fldCharType="end"/>
      </w:r>
      <w:r w:rsidR="008E314D" w:rsidRPr="006F45C7">
        <w:rPr>
          <w:b/>
        </w:rPr>
        <w:t>Massachusetts Department of Elementary and Secondary Education</w:t>
      </w:r>
    </w:p>
    <w:p w14:paraId="7CC1EF21"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75 Pleasant Street, Malden, MA 02148-4906</w:t>
      </w:r>
    </w:p>
    <w:p w14:paraId="36FFCA96"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Phone 781-338-3000</w:t>
      </w:r>
      <w:r>
        <w:tab/>
        <w:t>TTY: N.E.T. Replay 800-439-2370</w:t>
      </w:r>
    </w:p>
    <w:p w14:paraId="0E0BB13D" w14:textId="77777777" w:rsidR="008E314D" w:rsidRDefault="001F2357" w:rsidP="008E314D">
      <w:pPr>
        <w:tabs>
          <w:tab w:val="left" w:pos="360"/>
          <w:tab w:val="left" w:pos="720"/>
          <w:tab w:val="left" w:pos="1080"/>
          <w:tab w:val="left" w:pos="1440"/>
          <w:tab w:val="left" w:pos="1800"/>
          <w:tab w:val="left" w:pos="2160"/>
          <w:tab w:val="left" w:pos="2520"/>
          <w:tab w:val="left" w:pos="2880"/>
        </w:tabs>
        <w:spacing w:after="0" w:line="240" w:lineRule="auto"/>
        <w:ind w:right="2160"/>
      </w:pPr>
      <w:hyperlink r:id="rId12" w:history="1">
        <w:r w:rsidR="008E314D" w:rsidRPr="00F82891">
          <w:t>www.doe.mass.edu</w:t>
        </w:r>
      </w:hyperlink>
    </w:p>
    <w:p w14:paraId="719B3558" w14:textId="77777777" w:rsidR="008E314D" w:rsidRDefault="008E314D" w:rsidP="008E314D">
      <w:pPr>
        <w:tabs>
          <w:tab w:val="left" w:pos="360"/>
          <w:tab w:val="left" w:pos="720"/>
          <w:tab w:val="left" w:pos="1080"/>
          <w:tab w:val="left" w:pos="1440"/>
          <w:tab w:val="left" w:pos="1800"/>
          <w:tab w:val="left" w:pos="2160"/>
          <w:tab w:val="left" w:pos="2520"/>
          <w:tab w:val="left" w:pos="2880"/>
        </w:tabs>
      </w:pPr>
      <w:r>
        <w:br w:type="page"/>
      </w:r>
    </w:p>
    <w:p w14:paraId="6A5A560B"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pPr>
      <w:r>
        <w:rPr>
          <w:noProof/>
        </w:rPr>
        <w:lastRenderedPageBreak/>
        <w:drawing>
          <wp:inline distT="0" distB="0" distL="0" distR="0" wp14:anchorId="6F6898AC" wp14:editId="1AB5E4B0">
            <wp:extent cx="2352366" cy="1138686"/>
            <wp:effectExtent l="0" t="0" r="0" b="0"/>
            <wp:docPr id="1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56481" cy="1140678"/>
                    </a:xfrm>
                    <a:prstGeom prst="rect">
                      <a:avLst/>
                    </a:prstGeom>
                    <a:noFill/>
                    <a:ln>
                      <a:noFill/>
                    </a:ln>
                  </pic:spPr>
                </pic:pic>
              </a:graphicData>
            </a:graphic>
          </wp:inline>
        </w:drawing>
      </w:r>
    </w:p>
    <w:p w14:paraId="26A3E58D"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pPr>
      <w:r>
        <w:t xml:space="preserve">This document was prepared by the </w:t>
      </w:r>
      <w:r>
        <w:br/>
        <w:t xml:space="preserve">Massachusetts Department of </w:t>
      </w:r>
      <w:r w:rsidRPr="00440BAB">
        <w:t xml:space="preserve">Elementary and Secondary </w:t>
      </w:r>
      <w:r>
        <w:t>Education</w:t>
      </w:r>
    </w:p>
    <w:p w14:paraId="78AA07DE" w14:textId="7B4E79E6" w:rsidR="008E314D" w:rsidRDefault="00544F1C" w:rsidP="008E314D">
      <w:pPr>
        <w:tabs>
          <w:tab w:val="left" w:pos="360"/>
          <w:tab w:val="left" w:pos="720"/>
          <w:tab w:val="left" w:pos="1080"/>
          <w:tab w:val="left" w:pos="1440"/>
          <w:tab w:val="left" w:pos="1800"/>
          <w:tab w:val="left" w:pos="2160"/>
          <w:tab w:val="left" w:pos="2520"/>
          <w:tab w:val="left" w:pos="2880"/>
        </w:tabs>
        <w:spacing w:after="0" w:line="240" w:lineRule="auto"/>
        <w:jc w:val="center"/>
      </w:pPr>
      <w:r>
        <w:t>Jeff</w:t>
      </w:r>
      <w:r w:rsidR="006E3925">
        <w:t xml:space="preserve">rey C. </w:t>
      </w:r>
      <w:r>
        <w:t xml:space="preserve"> </w:t>
      </w:r>
      <w:r w:rsidR="006E3925">
        <w:t>Riley</w:t>
      </w:r>
    </w:p>
    <w:p w14:paraId="2DFCD1F3" w14:textId="497BB547" w:rsidR="008E314D" w:rsidRPr="00C217A4" w:rsidRDefault="008E314D" w:rsidP="00F76BEE">
      <w:pPr>
        <w:tabs>
          <w:tab w:val="left" w:pos="360"/>
          <w:tab w:val="left" w:pos="720"/>
          <w:tab w:val="left" w:pos="1080"/>
          <w:tab w:val="left" w:pos="1440"/>
          <w:tab w:val="left" w:pos="1800"/>
          <w:tab w:val="left" w:pos="2160"/>
          <w:tab w:val="left" w:pos="2520"/>
          <w:tab w:val="left" w:pos="2880"/>
        </w:tabs>
        <w:spacing w:after="0" w:line="240" w:lineRule="auto"/>
        <w:jc w:val="center"/>
      </w:pPr>
      <w:r w:rsidRPr="00C217A4">
        <w:t>Commissioner</w:t>
      </w:r>
    </w:p>
    <w:p w14:paraId="29E63DF6" w14:textId="2A698A8D" w:rsidR="007D0D59" w:rsidRPr="00F76BEE" w:rsidRDefault="007D0D59" w:rsidP="007D0D59">
      <w:pPr>
        <w:tabs>
          <w:tab w:val="left" w:pos="360"/>
          <w:tab w:val="left" w:pos="720"/>
          <w:tab w:val="left" w:pos="1080"/>
          <w:tab w:val="left" w:pos="1440"/>
          <w:tab w:val="left" w:pos="1800"/>
          <w:tab w:val="left" w:pos="2160"/>
          <w:tab w:val="left" w:pos="2520"/>
          <w:tab w:val="left" w:pos="2880"/>
        </w:tabs>
        <w:jc w:val="center"/>
        <w:rPr>
          <w:b/>
        </w:rPr>
      </w:pPr>
      <w:r w:rsidRPr="00F76BEE">
        <w:rPr>
          <w:b/>
        </w:rPr>
        <w:t xml:space="preserve">Published </w:t>
      </w:r>
      <w:r w:rsidR="00551683">
        <w:rPr>
          <w:b/>
        </w:rPr>
        <w:t>December</w:t>
      </w:r>
      <w:r w:rsidRPr="00F76BEE">
        <w:rPr>
          <w:b/>
        </w:rPr>
        <w:t xml:space="preserve"> 2018</w:t>
      </w:r>
    </w:p>
    <w:p w14:paraId="570F2C52" w14:textId="77777777" w:rsidR="008E314D" w:rsidRDefault="008E314D" w:rsidP="007D0D59">
      <w:pPr>
        <w:tabs>
          <w:tab w:val="left" w:pos="360"/>
          <w:tab w:val="left" w:pos="720"/>
          <w:tab w:val="left" w:pos="1080"/>
          <w:tab w:val="left" w:pos="1440"/>
          <w:tab w:val="left" w:pos="1800"/>
          <w:tab w:val="left" w:pos="2160"/>
          <w:tab w:val="left" w:pos="2520"/>
          <w:tab w:val="left" w:pos="2880"/>
        </w:tabs>
        <w:jc w:val="center"/>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We do not discriminate on the basis of age, color, disability, national origin, race, religion, sex, gender identity, or sexual orientation. Inquiries regarding the Department’s compliance with Title IX and other civil rights laws may be directed to the Human Resources Director, </w:t>
      </w:r>
      <w:r>
        <w:rPr>
          <w:snapToGrid w:val="0"/>
        </w:rPr>
        <w:t xml:space="preserve">75 Pleasant </w:t>
      </w:r>
      <w:r>
        <w:t>St., Malden, MA 02148-4906. Phone: 781-338-6105.</w:t>
      </w:r>
    </w:p>
    <w:p w14:paraId="7C2425D8" w14:textId="77777777" w:rsidR="008E314D" w:rsidRDefault="001E6BFA" w:rsidP="008E314D">
      <w:pPr>
        <w:tabs>
          <w:tab w:val="left" w:pos="360"/>
          <w:tab w:val="left" w:pos="720"/>
          <w:tab w:val="left" w:pos="1080"/>
          <w:tab w:val="left" w:pos="1440"/>
          <w:tab w:val="left" w:pos="1800"/>
          <w:tab w:val="left" w:pos="2160"/>
          <w:tab w:val="left" w:pos="2520"/>
          <w:tab w:val="left" w:pos="2880"/>
        </w:tabs>
        <w:jc w:val="center"/>
      </w:pPr>
      <w:r>
        <w:t xml:space="preserve">© </w:t>
      </w:r>
      <w:r w:rsidR="00E57A74">
        <w:t>2018</w:t>
      </w:r>
      <w:r w:rsidR="00544F1C">
        <w:t xml:space="preserve"> </w:t>
      </w:r>
      <w:r w:rsidR="008E314D">
        <w:t xml:space="preserve">Massachusetts Department of </w:t>
      </w:r>
      <w:r w:rsidR="008E314D" w:rsidRPr="00440BAB">
        <w:t xml:space="preserve">Elementary and Secondary </w:t>
      </w:r>
      <w:r w:rsidR="008E314D">
        <w:t>Education</w:t>
      </w:r>
    </w:p>
    <w:p w14:paraId="11CCCA6E"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rPr>
          <w:i/>
        </w:rPr>
      </w:pPr>
      <w:r w:rsidRPr="006F45C7">
        <w:rPr>
          <w:i/>
        </w:rPr>
        <w:t>Permission is hereby granted to copy any or all parts of this document for non-commercial educational purposes. Please credit the “Massachusetts Department of Elementary and Secondary Education.”</w:t>
      </w:r>
    </w:p>
    <w:p w14:paraId="787E9448"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pPr>
      <w:r>
        <w:t>This document printed on recycled paper</w:t>
      </w:r>
    </w:p>
    <w:p w14:paraId="2B0B8272"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14:paraId="739825A7"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14:paraId="2EE97A7F"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14:paraId="4E0D134E"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841539">
        <w:t xml:space="preserve">Massachusetts Department of </w:t>
      </w:r>
      <w:r w:rsidRPr="00440BAB">
        <w:t xml:space="preserve">Elementary and Secondary </w:t>
      </w:r>
      <w:r w:rsidRPr="00841539">
        <w:t>Education</w:t>
      </w:r>
    </w:p>
    <w:p w14:paraId="66AA87E0"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Pr>
          <w:snapToGrid w:val="0"/>
        </w:rPr>
        <w:t xml:space="preserve">75 Pleasant </w:t>
      </w:r>
      <w:r>
        <w:t>Street, Malden, MA 02148-4906</w:t>
      </w:r>
    </w:p>
    <w:p w14:paraId="372B95D6"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t>Phone 781-338-3000</w:t>
      </w:r>
      <w:r>
        <w:tab/>
      </w:r>
      <w:r w:rsidRPr="0020780F">
        <w:t>TTY: N.E.T. Relay 800-439-2370</w:t>
      </w:r>
    </w:p>
    <w:p w14:paraId="1E1FF714" w14:textId="77777777" w:rsidR="008E314D" w:rsidRDefault="001F2357" w:rsidP="008E314D">
      <w:pPr>
        <w:tabs>
          <w:tab w:val="left" w:pos="360"/>
          <w:tab w:val="left" w:pos="720"/>
          <w:tab w:val="left" w:pos="1080"/>
          <w:tab w:val="left" w:pos="1440"/>
          <w:tab w:val="left" w:pos="1800"/>
          <w:tab w:val="left" w:pos="2160"/>
          <w:tab w:val="left" w:pos="2520"/>
          <w:tab w:val="left" w:pos="2880"/>
        </w:tabs>
        <w:spacing w:after="0" w:line="240" w:lineRule="auto"/>
        <w:jc w:val="center"/>
      </w:pPr>
      <w:hyperlink r:id="rId14" w:history="1">
        <w:r w:rsidR="008E314D" w:rsidRPr="00A70B44">
          <w:rPr>
            <w:rStyle w:val="Hyperlink"/>
          </w:rPr>
          <w:t>www.doe.mass.edu</w:t>
        </w:r>
      </w:hyperlink>
    </w:p>
    <w:p w14:paraId="4B5686EB"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14:paraId="5182B83E" w14:textId="77777777" w:rsidR="008E314D" w:rsidRDefault="008E314D" w:rsidP="008E314D">
      <w:pPr>
        <w:tabs>
          <w:tab w:val="left" w:pos="360"/>
          <w:tab w:val="left" w:pos="720"/>
          <w:tab w:val="left" w:pos="1080"/>
          <w:tab w:val="left" w:pos="1440"/>
          <w:tab w:val="left" w:pos="1800"/>
          <w:tab w:val="left" w:pos="2160"/>
          <w:tab w:val="left" w:pos="2520"/>
          <w:tab w:val="left" w:pos="2880"/>
        </w:tabs>
      </w:pPr>
    </w:p>
    <w:p w14:paraId="1EE2F852"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sectPr w:rsidR="008E314D" w:rsidSect="00350132">
          <w:headerReference w:type="even" r:id="rId15"/>
          <w:headerReference w:type="default" r:id="rId16"/>
          <w:footerReference w:type="even" r:id="rId17"/>
          <w:footerReference w:type="default" r:id="rId18"/>
          <w:headerReference w:type="first" r:id="rId19"/>
          <w:footerReference w:type="first" r:id="rId20"/>
          <w:endnotePr>
            <w:numFmt w:val="decimal"/>
          </w:endnotePr>
          <w:pgSz w:w="12240" w:h="15840"/>
          <w:pgMar w:top="1440" w:right="1440" w:bottom="1440" w:left="1440" w:header="1440" w:footer="720" w:gutter="0"/>
          <w:pgNumType w:start="1"/>
          <w:cols w:space="720"/>
          <w:noEndnote/>
          <w:titlePg/>
          <w:docGrid w:linePitch="326"/>
        </w:sectPr>
      </w:pPr>
      <w:r>
        <w:rPr>
          <w:noProof/>
        </w:rPr>
        <w:drawing>
          <wp:inline distT="0" distB="0" distL="0" distR="0" wp14:anchorId="4F13047C" wp14:editId="279FED01">
            <wp:extent cx="1026795" cy="1017905"/>
            <wp:effectExtent l="0" t="0" r="0" b="0"/>
            <wp:docPr id="14" name="Picture 1"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26795" cy="1017905"/>
                    </a:xfrm>
                    <a:prstGeom prst="rect">
                      <a:avLst/>
                    </a:prstGeom>
                    <a:noFill/>
                    <a:ln>
                      <a:noFill/>
                    </a:ln>
                  </pic:spPr>
                </pic:pic>
              </a:graphicData>
            </a:graphic>
          </wp:inline>
        </w:drawing>
      </w:r>
    </w:p>
    <w:p w14:paraId="045D1472" w14:textId="77777777" w:rsidR="007C01ED" w:rsidRPr="007C01ED" w:rsidRDefault="007C01ED" w:rsidP="008E314D">
      <w:pPr>
        <w:pStyle w:val="Section"/>
        <w:tabs>
          <w:tab w:val="left" w:pos="360"/>
          <w:tab w:val="left" w:pos="720"/>
          <w:tab w:val="left" w:pos="1080"/>
          <w:tab w:val="left" w:pos="1440"/>
          <w:tab w:val="left" w:pos="1800"/>
          <w:tab w:val="left" w:pos="2160"/>
          <w:tab w:val="left" w:pos="2520"/>
          <w:tab w:val="left" w:pos="2880"/>
        </w:tabs>
        <w:outlineLvl w:val="0"/>
      </w:pPr>
      <w:bookmarkStart w:id="0" w:name="_Toc532556044"/>
      <w:bookmarkStart w:id="1" w:name="_Toc350870260"/>
      <w:r w:rsidRPr="007C01ED">
        <w:lastRenderedPageBreak/>
        <w:t>Executive Summary</w:t>
      </w:r>
      <w:bookmarkEnd w:id="0"/>
    </w:p>
    <w:p w14:paraId="6B9F7A26" w14:textId="370152A4" w:rsidR="009B52CF" w:rsidRDefault="002044E5" w:rsidP="009B52CF">
      <w:r>
        <w:t xml:space="preserve">Wakefield has a well-developed district and </w:t>
      </w:r>
      <w:r w:rsidR="00854FC7">
        <w:t>school</w:t>
      </w:r>
      <w:r>
        <w:t xml:space="preserve">-based leadership structure guided by a common vision and mission. A yearly action plan, a component of the </w:t>
      </w:r>
      <w:r w:rsidR="00854FC7">
        <w:t xml:space="preserve">district’s </w:t>
      </w:r>
      <w:r w:rsidR="005A4DAC">
        <w:t xml:space="preserve">planning document, which is called the </w:t>
      </w:r>
      <w:r>
        <w:t>2017</w:t>
      </w:r>
      <w:r w:rsidR="00854FC7">
        <w:t>–</w:t>
      </w:r>
      <w:r>
        <w:t xml:space="preserve">2020 Instructional Strategy, guides all the district’s activities, including budget decision-making. The plan is focused on three objectives each year:  improving the quality of teaching, ensuring a rigorous curriculum, and individualizing student learning.  At the time of the </w:t>
      </w:r>
      <w:r w:rsidR="00854FC7">
        <w:t xml:space="preserve">onsite </w:t>
      </w:r>
      <w:r>
        <w:t>review</w:t>
      </w:r>
      <w:r w:rsidR="00854FC7">
        <w:t xml:space="preserve"> in March 2018</w:t>
      </w:r>
      <w:r>
        <w:t>, the</w:t>
      </w:r>
      <w:r w:rsidR="00854FC7">
        <w:t xml:space="preserve"> plan included </w:t>
      </w:r>
      <w:r>
        <w:t>nine initiatives related to these objectives</w:t>
      </w:r>
      <w:r w:rsidR="00854FC7">
        <w:t>,</w:t>
      </w:r>
      <w:r>
        <w:t xml:space="preserve"> including</w:t>
      </w:r>
      <w:r w:rsidR="00854FC7">
        <w:t>:</w:t>
      </w:r>
      <w:r>
        <w:t xml:space="preserve"> providing meaningful feedback and job-embedded opportunities for professional growth</w:t>
      </w:r>
      <w:r w:rsidR="00854FC7">
        <w:t xml:space="preserve">; </w:t>
      </w:r>
      <w:r>
        <w:t>implementation of standards-aligned curriculum and assessments in ELA, math, and science</w:t>
      </w:r>
      <w:r w:rsidR="00854FC7">
        <w:t xml:space="preserve">; </w:t>
      </w:r>
      <w:r>
        <w:t xml:space="preserve">implementing </w:t>
      </w:r>
      <w:r w:rsidR="00854FC7">
        <w:t>social-</w:t>
      </w:r>
      <w:r>
        <w:t>emotional and health learning strategies</w:t>
      </w:r>
      <w:r w:rsidR="00854FC7">
        <w:t>;</w:t>
      </w:r>
      <w:r>
        <w:t xml:space="preserve"> and developing effective inclusive practices.  District leaders recognized that progress in each of the initiatives </w:t>
      </w:r>
      <w:r w:rsidR="00854FC7">
        <w:t xml:space="preserve">was </w:t>
      </w:r>
      <w:r>
        <w:t>being made in varying degrees</w:t>
      </w:r>
      <w:r w:rsidR="00854FC7">
        <w:t>;</w:t>
      </w:r>
      <w:r>
        <w:t xml:space="preserve"> however, the district</w:t>
      </w:r>
      <w:r w:rsidR="005A4DAC">
        <w:t>’s planning documents</w:t>
      </w:r>
      <w:r>
        <w:t xml:space="preserve"> </w:t>
      </w:r>
      <w:r w:rsidR="00854FC7">
        <w:t xml:space="preserve">did not </w:t>
      </w:r>
      <w:r w:rsidR="009A6C11">
        <w:t xml:space="preserve">have </w:t>
      </w:r>
      <w:r>
        <w:t xml:space="preserve">measures by which it could </w:t>
      </w:r>
      <w:r w:rsidR="005059D3">
        <w:t xml:space="preserve">monitor </w:t>
      </w:r>
      <w:r>
        <w:t>its progress.</w:t>
      </w:r>
      <w:r w:rsidR="009B52CF">
        <w:t xml:space="preserve"> The superintendent reported that the District Instructional Leadership Team tracked action steps in the district’s planning documents.</w:t>
      </w:r>
    </w:p>
    <w:p w14:paraId="226B8C63" w14:textId="5A344598" w:rsidR="002044E5" w:rsidRDefault="002044E5" w:rsidP="002044E5">
      <w:r>
        <w:t>The district</w:t>
      </w:r>
      <w:r w:rsidR="00854FC7">
        <w:t>’s</w:t>
      </w:r>
      <w:r>
        <w:t xml:space="preserve"> K</w:t>
      </w:r>
      <w:r w:rsidR="00854FC7">
        <w:t>–</w:t>
      </w:r>
      <w:r>
        <w:t xml:space="preserve">12 instructional leadership team oversees all curricular and instructional practices. Members on the team include districtwide curriculum coordinators, helping to ensure vertical and horizontal alignment </w:t>
      </w:r>
      <w:r w:rsidR="005059D3">
        <w:t xml:space="preserve">of curricula </w:t>
      </w:r>
      <w:r>
        <w:t xml:space="preserve">as well as alignment </w:t>
      </w:r>
      <w:r w:rsidR="005059D3">
        <w:t xml:space="preserve">of curricula </w:t>
      </w:r>
      <w:r w:rsidR="009A6C11">
        <w:t xml:space="preserve">with </w:t>
      </w:r>
      <w:r>
        <w:t xml:space="preserve">state standards. </w:t>
      </w:r>
    </w:p>
    <w:p w14:paraId="6E5DADE6" w14:textId="1AC41CC3" w:rsidR="002044E5" w:rsidRDefault="00231B83" w:rsidP="002044E5">
      <w:r>
        <w:t xml:space="preserve">The </w:t>
      </w:r>
      <w:r w:rsidR="005A4DAC">
        <w:t>2017–2020</w:t>
      </w:r>
      <w:r w:rsidR="009A6C11">
        <w:t xml:space="preserve"> Instructional Strategy </w:t>
      </w:r>
      <w:r>
        <w:t>presents</w:t>
      </w:r>
      <w:r w:rsidR="002044E5">
        <w:t xml:space="preserve"> a clear </w:t>
      </w:r>
      <w:r>
        <w:t xml:space="preserve">path </w:t>
      </w:r>
      <w:r w:rsidR="002044E5">
        <w:t xml:space="preserve">for high-quality teaching and learning </w:t>
      </w:r>
      <w:r>
        <w:t>and</w:t>
      </w:r>
      <w:r w:rsidR="009A6C11">
        <w:t xml:space="preserve"> </w:t>
      </w:r>
      <w:r w:rsidR="002044E5">
        <w:t xml:space="preserve">is well aligned </w:t>
      </w:r>
      <w:r w:rsidR="009A6C11">
        <w:t xml:space="preserve">with </w:t>
      </w:r>
      <w:r w:rsidR="002044E5">
        <w:t>the district’s professional development plan. Professional Learning Committees</w:t>
      </w:r>
      <w:r w:rsidR="009A6C11">
        <w:t>, which</w:t>
      </w:r>
      <w:r w:rsidR="002044E5">
        <w:t xml:space="preserve"> were developed in collaboration with teachers</w:t>
      </w:r>
      <w:r w:rsidR="009A6C11">
        <w:t>,</w:t>
      </w:r>
      <w:r w:rsidR="002044E5">
        <w:t xml:space="preserve"> meet at least once each six-day cycle K</w:t>
      </w:r>
      <w:r w:rsidR="009A6C11">
        <w:t>–</w:t>
      </w:r>
      <w:r w:rsidR="002044E5">
        <w:t xml:space="preserve">12. </w:t>
      </w:r>
    </w:p>
    <w:p w14:paraId="65EE471F" w14:textId="203A65E4" w:rsidR="002044E5" w:rsidRDefault="002044E5" w:rsidP="002044E5">
      <w:r>
        <w:t>While the district has several assessment tools</w:t>
      </w:r>
      <w:r w:rsidR="009A6C11">
        <w:t>,</w:t>
      </w:r>
      <w:r>
        <w:t xml:space="preserve"> the analysis of data takes place mainly at the </w:t>
      </w:r>
      <w:r w:rsidR="009A6C11">
        <w:t xml:space="preserve">school </w:t>
      </w:r>
      <w:r>
        <w:t>level through data teams. The district has not developed a</w:t>
      </w:r>
      <w:r w:rsidR="009A6C11">
        <w:t>n</w:t>
      </w:r>
      <w:r>
        <w:t xml:space="preserve"> </w:t>
      </w:r>
      <w:r w:rsidR="009A6C11">
        <w:t xml:space="preserve">effective </w:t>
      </w:r>
      <w:r>
        <w:t xml:space="preserve">practice for </w:t>
      </w:r>
      <w:r w:rsidR="009A6C11">
        <w:t>collecting</w:t>
      </w:r>
      <w:r w:rsidR="0084488C">
        <w:t>, analyzing</w:t>
      </w:r>
      <w:r w:rsidR="009A6C11">
        <w:t xml:space="preserve"> </w:t>
      </w:r>
      <w:r>
        <w:t xml:space="preserve">and </w:t>
      </w:r>
      <w:r w:rsidR="009A6C11">
        <w:t xml:space="preserve">disseminating </w:t>
      </w:r>
      <w:r>
        <w:t xml:space="preserve">data to effectively and efficiently guide district leaders in decision-making. </w:t>
      </w:r>
    </w:p>
    <w:p w14:paraId="076B01B7" w14:textId="202D9447" w:rsidR="0015172C" w:rsidRPr="00EA40F3" w:rsidRDefault="002044E5" w:rsidP="0015172C">
      <w:pPr>
        <w:spacing w:after="120"/>
      </w:pPr>
      <w:r>
        <w:t xml:space="preserve">The district has developed structures that help to ensure that all students who need academic support are able to access </w:t>
      </w:r>
      <w:r w:rsidR="00231B83">
        <w:t xml:space="preserve">it </w:t>
      </w:r>
      <w:r>
        <w:t xml:space="preserve">during the school day. </w:t>
      </w:r>
      <w:r w:rsidR="00231B83">
        <w:t xml:space="preserve">The district </w:t>
      </w:r>
      <w:r>
        <w:t xml:space="preserve">has also strengthened its inclusion model to increase the number of students who are able to learn with their peers.  The district provides supports for </w:t>
      </w:r>
      <w:r w:rsidR="00231B83">
        <w:t>social-</w:t>
      </w:r>
      <w:r>
        <w:t>emotional health and learning</w:t>
      </w:r>
      <w:r w:rsidR="0015172C">
        <w:t>.</w:t>
      </w:r>
      <w:r>
        <w:t xml:space="preserve"> </w:t>
      </w:r>
      <w:r w:rsidR="0015172C">
        <w:t xml:space="preserve">The district </w:t>
      </w:r>
      <w:r>
        <w:t>has low rates of suspension</w:t>
      </w:r>
      <w:r w:rsidR="009E3399">
        <w:t xml:space="preserve"> and </w:t>
      </w:r>
      <w:r>
        <w:t xml:space="preserve">dropout when compared with state </w:t>
      </w:r>
      <w:r w:rsidR="0015172C">
        <w:t>averages</w:t>
      </w:r>
      <w:r>
        <w:t>.</w:t>
      </w:r>
      <w:r w:rsidR="0015172C">
        <w:t xml:space="preserve"> According to ESE data, in 20</w:t>
      </w:r>
      <w:r w:rsidR="0015172C" w:rsidRPr="00EA40F3">
        <w:t>16</w:t>
      </w:r>
      <w:r w:rsidR="0015172C">
        <w:t>–20</w:t>
      </w:r>
      <w:r w:rsidR="0015172C" w:rsidRPr="00EA40F3">
        <w:t xml:space="preserve">17, the </w:t>
      </w:r>
      <w:r w:rsidR="0015172C">
        <w:t xml:space="preserve">district’s </w:t>
      </w:r>
      <w:r w:rsidR="0015172C" w:rsidRPr="00EA40F3">
        <w:t>out</w:t>
      </w:r>
      <w:r w:rsidR="0015172C">
        <w:t>-</w:t>
      </w:r>
      <w:r w:rsidR="0015172C" w:rsidRPr="00EA40F3">
        <w:t>of</w:t>
      </w:r>
      <w:r w:rsidR="0015172C">
        <w:t>-</w:t>
      </w:r>
      <w:r w:rsidR="0015172C" w:rsidRPr="00EA40F3">
        <w:t>school suspension rate was 2.0 per</w:t>
      </w:r>
      <w:r w:rsidR="0015172C">
        <w:t>cent, compared with the state rate of 2.8 percent</w:t>
      </w:r>
      <w:r w:rsidR="0015172C" w:rsidRPr="00EA40F3">
        <w:t>. The</w:t>
      </w:r>
      <w:r w:rsidR="0015172C">
        <w:t xml:space="preserve"> district’s 2017 dropout rate was 0.2 percent compared with the state rate of 1.8 percent.</w:t>
      </w:r>
    </w:p>
    <w:p w14:paraId="328C8F46" w14:textId="5EF62BE6" w:rsidR="002044E5" w:rsidRDefault="002044E5" w:rsidP="002044E5">
      <w:pPr>
        <w:rPr>
          <w:rFonts w:cstheme="minorHAnsi"/>
          <w:b/>
          <w:sz w:val="28"/>
          <w:szCs w:val="28"/>
        </w:rPr>
      </w:pPr>
    </w:p>
    <w:p w14:paraId="19B1AF8A" w14:textId="0A59CFFB" w:rsidR="00B431BB" w:rsidRPr="00B431BB" w:rsidRDefault="00B431BB" w:rsidP="00B431BB">
      <w:pPr>
        <w:rPr>
          <w:rFonts w:cstheme="minorHAnsi"/>
          <w:b/>
          <w:sz w:val="28"/>
          <w:szCs w:val="28"/>
        </w:rPr>
      </w:pPr>
      <w:r w:rsidRPr="00B431BB">
        <w:rPr>
          <w:rFonts w:cstheme="minorHAnsi"/>
          <w:b/>
          <w:sz w:val="28"/>
          <w:szCs w:val="28"/>
        </w:rPr>
        <w:t>Instruction</w:t>
      </w:r>
    </w:p>
    <w:p w14:paraId="50A7F91B" w14:textId="5AB4D81E" w:rsidR="00B431BB" w:rsidRDefault="00B431BB" w:rsidP="00B431BB">
      <w:pPr>
        <w:pStyle w:val="ListParagraph"/>
        <w:tabs>
          <w:tab w:val="left" w:pos="360"/>
          <w:tab w:val="left" w:pos="720"/>
          <w:tab w:val="left" w:pos="1080"/>
          <w:tab w:val="left" w:pos="1440"/>
          <w:tab w:val="left" w:pos="1800"/>
        </w:tabs>
        <w:ind w:left="0"/>
        <w:contextualSpacing w:val="0"/>
      </w:pPr>
      <w:r w:rsidRPr="001650C3">
        <w:t>The team observed 70 classes throughout the dis</w:t>
      </w:r>
      <w:r>
        <w:t>trict:  26 at the high school, 23</w:t>
      </w:r>
      <w:r w:rsidRPr="001650C3">
        <w:t xml:space="preserve"> at the middle school, and </w:t>
      </w:r>
      <w:r w:rsidR="004B571F">
        <w:t xml:space="preserve">21 at the 4 </w:t>
      </w:r>
      <w:r>
        <w:t>elementary schools</w:t>
      </w:r>
      <w:r w:rsidRPr="001650C3">
        <w:t xml:space="preserve">. The team observed 30 ELA classes, 23 mathematics classes, and 17 classes in other subject areas. Among the classes observed were 15 co-taught classes. The observations were approximately 20 minutes in length. All review team members collected data using ESE’s </w:t>
      </w:r>
      <w:r w:rsidRPr="001650C3">
        <w:lastRenderedPageBreak/>
        <w:t>Instructional Inventory, a tool for recording observed characteristics of standards-based teaching. This data is presented in Appendix C.</w:t>
      </w:r>
    </w:p>
    <w:p w14:paraId="5C5DE170" w14:textId="77777777" w:rsidR="00381E23" w:rsidRDefault="00381E23" w:rsidP="00381E23">
      <w:r w:rsidRPr="00551683">
        <w:t>In observed classrooms throughout the district the quality of instruction was inconsistent. Instruction at the elementary level was generally stronger than at the middle- and high- school levels. At all levels, the classroom climate was conducive to teaching and learning.</w:t>
      </w:r>
    </w:p>
    <w:p w14:paraId="189E758F" w14:textId="77777777" w:rsidR="00381E23" w:rsidRDefault="00381E23" w:rsidP="00381E23"/>
    <w:p w14:paraId="6B12169E" w14:textId="77777777" w:rsidR="007C01ED" w:rsidRPr="007C01ED" w:rsidRDefault="007C01ED" w:rsidP="007C01ED">
      <w:pPr>
        <w:rPr>
          <w:b/>
          <w:sz w:val="28"/>
        </w:rPr>
      </w:pPr>
      <w:r w:rsidRPr="007C01ED">
        <w:rPr>
          <w:b/>
          <w:sz w:val="28"/>
        </w:rPr>
        <w:t>Strengths</w:t>
      </w:r>
    </w:p>
    <w:p w14:paraId="15E18B21" w14:textId="77777777" w:rsidR="006F118B" w:rsidRPr="009D448E" w:rsidRDefault="006F118B" w:rsidP="00FC58CB">
      <w:pPr>
        <w:pStyle w:val="ListParagraph"/>
        <w:numPr>
          <w:ilvl w:val="0"/>
          <w:numId w:val="28"/>
        </w:numPr>
        <w:tabs>
          <w:tab w:val="left" w:pos="360"/>
          <w:tab w:val="left" w:pos="720"/>
          <w:tab w:val="left" w:pos="1080"/>
          <w:tab w:val="left" w:pos="1440"/>
          <w:tab w:val="left" w:pos="1800"/>
          <w:tab w:val="left" w:pos="2160"/>
        </w:tabs>
        <w:ind w:left="360"/>
        <w:contextualSpacing w:val="0"/>
        <w:rPr>
          <w:i/>
        </w:rPr>
      </w:pPr>
      <w:r w:rsidRPr="009D448E">
        <w:t xml:space="preserve">The district has established structures that support vertical and horizontal curricular alignment and has developed a long-range curriculum revision and materials adoption process.   </w:t>
      </w:r>
    </w:p>
    <w:p w14:paraId="1673B2C6" w14:textId="5476B3F1" w:rsidR="008825DB" w:rsidRPr="009D448E" w:rsidRDefault="008825DB" w:rsidP="00FC58CB">
      <w:pPr>
        <w:pStyle w:val="ListParagraph"/>
        <w:numPr>
          <w:ilvl w:val="0"/>
          <w:numId w:val="28"/>
        </w:numPr>
        <w:tabs>
          <w:tab w:val="left" w:pos="360"/>
          <w:tab w:val="left" w:pos="720"/>
          <w:tab w:val="left" w:pos="1080"/>
          <w:tab w:val="left" w:pos="1440"/>
          <w:tab w:val="left" w:pos="1800"/>
          <w:tab w:val="left" w:pos="2160"/>
        </w:tabs>
        <w:ind w:left="360"/>
        <w:contextualSpacing w:val="0"/>
        <w:rPr>
          <w:i/>
        </w:rPr>
      </w:pPr>
      <w:r w:rsidRPr="009D448E">
        <w:t xml:space="preserve">The district has developed and articulated a strategic plan for high-quality teaching and learning known as the Instructional Strategy 2017–2020. It is supported by a well-aligned professional development plan.  </w:t>
      </w:r>
    </w:p>
    <w:p w14:paraId="3E0EEAB2" w14:textId="2FC09851" w:rsidR="007C01ED" w:rsidRPr="009D448E" w:rsidRDefault="00C41C4A" w:rsidP="00FC58CB">
      <w:pPr>
        <w:pStyle w:val="ListParagraph"/>
        <w:numPr>
          <w:ilvl w:val="0"/>
          <w:numId w:val="28"/>
        </w:numPr>
        <w:ind w:left="360"/>
        <w:contextualSpacing w:val="0"/>
      </w:pPr>
      <w:r w:rsidRPr="009D448E">
        <w:t>In observed classrooms, routines and supports were in place to ensure appropriate student behavior and classroom climate was conducive to teaching and learning.</w:t>
      </w:r>
    </w:p>
    <w:p w14:paraId="0AA036FE" w14:textId="20160511" w:rsidR="00A16C2B" w:rsidRPr="009D448E" w:rsidRDefault="00A16C2B" w:rsidP="00FC58CB">
      <w:pPr>
        <w:pStyle w:val="ListParagraph"/>
        <w:numPr>
          <w:ilvl w:val="0"/>
          <w:numId w:val="28"/>
        </w:numPr>
        <w:ind w:left="360"/>
        <w:contextualSpacing w:val="0"/>
      </w:pPr>
      <w:r w:rsidRPr="009D448E">
        <w:rPr>
          <w:rFonts w:cstheme="minorHAnsi"/>
        </w:rPr>
        <w:t>The district has two embedded structures, school PLCs and school data teams, for analyzing student achievement data, benchmark data, and other pertinent data to improve student achievement.</w:t>
      </w:r>
    </w:p>
    <w:p w14:paraId="07CD2F9A" w14:textId="0E76D676" w:rsidR="00457255" w:rsidRPr="009D448E" w:rsidRDefault="00457255" w:rsidP="00FC58CB">
      <w:pPr>
        <w:pStyle w:val="ListParagraph"/>
        <w:numPr>
          <w:ilvl w:val="0"/>
          <w:numId w:val="28"/>
        </w:numPr>
        <w:ind w:left="360"/>
        <w:contextualSpacing w:val="0"/>
      </w:pPr>
      <w:r w:rsidRPr="009D448E">
        <w:t>The district has moved to an inclusion model for students with special needs, whether academic, social-emotional or behavioral. This has increased the number of students participating in general education classes and reduced the number of students receiving pullout instruction or in substantially separate classes.</w:t>
      </w:r>
    </w:p>
    <w:p w14:paraId="389FA5C8" w14:textId="77777777" w:rsidR="009D448E" w:rsidRPr="009D448E" w:rsidRDefault="009D448E" w:rsidP="00FC58CB">
      <w:pPr>
        <w:pStyle w:val="ListParagraph"/>
        <w:numPr>
          <w:ilvl w:val="0"/>
          <w:numId w:val="28"/>
        </w:numPr>
        <w:tabs>
          <w:tab w:val="left" w:pos="360"/>
          <w:tab w:val="left" w:pos="1080"/>
          <w:tab w:val="left" w:pos="1440"/>
          <w:tab w:val="left" w:pos="1800"/>
          <w:tab w:val="left" w:pos="2160"/>
        </w:tabs>
        <w:ind w:left="360"/>
        <w:contextualSpacing w:val="0"/>
      </w:pPr>
      <w:r w:rsidRPr="009D448E">
        <w:t>The district has focused on the social-emotional health of its students through its planning process and through the development of programs and staffing priorities.</w:t>
      </w:r>
    </w:p>
    <w:p w14:paraId="000E1DF3" w14:textId="77777777" w:rsidR="009D448E" w:rsidRPr="009D448E" w:rsidRDefault="009D448E" w:rsidP="000F751C">
      <w:pPr>
        <w:ind w:left="360" w:hanging="360"/>
      </w:pPr>
    </w:p>
    <w:p w14:paraId="5D4E89ED" w14:textId="3027E4E9" w:rsidR="007C01ED" w:rsidRDefault="00602AE2" w:rsidP="007C01ED">
      <w:pPr>
        <w:rPr>
          <w:b/>
          <w:sz w:val="28"/>
        </w:rPr>
      </w:pPr>
      <w:r>
        <w:rPr>
          <w:b/>
          <w:sz w:val="28"/>
        </w:rPr>
        <w:t>Challenges and Areas for</w:t>
      </w:r>
      <w:r w:rsidR="007C01ED" w:rsidRPr="007C01ED">
        <w:rPr>
          <w:b/>
          <w:sz w:val="28"/>
        </w:rPr>
        <w:t xml:space="preserve"> Growth</w:t>
      </w:r>
    </w:p>
    <w:p w14:paraId="3ABE5569" w14:textId="221932D5" w:rsidR="00A37F19" w:rsidRPr="00437778" w:rsidRDefault="00381E23" w:rsidP="00FC58CB">
      <w:pPr>
        <w:pStyle w:val="ListParagraph"/>
        <w:numPr>
          <w:ilvl w:val="0"/>
          <w:numId w:val="29"/>
        </w:numPr>
        <w:ind w:left="360"/>
        <w:contextualSpacing w:val="0"/>
        <w:rPr>
          <w:sz w:val="28"/>
        </w:rPr>
      </w:pPr>
      <w:r>
        <w:t>I</w:t>
      </w:r>
      <w:r w:rsidR="00ED116C" w:rsidRPr="00ED116C">
        <w:t>n observed classrooms districtwide</w:t>
      </w:r>
      <w:r>
        <w:t>,</w:t>
      </w:r>
      <w:r w:rsidR="00ED116C" w:rsidRPr="00ED116C">
        <w:t xml:space="preserve"> the review team found that </w:t>
      </w:r>
      <w:r w:rsidR="000C2156">
        <w:t xml:space="preserve">teachers did not consistently </w:t>
      </w:r>
      <w:r>
        <w:t>set learning expectations and check for understanding</w:t>
      </w:r>
      <w:r w:rsidR="00ED116C" w:rsidRPr="00ED116C">
        <w:t>.</w:t>
      </w:r>
    </w:p>
    <w:p w14:paraId="6C02F89D" w14:textId="3BBFE973" w:rsidR="00437778" w:rsidRPr="00D86D28" w:rsidRDefault="00381E23" w:rsidP="00FC58CB">
      <w:pPr>
        <w:pStyle w:val="ListParagraph"/>
        <w:numPr>
          <w:ilvl w:val="0"/>
          <w:numId w:val="29"/>
        </w:numPr>
        <w:ind w:left="360"/>
        <w:contextualSpacing w:val="0"/>
        <w:rPr>
          <w:sz w:val="28"/>
        </w:rPr>
      </w:pPr>
      <w:r>
        <w:t>I</w:t>
      </w:r>
      <w:r w:rsidR="00437778" w:rsidRPr="00437778">
        <w:t>n observed classrooms</w:t>
      </w:r>
      <w:r w:rsidR="00A1793D">
        <w:t>,</w:t>
      </w:r>
      <w:r w:rsidR="00437778" w:rsidRPr="00437778">
        <w:t xml:space="preserve"> the review team noted a higher incidence of students assuming responsibility for their learning and being engaged in the lesson at the elementary level than at the middle- and high-school levels. </w:t>
      </w:r>
    </w:p>
    <w:p w14:paraId="02B75FF4" w14:textId="4C6BB2F9" w:rsidR="00D86D28" w:rsidRPr="002835DE" w:rsidRDefault="00381E23" w:rsidP="00FC58CB">
      <w:pPr>
        <w:pStyle w:val="ListParagraph"/>
        <w:numPr>
          <w:ilvl w:val="0"/>
          <w:numId w:val="29"/>
        </w:numPr>
        <w:ind w:left="360"/>
        <w:contextualSpacing w:val="0"/>
        <w:rPr>
          <w:sz w:val="28"/>
        </w:rPr>
      </w:pPr>
      <w:r>
        <w:t>I</w:t>
      </w:r>
      <w:r w:rsidR="00D86D28" w:rsidRPr="00D86D28">
        <w:t>n observed classrooms districtwide</w:t>
      </w:r>
      <w:r>
        <w:t>,</w:t>
      </w:r>
      <w:r w:rsidR="00D86D28" w:rsidRPr="00D86D28">
        <w:t xml:space="preserve"> inclusive practices were not firmly established</w:t>
      </w:r>
      <w:r w:rsidR="002835DE">
        <w:t>.</w:t>
      </w:r>
    </w:p>
    <w:p w14:paraId="48A05AAB" w14:textId="29B85087" w:rsidR="002835DE" w:rsidRDefault="002835DE" w:rsidP="00FC58CB">
      <w:pPr>
        <w:pStyle w:val="ListParagraph"/>
        <w:numPr>
          <w:ilvl w:val="0"/>
          <w:numId w:val="29"/>
        </w:numPr>
        <w:tabs>
          <w:tab w:val="left" w:pos="360"/>
          <w:tab w:val="left" w:pos="720"/>
          <w:tab w:val="left" w:pos="1080"/>
          <w:tab w:val="left" w:pos="1440"/>
          <w:tab w:val="left" w:pos="1800"/>
        </w:tabs>
        <w:ind w:left="360"/>
        <w:contextualSpacing w:val="0"/>
      </w:pPr>
      <w:r w:rsidRPr="002835DE">
        <w:lastRenderedPageBreak/>
        <w:t>The district is in the early stages of developing a systemwide approach to analyzing data to inform instruction and to assess program effectiveness. The district does not have a K–12 tool to organize data and generate reports.</w:t>
      </w:r>
    </w:p>
    <w:p w14:paraId="1EF61DFE" w14:textId="2A72C126" w:rsidR="00C86C9D" w:rsidRPr="002835DE" w:rsidRDefault="00C86C9D" w:rsidP="00FC58CB">
      <w:pPr>
        <w:pStyle w:val="ListParagraph"/>
        <w:numPr>
          <w:ilvl w:val="0"/>
          <w:numId w:val="29"/>
        </w:numPr>
        <w:tabs>
          <w:tab w:val="left" w:pos="360"/>
          <w:tab w:val="left" w:pos="720"/>
          <w:tab w:val="left" w:pos="1080"/>
          <w:tab w:val="left" w:pos="1440"/>
          <w:tab w:val="left" w:pos="1800"/>
        </w:tabs>
        <w:ind w:left="360"/>
        <w:contextualSpacing w:val="0"/>
      </w:pPr>
      <w:r>
        <w:t>The district has not put in place a districtwide, coordinated system of programs and supports to ensure that all students’ academic and non-academic needs are met.</w:t>
      </w:r>
    </w:p>
    <w:p w14:paraId="431443F0" w14:textId="3BB3B6ED" w:rsidR="000F751C" w:rsidRDefault="000F751C" w:rsidP="00FC58CB">
      <w:pPr>
        <w:pStyle w:val="ListParagraph"/>
        <w:numPr>
          <w:ilvl w:val="0"/>
          <w:numId w:val="29"/>
        </w:numPr>
        <w:tabs>
          <w:tab w:val="left" w:pos="360"/>
          <w:tab w:val="left" w:pos="720"/>
          <w:tab w:val="left" w:pos="1080"/>
          <w:tab w:val="left" w:pos="1440"/>
          <w:tab w:val="left" w:pos="1800"/>
        </w:tabs>
        <w:ind w:left="360"/>
        <w:contextualSpacing w:val="0"/>
      </w:pPr>
      <w:r w:rsidRPr="000F751C">
        <w:t>The district’s approach to postsecondary preparation is largely focused on college planning and does not provide sufficient programs and opportunities to ensure all students are prepared for higher education and career opportunities upon graduation.</w:t>
      </w:r>
    </w:p>
    <w:p w14:paraId="787D866C" w14:textId="2E5B5D51" w:rsidR="009E3399" w:rsidRDefault="009E3399" w:rsidP="009E3399">
      <w:pPr>
        <w:pStyle w:val="ListParagraph"/>
        <w:tabs>
          <w:tab w:val="left" w:pos="360"/>
          <w:tab w:val="left" w:pos="720"/>
          <w:tab w:val="left" w:pos="1080"/>
          <w:tab w:val="left" w:pos="1440"/>
          <w:tab w:val="left" w:pos="1800"/>
        </w:tabs>
        <w:ind w:left="360"/>
        <w:contextualSpacing w:val="0"/>
      </w:pPr>
    </w:p>
    <w:p w14:paraId="1FBDD315" w14:textId="6948BFFB" w:rsidR="007C01ED" w:rsidRDefault="007C01ED" w:rsidP="007C01ED">
      <w:pPr>
        <w:rPr>
          <w:b/>
          <w:sz w:val="28"/>
        </w:rPr>
      </w:pPr>
      <w:r w:rsidRPr="007C01ED">
        <w:rPr>
          <w:b/>
          <w:sz w:val="28"/>
        </w:rPr>
        <w:t>Recommendations</w:t>
      </w:r>
    </w:p>
    <w:p w14:paraId="07735529" w14:textId="77777777" w:rsidR="005F1B8B" w:rsidRPr="00FC58CB" w:rsidRDefault="005F1B8B" w:rsidP="00FC58CB">
      <w:pPr>
        <w:pStyle w:val="ListParagraph"/>
        <w:numPr>
          <w:ilvl w:val="6"/>
          <w:numId w:val="30"/>
        </w:numPr>
        <w:tabs>
          <w:tab w:val="left" w:pos="360"/>
          <w:tab w:val="left" w:pos="1080"/>
          <w:tab w:val="left" w:pos="1440"/>
          <w:tab w:val="left" w:pos="1800"/>
          <w:tab w:val="left" w:pos="2160"/>
        </w:tabs>
        <w:ind w:left="360"/>
        <w:contextualSpacing w:val="0"/>
        <w:rPr>
          <w:i/>
        </w:rPr>
      </w:pPr>
      <w:r w:rsidRPr="00FC58CB">
        <w:t xml:space="preserve">The district should continue to work to ensure that effective teaching and learning practices are consistently implemented districtwide. </w:t>
      </w:r>
    </w:p>
    <w:p w14:paraId="26F9F1ED" w14:textId="041A7CDA" w:rsidR="005F1B8B" w:rsidRPr="00980761" w:rsidRDefault="004869AA" w:rsidP="00FC58CB">
      <w:pPr>
        <w:pStyle w:val="ListParagraph"/>
        <w:numPr>
          <w:ilvl w:val="0"/>
          <w:numId w:val="30"/>
        </w:numPr>
        <w:ind w:left="360"/>
        <w:contextualSpacing w:val="0"/>
        <w:rPr>
          <w:sz w:val="28"/>
        </w:rPr>
      </w:pPr>
      <w:r w:rsidRPr="004869AA">
        <w:rPr>
          <w:rFonts w:cstheme="minorHAnsi"/>
        </w:rPr>
        <w:t>The district should establish a district data team. The planned district data dashboard should be completed and its purpose communicated to all stakeholders.</w:t>
      </w:r>
    </w:p>
    <w:p w14:paraId="0096DE0A" w14:textId="77777777" w:rsidR="00980761" w:rsidRPr="00980761" w:rsidRDefault="00980761" w:rsidP="00980761">
      <w:pPr>
        <w:pStyle w:val="ListParagraph"/>
        <w:numPr>
          <w:ilvl w:val="0"/>
          <w:numId w:val="30"/>
        </w:numPr>
        <w:tabs>
          <w:tab w:val="left" w:pos="360"/>
          <w:tab w:val="left" w:pos="720"/>
          <w:tab w:val="left" w:pos="1080"/>
          <w:tab w:val="left" w:pos="1440"/>
          <w:tab w:val="left" w:pos="1800"/>
        </w:tabs>
        <w:ind w:left="360"/>
        <w:contextualSpacing w:val="0"/>
        <w:rPr>
          <w:rFonts w:ascii="Calibri" w:eastAsia="Times New Roman" w:hAnsi="Calibri" w:cs="Times New Roman"/>
          <w:bCs/>
        </w:rPr>
      </w:pPr>
      <w:r w:rsidRPr="00980761">
        <w:rPr>
          <w:rFonts w:ascii="Calibri" w:eastAsia="Times New Roman" w:hAnsi="Calibri" w:cs="Times New Roman"/>
          <w:bCs/>
        </w:rPr>
        <w:t>The district should take steps</w:t>
      </w:r>
      <w:r w:rsidRPr="00980761">
        <w:t xml:space="preserve"> to ensure that student support programs are well coordinated, that students experience smooth transitions </w:t>
      </w:r>
      <w:r w:rsidRPr="00980761">
        <w:rPr>
          <w:rFonts w:ascii="Calibri" w:eastAsia="Times New Roman" w:hAnsi="Calibri" w:cs="Times New Roman"/>
          <w:bCs/>
        </w:rPr>
        <w:t>between schools, and that all students are well-prepared for success after high school.</w:t>
      </w:r>
    </w:p>
    <w:p w14:paraId="0734686D" w14:textId="77777777" w:rsidR="00980761" w:rsidRPr="00980761" w:rsidRDefault="00980761" w:rsidP="00980761">
      <w:pPr>
        <w:rPr>
          <w:sz w:val="28"/>
        </w:rPr>
      </w:pPr>
    </w:p>
    <w:p w14:paraId="14EED3E0" w14:textId="77777777" w:rsidR="005F1B8B" w:rsidRPr="007C01ED" w:rsidRDefault="005F1B8B" w:rsidP="007C01ED">
      <w:pPr>
        <w:rPr>
          <w:b/>
          <w:sz w:val="28"/>
        </w:rPr>
      </w:pPr>
    </w:p>
    <w:p w14:paraId="4CEDA306" w14:textId="77777777" w:rsidR="008E314D" w:rsidRDefault="007652AE" w:rsidP="008E314D">
      <w:pPr>
        <w:pStyle w:val="Section"/>
        <w:tabs>
          <w:tab w:val="left" w:pos="360"/>
          <w:tab w:val="left" w:pos="720"/>
          <w:tab w:val="left" w:pos="1080"/>
          <w:tab w:val="left" w:pos="1440"/>
          <w:tab w:val="left" w:pos="1800"/>
          <w:tab w:val="left" w:pos="2160"/>
          <w:tab w:val="left" w:pos="2520"/>
          <w:tab w:val="left" w:pos="2880"/>
        </w:tabs>
        <w:outlineLvl w:val="0"/>
      </w:pPr>
      <w:bookmarkStart w:id="2" w:name="_Toc532556045"/>
      <w:r>
        <w:lastRenderedPageBreak/>
        <w:t>Wakefield Public Schools</w:t>
      </w:r>
      <w:r w:rsidR="008E314D" w:rsidRPr="00E93DC7">
        <w:t xml:space="preserve"> </w:t>
      </w:r>
      <w:r w:rsidR="00216887">
        <w:t>Targeted</w:t>
      </w:r>
      <w:r w:rsidR="00216887" w:rsidRPr="00E93DC7">
        <w:t xml:space="preserve"> </w:t>
      </w:r>
      <w:r w:rsidR="008E314D" w:rsidRPr="00E93DC7">
        <w:t>District Review Overview</w:t>
      </w:r>
      <w:bookmarkEnd w:id="1"/>
      <w:bookmarkEnd w:id="2"/>
    </w:p>
    <w:p w14:paraId="539407A7" w14:textId="77777777"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rPr>
          <w:color w:val="C00000"/>
        </w:rPr>
      </w:pPr>
      <w:bookmarkStart w:id="3" w:name="_Toc273777149"/>
      <w:bookmarkStart w:id="4" w:name="_Toc277066412"/>
      <w:bookmarkStart w:id="5" w:name="_Toc338665638"/>
      <w:r w:rsidRPr="00C7256A">
        <w:t>Purpose</w:t>
      </w:r>
      <w:bookmarkEnd w:id="3"/>
      <w:bookmarkEnd w:id="4"/>
      <w:bookmarkEnd w:id="5"/>
    </w:p>
    <w:p w14:paraId="64451E59" w14:textId="77777777" w:rsidR="00735EFA" w:rsidRDefault="00881DB7" w:rsidP="00735EFA">
      <w:pPr>
        <w:tabs>
          <w:tab w:val="left" w:pos="360"/>
          <w:tab w:val="left" w:pos="720"/>
          <w:tab w:val="left" w:pos="1080"/>
          <w:tab w:val="left" w:pos="1440"/>
          <w:tab w:val="left" w:pos="1800"/>
          <w:tab w:val="left" w:pos="2160"/>
          <w:tab w:val="left" w:pos="2520"/>
          <w:tab w:val="left" w:pos="2880"/>
        </w:tabs>
      </w:pPr>
      <w:r>
        <w:t xml:space="preserve">Conducted under Chapter 15, Section 55A of the Massachusetts General Laws, targeted district reviews </w:t>
      </w:r>
      <w:r w:rsidRPr="00E06B74">
        <w:t xml:space="preserve">support </w:t>
      </w:r>
      <w:r>
        <w:t xml:space="preserve">local school </w:t>
      </w:r>
      <w:r w:rsidRPr="00E06B74">
        <w:t xml:space="preserve">districts in establishing or strengthening a cycle of continuous improvement. </w:t>
      </w:r>
      <w:r>
        <w:t>In general, districts performing at the 20</w:t>
      </w:r>
      <w:r w:rsidR="00AF3EDF" w:rsidRPr="00AF3EDF">
        <w:rPr>
          <w:vertAlign w:val="superscript"/>
        </w:rPr>
        <w:t>th</w:t>
      </w:r>
      <w:r>
        <w:t xml:space="preserve"> percentile or above receive a targeted review, while lower-performing districts receive a comprehensive review.</w:t>
      </w:r>
      <w:r>
        <w:rPr>
          <w:rStyle w:val="FootnoteReference"/>
        </w:rPr>
        <w:footnoteReference w:id="1"/>
      </w:r>
      <w:r>
        <w:t xml:space="preserve"> Reviews</w:t>
      </w:r>
      <w:r w:rsidRPr="00E06B74">
        <w:t xml:space="preserve"> consid</w:t>
      </w:r>
      <w:r>
        <w:t xml:space="preserve">er carefully the effectiveness </w:t>
      </w:r>
      <w:r w:rsidRPr="00E06B74">
        <w:t>of systemwide functions</w:t>
      </w:r>
      <w:r>
        <w:t>, with reference to three</w:t>
      </w:r>
      <w:r w:rsidRPr="00E06B74">
        <w:t xml:space="preserve"> district standards</w:t>
      </w:r>
      <w:r>
        <w:t xml:space="preserve"> used by the Department of Elementary and Secondary Education (ESE). Targeted reviews address one of the following sets of three standards: </w:t>
      </w:r>
      <w:r w:rsidRPr="009637D8">
        <w:rPr>
          <w:b/>
        </w:rPr>
        <w:t>Governance and Administrative Systems</w:t>
      </w:r>
      <w:r>
        <w:t xml:space="preserve"> (L</w:t>
      </w:r>
      <w:r w:rsidRPr="00086618">
        <w:t xml:space="preserve">eadership and </w:t>
      </w:r>
      <w:r>
        <w:t>G</w:t>
      </w:r>
      <w:r w:rsidRPr="00086618">
        <w:t xml:space="preserve">overnance, </w:t>
      </w:r>
      <w:r>
        <w:t xml:space="preserve">Human Resources and Professional Development, and Financial and Asset Management standards) or </w:t>
      </w:r>
      <w:r w:rsidRPr="009637D8">
        <w:rPr>
          <w:b/>
        </w:rPr>
        <w:t>Student-Centered Systems</w:t>
      </w:r>
      <w:r>
        <w:t xml:space="preserve"> (C</w:t>
      </w:r>
      <w:r w:rsidRPr="00086618">
        <w:t xml:space="preserve">urriculum and </w:t>
      </w:r>
      <w:r>
        <w:t>I</w:t>
      </w:r>
      <w:r w:rsidRPr="00086618">
        <w:t xml:space="preserve">nstruction, </w:t>
      </w:r>
      <w:r>
        <w:t>A</w:t>
      </w:r>
      <w:r w:rsidRPr="00086618">
        <w:t xml:space="preserve">ssessment, </w:t>
      </w:r>
      <w:r>
        <w:t>and S</w:t>
      </w:r>
      <w:r w:rsidRPr="00086618">
        <w:t xml:space="preserve">tudent </w:t>
      </w:r>
      <w:r>
        <w:t>S</w:t>
      </w:r>
      <w:r w:rsidRPr="00086618">
        <w:t>upport</w:t>
      </w:r>
      <w:r>
        <w:t xml:space="preserve"> standards) —and may include the team’s observations/thoughts about systems and practices in the set of standards not being addressed</w:t>
      </w:r>
      <w:r w:rsidRPr="00086618">
        <w:t>.</w:t>
      </w:r>
      <w:r>
        <w:t xml:space="preserve"> All targeted reviews include finding(s) about instruction based on classroom observations. A targeted review</w:t>
      </w:r>
      <w:r w:rsidRPr="00E06B74">
        <w:t xml:space="preserve"> identif</w:t>
      </w:r>
      <w:r>
        <w:t xml:space="preserve">ies </w:t>
      </w:r>
      <w:r w:rsidRPr="00E06B74">
        <w:t>systems and practices that may be impeding improvement as well as those most likely to be contributi</w:t>
      </w:r>
      <w:r>
        <w:t xml:space="preserve">ng to positive results. </w:t>
      </w:r>
      <w:r w:rsidRPr="00DC6F32">
        <w:rPr>
          <w:rFonts w:cs="Calibri"/>
          <w:bCs/>
        </w:rPr>
        <w:t xml:space="preserve"> </w:t>
      </w:r>
      <w:r>
        <w:rPr>
          <w:rFonts w:cs="Calibri"/>
          <w:bCs/>
        </w:rPr>
        <w:t xml:space="preserve">The </w:t>
      </w:r>
      <w:r w:rsidRPr="00DC6F32">
        <w:rPr>
          <w:rFonts w:cs="Calibri"/>
          <w:bCs/>
        </w:rPr>
        <w:t xml:space="preserve">targeted district review </w:t>
      </w:r>
      <w:r>
        <w:rPr>
          <w:rFonts w:cs="Calibri"/>
          <w:bCs/>
        </w:rPr>
        <w:t>is</w:t>
      </w:r>
      <w:r w:rsidRPr="00DC6F32">
        <w:rPr>
          <w:rFonts w:cs="Calibri"/>
          <w:bCs/>
        </w:rPr>
        <w:t xml:space="preserve"> designed to promote district reflection on its own performance and potential next steps.</w:t>
      </w:r>
      <w:r>
        <w:rPr>
          <w:rFonts w:cs="Calibri"/>
          <w:bCs/>
        </w:rPr>
        <w:t xml:space="preserve"> </w:t>
      </w:r>
      <w:r>
        <w:t xml:space="preserve">In addition to being a tool that districts can use to inform their own improvement efforts, review reports may be used by ESE </w:t>
      </w:r>
      <w:r w:rsidR="00B919FB">
        <w:t>to identify technical assistance and other resources to provide to the district</w:t>
      </w:r>
      <w:r>
        <w:t xml:space="preserve">. </w:t>
      </w:r>
      <w:r w:rsidR="00735EFA" w:rsidRPr="005B7AB2">
        <w:t xml:space="preserve">This targeted review by the Office of District Reviews and Monitoring focused on the following standards: </w:t>
      </w:r>
      <w:r w:rsidR="00735EFA">
        <w:t>Curriculum</w:t>
      </w:r>
      <w:r w:rsidR="00735EFA" w:rsidRPr="005B7AB2">
        <w:t xml:space="preserve"> and </w:t>
      </w:r>
      <w:r w:rsidR="00735EFA">
        <w:t>Instruction</w:t>
      </w:r>
      <w:r w:rsidR="00735EFA" w:rsidRPr="005B7AB2">
        <w:t xml:space="preserve">, </w:t>
      </w:r>
      <w:r w:rsidR="00735EFA">
        <w:t>Assessment</w:t>
      </w:r>
      <w:r w:rsidR="00735EFA" w:rsidRPr="005B7AB2">
        <w:t xml:space="preserve">, and </w:t>
      </w:r>
      <w:r w:rsidR="00735EFA">
        <w:t>Student Support</w:t>
      </w:r>
      <w:r w:rsidR="00735EFA" w:rsidRPr="005B7AB2">
        <w:t>.</w:t>
      </w:r>
      <w:r w:rsidR="00735EFA">
        <w:t xml:space="preserve"> </w:t>
      </w:r>
    </w:p>
    <w:p w14:paraId="70F66FC6" w14:textId="77777777" w:rsidR="00881DB7" w:rsidRDefault="00881DB7" w:rsidP="00881DB7">
      <w:pPr>
        <w:tabs>
          <w:tab w:val="left" w:pos="360"/>
          <w:tab w:val="left" w:pos="720"/>
          <w:tab w:val="left" w:pos="1080"/>
          <w:tab w:val="left" w:pos="1440"/>
          <w:tab w:val="left" w:pos="1800"/>
          <w:tab w:val="left" w:pos="2160"/>
          <w:tab w:val="left" w:pos="2520"/>
          <w:tab w:val="left" w:pos="2880"/>
        </w:tabs>
      </w:pPr>
    </w:p>
    <w:p w14:paraId="392B0487" w14:textId="77777777"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bookmarkStart w:id="6" w:name="_Toc273777151"/>
      <w:bookmarkStart w:id="7" w:name="_Toc277066413"/>
      <w:bookmarkStart w:id="8" w:name="_Toc338665639"/>
      <w:r w:rsidRPr="00C7256A">
        <w:t>Methodology</w:t>
      </w:r>
      <w:bookmarkEnd w:id="6"/>
      <w:bookmarkEnd w:id="7"/>
      <w:bookmarkEnd w:id="8"/>
    </w:p>
    <w:p w14:paraId="425983C9" w14:textId="6BC42C2F" w:rsidR="008E314D" w:rsidRDefault="008E314D" w:rsidP="008E314D">
      <w:pPr>
        <w:tabs>
          <w:tab w:val="left" w:pos="360"/>
          <w:tab w:val="left" w:pos="720"/>
          <w:tab w:val="left" w:pos="1080"/>
          <w:tab w:val="left" w:pos="1440"/>
          <w:tab w:val="left" w:pos="1800"/>
          <w:tab w:val="left" w:pos="2160"/>
          <w:tab w:val="left" w:pos="2520"/>
          <w:tab w:val="left" w:pos="2880"/>
        </w:tabs>
      </w:pPr>
      <w:r>
        <w:t>R</w:t>
      </w:r>
      <w:r w:rsidRPr="00E06B74">
        <w:t xml:space="preserve">eviews collect evidence for each of the </w:t>
      </w:r>
      <w:r w:rsidR="001E6BFA">
        <w:t>three</w:t>
      </w:r>
      <w:r w:rsidR="001E6BFA" w:rsidRPr="00E06B74">
        <w:t xml:space="preserve"> </w:t>
      </w:r>
      <w:r w:rsidRPr="00E06B74">
        <w:t xml:space="preserve">district standards </w:t>
      </w:r>
      <w:r w:rsidR="001E6BFA">
        <w:t>identified as the focus of the targeted review</w:t>
      </w:r>
      <w:r w:rsidR="0036533B" w:rsidRPr="00E06B74">
        <w:t>.</w:t>
      </w:r>
      <w:r w:rsidR="0036533B">
        <w:t xml:space="preserve"> </w:t>
      </w:r>
      <w:r w:rsidR="00283792" w:rsidRPr="00E06B74">
        <w:t xml:space="preserve">Team members also observe </w:t>
      </w:r>
      <w:r w:rsidR="00283792">
        <w:t>classroom instructional practice</w:t>
      </w:r>
      <w:r w:rsidR="00283792" w:rsidRPr="00E06B74">
        <w:t>.</w:t>
      </w:r>
      <w:r w:rsidR="00D65E71">
        <w:t xml:space="preserve"> </w:t>
      </w:r>
      <w:r w:rsidR="0036533B">
        <w:t>A</w:t>
      </w:r>
      <w:r w:rsidRPr="00E06B74">
        <w:t xml:space="preserve"> district review team consist</w:t>
      </w:r>
      <w:r>
        <w:t>ing</w:t>
      </w:r>
      <w:r w:rsidRPr="00E06B74">
        <w:t xml:space="preserve"> of independent consultants with expertise in the district standards </w:t>
      </w:r>
      <w:r w:rsidR="0036533B" w:rsidRPr="00E06B74">
        <w:t>review</w:t>
      </w:r>
      <w:r w:rsidR="0036533B">
        <w:t>s documentation</w:t>
      </w:r>
      <w:r>
        <w:t>, data, and reports</w:t>
      </w:r>
      <w:r w:rsidRPr="00E06B74">
        <w:t xml:space="preserve"> for two days before conducting a </w:t>
      </w:r>
      <w:r w:rsidR="001E6BFA">
        <w:t>three</w:t>
      </w:r>
      <w:r w:rsidRPr="00E06B74">
        <w:t xml:space="preserve">-day district visit that includes </w:t>
      </w:r>
      <w:r>
        <w:t>visits to individual schools</w:t>
      </w:r>
      <w:r w:rsidRPr="00E06B74">
        <w:t xml:space="preserve">. The team </w:t>
      </w:r>
      <w:r>
        <w:t>conducts</w:t>
      </w:r>
      <w:r w:rsidRPr="00E06B74">
        <w:t xml:space="preserve"> interviews and focus group</w:t>
      </w:r>
      <w:r>
        <w:t xml:space="preserve"> sessions</w:t>
      </w:r>
      <w:r w:rsidRPr="00E06B74">
        <w:t xml:space="preserve"> with such stakeholders as school committee members, teachers’ </w:t>
      </w:r>
      <w:r>
        <w:t>association</w:t>
      </w:r>
      <w:r w:rsidRPr="00E06B74">
        <w:t xml:space="preserve"> representatives, administrators, teachers, </w:t>
      </w:r>
      <w:r w:rsidR="00940290">
        <w:t xml:space="preserve">students, and students’ </w:t>
      </w:r>
      <w:r w:rsidR="008639B8">
        <w:t>familie</w:t>
      </w:r>
      <w:r w:rsidR="008639B8" w:rsidRPr="00E06B74">
        <w:t>s</w:t>
      </w:r>
      <w:r w:rsidRPr="00E06B74">
        <w:t xml:space="preserve">. </w:t>
      </w:r>
      <w:r>
        <w:t>Subsequent to the onsite review, t</w:t>
      </w:r>
      <w:r w:rsidRPr="00E06B74">
        <w:t xml:space="preserve">he team meets for two days to develop findings and recommendations before submitting </w:t>
      </w:r>
      <w:r>
        <w:t>a</w:t>
      </w:r>
      <w:r w:rsidRPr="00E06B74">
        <w:t xml:space="preserve"> draft report </w:t>
      </w:r>
      <w:r w:rsidRPr="0031064A">
        <w:t>to ESE</w:t>
      </w:r>
      <w:r w:rsidRPr="0031064A">
        <w:rPr>
          <w:color w:val="000080"/>
        </w:rPr>
        <w:t>.</w:t>
      </w:r>
      <w:r w:rsidR="00631031">
        <w:rPr>
          <w:color w:val="000080"/>
        </w:rPr>
        <w:t xml:space="preserve"> </w:t>
      </w:r>
    </w:p>
    <w:p w14:paraId="7F21A090" w14:textId="77777777"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C7256A">
        <w:t>Site Visit</w:t>
      </w:r>
    </w:p>
    <w:p w14:paraId="4819BFC1" w14:textId="158887B4"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E06B74">
        <w:t xml:space="preserve">The site visit to the </w:t>
      </w:r>
      <w:r w:rsidR="007652AE">
        <w:t>Wakefield Public Schools</w:t>
      </w:r>
      <w:r w:rsidRPr="00E06B74">
        <w:t xml:space="preserve"> was conducted from </w:t>
      </w:r>
      <w:r w:rsidR="00E52C66" w:rsidRPr="000702A6">
        <w:t>March 5–</w:t>
      </w:r>
      <w:r w:rsidR="00913E25" w:rsidRPr="00F76BEE">
        <w:t>7</w:t>
      </w:r>
      <w:r w:rsidR="00E52C66" w:rsidRPr="000702A6">
        <w:t>, 2018</w:t>
      </w:r>
      <w:r w:rsidRPr="000702A6">
        <w:t>.</w:t>
      </w:r>
      <w:r w:rsidRPr="00E06B74">
        <w:t xml:space="preserve"> The site visit included </w:t>
      </w:r>
      <w:r w:rsidR="006E3573">
        <w:t>23</w:t>
      </w:r>
      <w:r w:rsidRPr="00E06B74">
        <w:t xml:space="preserve"> hours of interviews and focus groups with </w:t>
      </w:r>
      <w:r>
        <w:t>approximately</w:t>
      </w:r>
      <w:r w:rsidR="00C05490">
        <w:t xml:space="preserve"> </w:t>
      </w:r>
      <w:r w:rsidR="00847320">
        <w:t>41</w:t>
      </w:r>
      <w:r w:rsidRPr="00E06B74">
        <w:t xml:space="preserve"> stakeholders</w:t>
      </w:r>
      <w:r>
        <w:t>, including</w:t>
      </w:r>
      <w:r w:rsidRPr="00E06B74">
        <w:t xml:space="preserve"> school committee members</w:t>
      </w:r>
      <w:r>
        <w:t>,</w:t>
      </w:r>
      <w:r w:rsidRPr="00E06B74">
        <w:t xml:space="preserve"> district administrators</w:t>
      </w:r>
      <w:r>
        <w:t>,</w:t>
      </w:r>
      <w:r w:rsidRPr="00E06B74">
        <w:t xml:space="preserve"> school staff</w:t>
      </w:r>
      <w:r w:rsidR="002350D1">
        <w:t>,</w:t>
      </w:r>
      <w:r w:rsidR="00847320">
        <w:t xml:space="preserve"> students</w:t>
      </w:r>
      <w:r w:rsidR="008639B8">
        <w:t>,</w:t>
      </w:r>
      <w:r>
        <w:t xml:space="preserve"> </w:t>
      </w:r>
      <w:r w:rsidR="008639B8">
        <w:t>students'</w:t>
      </w:r>
      <w:r w:rsidR="00BE0035">
        <w:t xml:space="preserve"> </w:t>
      </w:r>
      <w:r w:rsidR="009229A9">
        <w:t xml:space="preserve">families, </w:t>
      </w:r>
      <w:r>
        <w:t>and</w:t>
      </w:r>
      <w:r w:rsidRPr="00E06B74">
        <w:t xml:space="preserve"> teachers’ </w:t>
      </w:r>
      <w:r w:rsidRPr="00E06B74">
        <w:lastRenderedPageBreak/>
        <w:t xml:space="preserve">association representatives. The review team conducted </w:t>
      </w:r>
      <w:r w:rsidR="00847320">
        <w:t>two focus groups</w:t>
      </w:r>
      <w:r w:rsidRPr="00E06B74">
        <w:t xml:space="preserve"> with </w:t>
      </w:r>
      <w:r w:rsidR="00847320">
        <w:t>five</w:t>
      </w:r>
      <w:r w:rsidR="00A136CB">
        <w:t xml:space="preserve"> </w:t>
      </w:r>
      <w:r w:rsidR="00C05490">
        <w:t>elementary-</w:t>
      </w:r>
      <w:r w:rsidR="00847320">
        <w:t>school teachers and</w:t>
      </w:r>
      <w:r w:rsidRPr="00E06B74">
        <w:t xml:space="preserve"> </w:t>
      </w:r>
      <w:r w:rsidR="00847320">
        <w:t>one</w:t>
      </w:r>
      <w:r w:rsidRPr="00E06B74">
        <w:t xml:space="preserve"> </w:t>
      </w:r>
      <w:r w:rsidR="00C05490" w:rsidRPr="00E06B74">
        <w:t>middle</w:t>
      </w:r>
      <w:r w:rsidR="00C05490">
        <w:t>-</w:t>
      </w:r>
      <w:r w:rsidR="00847320">
        <w:t>school teacher</w:t>
      </w:r>
      <w:r w:rsidR="00654A19">
        <w:t xml:space="preserve">. No </w:t>
      </w:r>
      <w:r w:rsidR="00C05490" w:rsidRPr="00E06B74">
        <w:t>high</w:t>
      </w:r>
      <w:r w:rsidR="00C05490">
        <w:t>-</w:t>
      </w:r>
      <w:r w:rsidR="00654A19">
        <w:t>school teachers attended their focus group.</w:t>
      </w:r>
      <w:r w:rsidRPr="00E06B74">
        <w:t xml:space="preserve"> </w:t>
      </w:r>
    </w:p>
    <w:p w14:paraId="1EDE2A4E" w14:textId="06ACE7B4" w:rsidR="008E314D" w:rsidRDefault="008E314D" w:rsidP="008E314D">
      <w:pPr>
        <w:tabs>
          <w:tab w:val="left" w:pos="360"/>
          <w:tab w:val="left" w:pos="720"/>
          <w:tab w:val="left" w:pos="1080"/>
          <w:tab w:val="left" w:pos="1440"/>
          <w:tab w:val="left" w:pos="1800"/>
          <w:tab w:val="left" w:pos="2160"/>
          <w:tab w:val="left" w:pos="2520"/>
          <w:tab w:val="left" w:pos="2880"/>
        </w:tabs>
      </w:pPr>
      <w:r>
        <w:t>A list of</w:t>
      </w:r>
      <w:r w:rsidRPr="00E06B74">
        <w:t xml:space="preserve"> review team </w:t>
      </w:r>
      <w:r>
        <w:t>members, information about review activities, and the site visit schedule are</w:t>
      </w:r>
      <w:r w:rsidRPr="00E06B74">
        <w:t xml:space="preserve"> in Append</w:t>
      </w:r>
      <w:r>
        <w:t>ix A, and Appendix B provides information about e</w:t>
      </w:r>
      <w:r w:rsidRPr="00F872D5">
        <w:t xml:space="preserve">nrollment, </w:t>
      </w:r>
      <w:r w:rsidR="00082DB9">
        <w:t>attendance</w:t>
      </w:r>
      <w:r>
        <w:t>, and e</w:t>
      </w:r>
      <w:r w:rsidRPr="00F872D5">
        <w:t>xpenditures</w:t>
      </w:r>
      <w:r>
        <w:t xml:space="preserve">. </w:t>
      </w:r>
      <w:r w:rsidRPr="00E06B74">
        <w:t xml:space="preserve">The team </w:t>
      </w:r>
      <w:r>
        <w:t xml:space="preserve">observed classroom instructional practice </w:t>
      </w:r>
      <w:r w:rsidR="00175B9D">
        <w:t>70</w:t>
      </w:r>
      <w:r w:rsidR="00C65A4D">
        <w:t xml:space="preserve"> </w:t>
      </w:r>
      <w:r>
        <w:t xml:space="preserve">classrooms in </w:t>
      </w:r>
      <w:r w:rsidR="00082DB9">
        <w:t>6</w:t>
      </w:r>
      <w:r w:rsidR="00082DB9" w:rsidRPr="00E06B74">
        <w:t xml:space="preserve"> </w:t>
      </w:r>
      <w:r w:rsidRPr="00E06B74">
        <w:t xml:space="preserve">schools. </w:t>
      </w:r>
      <w:r>
        <w:t xml:space="preserve">The team collected data using </w:t>
      </w:r>
      <w:r w:rsidR="00082DB9">
        <w:t>ESE’s I</w:t>
      </w:r>
      <w:r w:rsidR="00082DB9" w:rsidRPr="00AE2098">
        <w:t xml:space="preserve">nstructional </w:t>
      </w:r>
      <w:r w:rsidR="00082DB9">
        <w:t>I</w:t>
      </w:r>
      <w:r w:rsidR="00082DB9" w:rsidRPr="00AE2098">
        <w:t>nventory</w:t>
      </w:r>
      <w:r w:rsidRPr="00AE2098">
        <w:t xml:space="preserve">, a tool for recording observed characteristics of standards-based teaching. This </w:t>
      </w:r>
      <w:r>
        <w:t>data</w:t>
      </w:r>
      <w:r w:rsidRPr="00AE2098">
        <w:t xml:space="preserve"> is </w:t>
      </w:r>
      <w:r>
        <w:t xml:space="preserve">contained </w:t>
      </w:r>
      <w:r w:rsidRPr="00AE2098">
        <w:t>in Appendix C.</w:t>
      </w:r>
    </w:p>
    <w:p w14:paraId="4C09A7FC" w14:textId="77777777" w:rsidR="008E314D" w:rsidRDefault="008E314D" w:rsidP="008E314D">
      <w:pPr>
        <w:tabs>
          <w:tab w:val="left" w:pos="360"/>
          <w:tab w:val="left" w:pos="720"/>
          <w:tab w:val="left" w:pos="1080"/>
          <w:tab w:val="left" w:pos="1440"/>
          <w:tab w:val="left" w:pos="1800"/>
          <w:tab w:val="left" w:pos="2160"/>
          <w:tab w:val="left" w:pos="2520"/>
          <w:tab w:val="left" w:pos="2880"/>
        </w:tabs>
        <w:rPr>
          <w:b/>
          <w:sz w:val="28"/>
          <w:szCs w:val="28"/>
        </w:rPr>
      </w:pPr>
      <w:r w:rsidRPr="003F2AEE">
        <w:rPr>
          <w:b/>
          <w:sz w:val="28"/>
          <w:szCs w:val="28"/>
        </w:rPr>
        <w:t>District Profile</w:t>
      </w:r>
    </w:p>
    <w:p w14:paraId="297E4A7C" w14:textId="77777777" w:rsidR="008E314D" w:rsidRDefault="007652AE" w:rsidP="008E314D">
      <w:pPr>
        <w:tabs>
          <w:tab w:val="left" w:pos="360"/>
          <w:tab w:val="left" w:pos="720"/>
          <w:tab w:val="left" w:pos="1080"/>
          <w:tab w:val="left" w:pos="1440"/>
          <w:tab w:val="left" w:pos="1800"/>
          <w:tab w:val="left" w:pos="2160"/>
          <w:tab w:val="left" w:pos="2520"/>
          <w:tab w:val="left" w:pos="2880"/>
        </w:tabs>
      </w:pPr>
      <w:r>
        <w:t>Wakefield</w:t>
      </w:r>
      <w:r w:rsidR="008E314D" w:rsidRPr="00E06B74">
        <w:t xml:space="preserve"> has </w:t>
      </w:r>
      <w:r w:rsidR="008E314D" w:rsidRPr="00654A19">
        <w:t xml:space="preserve">a </w:t>
      </w:r>
      <w:r w:rsidR="00654A19" w:rsidRPr="00654A19">
        <w:t>town manager</w:t>
      </w:r>
      <w:r w:rsidR="008E314D" w:rsidRPr="00654A19">
        <w:t xml:space="preserve"> form</w:t>
      </w:r>
      <w:r w:rsidR="008E314D" w:rsidRPr="00E06B74">
        <w:t xml:space="preserve"> of government and the chair of the school committee </w:t>
      </w:r>
      <w:r w:rsidR="008E314D" w:rsidRPr="00654A19">
        <w:t xml:space="preserve">is </w:t>
      </w:r>
      <w:r w:rsidR="00654A19" w:rsidRPr="00654A19">
        <w:t>elected.</w:t>
      </w:r>
      <w:r w:rsidR="008E314D" w:rsidRPr="00E06B74">
        <w:t xml:space="preserve"> </w:t>
      </w:r>
      <w:r w:rsidR="008E314D" w:rsidRPr="00654A19">
        <w:t xml:space="preserve">The </w:t>
      </w:r>
      <w:r w:rsidR="00654A19" w:rsidRPr="00654A19">
        <w:t>seven</w:t>
      </w:r>
      <w:r w:rsidR="008E314D" w:rsidRPr="00654A19">
        <w:t xml:space="preserve"> members</w:t>
      </w:r>
      <w:r w:rsidR="008E314D">
        <w:t xml:space="preserve"> of the school committee </w:t>
      </w:r>
      <w:r w:rsidR="008E314D" w:rsidRPr="00E06B74">
        <w:t xml:space="preserve">meet </w:t>
      </w:r>
      <w:r w:rsidR="00654A19">
        <w:t>twice each month.</w:t>
      </w:r>
      <w:r w:rsidR="008E314D" w:rsidRPr="00E06B74">
        <w:t xml:space="preserve"> </w:t>
      </w:r>
    </w:p>
    <w:p w14:paraId="5404267D" w14:textId="21ED515D" w:rsidR="00BF5D5E" w:rsidRDefault="00BF5D5E" w:rsidP="008E314D">
      <w:pPr>
        <w:tabs>
          <w:tab w:val="left" w:pos="360"/>
          <w:tab w:val="left" w:pos="720"/>
          <w:tab w:val="left" w:pos="1080"/>
          <w:tab w:val="left" w:pos="1440"/>
          <w:tab w:val="left" w:pos="1800"/>
          <w:tab w:val="left" w:pos="2160"/>
          <w:tab w:val="left" w:pos="2520"/>
          <w:tab w:val="left" w:pos="2880"/>
        </w:tabs>
      </w:pPr>
      <w:r>
        <w:t>At the time of the onsite visit in March 2018, t</w:t>
      </w:r>
      <w:r w:rsidRPr="00E06B74">
        <w:t xml:space="preserve">he </w:t>
      </w:r>
      <w:r w:rsidR="008E314D" w:rsidRPr="00E06B74">
        <w:t xml:space="preserve">superintendent </w:t>
      </w:r>
      <w:r>
        <w:t xml:space="preserve">had </w:t>
      </w:r>
      <w:r w:rsidR="008E314D">
        <w:t>been</w:t>
      </w:r>
      <w:r w:rsidR="008E314D" w:rsidRPr="00E06B74">
        <w:t xml:space="preserve"> in the position </w:t>
      </w:r>
      <w:r w:rsidR="002350D1">
        <w:t xml:space="preserve">since 2015 and </w:t>
      </w:r>
      <w:r>
        <w:t xml:space="preserve">planned </w:t>
      </w:r>
      <w:r w:rsidR="00C43800">
        <w:t>to</w:t>
      </w:r>
      <w:r w:rsidR="003E040B">
        <w:t xml:space="preserve"> retire at the end of the </w:t>
      </w:r>
      <w:r w:rsidR="002350D1">
        <w:t>2017</w:t>
      </w:r>
      <w:r w:rsidR="00082DB9">
        <w:t>–</w:t>
      </w:r>
      <w:r w:rsidR="002350D1">
        <w:t>2018</w:t>
      </w:r>
      <w:r w:rsidR="003E040B">
        <w:t xml:space="preserve"> school year.</w:t>
      </w:r>
      <w:r w:rsidR="008E314D" w:rsidRPr="00E06B74">
        <w:t xml:space="preserve"> </w:t>
      </w:r>
      <w:r>
        <w:t>I</w:t>
      </w:r>
      <w:r w:rsidR="00082DB9">
        <w:t xml:space="preserve">n addition to a superintendent, </w:t>
      </w:r>
      <w:r w:rsidR="005E5E1A">
        <w:t>the district pl</w:t>
      </w:r>
      <w:r w:rsidR="00C43800">
        <w:t xml:space="preserve">anned to hire a high school </w:t>
      </w:r>
      <w:r w:rsidR="00082DB9">
        <w:t xml:space="preserve">principal </w:t>
      </w:r>
      <w:r w:rsidR="00C43800">
        <w:t>and a</w:t>
      </w:r>
      <w:r w:rsidR="00082DB9">
        <w:t>n</w:t>
      </w:r>
      <w:r w:rsidR="00C43800">
        <w:t xml:space="preserve"> elementary school principal. </w:t>
      </w:r>
    </w:p>
    <w:p w14:paraId="6CFC4C03" w14:textId="4E302AF5" w:rsidR="008E314D" w:rsidRDefault="008E314D" w:rsidP="008E314D">
      <w:pPr>
        <w:tabs>
          <w:tab w:val="left" w:pos="360"/>
          <w:tab w:val="left" w:pos="720"/>
          <w:tab w:val="left" w:pos="1080"/>
          <w:tab w:val="left" w:pos="1440"/>
          <w:tab w:val="left" w:pos="1800"/>
          <w:tab w:val="left" w:pos="2160"/>
          <w:tab w:val="left" w:pos="2520"/>
          <w:tab w:val="left" w:pos="2880"/>
        </w:tabs>
      </w:pPr>
      <w:r w:rsidRPr="00E06B74">
        <w:t>The district</w:t>
      </w:r>
      <w:r w:rsidR="00BF5D5E">
        <w:t>’s</w:t>
      </w:r>
      <w:r w:rsidRPr="00E06B74">
        <w:t xml:space="preserve"> </w:t>
      </w:r>
      <w:r w:rsidR="003E040B">
        <w:t xml:space="preserve">instructional </w:t>
      </w:r>
      <w:r w:rsidRPr="00E06B74">
        <w:t>leadership team include</w:t>
      </w:r>
      <w:r>
        <w:t>s</w:t>
      </w:r>
      <w:r w:rsidR="00BF2B0F">
        <w:t xml:space="preserve"> </w:t>
      </w:r>
      <w:r w:rsidR="003E040B">
        <w:t xml:space="preserve">the superintendent, the assistant superintendent, six principals, the </w:t>
      </w:r>
      <w:r w:rsidR="007F3393">
        <w:t xml:space="preserve">administrator </w:t>
      </w:r>
      <w:r w:rsidR="003E040B">
        <w:t>of special education</w:t>
      </w:r>
      <w:r w:rsidR="007F3393">
        <w:t xml:space="preserve"> and student services</w:t>
      </w:r>
      <w:r w:rsidR="003E040B">
        <w:t xml:space="preserve">, </w:t>
      </w:r>
      <w:r w:rsidR="00082DB9">
        <w:t xml:space="preserve">four </w:t>
      </w:r>
      <w:r w:rsidR="003E040B">
        <w:t>assistant princip</w:t>
      </w:r>
      <w:r w:rsidR="005E5E1A">
        <w:t>als, the director of METCO</w:t>
      </w:r>
      <w:r w:rsidR="00BF5D5E">
        <w:t xml:space="preserve"> (Metropolitan Council for Educational Opportunity)</w:t>
      </w:r>
      <w:r w:rsidR="005E5E1A">
        <w:t xml:space="preserve">, </w:t>
      </w:r>
      <w:r w:rsidR="004219E0">
        <w:t xml:space="preserve">and </w:t>
      </w:r>
      <w:r w:rsidR="003E040B">
        <w:t>thre</w:t>
      </w:r>
      <w:r w:rsidR="004219E0">
        <w:t xml:space="preserve">e special education </w:t>
      </w:r>
      <w:r w:rsidR="004219E0" w:rsidRPr="004219E0">
        <w:t>coordinators</w:t>
      </w:r>
      <w:r w:rsidR="003E040B" w:rsidRPr="004219E0">
        <w:t>. A</w:t>
      </w:r>
      <w:r w:rsidR="003E040B">
        <w:t xml:space="preserve"> separate executive team consists of the superintendent, the assistant superintendent, the business manager, the </w:t>
      </w:r>
      <w:r w:rsidR="007F3393">
        <w:t>administrator of special education and student services</w:t>
      </w:r>
      <w:r w:rsidR="003E040B">
        <w:t xml:space="preserve">, the director of facilities and transportation, and the director of technology. </w:t>
      </w:r>
      <w:r w:rsidRPr="00E06B74">
        <w:t xml:space="preserve"> </w:t>
      </w:r>
      <w:r w:rsidR="00BF5D5E">
        <w:t>Between 2014 and 2018, c</w:t>
      </w:r>
      <w:r w:rsidR="00BF5D5E" w:rsidRPr="00E06B74">
        <w:t xml:space="preserve">entral </w:t>
      </w:r>
      <w:r w:rsidRPr="00E06B74">
        <w:t xml:space="preserve">office positions </w:t>
      </w:r>
      <w:r w:rsidR="00AA017F">
        <w:t>were</w:t>
      </w:r>
      <w:r w:rsidRPr="003E040B">
        <w:t xml:space="preserve"> stable</w:t>
      </w:r>
      <w:r w:rsidR="00E82541" w:rsidRPr="003E040B">
        <w:t xml:space="preserve"> </w:t>
      </w:r>
      <w:r w:rsidRPr="003E040B">
        <w:t>in number. The district has</w:t>
      </w:r>
      <w:r w:rsidR="00BF2B0F" w:rsidRPr="003E040B">
        <w:t xml:space="preserve"> </w:t>
      </w:r>
      <w:r w:rsidR="003E040B" w:rsidRPr="003E040B">
        <w:t>six</w:t>
      </w:r>
      <w:r w:rsidRPr="003E040B">
        <w:t xml:space="preserve"> principals leading</w:t>
      </w:r>
      <w:r w:rsidR="00BF2B0F" w:rsidRPr="003E040B">
        <w:t xml:space="preserve"> </w:t>
      </w:r>
      <w:r w:rsidR="003E040B" w:rsidRPr="003E040B">
        <w:t xml:space="preserve">six </w:t>
      </w:r>
      <w:r w:rsidRPr="003E040B">
        <w:t>schools.</w:t>
      </w:r>
      <w:r w:rsidRPr="00E06B74">
        <w:t xml:space="preserve"> </w:t>
      </w:r>
      <w:r w:rsidR="00AA017F">
        <w:t>O</w:t>
      </w:r>
      <w:r>
        <w:t xml:space="preserve">ther </w:t>
      </w:r>
      <w:r w:rsidRPr="00E06B74">
        <w:t>school admin</w:t>
      </w:r>
      <w:r w:rsidRPr="00C43800">
        <w:t xml:space="preserve">istrators </w:t>
      </w:r>
      <w:r w:rsidR="00AA017F" w:rsidRPr="00C43800">
        <w:t>includ</w:t>
      </w:r>
      <w:r w:rsidR="00AA017F">
        <w:t>e</w:t>
      </w:r>
      <w:r w:rsidR="00AA017F" w:rsidRPr="00C43800">
        <w:t xml:space="preserve"> </w:t>
      </w:r>
      <w:r w:rsidR="00C43800" w:rsidRPr="00C43800">
        <w:t xml:space="preserve">assistant principals in </w:t>
      </w:r>
      <w:r w:rsidR="00C43800">
        <w:t xml:space="preserve">four of </w:t>
      </w:r>
      <w:r w:rsidR="00082DB9">
        <w:t xml:space="preserve">the district’s </w:t>
      </w:r>
      <w:r w:rsidR="00C43800">
        <w:t>six</w:t>
      </w:r>
      <w:r w:rsidR="00C43800" w:rsidRPr="00C43800">
        <w:t xml:space="preserve"> schools</w:t>
      </w:r>
      <w:r w:rsidRPr="00C43800">
        <w:t xml:space="preserve">. </w:t>
      </w:r>
      <w:r w:rsidR="00E25B2F" w:rsidRPr="00C43800">
        <w:t xml:space="preserve">In </w:t>
      </w:r>
      <w:r w:rsidR="00544F1C">
        <w:t>2017</w:t>
      </w:r>
      <w:r w:rsidR="00082DB9">
        <w:t>–2018,</w:t>
      </w:r>
      <w:r w:rsidR="00E25B2F">
        <w:t xml:space="preserve"> t</w:t>
      </w:r>
      <w:r w:rsidRPr="00E06B74">
        <w:t xml:space="preserve">here </w:t>
      </w:r>
      <w:r w:rsidR="00E25B2F">
        <w:t>we</w:t>
      </w:r>
      <w:r>
        <w:t>re</w:t>
      </w:r>
      <w:r w:rsidRPr="00E06B74">
        <w:t xml:space="preserve"> </w:t>
      </w:r>
      <w:r w:rsidR="00AA017F">
        <w:t>256.9</w:t>
      </w:r>
      <w:r w:rsidRPr="00E06B74">
        <w:t xml:space="preserve"> teachers in the district.</w:t>
      </w:r>
    </w:p>
    <w:p w14:paraId="25FD0E8B" w14:textId="19177A60" w:rsidR="008E314D" w:rsidRDefault="0058168A" w:rsidP="008E314D">
      <w:pPr>
        <w:tabs>
          <w:tab w:val="left" w:pos="360"/>
          <w:tab w:val="left" w:pos="720"/>
          <w:tab w:val="left" w:pos="1080"/>
          <w:tab w:val="left" w:pos="1440"/>
          <w:tab w:val="left" w:pos="1800"/>
          <w:tab w:val="left" w:pos="2160"/>
          <w:tab w:val="left" w:pos="2520"/>
          <w:tab w:val="left" w:pos="2880"/>
        </w:tabs>
      </w:pPr>
      <w:r>
        <w:t xml:space="preserve">In the </w:t>
      </w:r>
      <w:r w:rsidR="009B7D92">
        <w:t>2017</w:t>
      </w:r>
      <w:r w:rsidR="00082DB9">
        <w:t>–2018</w:t>
      </w:r>
      <w:r w:rsidR="009B7D92">
        <w:t xml:space="preserve"> </w:t>
      </w:r>
      <w:r>
        <w:t>school year,</w:t>
      </w:r>
      <w:r w:rsidR="00BF2B0F">
        <w:t xml:space="preserve"> </w:t>
      </w:r>
      <w:r w:rsidR="00F27746">
        <w:t>3,</w:t>
      </w:r>
      <w:r w:rsidR="00AA017F">
        <w:t xml:space="preserve">505 </w:t>
      </w:r>
      <w:r w:rsidR="008E314D">
        <w:t>s</w:t>
      </w:r>
      <w:r w:rsidR="008E314D" w:rsidRPr="00E06B74">
        <w:t>tudent</w:t>
      </w:r>
      <w:r w:rsidR="008E314D">
        <w:t>s</w:t>
      </w:r>
      <w:r w:rsidR="00CC4C53">
        <w:t xml:space="preserve"> </w:t>
      </w:r>
      <w:r w:rsidR="00F27746">
        <w:t>were enrolled in the district’s</w:t>
      </w:r>
      <w:r w:rsidR="008E314D">
        <w:t xml:space="preserve"> schools:</w:t>
      </w:r>
    </w:p>
    <w:p w14:paraId="34BE711E" w14:textId="31249B97" w:rsidR="00F76BEE" w:rsidRDefault="00F76BEE" w:rsidP="008E314D">
      <w:pPr>
        <w:tabs>
          <w:tab w:val="left" w:pos="360"/>
          <w:tab w:val="left" w:pos="720"/>
          <w:tab w:val="left" w:pos="1080"/>
          <w:tab w:val="left" w:pos="1440"/>
          <w:tab w:val="left" w:pos="1800"/>
          <w:tab w:val="left" w:pos="2160"/>
          <w:tab w:val="left" w:pos="2520"/>
          <w:tab w:val="left" w:pos="2880"/>
        </w:tabs>
      </w:pPr>
    </w:p>
    <w:p w14:paraId="6471CB57" w14:textId="6BFA8F62" w:rsidR="00F76BEE" w:rsidRDefault="00F76BEE" w:rsidP="008E314D">
      <w:pPr>
        <w:tabs>
          <w:tab w:val="left" w:pos="360"/>
          <w:tab w:val="left" w:pos="720"/>
          <w:tab w:val="left" w:pos="1080"/>
          <w:tab w:val="left" w:pos="1440"/>
          <w:tab w:val="left" w:pos="1800"/>
          <w:tab w:val="left" w:pos="2160"/>
          <w:tab w:val="left" w:pos="2520"/>
          <w:tab w:val="left" w:pos="2880"/>
        </w:tabs>
      </w:pPr>
    </w:p>
    <w:p w14:paraId="065B9F10" w14:textId="778B5AD0" w:rsidR="00F76BEE" w:rsidRDefault="00F76BEE" w:rsidP="008E314D">
      <w:pPr>
        <w:tabs>
          <w:tab w:val="left" w:pos="360"/>
          <w:tab w:val="left" w:pos="720"/>
          <w:tab w:val="left" w:pos="1080"/>
          <w:tab w:val="left" w:pos="1440"/>
          <w:tab w:val="left" w:pos="1800"/>
          <w:tab w:val="left" w:pos="2160"/>
          <w:tab w:val="left" w:pos="2520"/>
          <w:tab w:val="left" w:pos="2880"/>
        </w:tabs>
      </w:pPr>
    </w:p>
    <w:p w14:paraId="3827C809" w14:textId="6407B82E" w:rsidR="00F76BEE" w:rsidRDefault="00F76BEE" w:rsidP="008E314D">
      <w:pPr>
        <w:tabs>
          <w:tab w:val="left" w:pos="360"/>
          <w:tab w:val="left" w:pos="720"/>
          <w:tab w:val="left" w:pos="1080"/>
          <w:tab w:val="left" w:pos="1440"/>
          <w:tab w:val="left" w:pos="1800"/>
          <w:tab w:val="left" w:pos="2160"/>
          <w:tab w:val="left" w:pos="2520"/>
          <w:tab w:val="left" w:pos="2880"/>
        </w:tabs>
      </w:pPr>
    </w:p>
    <w:p w14:paraId="1731A204" w14:textId="25EFCE8A" w:rsidR="00F76BEE" w:rsidRDefault="00F76BEE" w:rsidP="008E314D">
      <w:pPr>
        <w:tabs>
          <w:tab w:val="left" w:pos="360"/>
          <w:tab w:val="left" w:pos="720"/>
          <w:tab w:val="left" w:pos="1080"/>
          <w:tab w:val="left" w:pos="1440"/>
          <w:tab w:val="left" w:pos="1800"/>
          <w:tab w:val="left" w:pos="2160"/>
          <w:tab w:val="left" w:pos="2520"/>
          <w:tab w:val="left" w:pos="2880"/>
        </w:tabs>
      </w:pPr>
    </w:p>
    <w:p w14:paraId="7BD34DEF" w14:textId="461A8818" w:rsidR="00551683" w:rsidRDefault="00551683" w:rsidP="008E314D">
      <w:pPr>
        <w:tabs>
          <w:tab w:val="left" w:pos="360"/>
          <w:tab w:val="left" w:pos="720"/>
          <w:tab w:val="left" w:pos="1080"/>
          <w:tab w:val="left" w:pos="1440"/>
          <w:tab w:val="left" w:pos="1800"/>
          <w:tab w:val="left" w:pos="2160"/>
          <w:tab w:val="left" w:pos="2520"/>
          <w:tab w:val="left" w:pos="2880"/>
        </w:tabs>
      </w:pPr>
    </w:p>
    <w:p w14:paraId="02E3DE02" w14:textId="77777777" w:rsidR="00551683" w:rsidRDefault="00551683" w:rsidP="008E314D">
      <w:pPr>
        <w:tabs>
          <w:tab w:val="left" w:pos="360"/>
          <w:tab w:val="left" w:pos="720"/>
          <w:tab w:val="left" w:pos="1080"/>
          <w:tab w:val="left" w:pos="1440"/>
          <w:tab w:val="left" w:pos="1800"/>
          <w:tab w:val="left" w:pos="2160"/>
          <w:tab w:val="left" w:pos="2520"/>
          <w:tab w:val="left" w:pos="2880"/>
        </w:tabs>
      </w:pPr>
    </w:p>
    <w:p w14:paraId="7B81F9D4" w14:textId="50481603" w:rsidR="00F76BEE" w:rsidRDefault="00F76BEE" w:rsidP="008E314D">
      <w:pPr>
        <w:tabs>
          <w:tab w:val="left" w:pos="360"/>
          <w:tab w:val="left" w:pos="720"/>
          <w:tab w:val="left" w:pos="1080"/>
          <w:tab w:val="left" w:pos="1440"/>
          <w:tab w:val="left" w:pos="1800"/>
          <w:tab w:val="left" w:pos="2160"/>
          <w:tab w:val="left" w:pos="2520"/>
          <w:tab w:val="left" w:pos="2880"/>
        </w:tabs>
      </w:pPr>
    </w:p>
    <w:p w14:paraId="788153D8" w14:textId="77777777" w:rsidR="00F76BEE" w:rsidRDefault="00F76BEE" w:rsidP="008E314D">
      <w:pPr>
        <w:tabs>
          <w:tab w:val="left" w:pos="360"/>
          <w:tab w:val="left" w:pos="720"/>
          <w:tab w:val="left" w:pos="1080"/>
          <w:tab w:val="left" w:pos="1440"/>
          <w:tab w:val="left" w:pos="1800"/>
          <w:tab w:val="left" w:pos="2160"/>
          <w:tab w:val="left" w:pos="2520"/>
          <w:tab w:val="left" w:pos="2880"/>
        </w:tabs>
      </w:pPr>
    </w:p>
    <w:p w14:paraId="0F07AABA"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eastAsia="Calibri" w:hAnsi="Calibri" w:cs="Times New Roman"/>
          <w:b/>
          <w:sz w:val="20"/>
        </w:rPr>
      </w:pPr>
      <w:r w:rsidRPr="00210A51">
        <w:rPr>
          <w:rFonts w:ascii="Calibri" w:eastAsia="Calibri" w:hAnsi="Calibri" w:cs="Times New Roman"/>
          <w:b/>
          <w:sz w:val="20"/>
        </w:rPr>
        <w:lastRenderedPageBreak/>
        <w:t xml:space="preserve">Table 1: </w:t>
      </w:r>
      <w:r w:rsidR="007652AE">
        <w:rPr>
          <w:rFonts w:ascii="Calibri" w:eastAsia="Calibri" w:hAnsi="Calibri" w:cs="Times New Roman"/>
          <w:b/>
          <w:sz w:val="20"/>
        </w:rPr>
        <w:t>Wakefield Public Schools</w:t>
      </w:r>
      <w:r w:rsidR="00F5728A">
        <w:rPr>
          <w:rFonts w:ascii="Calibri" w:eastAsia="Calibri" w:hAnsi="Calibri" w:cs="Times New Roman"/>
          <w:b/>
          <w:sz w:val="20"/>
        </w:rPr>
        <w:t>,</w:t>
      </w:r>
    </w:p>
    <w:p w14:paraId="342D67EE" w14:textId="5EE1F9D1" w:rsidR="008E314D" w:rsidRDefault="008E314D" w:rsidP="008E314D">
      <w:pPr>
        <w:tabs>
          <w:tab w:val="left" w:pos="360"/>
          <w:tab w:val="left" w:pos="720"/>
          <w:tab w:val="left" w:pos="1080"/>
          <w:tab w:val="left" w:pos="1440"/>
          <w:tab w:val="left" w:pos="1800"/>
          <w:tab w:val="left" w:pos="2160"/>
          <w:tab w:val="left" w:pos="2520"/>
          <w:tab w:val="left" w:pos="2880"/>
        </w:tabs>
        <w:spacing w:after="60" w:line="240" w:lineRule="auto"/>
        <w:jc w:val="center"/>
        <w:rPr>
          <w:rFonts w:ascii="Calibri" w:eastAsia="Calibri" w:hAnsi="Calibri" w:cs="Times New Roman"/>
          <w:b/>
          <w:sz w:val="20"/>
        </w:rPr>
      </w:pPr>
      <w:r>
        <w:rPr>
          <w:rFonts w:ascii="Calibri" w:eastAsia="Calibri" w:hAnsi="Calibri" w:cs="Times New Roman"/>
          <w:b/>
          <w:sz w:val="20"/>
        </w:rPr>
        <w:t>Type, Grades Served, and Enrollment</w:t>
      </w:r>
      <w:r w:rsidR="00C96E5A">
        <w:rPr>
          <w:rFonts w:ascii="Calibri" w:eastAsia="Calibri" w:hAnsi="Calibri" w:cs="Times New Roman"/>
          <w:b/>
          <w:sz w:val="20"/>
        </w:rPr>
        <w:t xml:space="preserve">*, </w:t>
      </w:r>
      <w:r w:rsidR="00544F1C">
        <w:rPr>
          <w:rFonts w:ascii="Calibri" w:eastAsia="Calibri" w:hAnsi="Calibri" w:cs="Times New Roman"/>
          <w:b/>
          <w:sz w:val="20"/>
        </w:rPr>
        <w:t>2017</w:t>
      </w:r>
      <w:r w:rsidR="00082DB9">
        <w:rPr>
          <w:rFonts w:ascii="Calibri" w:eastAsia="Calibri" w:hAnsi="Calibri" w:cs="Times New Roman"/>
          <w:b/>
          <w:sz w:val="20"/>
        </w:rPr>
        <w:t>–2018</w:t>
      </w:r>
    </w:p>
    <w:tbl>
      <w:tblPr>
        <w:tblW w:w="0" w:type="auto"/>
        <w:jc w:val="center"/>
        <w:tblCellMar>
          <w:left w:w="0" w:type="dxa"/>
          <w:right w:w="0" w:type="dxa"/>
        </w:tblCellMar>
        <w:tblLook w:val="04A0" w:firstRow="1" w:lastRow="0" w:firstColumn="1" w:lastColumn="0" w:noHBand="0" w:noVBand="1"/>
        <w:tblCaption w:val="Table 1: Wakefield Public Schools"/>
        <w:tblDescription w:val="School Type, Grades Served, and Enrollment*, 2017–2018 (As of October 1, 2017)&#10;"/>
      </w:tblPr>
      <w:tblGrid>
        <w:gridCol w:w="3618"/>
        <w:gridCol w:w="1890"/>
        <w:gridCol w:w="1530"/>
        <w:gridCol w:w="1818"/>
      </w:tblGrid>
      <w:tr w:rsidR="008E314D" w:rsidRPr="00AA1E10" w14:paraId="149A748B" w14:textId="77777777" w:rsidTr="00E22258">
        <w:trPr>
          <w:tblHeader/>
          <w:jc w:val="center"/>
        </w:trPr>
        <w:tc>
          <w:tcPr>
            <w:tcW w:w="3618" w:type="dxa"/>
            <w:tcBorders>
              <w:top w:val="single" w:sz="8" w:space="0" w:color="auto"/>
              <w:left w:val="single" w:sz="8" w:space="0" w:color="auto"/>
              <w:bottom w:val="single" w:sz="12" w:space="0" w:color="auto"/>
              <w:right w:val="single" w:sz="8" w:space="0" w:color="auto"/>
            </w:tcBorders>
            <w:tcMar>
              <w:top w:w="0" w:type="dxa"/>
              <w:left w:w="115" w:type="dxa"/>
              <w:bottom w:w="0" w:type="dxa"/>
              <w:right w:w="115" w:type="dxa"/>
            </w:tcMar>
            <w:vAlign w:val="center"/>
            <w:hideMark/>
          </w:tcPr>
          <w:p w14:paraId="4CF8DE71" w14:textId="1E39A676" w:rsidR="008E314D" w:rsidRDefault="008E314D" w:rsidP="00082DB9">
            <w:pPr>
              <w:tabs>
                <w:tab w:val="left" w:pos="360"/>
                <w:tab w:val="left" w:pos="720"/>
                <w:tab w:val="left" w:pos="1080"/>
                <w:tab w:val="left" w:pos="1440"/>
                <w:tab w:val="left" w:pos="1800"/>
                <w:tab w:val="left" w:pos="2160"/>
                <w:tab w:val="left" w:pos="2520"/>
                <w:tab w:val="left" w:pos="2880"/>
              </w:tabs>
              <w:rPr>
                <w:b/>
                <w:bCs/>
                <w:color w:val="000000"/>
                <w:sz w:val="20"/>
                <w:szCs w:val="20"/>
              </w:rPr>
            </w:pPr>
            <w:r>
              <w:rPr>
                <w:b/>
                <w:bCs/>
                <w:color w:val="000000"/>
                <w:sz w:val="20"/>
                <w:szCs w:val="20"/>
              </w:rPr>
              <w:t>School</w:t>
            </w:r>
          </w:p>
        </w:tc>
        <w:tc>
          <w:tcPr>
            <w:tcW w:w="1890" w:type="dxa"/>
            <w:tcBorders>
              <w:top w:val="single" w:sz="8" w:space="0" w:color="auto"/>
              <w:left w:val="nil"/>
              <w:bottom w:val="single" w:sz="12" w:space="0" w:color="auto"/>
              <w:right w:val="single" w:sz="8" w:space="0" w:color="auto"/>
            </w:tcBorders>
            <w:tcMar>
              <w:top w:w="0" w:type="dxa"/>
              <w:left w:w="115" w:type="dxa"/>
              <w:bottom w:w="0" w:type="dxa"/>
              <w:right w:w="115" w:type="dxa"/>
            </w:tcMar>
            <w:vAlign w:val="center"/>
            <w:hideMark/>
          </w:tcPr>
          <w:p w14:paraId="027A6BBF" w14:textId="77777777"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School Type</w:t>
            </w:r>
          </w:p>
        </w:tc>
        <w:tc>
          <w:tcPr>
            <w:tcW w:w="1530" w:type="dxa"/>
            <w:tcBorders>
              <w:top w:val="single" w:sz="8" w:space="0" w:color="auto"/>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hideMark/>
          </w:tcPr>
          <w:p w14:paraId="2D8437EF" w14:textId="77777777"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Grades Served</w:t>
            </w:r>
          </w:p>
        </w:tc>
        <w:tc>
          <w:tcPr>
            <w:tcW w:w="1818" w:type="dxa"/>
            <w:tcBorders>
              <w:top w:val="single" w:sz="8" w:space="0" w:color="auto"/>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4462927C" w14:textId="77777777"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Enrollment</w:t>
            </w:r>
          </w:p>
        </w:tc>
      </w:tr>
      <w:tr w:rsidR="008E314D" w:rsidRPr="00AA1E10" w14:paraId="47436AA9" w14:textId="77777777" w:rsidTr="00350132">
        <w:trPr>
          <w:trHeight w:val="64"/>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0475B5A4" w14:textId="77777777" w:rsidR="00F27746" w:rsidRDefault="00F27746" w:rsidP="00544F1C">
            <w:pPr>
              <w:tabs>
                <w:tab w:val="left" w:pos="360"/>
                <w:tab w:val="left" w:pos="720"/>
                <w:tab w:val="left" w:pos="1080"/>
                <w:tab w:val="left" w:pos="1440"/>
                <w:tab w:val="left" w:pos="1800"/>
                <w:tab w:val="left" w:pos="2160"/>
                <w:tab w:val="left" w:pos="2520"/>
                <w:tab w:val="left" w:pos="2880"/>
              </w:tabs>
              <w:rPr>
                <w:bCs/>
                <w:sz w:val="20"/>
                <w:szCs w:val="20"/>
              </w:rPr>
            </w:pPr>
            <w:r>
              <w:rPr>
                <w:bCs/>
                <w:sz w:val="20"/>
                <w:szCs w:val="20"/>
              </w:rPr>
              <w:t>Doyle Ear</w:t>
            </w:r>
            <w:r w:rsidR="002649C1">
              <w:rPr>
                <w:bCs/>
                <w:sz w:val="20"/>
                <w:szCs w:val="20"/>
              </w:rPr>
              <w:t>ly Childhood Center</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32C61072" w14:textId="77777777" w:rsidR="002649C1" w:rsidRDefault="002649C1" w:rsidP="00544F1C">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bCs/>
                <w:sz w:val="20"/>
                <w:szCs w:val="20"/>
              </w:rPr>
              <w:t>EES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7371C445" w14:textId="56FF58A8" w:rsidR="008E314D" w:rsidRDefault="002649C1" w:rsidP="00544F1C">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P</w:t>
            </w:r>
            <w:r w:rsidR="00082DB9">
              <w:rPr>
                <w:color w:val="000000"/>
                <w:sz w:val="20"/>
                <w:szCs w:val="20"/>
              </w:rPr>
              <w:t>re-</w:t>
            </w:r>
            <w:r>
              <w:rPr>
                <w:color w:val="000000"/>
                <w:sz w:val="20"/>
                <w:szCs w:val="20"/>
              </w:rPr>
              <w:t>K</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6E83899E" w14:textId="24B3C70C" w:rsidR="008E314D" w:rsidRDefault="00AA017F" w:rsidP="00AA017F">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126</w:t>
            </w:r>
          </w:p>
        </w:tc>
      </w:tr>
      <w:tr w:rsidR="008E314D" w:rsidRPr="00AA1E10" w14:paraId="6C160FE6" w14:textId="77777777"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005F9D68" w14:textId="77777777" w:rsidR="008E314D" w:rsidRDefault="002649C1"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 xml:space="preserve">Dolbeare </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6F26413F" w14:textId="77777777" w:rsidR="008E314D" w:rsidRDefault="002649C1" w:rsidP="002649C1">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29A1FD02" w14:textId="1FE7EA75" w:rsidR="008E314D" w:rsidRDefault="002649C1" w:rsidP="00082DB9">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w:t>
            </w:r>
            <w:r w:rsidR="00082DB9">
              <w:rPr>
                <w:color w:val="000000"/>
                <w:sz w:val="20"/>
                <w:szCs w:val="20"/>
              </w:rPr>
              <w:t>–</w:t>
            </w:r>
            <w:r>
              <w:rPr>
                <w:color w:val="000000"/>
                <w:sz w:val="20"/>
                <w:szCs w:val="20"/>
              </w:rPr>
              <w:t>4</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467405FA" w14:textId="1F1A4ED7" w:rsidR="008E314D" w:rsidRDefault="00AA017F" w:rsidP="00AA017F">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448</w:t>
            </w:r>
          </w:p>
        </w:tc>
      </w:tr>
      <w:tr w:rsidR="008E314D" w:rsidRPr="00AA1E10" w14:paraId="750F99D6" w14:textId="77777777"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256CE0B8" w14:textId="77777777" w:rsidR="008E314D" w:rsidRDefault="002649C1"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Woodville</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5CF5B78D" w14:textId="77777777" w:rsidR="008E314D" w:rsidRDefault="002649C1" w:rsidP="002649C1">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598F8BB7" w14:textId="4F4F5AC2" w:rsidR="008E314D" w:rsidRDefault="002649C1" w:rsidP="00082DB9">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w:t>
            </w:r>
            <w:r w:rsidR="00082DB9">
              <w:rPr>
                <w:color w:val="000000"/>
                <w:sz w:val="20"/>
                <w:szCs w:val="20"/>
              </w:rPr>
              <w:t>–</w:t>
            </w:r>
            <w:r>
              <w:rPr>
                <w:color w:val="000000"/>
                <w:sz w:val="20"/>
                <w:szCs w:val="20"/>
              </w:rPr>
              <w:t>4</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72EFD01B" w14:textId="32599759" w:rsidR="008E314D" w:rsidRDefault="00AA017F" w:rsidP="00AA017F">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433</w:t>
            </w:r>
          </w:p>
        </w:tc>
      </w:tr>
      <w:tr w:rsidR="008E314D" w:rsidRPr="00AA1E10" w14:paraId="4BAA6C54" w14:textId="77777777"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728D94A9" w14:textId="77777777" w:rsidR="008E314D" w:rsidRDefault="002649C1"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Greenwood</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3C8D0338" w14:textId="77777777" w:rsidR="008E314D" w:rsidRDefault="002649C1" w:rsidP="002649C1">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08C13D82" w14:textId="32100720" w:rsidR="008E314D" w:rsidRDefault="002649C1" w:rsidP="00082DB9">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w:t>
            </w:r>
            <w:r w:rsidR="00082DB9">
              <w:rPr>
                <w:color w:val="000000"/>
                <w:sz w:val="20"/>
                <w:szCs w:val="20"/>
              </w:rPr>
              <w:t>–</w:t>
            </w:r>
            <w:r>
              <w:rPr>
                <w:color w:val="000000"/>
                <w:sz w:val="20"/>
                <w:szCs w:val="20"/>
              </w:rPr>
              <w:t>4</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7861669C" w14:textId="2BEE2FA4" w:rsidR="008E314D" w:rsidRDefault="00AA017F" w:rsidP="00AA017F">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221</w:t>
            </w:r>
          </w:p>
        </w:tc>
      </w:tr>
      <w:tr w:rsidR="002649C1" w:rsidRPr="00AA1E10" w14:paraId="38DD0EEE" w14:textId="77777777"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640A9D84" w14:textId="77777777" w:rsidR="002649C1" w:rsidRDefault="002649C1"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Walton</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0649CA57" w14:textId="77777777" w:rsidR="002649C1" w:rsidRDefault="002649C1" w:rsidP="002649C1">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57E428F8" w14:textId="6BA67853" w:rsidR="002649C1" w:rsidRDefault="002649C1" w:rsidP="00082DB9">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1</w:t>
            </w:r>
            <w:r w:rsidR="00082DB9">
              <w:rPr>
                <w:color w:val="000000"/>
                <w:sz w:val="20"/>
                <w:szCs w:val="20"/>
              </w:rPr>
              <w:t>–</w:t>
            </w:r>
            <w:r>
              <w:rPr>
                <w:color w:val="000000"/>
                <w:sz w:val="20"/>
                <w:szCs w:val="20"/>
              </w:rPr>
              <w:t>4</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6704A93A" w14:textId="6C62E882" w:rsidR="002649C1" w:rsidRDefault="00AA017F" w:rsidP="00AA017F">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205</w:t>
            </w:r>
          </w:p>
        </w:tc>
      </w:tr>
      <w:tr w:rsidR="008E314D" w:rsidRPr="00AA1E10" w14:paraId="10D91EB9" w14:textId="77777777"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139299C7" w14:textId="43929574" w:rsidR="008E314D" w:rsidRDefault="002649C1"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 xml:space="preserve">Galvin </w:t>
            </w:r>
            <w:r w:rsidR="00304516">
              <w:rPr>
                <w:color w:val="000000"/>
                <w:sz w:val="20"/>
                <w:szCs w:val="20"/>
              </w:rPr>
              <w:t>Middle</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7A222E8C" w14:textId="77777777" w:rsidR="008E314D" w:rsidRDefault="002649C1" w:rsidP="002649C1">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MS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0C60A71A" w14:textId="297EB3D8" w:rsidR="008E314D" w:rsidRDefault="002649C1" w:rsidP="00082DB9">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5</w:t>
            </w:r>
            <w:r w:rsidR="00082DB9">
              <w:rPr>
                <w:color w:val="000000"/>
                <w:sz w:val="20"/>
                <w:szCs w:val="20"/>
              </w:rPr>
              <w:t>–</w:t>
            </w:r>
            <w:r>
              <w:rPr>
                <w:color w:val="000000"/>
                <w:sz w:val="20"/>
                <w:szCs w:val="20"/>
              </w:rPr>
              <w:t>8</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72F735D5" w14:textId="7CC63F9B" w:rsidR="008E314D" w:rsidRDefault="002649C1" w:rsidP="00AA017F">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1,</w:t>
            </w:r>
            <w:r w:rsidR="00AA017F">
              <w:rPr>
                <w:color w:val="000000"/>
                <w:sz w:val="20"/>
                <w:szCs w:val="20"/>
              </w:rPr>
              <w:t>044</w:t>
            </w:r>
          </w:p>
        </w:tc>
      </w:tr>
      <w:tr w:rsidR="008E314D" w:rsidRPr="00AA1E10" w14:paraId="2D55CFC6" w14:textId="77777777" w:rsidTr="00350132">
        <w:trPr>
          <w:trHeight w:val="71"/>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14:paraId="747C59DF" w14:textId="5C830ADA" w:rsidR="008E314D" w:rsidRDefault="002649C1" w:rsidP="00082DB9">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 xml:space="preserve">Wakefield Memorial </w:t>
            </w:r>
            <w:r w:rsidR="00082DB9">
              <w:rPr>
                <w:color w:val="000000"/>
                <w:sz w:val="20"/>
                <w:szCs w:val="20"/>
              </w:rPr>
              <w:t>High</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14:paraId="6190C8D4" w14:textId="77777777" w:rsidR="008E314D" w:rsidRDefault="002649C1" w:rsidP="002649C1">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HS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14:paraId="0A7560EF" w14:textId="2A443C9E" w:rsidR="008E314D" w:rsidRDefault="002649C1" w:rsidP="00082DB9">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9</w:t>
            </w:r>
            <w:r w:rsidR="00082DB9">
              <w:rPr>
                <w:color w:val="000000"/>
                <w:sz w:val="20"/>
                <w:szCs w:val="20"/>
              </w:rPr>
              <w:t>–</w:t>
            </w:r>
            <w:r>
              <w:rPr>
                <w:color w:val="000000"/>
                <w:sz w:val="20"/>
                <w:szCs w:val="20"/>
              </w:rPr>
              <w:t>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54146439" w14:textId="16D630B3" w:rsidR="008E314D" w:rsidRDefault="002649C1" w:rsidP="00AA017F">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1,</w:t>
            </w:r>
            <w:r w:rsidR="00AA017F">
              <w:rPr>
                <w:color w:val="000000"/>
                <w:sz w:val="20"/>
                <w:szCs w:val="20"/>
              </w:rPr>
              <w:t>028</w:t>
            </w:r>
          </w:p>
        </w:tc>
      </w:tr>
      <w:tr w:rsidR="008E314D" w:rsidRPr="00AA1E10" w14:paraId="703BA39C" w14:textId="77777777" w:rsidTr="00350132">
        <w:trPr>
          <w:trHeight w:val="44"/>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hideMark/>
          </w:tcPr>
          <w:p w14:paraId="5010BC71" w14:textId="77777777" w:rsidR="008E314D" w:rsidRDefault="008E314D" w:rsidP="00350132">
            <w:pPr>
              <w:tabs>
                <w:tab w:val="left" w:pos="360"/>
                <w:tab w:val="left" w:pos="720"/>
                <w:tab w:val="left" w:pos="1080"/>
                <w:tab w:val="left" w:pos="1440"/>
                <w:tab w:val="left" w:pos="1800"/>
                <w:tab w:val="left" w:pos="2160"/>
                <w:tab w:val="left" w:pos="2520"/>
                <w:tab w:val="left" w:pos="2880"/>
              </w:tabs>
              <w:rPr>
                <w:b/>
                <w:bCs/>
                <w:sz w:val="20"/>
                <w:szCs w:val="20"/>
              </w:rPr>
            </w:pPr>
            <w:r>
              <w:rPr>
                <w:b/>
                <w:bCs/>
                <w:color w:val="000000"/>
                <w:sz w:val="20"/>
                <w:szCs w:val="20"/>
              </w:rPr>
              <w:t>Totals</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14:paraId="2D1A08E7" w14:textId="77777777" w:rsidR="008E314D" w:rsidRDefault="002649C1" w:rsidP="008B2348">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6</w:t>
            </w:r>
            <w:r w:rsidR="008E314D" w:rsidRPr="006A6ABE">
              <w:rPr>
                <w:b/>
                <w:bCs/>
                <w:color w:val="000000"/>
                <w:sz w:val="20"/>
                <w:szCs w:val="20"/>
              </w:rPr>
              <w:t xml:space="preserve"> schools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14:paraId="5AD45531" w14:textId="3216F874" w:rsidR="008E314D" w:rsidRDefault="002649C1">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P</w:t>
            </w:r>
            <w:r w:rsidR="00082DB9">
              <w:rPr>
                <w:b/>
                <w:bCs/>
                <w:color w:val="000000"/>
                <w:sz w:val="20"/>
                <w:szCs w:val="20"/>
              </w:rPr>
              <w:t>re-</w:t>
            </w:r>
            <w:r>
              <w:rPr>
                <w:b/>
                <w:bCs/>
                <w:color w:val="000000"/>
                <w:sz w:val="20"/>
                <w:szCs w:val="20"/>
              </w:rPr>
              <w:t>K</w:t>
            </w:r>
            <w:r w:rsidR="00082DB9">
              <w:rPr>
                <w:b/>
                <w:bCs/>
                <w:color w:val="000000"/>
                <w:sz w:val="20"/>
                <w:szCs w:val="20"/>
              </w:rPr>
              <w:t>–</w:t>
            </w:r>
            <w:r>
              <w:rPr>
                <w:b/>
                <w:bCs/>
                <w:color w:val="000000"/>
                <w:sz w:val="20"/>
                <w:szCs w:val="20"/>
              </w:rPr>
              <w:t>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1ED51963" w14:textId="3646412C" w:rsidR="008E314D" w:rsidRDefault="002649C1">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3,</w:t>
            </w:r>
            <w:r w:rsidR="00AA017F">
              <w:rPr>
                <w:b/>
                <w:bCs/>
                <w:color w:val="000000"/>
                <w:sz w:val="20"/>
                <w:szCs w:val="20"/>
              </w:rPr>
              <w:t>505</w:t>
            </w:r>
          </w:p>
        </w:tc>
      </w:tr>
      <w:tr w:rsidR="008E314D" w:rsidRPr="00AA1E10" w14:paraId="1CE6EB21" w14:textId="77777777" w:rsidTr="00350132">
        <w:trPr>
          <w:trHeight w:val="44"/>
          <w:jc w:val="center"/>
        </w:trPr>
        <w:tc>
          <w:tcPr>
            <w:tcW w:w="8856" w:type="dxa"/>
            <w:gridSpan w:val="4"/>
            <w:tcBorders>
              <w:top w:val="nil"/>
              <w:left w:val="single" w:sz="8" w:space="0" w:color="auto"/>
              <w:bottom w:val="single" w:sz="8" w:space="0" w:color="auto"/>
              <w:right w:val="single" w:sz="8" w:space="0" w:color="auto"/>
            </w:tcBorders>
            <w:tcMar>
              <w:top w:w="0" w:type="dxa"/>
              <w:left w:w="115" w:type="dxa"/>
              <w:bottom w:w="0" w:type="dxa"/>
              <w:right w:w="115" w:type="dxa"/>
            </w:tcMar>
            <w:vAlign w:val="center"/>
            <w:hideMark/>
          </w:tcPr>
          <w:p w14:paraId="3B007DCD" w14:textId="403F1651" w:rsidR="008E314D" w:rsidRDefault="008E314D" w:rsidP="00082DB9">
            <w:pPr>
              <w:tabs>
                <w:tab w:val="left" w:pos="360"/>
                <w:tab w:val="left" w:pos="720"/>
                <w:tab w:val="left" w:pos="1080"/>
                <w:tab w:val="left" w:pos="1440"/>
                <w:tab w:val="left" w:pos="1800"/>
                <w:tab w:val="left" w:pos="2160"/>
                <w:tab w:val="left" w:pos="2520"/>
                <w:tab w:val="left" w:pos="2880"/>
              </w:tabs>
              <w:rPr>
                <w:color w:val="000000"/>
                <w:sz w:val="20"/>
                <w:szCs w:val="20"/>
              </w:rPr>
            </w:pPr>
            <w:r w:rsidRPr="00AA1E10">
              <w:rPr>
                <w:color w:val="000000"/>
                <w:sz w:val="20"/>
                <w:szCs w:val="20"/>
              </w:rPr>
              <w:t xml:space="preserve">*As of </w:t>
            </w:r>
            <w:r w:rsidR="00C85CD0">
              <w:rPr>
                <w:color w:val="000000"/>
                <w:sz w:val="20"/>
                <w:szCs w:val="20"/>
              </w:rPr>
              <w:t xml:space="preserve">October 1, </w:t>
            </w:r>
            <w:r w:rsidR="00082DB9">
              <w:rPr>
                <w:color w:val="000000"/>
                <w:sz w:val="20"/>
                <w:szCs w:val="20"/>
              </w:rPr>
              <w:t>2017</w:t>
            </w:r>
          </w:p>
        </w:tc>
      </w:tr>
    </w:tbl>
    <w:p w14:paraId="61D719AB" w14:textId="77777777" w:rsidR="008E314D" w:rsidRDefault="008E314D" w:rsidP="008E314D">
      <w:pPr>
        <w:tabs>
          <w:tab w:val="left" w:pos="360"/>
          <w:tab w:val="left" w:pos="720"/>
          <w:tab w:val="left" w:pos="1080"/>
          <w:tab w:val="left" w:pos="1440"/>
          <w:tab w:val="left" w:pos="1800"/>
          <w:tab w:val="left" w:pos="2160"/>
          <w:tab w:val="left" w:pos="2520"/>
          <w:tab w:val="left" w:pos="2880"/>
        </w:tabs>
      </w:pPr>
    </w:p>
    <w:p w14:paraId="1400964E" w14:textId="19C0FA4D" w:rsidR="008E314D" w:rsidRDefault="00E25B2F" w:rsidP="008E314D">
      <w:pPr>
        <w:tabs>
          <w:tab w:val="left" w:pos="360"/>
          <w:tab w:val="left" w:pos="720"/>
          <w:tab w:val="left" w:pos="1080"/>
          <w:tab w:val="left" w:pos="1440"/>
          <w:tab w:val="left" w:pos="1800"/>
          <w:tab w:val="left" w:pos="2160"/>
          <w:tab w:val="left" w:pos="2520"/>
          <w:tab w:val="left" w:pos="2880"/>
        </w:tabs>
      </w:pPr>
      <w:r>
        <w:t xml:space="preserve">Between </w:t>
      </w:r>
      <w:r w:rsidR="00FE6A61">
        <w:t xml:space="preserve">2014 </w:t>
      </w:r>
      <w:r>
        <w:t xml:space="preserve">and </w:t>
      </w:r>
      <w:r w:rsidR="00FE6A61">
        <w:t xml:space="preserve">2018 </w:t>
      </w:r>
      <w:r w:rsidR="008E314D">
        <w:t xml:space="preserve">overall student </w:t>
      </w:r>
      <w:r w:rsidR="008E314D" w:rsidRPr="005300ED">
        <w:t xml:space="preserve">enrollment </w:t>
      </w:r>
      <w:r w:rsidR="005300ED" w:rsidRPr="005300ED">
        <w:t>increased</w:t>
      </w:r>
      <w:r w:rsidR="00D65E71" w:rsidRPr="005300ED">
        <w:t xml:space="preserve"> by</w:t>
      </w:r>
      <w:r w:rsidRPr="005300ED">
        <w:t xml:space="preserve"> </w:t>
      </w:r>
      <w:r w:rsidR="00FE6A61">
        <w:t>4.7</w:t>
      </w:r>
      <w:r w:rsidR="005300ED" w:rsidRPr="005300ED">
        <w:t xml:space="preserve"> </w:t>
      </w:r>
      <w:r w:rsidR="008E314D" w:rsidRPr="005300ED">
        <w:t>percent.</w:t>
      </w:r>
      <w:r w:rsidR="008E314D">
        <w:t xml:space="preserve"> </w:t>
      </w:r>
      <w:r w:rsidR="008E314D" w:rsidRPr="00AE2098">
        <w:t xml:space="preserve">Enrollment figures by race/ethnicity and high needs populations (i.e., students with disabilities, </w:t>
      </w:r>
      <w:r w:rsidR="00BC074D">
        <w:t xml:space="preserve">economically disadvantaged </w:t>
      </w:r>
      <w:r w:rsidR="00FE6A61">
        <w:t>students</w:t>
      </w:r>
      <w:r w:rsidR="008E314D" w:rsidRPr="00AE2098">
        <w:t xml:space="preserve">, and </w:t>
      </w:r>
      <w:r w:rsidR="008E314D">
        <w:t>English language learners (</w:t>
      </w:r>
      <w:r w:rsidR="008E314D" w:rsidRPr="00AE2098">
        <w:t>ELL</w:t>
      </w:r>
      <w:r w:rsidR="008E314D">
        <w:t>s)</w:t>
      </w:r>
      <w:r w:rsidR="008E314D" w:rsidRPr="00AE2098">
        <w:t xml:space="preserve"> and </w:t>
      </w:r>
      <w:r w:rsidR="008E314D">
        <w:t>f</w:t>
      </w:r>
      <w:r w:rsidR="008E314D" w:rsidRPr="00AE2098">
        <w:t>ormer ELL</w:t>
      </w:r>
      <w:r w:rsidR="008E314D">
        <w:t>s</w:t>
      </w:r>
      <w:r w:rsidR="008E314D" w:rsidRPr="00AE2098">
        <w:t xml:space="preserve">) as compared </w:t>
      </w:r>
      <w:r w:rsidR="00931979">
        <w:t>with</w:t>
      </w:r>
      <w:r w:rsidR="008E314D" w:rsidRPr="00AE2098">
        <w:t xml:space="preserve"> the state a</w:t>
      </w:r>
      <w:r w:rsidR="008E314D">
        <w:t>re provided in Tables B1a and B1b in Appendix B.</w:t>
      </w:r>
    </w:p>
    <w:p w14:paraId="7592F85D" w14:textId="0A9A9EF3" w:rsidR="008E314D" w:rsidRDefault="008E314D" w:rsidP="008E314D">
      <w:pPr>
        <w:tabs>
          <w:tab w:val="left" w:pos="360"/>
          <w:tab w:val="left" w:pos="720"/>
          <w:tab w:val="left" w:pos="1080"/>
          <w:tab w:val="left" w:pos="1440"/>
          <w:tab w:val="left" w:pos="1800"/>
          <w:tab w:val="left" w:pos="2160"/>
          <w:tab w:val="left" w:pos="2520"/>
          <w:tab w:val="left" w:pos="2880"/>
        </w:tabs>
      </w:pPr>
      <w:r>
        <w:t xml:space="preserve">Total in-district per-pupil expenditures </w:t>
      </w:r>
      <w:r w:rsidRPr="007D60C2">
        <w:t xml:space="preserve">were </w:t>
      </w:r>
      <w:r w:rsidR="007D60C2" w:rsidRPr="007D60C2">
        <w:t>lower than</w:t>
      </w:r>
      <w:r w:rsidRPr="007D60C2">
        <w:t xml:space="preserve"> the median in-district </w:t>
      </w:r>
      <w:r w:rsidR="00FE6A61" w:rsidRPr="007D60C2">
        <w:t>per</w:t>
      </w:r>
      <w:r w:rsidR="00FE6A61">
        <w:t>-</w:t>
      </w:r>
      <w:r w:rsidRPr="007D60C2">
        <w:t xml:space="preserve">pupil expenditures for </w:t>
      </w:r>
      <w:r w:rsidR="00FE6A61">
        <w:t xml:space="preserve">31 </w:t>
      </w:r>
      <w:r w:rsidR="005300ED" w:rsidRPr="007D60C2">
        <w:t>K</w:t>
      </w:r>
      <w:r w:rsidR="00FE6A61">
        <w:t>–</w:t>
      </w:r>
      <w:r w:rsidR="005300ED" w:rsidRPr="007D60C2">
        <w:t xml:space="preserve">12 districts </w:t>
      </w:r>
      <w:r w:rsidRPr="007D60C2">
        <w:t xml:space="preserve">of similar size </w:t>
      </w:r>
      <w:r w:rsidR="00FE6A61">
        <w:t xml:space="preserve">(3,000–3,999 students) </w:t>
      </w:r>
      <w:r w:rsidRPr="007D60C2">
        <w:t xml:space="preserve">in fiscal year </w:t>
      </w:r>
      <w:r w:rsidR="00FE6A61" w:rsidRPr="007D60C2">
        <w:t>201</w:t>
      </w:r>
      <w:r w:rsidR="00FE6A61">
        <w:t>7</w:t>
      </w:r>
      <w:r w:rsidRPr="007D60C2">
        <w:t>:  $</w:t>
      </w:r>
      <w:r w:rsidR="00FE6A61">
        <w:t>14,147</w:t>
      </w:r>
      <w:r w:rsidRPr="007D60C2">
        <w:t xml:space="preserve"> as compared with $</w:t>
      </w:r>
      <w:r w:rsidR="00FE6A61">
        <w:t>14,644</w:t>
      </w:r>
      <w:r w:rsidRPr="007D60C2">
        <w:t xml:space="preserve"> (see</w:t>
      </w:r>
      <w:r w:rsidR="001B79E4" w:rsidRPr="007D60C2">
        <w:t xml:space="preserve"> </w:t>
      </w:r>
      <w:hyperlink r:id="rId22" w:history="1">
        <w:r w:rsidR="001B79E4" w:rsidRPr="007D60C2">
          <w:rPr>
            <w:rStyle w:val="Hyperlink"/>
          </w:rPr>
          <w:t>District Analysis and Review Tool Detail: Staffing &amp; Finance</w:t>
        </w:r>
      </w:hyperlink>
      <w:r w:rsidRPr="007D60C2">
        <w:t>). Actual net school spending has been above</w:t>
      </w:r>
      <w:r w:rsidR="005300ED" w:rsidRPr="007D60C2">
        <w:t xml:space="preserve"> </w:t>
      </w:r>
      <w:r w:rsidRPr="007D60C2">
        <w:t xml:space="preserve">what is required </w:t>
      </w:r>
      <w:r w:rsidR="00C96E5A" w:rsidRPr="007D60C2">
        <w:t>by the Chapter 70 state education aid program</w:t>
      </w:r>
      <w:r w:rsidR="00602AE2" w:rsidRPr="007D60C2">
        <w:t xml:space="preserve">, as shown in Table </w:t>
      </w:r>
      <w:r w:rsidR="00FE6A61" w:rsidRPr="007D60C2">
        <w:t>B</w:t>
      </w:r>
      <w:r w:rsidR="00FE6A61">
        <w:t>3</w:t>
      </w:r>
      <w:r w:rsidR="00FE6A61" w:rsidRPr="007D60C2">
        <w:t xml:space="preserve"> </w:t>
      </w:r>
      <w:r w:rsidRPr="007D60C2">
        <w:t>in Appendix B.</w:t>
      </w:r>
    </w:p>
    <w:p w14:paraId="224EF34F" w14:textId="2CBF9C47"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E06B74">
        <w:t>Student Performance</w:t>
      </w:r>
    </w:p>
    <w:p w14:paraId="40E0CEEA" w14:textId="07AD8DEC" w:rsidR="00134236" w:rsidRPr="00134236" w:rsidRDefault="00134236" w:rsidP="00134236">
      <w:pPr>
        <w:spacing w:after="0"/>
        <w:rPr>
          <w:rFonts w:cs="Times New Roman"/>
        </w:rPr>
      </w:pPr>
      <w:r w:rsidRPr="00134236">
        <w:rPr>
          <w:rFonts w:cs="Times New Roman"/>
          <w:b/>
        </w:rPr>
        <w:t>Note:</w:t>
      </w:r>
      <w:r w:rsidRPr="00134236">
        <w:rPr>
          <w:rFonts w:cs="Times New Roman"/>
        </w:rPr>
        <w:t xml:space="preserve"> The Next-Generation MCAS assessment is administered to grades 3</w:t>
      </w:r>
      <w:r w:rsidR="00915376">
        <w:rPr>
          <w:rFonts w:cs="Times New Roman"/>
        </w:rPr>
        <w:t>–</w:t>
      </w:r>
      <w:r w:rsidRPr="00134236">
        <w:rPr>
          <w:rFonts w:cs="Times New Roman"/>
        </w:rPr>
        <w:t xml:space="preserve">8 in English language arts (ELA) and mathematics; it was administered for the first time in 2017. (For more information, see </w:t>
      </w:r>
      <w:hyperlink r:id="rId23" w:history="1">
        <w:r w:rsidRPr="00134236">
          <w:rPr>
            <w:rFonts w:cs="Times New Roman"/>
            <w:color w:val="0000FF" w:themeColor="hyperlink"/>
            <w:u w:val="single"/>
          </w:rPr>
          <w:t>http://www.doe.mass.edu/mcas/parents/results-faq.html</w:t>
        </w:r>
      </w:hyperlink>
      <w:r w:rsidRPr="00134236">
        <w:rPr>
          <w:rFonts w:cs="Times New Roman"/>
        </w:rPr>
        <w:t xml:space="preserve">.) The MCAS </w:t>
      </w:r>
      <w:r w:rsidR="004E4F6C">
        <w:rPr>
          <w:rFonts w:cs="Times New Roman"/>
        </w:rPr>
        <w:t xml:space="preserve">assessment </w:t>
      </w:r>
      <w:r w:rsidRPr="00134236">
        <w:rPr>
          <w:rFonts w:cs="Times New Roman"/>
        </w:rPr>
        <w:t>is administered to grades 5 and 8 in science and to grade 10 in ELA, math, and science. Data from the two assessments are presented separately because the tests are different and cannot be compared.</w:t>
      </w:r>
    </w:p>
    <w:p w14:paraId="0B6EBE4E" w14:textId="77777777" w:rsidR="00134236" w:rsidRPr="00134236" w:rsidRDefault="00134236" w:rsidP="00134236">
      <w:pPr>
        <w:spacing w:after="0"/>
        <w:rPr>
          <w:rFonts w:cs="Times New Roman"/>
        </w:rPr>
      </w:pPr>
    </w:p>
    <w:p w14:paraId="44B8E0F2" w14:textId="771DA5ED" w:rsidR="00134236" w:rsidRPr="00134236" w:rsidRDefault="00134236" w:rsidP="00134236">
      <w:pPr>
        <w:spacing w:after="0"/>
        <w:rPr>
          <w:rFonts w:cs="Times New Roman"/>
          <w:b/>
        </w:rPr>
      </w:pPr>
      <w:r w:rsidRPr="00134236">
        <w:rPr>
          <w:rFonts w:cs="Times New Roman"/>
          <w:b/>
        </w:rPr>
        <w:t xml:space="preserve">The average scaled score on the Next-Generation MCAS </w:t>
      </w:r>
      <w:r w:rsidR="004E4F6C">
        <w:rPr>
          <w:rFonts w:cs="Times New Roman"/>
          <w:b/>
        </w:rPr>
        <w:t xml:space="preserve">assessment </w:t>
      </w:r>
      <w:r w:rsidRPr="00134236">
        <w:rPr>
          <w:rFonts w:cs="Times New Roman"/>
          <w:b/>
        </w:rPr>
        <w:t>for all students was above the state rate by 0.2 point in ELA and by 1.9 points in math.</w:t>
      </w:r>
    </w:p>
    <w:p w14:paraId="039A7451" w14:textId="2B27D7E9" w:rsidR="00134236" w:rsidRDefault="00134236" w:rsidP="00134236">
      <w:pPr>
        <w:spacing w:after="0"/>
        <w:rPr>
          <w:rFonts w:cs="Times New Roman"/>
        </w:rPr>
      </w:pPr>
    </w:p>
    <w:p w14:paraId="3292C290" w14:textId="77777777" w:rsidR="00F82EB5" w:rsidRPr="00134236" w:rsidRDefault="00F82EB5" w:rsidP="00134236">
      <w:pPr>
        <w:spacing w:after="0"/>
        <w:rPr>
          <w:rFonts w:cs="Times New Roman"/>
        </w:rPr>
      </w:pPr>
    </w:p>
    <w:tbl>
      <w:tblPr>
        <w:tblStyle w:val="TableGrid5"/>
        <w:tblW w:w="0" w:type="auto"/>
        <w:tblLook w:val="04A0" w:firstRow="1" w:lastRow="0" w:firstColumn="1" w:lastColumn="0" w:noHBand="0" w:noVBand="1"/>
        <w:tblCaption w:val="Table 2: Wakefield Public Schools"/>
        <w:tblDescription w:val="Next-Generation MCAS ELA and Math Average Scaled Score (SS) Grades 3–8, 2017"/>
      </w:tblPr>
      <w:tblGrid>
        <w:gridCol w:w="1169"/>
        <w:gridCol w:w="1366"/>
        <w:gridCol w:w="1365"/>
        <w:gridCol w:w="1365"/>
        <w:gridCol w:w="1365"/>
        <w:gridCol w:w="1365"/>
        <w:gridCol w:w="1365"/>
      </w:tblGrid>
      <w:tr w:rsidR="00134236" w:rsidRPr="00134236" w14:paraId="2CF3FED3" w14:textId="77777777" w:rsidTr="00BB0032">
        <w:trPr>
          <w:tblHeader/>
        </w:trPr>
        <w:tc>
          <w:tcPr>
            <w:tcW w:w="9576" w:type="dxa"/>
            <w:gridSpan w:val="7"/>
            <w:tcBorders>
              <w:top w:val="nil"/>
              <w:left w:val="nil"/>
              <w:right w:val="nil"/>
            </w:tcBorders>
          </w:tcPr>
          <w:p w14:paraId="576CF714" w14:textId="77777777" w:rsidR="00134236" w:rsidRPr="00134236" w:rsidRDefault="00134236" w:rsidP="00134236">
            <w:pPr>
              <w:spacing w:after="0" w:line="240" w:lineRule="auto"/>
              <w:jc w:val="center"/>
              <w:rPr>
                <w:rFonts w:cs="Times New Roman"/>
                <w:b/>
                <w:sz w:val="20"/>
                <w:szCs w:val="20"/>
              </w:rPr>
            </w:pPr>
            <w:r w:rsidRPr="00134236">
              <w:rPr>
                <w:rFonts w:cs="Times New Roman"/>
                <w:b/>
                <w:sz w:val="20"/>
                <w:szCs w:val="20"/>
              </w:rPr>
              <w:lastRenderedPageBreak/>
              <w:t>Table 2: Wakefield Public Schools</w:t>
            </w:r>
          </w:p>
          <w:p w14:paraId="0A4FA830" w14:textId="477379CC" w:rsidR="00134236" w:rsidRPr="00134236" w:rsidRDefault="00134236" w:rsidP="002E0C9C">
            <w:pPr>
              <w:spacing w:after="0" w:line="240" w:lineRule="auto"/>
              <w:jc w:val="center"/>
              <w:rPr>
                <w:rFonts w:cs="Times New Roman"/>
                <w:sz w:val="20"/>
                <w:szCs w:val="20"/>
              </w:rPr>
            </w:pPr>
            <w:r w:rsidRPr="00134236">
              <w:rPr>
                <w:rFonts w:cs="Times New Roman"/>
                <w:b/>
                <w:sz w:val="20"/>
                <w:szCs w:val="20"/>
              </w:rPr>
              <w:t xml:space="preserve">Next-Generation MCAS ELA and Math Average Scaled Score </w:t>
            </w:r>
            <w:r w:rsidR="002E0C9C">
              <w:rPr>
                <w:rFonts w:cs="Times New Roman"/>
                <w:b/>
                <w:sz w:val="20"/>
                <w:szCs w:val="20"/>
              </w:rPr>
              <w:t xml:space="preserve">(SS) </w:t>
            </w:r>
            <w:r w:rsidRPr="00134236">
              <w:rPr>
                <w:rFonts w:cs="Times New Roman"/>
                <w:b/>
                <w:sz w:val="20"/>
                <w:szCs w:val="20"/>
              </w:rPr>
              <w:t>Grades 3</w:t>
            </w:r>
            <w:r w:rsidR="002E0C9C">
              <w:rPr>
                <w:rFonts w:cs="Times New Roman"/>
                <w:b/>
                <w:sz w:val="20"/>
                <w:szCs w:val="20"/>
              </w:rPr>
              <w:t>–</w:t>
            </w:r>
            <w:r w:rsidRPr="00134236">
              <w:rPr>
                <w:rFonts w:cs="Times New Roman"/>
                <w:b/>
                <w:sz w:val="20"/>
                <w:szCs w:val="20"/>
              </w:rPr>
              <w:t>8, 2017</w:t>
            </w:r>
          </w:p>
        </w:tc>
      </w:tr>
      <w:tr w:rsidR="00134236" w:rsidRPr="00134236" w14:paraId="7C0D94A3" w14:textId="77777777" w:rsidTr="00CB28A8">
        <w:tc>
          <w:tcPr>
            <w:tcW w:w="1188" w:type="dxa"/>
            <w:shd w:val="clear" w:color="auto" w:fill="D9D9D9" w:themeFill="background1" w:themeFillShade="D9"/>
          </w:tcPr>
          <w:p w14:paraId="27839FC6" w14:textId="1B361316" w:rsidR="00134236" w:rsidRPr="00E22258" w:rsidRDefault="00915376" w:rsidP="00134236">
            <w:pPr>
              <w:spacing w:after="0" w:line="240" w:lineRule="auto"/>
              <w:rPr>
                <w:rFonts w:cs="Times New Roman"/>
                <w:b/>
                <w:sz w:val="20"/>
                <w:szCs w:val="20"/>
              </w:rPr>
            </w:pPr>
            <w:r w:rsidRPr="00E22258">
              <w:rPr>
                <w:rFonts w:cs="Times New Roman"/>
                <w:b/>
                <w:sz w:val="20"/>
                <w:szCs w:val="20"/>
              </w:rPr>
              <w:t>Group</w:t>
            </w:r>
          </w:p>
        </w:tc>
        <w:tc>
          <w:tcPr>
            <w:tcW w:w="1398" w:type="dxa"/>
            <w:shd w:val="clear" w:color="auto" w:fill="D9D9D9" w:themeFill="background1" w:themeFillShade="D9"/>
          </w:tcPr>
          <w:p w14:paraId="7F952E77" w14:textId="77777777" w:rsidR="00134236" w:rsidRPr="00134236" w:rsidRDefault="00134236" w:rsidP="00134236">
            <w:pPr>
              <w:spacing w:after="0" w:line="240" w:lineRule="auto"/>
              <w:jc w:val="center"/>
              <w:rPr>
                <w:rFonts w:cs="Times New Roman"/>
                <w:b/>
                <w:sz w:val="20"/>
                <w:szCs w:val="20"/>
              </w:rPr>
            </w:pPr>
            <w:r w:rsidRPr="00134236">
              <w:rPr>
                <w:rFonts w:cs="Times New Roman"/>
                <w:b/>
                <w:sz w:val="20"/>
                <w:szCs w:val="20"/>
              </w:rPr>
              <w:t>N</w:t>
            </w:r>
          </w:p>
        </w:tc>
        <w:tc>
          <w:tcPr>
            <w:tcW w:w="1398" w:type="dxa"/>
            <w:shd w:val="clear" w:color="auto" w:fill="D9D9D9" w:themeFill="background1" w:themeFillShade="D9"/>
          </w:tcPr>
          <w:p w14:paraId="19248CA2" w14:textId="77777777" w:rsidR="00134236" w:rsidRPr="00134236" w:rsidRDefault="00134236" w:rsidP="00134236">
            <w:pPr>
              <w:spacing w:after="0" w:line="240" w:lineRule="auto"/>
              <w:jc w:val="center"/>
              <w:rPr>
                <w:rFonts w:cs="Times New Roman"/>
                <w:b/>
                <w:sz w:val="20"/>
                <w:szCs w:val="20"/>
              </w:rPr>
            </w:pPr>
            <w:r w:rsidRPr="00134236">
              <w:rPr>
                <w:rFonts w:cs="Times New Roman"/>
                <w:b/>
                <w:sz w:val="20"/>
                <w:szCs w:val="20"/>
              </w:rPr>
              <w:t>ELA SS</w:t>
            </w:r>
          </w:p>
        </w:tc>
        <w:tc>
          <w:tcPr>
            <w:tcW w:w="1398" w:type="dxa"/>
            <w:shd w:val="clear" w:color="auto" w:fill="D9D9D9" w:themeFill="background1" w:themeFillShade="D9"/>
          </w:tcPr>
          <w:p w14:paraId="2A33F101" w14:textId="77777777" w:rsidR="00134236" w:rsidRPr="00134236" w:rsidRDefault="00134236" w:rsidP="00134236">
            <w:pPr>
              <w:spacing w:after="0" w:line="240" w:lineRule="auto"/>
              <w:jc w:val="center"/>
              <w:rPr>
                <w:rFonts w:cs="Times New Roman"/>
                <w:b/>
                <w:sz w:val="20"/>
                <w:szCs w:val="20"/>
              </w:rPr>
            </w:pPr>
            <w:r w:rsidRPr="00134236">
              <w:rPr>
                <w:rFonts w:cs="Times New Roman"/>
                <w:b/>
                <w:sz w:val="20"/>
                <w:szCs w:val="20"/>
              </w:rPr>
              <w:t>State SS</w:t>
            </w:r>
          </w:p>
        </w:tc>
        <w:tc>
          <w:tcPr>
            <w:tcW w:w="1398" w:type="dxa"/>
            <w:shd w:val="clear" w:color="auto" w:fill="D9D9D9" w:themeFill="background1" w:themeFillShade="D9"/>
          </w:tcPr>
          <w:p w14:paraId="25B17826" w14:textId="77777777" w:rsidR="00134236" w:rsidRPr="00134236" w:rsidRDefault="00134236" w:rsidP="00134236">
            <w:pPr>
              <w:spacing w:after="0" w:line="240" w:lineRule="auto"/>
              <w:jc w:val="center"/>
              <w:rPr>
                <w:rFonts w:cs="Times New Roman"/>
                <w:b/>
                <w:sz w:val="20"/>
                <w:szCs w:val="20"/>
              </w:rPr>
            </w:pPr>
            <w:r w:rsidRPr="00134236">
              <w:rPr>
                <w:rFonts w:cs="Times New Roman"/>
                <w:b/>
                <w:sz w:val="20"/>
                <w:szCs w:val="20"/>
              </w:rPr>
              <w:t>N</w:t>
            </w:r>
          </w:p>
        </w:tc>
        <w:tc>
          <w:tcPr>
            <w:tcW w:w="1398" w:type="dxa"/>
            <w:shd w:val="clear" w:color="auto" w:fill="D9D9D9" w:themeFill="background1" w:themeFillShade="D9"/>
          </w:tcPr>
          <w:p w14:paraId="245B19E8" w14:textId="77777777" w:rsidR="00134236" w:rsidRPr="00134236" w:rsidRDefault="00134236" w:rsidP="00134236">
            <w:pPr>
              <w:spacing w:after="0" w:line="240" w:lineRule="auto"/>
              <w:jc w:val="center"/>
              <w:rPr>
                <w:rFonts w:cs="Times New Roman"/>
                <w:b/>
                <w:sz w:val="20"/>
                <w:szCs w:val="20"/>
              </w:rPr>
            </w:pPr>
            <w:r w:rsidRPr="00134236">
              <w:rPr>
                <w:rFonts w:cs="Times New Roman"/>
                <w:b/>
                <w:sz w:val="20"/>
                <w:szCs w:val="20"/>
              </w:rPr>
              <w:t>Math SS</w:t>
            </w:r>
          </w:p>
        </w:tc>
        <w:tc>
          <w:tcPr>
            <w:tcW w:w="1398" w:type="dxa"/>
            <w:shd w:val="clear" w:color="auto" w:fill="D9D9D9" w:themeFill="background1" w:themeFillShade="D9"/>
          </w:tcPr>
          <w:p w14:paraId="55FD936D" w14:textId="77777777" w:rsidR="00134236" w:rsidRPr="00134236" w:rsidRDefault="00134236" w:rsidP="00134236">
            <w:pPr>
              <w:spacing w:after="0" w:line="240" w:lineRule="auto"/>
              <w:jc w:val="center"/>
              <w:rPr>
                <w:rFonts w:cs="Times New Roman"/>
                <w:b/>
                <w:sz w:val="20"/>
                <w:szCs w:val="20"/>
              </w:rPr>
            </w:pPr>
            <w:r w:rsidRPr="00134236">
              <w:rPr>
                <w:rFonts w:cs="Times New Roman"/>
                <w:b/>
                <w:sz w:val="20"/>
                <w:szCs w:val="20"/>
              </w:rPr>
              <w:t>State SS</w:t>
            </w:r>
          </w:p>
        </w:tc>
      </w:tr>
      <w:tr w:rsidR="00134236" w:rsidRPr="00134236" w14:paraId="73E8D605" w14:textId="77777777" w:rsidTr="00CB28A8">
        <w:tc>
          <w:tcPr>
            <w:tcW w:w="1188" w:type="dxa"/>
          </w:tcPr>
          <w:p w14:paraId="300C1B77" w14:textId="77777777" w:rsidR="00134236" w:rsidRPr="00134236" w:rsidRDefault="00134236" w:rsidP="00134236">
            <w:pPr>
              <w:spacing w:after="0" w:line="240" w:lineRule="auto"/>
              <w:rPr>
                <w:rFonts w:cs="Times New Roman"/>
                <w:sz w:val="20"/>
                <w:szCs w:val="20"/>
              </w:rPr>
            </w:pPr>
            <w:r w:rsidRPr="00134236">
              <w:rPr>
                <w:rFonts w:cs="Times New Roman"/>
                <w:sz w:val="20"/>
                <w:szCs w:val="20"/>
              </w:rPr>
              <w:t>High Needs</w:t>
            </w:r>
          </w:p>
        </w:tc>
        <w:tc>
          <w:tcPr>
            <w:tcW w:w="1398" w:type="dxa"/>
          </w:tcPr>
          <w:p w14:paraId="5B866D95"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494</w:t>
            </w:r>
          </w:p>
        </w:tc>
        <w:tc>
          <w:tcPr>
            <w:tcW w:w="1398" w:type="dxa"/>
          </w:tcPr>
          <w:p w14:paraId="4F26E6A9"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487.1</w:t>
            </w:r>
          </w:p>
        </w:tc>
        <w:tc>
          <w:tcPr>
            <w:tcW w:w="1398" w:type="dxa"/>
          </w:tcPr>
          <w:p w14:paraId="226BD310"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488.5</w:t>
            </w:r>
          </w:p>
        </w:tc>
        <w:tc>
          <w:tcPr>
            <w:tcW w:w="1398" w:type="dxa"/>
          </w:tcPr>
          <w:p w14:paraId="1D8CD558"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497</w:t>
            </w:r>
          </w:p>
        </w:tc>
        <w:tc>
          <w:tcPr>
            <w:tcW w:w="1398" w:type="dxa"/>
          </w:tcPr>
          <w:p w14:paraId="3EE16437"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487.8</w:t>
            </w:r>
          </w:p>
        </w:tc>
        <w:tc>
          <w:tcPr>
            <w:tcW w:w="1398" w:type="dxa"/>
          </w:tcPr>
          <w:p w14:paraId="67CE6440"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488.1</w:t>
            </w:r>
          </w:p>
        </w:tc>
      </w:tr>
      <w:tr w:rsidR="00134236" w:rsidRPr="00134236" w14:paraId="09BBFE5A" w14:textId="77777777" w:rsidTr="00CB28A8">
        <w:tc>
          <w:tcPr>
            <w:tcW w:w="1188" w:type="dxa"/>
            <w:shd w:val="clear" w:color="auto" w:fill="D9D9D9" w:themeFill="background1" w:themeFillShade="D9"/>
          </w:tcPr>
          <w:p w14:paraId="466777CD" w14:textId="77777777" w:rsidR="00134236" w:rsidRPr="00134236" w:rsidRDefault="00134236" w:rsidP="00134236">
            <w:pPr>
              <w:spacing w:after="0" w:line="240" w:lineRule="auto"/>
              <w:rPr>
                <w:rFonts w:cs="Times New Roman"/>
                <w:sz w:val="20"/>
                <w:szCs w:val="20"/>
              </w:rPr>
            </w:pPr>
            <w:r w:rsidRPr="00134236">
              <w:rPr>
                <w:rFonts w:cs="Times New Roman"/>
                <w:sz w:val="20"/>
                <w:szCs w:val="20"/>
              </w:rPr>
              <w:t>Econ. Dis.</w:t>
            </w:r>
          </w:p>
        </w:tc>
        <w:tc>
          <w:tcPr>
            <w:tcW w:w="1398" w:type="dxa"/>
            <w:shd w:val="clear" w:color="auto" w:fill="D9D9D9" w:themeFill="background1" w:themeFillShade="D9"/>
          </w:tcPr>
          <w:p w14:paraId="0A6BC23A"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247</w:t>
            </w:r>
          </w:p>
        </w:tc>
        <w:tc>
          <w:tcPr>
            <w:tcW w:w="1398" w:type="dxa"/>
            <w:shd w:val="clear" w:color="auto" w:fill="D9D9D9" w:themeFill="background1" w:themeFillShade="D9"/>
          </w:tcPr>
          <w:p w14:paraId="6306DADF"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491.1</w:t>
            </w:r>
          </w:p>
        </w:tc>
        <w:tc>
          <w:tcPr>
            <w:tcW w:w="1398" w:type="dxa"/>
            <w:shd w:val="clear" w:color="auto" w:fill="D9D9D9" w:themeFill="background1" w:themeFillShade="D9"/>
          </w:tcPr>
          <w:p w14:paraId="190798DF"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489.2</w:t>
            </w:r>
          </w:p>
        </w:tc>
        <w:tc>
          <w:tcPr>
            <w:tcW w:w="1398" w:type="dxa"/>
            <w:shd w:val="clear" w:color="auto" w:fill="D9D9D9" w:themeFill="background1" w:themeFillShade="D9"/>
          </w:tcPr>
          <w:p w14:paraId="53806027"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247</w:t>
            </w:r>
          </w:p>
        </w:tc>
        <w:tc>
          <w:tcPr>
            <w:tcW w:w="1398" w:type="dxa"/>
            <w:shd w:val="clear" w:color="auto" w:fill="D9D9D9" w:themeFill="background1" w:themeFillShade="D9"/>
          </w:tcPr>
          <w:p w14:paraId="7EF59A65"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491.2</w:t>
            </w:r>
          </w:p>
        </w:tc>
        <w:tc>
          <w:tcPr>
            <w:tcW w:w="1398" w:type="dxa"/>
            <w:shd w:val="clear" w:color="auto" w:fill="D9D9D9" w:themeFill="background1" w:themeFillShade="D9"/>
          </w:tcPr>
          <w:p w14:paraId="2F3119EA"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488.1</w:t>
            </w:r>
          </w:p>
        </w:tc>
      </w:tr>
      <w:tr w:rsidR="00134236" w:rsidRPr="00134236" w14:paraId="5BE1A3B8" w14:textId="77777777" w:rsidTr="00CB28A8">
        <w:tc>
          <w:tcPr>
            <w:tcW w:w="1188" w:type="dxa"/>
          </w:tcPr>
          <w:p w14:paraId="0C197C18" w14:textId="77777777" w:rsidR="00134236" w:rsidRPr="00134236" w:rsidRDefault="00134236" w:rsidP="00134236">
            <w:pPr>
              <w:spacing w:after="0" w:line="240" w:lineRule="auto"/>
              <w:rPr>
                <w:rFonts w:cs="Times New Roman"/>
                <w:sz w:val="20"/>
                <w:szCs w:val="20"/>
              </w:rPr>
            </w:pPr>
            <w:r w:rsidRPr="00134236">
              <w:rPr>
                <w:rFonts w:cs="Times New Roman"/>
                <w:sz w:val="20"/>
                <w:szCs w:val="20"/>
              </w:rPr>
              <w:t>SWD</w:t>
            </w:r>
          </w:p>
        </w:tc>
        <w:tc>
          <w:tcPr>
            <w:tcW w:w="1398" w:type="dxa"/>
          </w:tcPr>
          <w:p w14:paraId="48BA5D70"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309</w:t>
            </w:r>
          </w:p>
        </w:tc>
        <w:tc>
          <w:tcPr>
            <w:tcW w:w="1398" w:type="dxa"/>
          </w:tcPr>
          <w:p w14:paraId="309F7EC9"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482.0</w:t>
            </w:r>
          </w:p>
        </w:tc>
        <w:tc>
          <w:tcPr>
            <w:tcW w:w="1398" w:type="dxa"/>
          </w:tcPr>
          <w:p w14:paraId="71CFAA7A"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480.0</w:t>
            </w:r>
          </w:p>
        </w:tc>
        <w:tc>
          <w:tcPr>
            <w:tcW w:w="1398" w:type="dxa"/>
          </w:tcPr>
          <w:p w14:paraId="46CBF2C5"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312</w:t>
            </w:r>
          </w:p>
        </w:tc>
        <w:tc>
          <w:tcPr>
            <w:tcW w:w="1398" w:type="dxa"/>
          </w:tcPr>
          <w:p w14:paraId="192D5180"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482.4</w:t>
            </w:r>
          </w:p>
        </w:tc>
        <w:tc>
          <w:tcPr>
            <w:tcW w:w="1398" w:type="dxa"/>
          </w:tcPr>
          <w:p w14:paraId="7A9C5E7C"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479.8</w:t>
            </w:r>
          </w:p>
        </w:tc>
      </w:tr>
      <w:tr w:rsidR="00134236" w:rsidRPr="00134236" w14:paraId="6F5D5814" w14:textId="77777777" w:rsidTr="00CB28A8">
        <w:tc>
          <w:tcPr>
            <w:tcW w:w="1188" w:type="dxa"/>
            <w:shd w:val="clear" w:color="auto" w:fill="D9D9D9" w:themeFill="background1" w:themeFillShade="D9"/>
          </w:tcPr>
          <w:p w14:paraId="7A52C09A" w14:textId="2F216D80" w:rsidR="00134236" w:rsidRPr="00134236" w:rsidRDefault="00134236" w:rsidP="00134236">
            <w:pPr>
              <w:spacing w:after="0" w:line="240" w:lineRule="auto"/>
              <w:rPr>
                <w:rFonts w:cs="Times New Roman"/>
                <w:sz w:val="20"/>
                <w:szCs w:val="20"/>
              </w:rPr>
            </w:pPr>
            <w:r w:rsidRPr="00134236">
              <w:rPr>
                <w:rFonts w:cs="Times New Roman"/>
                <w:sz w:val="20"/>
                <w:szCs w:val="20"/>
              </w:rPr>
              <w:t>ELL</w:t>
            </w:r>
            <w:r w:rsidR="00604946">
              <w:rPr>
                <w:rFonts w:cs="Times New Roman"/>
                <w:sz w:val="20"/>
                <w:szCs w:val="20"/>
              </w:rPr>
              <w:t>s</w:t>
            </w:r>
          </w:p>
        </w:tc>
        <w:tc>
          <w:tcPr>
            <w:tcW w:w="1398" w:type="dxa"/>
            <w:shd w:val="clear" w:color="auto" w:fill="D9D9D9" w:themeFill="background1" w:themeFillShade="D9"/>
          </w:tcPr>
          <w:p w14:paraId="53B3D053"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36</w:t>
            </w:r>
          </w:p>
        </w:tc>
        <w:tc>
          <w:tcPr>
            <w:tcW w:w="1398" w:type="dxa"/>
            <w:shd w:val="clear" w:color="auto" w:fill="D9D9D9" w:themeFill="background1" w:themeFillShade="D9"/>
          </w:tcPr>
          <w:p w14:paraId="344BEE13"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481.1</w:t>
            </w:r>
          </w:p>
        </w:tc>
        <w:tc>
          <w:tcPr>
            <w:tcW w:w="1398" w:type="dxa"/>
            <w:shd w:val="clear" w:color="auto" w:fill="D9D9D9" w:themeFill="background1" w:themeFillShade="D9"/>
          </w:tcPr>
          <w:p w14:paraId="5FF91449"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484.9</w:t>
            </w:r>
          </w:p>
        </w:tc>
        <w:tc>
          <w:tcPr>
            <w:tcW w:w="1398" w:type="dxa"/>
            <w:shd w:val="clear" w:color="auto" w:fill="D9D9D9" w:themeFill="background1" w:themeFillShade="D9"/>
          </w:tcPr>
          <w:p w14:paraId="718C1600"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36</w:t>
            </w:r>
          </w:p>
        </w:tc>
        <w:tc>
          <w:tcPr>
            <w:tcW w:w="1398" w:type="dxa"/>
            <w:shd w:val="clear" w:color="auto" w:fill="D9D9D9" w:themeFill="background1" w:themeFillShade="D9"/>
          </w:tcPr>
          <w:p w14:paraId="2634E3E8"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485.1</w:t>
            </w:r>
          </w:p>
        </w:tc>
        <w:tc>
          <w:tcPr>
            <w:tcW w:w="1398" w:type="dxa"/>
            <w:shd w:val="clear" w:color="auto" w:fill="D9D9D9" w:themeFill="background1" w:themeFillShade="D9"/>
          </w:tcPr>
          <w:p w14:paraId="5617EFF4"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486.8</w:t>
            </w:r>
          </w:p>
        </w:tc>
      </w:tr>
      <w:tr w:rsidR="00134236" w:rsidRPr="00134236" w14:paraId="749EE424" w14:textId="77777777" w:rsidTr="00CB28A8">
        <w:tc>
          <w:tcPr>
            <w:tcW w:w="1188" w:type="dxa"/>
            <w:tcBorders>
              <w:bottom w:val="single" w:sz="4" w:space="0" w:color="auto"/>
            </w:tcBorders>
          </w:tcPr>
          <w:p w14:paraId="6B08DB71" w14:textId="341454F6" w:rsidR="00134236" w:rsidRPr="00134236" w:rsidRDefault="00604946" w:rsidP="00604946">
            <w:pPr>
              <w:spacing w:after="0" w:line="240" w:lineRule="auto"/>
              <w:rPr>
                <w:rFonts w:cs="Times New Roman"/>
                <w:sz w:val="20"/>
                <w:szCs w:val="20"/>
              </w:rPr>
            </w:pPr>
            <w:r w:rsidRPr="00134236">
              <w:rPr>
                <w:rFonts w:cs="Times New Roman"/>
                <w:sz w:val="20"/>
                <w:szCs w:val="20"/>
              </w:rPr>
              <w:t>A</w:t>
            </w:r>
            <w:r>
              <w:rPr>
                <w:rFonts w:cs="Times New Roman"/>
                <w:sz w:val="20"/>
                <w:szCs w:val="20"/>
              </w:rPr>
              <w:t>ll</w:t>
            </w:r>
          </w:p>
        </w:tc>
        <w:tc>
          <w:tcPr>
            <w:tcW w:w="1398" w:type="dxa"/>
            <w:tcBorders>
              <w:bottom w:val="single" w:sz="4" w:space="0" w:color="auto"/>
            </w:tcBorders>
          </w:tcPr>
          <w:p w14:paraId="4DD778B5"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1,603</w:t>
            </w:r>
          </w:p>
        </w:tc>
        <w:tc>
          <w:tcPr>
            <w:tcW w:w="1398" w:type="dxa"/>
            <w:tcBorders>
              <w:bottom w:val="single" w:sz="4" w:space="0" w:color="auto"/>
            </w:tcBorders>
          </w:tcPr>
          <w:p w14:paraId="5E3E9EEE"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499.3</w:t>
            </w:r>
          </w:p>
        </w:tc>
        <w:tc>
          <w:tcPr>
            <w:tcW w:w="1398" w:type="dxa"/>
            <w:tcBorders>
              <w:bottom w:val="single" w:sz="4" w:space="0" w:color="auto"/>
            </w:tcBorders>
          </w:tcPr>
          <w:p w14:paraId="2363EEDF"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499.1</w:t>
            </w:r>
          </w:p>
        </w:tc>
        <w:tc>
          <w:tcPr>
            <w:tcW w:w="1398" w:type="dxa"/>
            <w:tcBorders>
              <w:bottom w:val="single" w:sz="4" w:space="0" w:color="auto"/>
            </w:tcBorders>
          </w:tcPr>
          <w:p w14:paraId="4BCFB5C1"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1,605</w:t>
            </w:r>
          </w:p>
        </w:tc>
        <w:tc>
          <w:tcPr>
            <w:tcW w:w="1398" w:type="dxa"/>
            <w:tcBorders>
              <w:bottom w:val="single" w:sz="4" w:space="0" w:color="auto"/>
            </w:tcBorders>
          </w:tcPr>
          <w:p w14:paraId="7A7C97A8"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500.7</w:t>
            </w:r>
          </w:p>
        </w:tc>
        <w:tc>
          <w:tcPr>
            <w:tcW w:w="1398" w:type="dxa"/>
            <w:tcBorders>
              <w:bottom w:val="single" w:sz="4" w:space="0" w:color="auto"/>
            </w:tcBorders>
          </w:tcPr>
          <w:p w14:paraId="18D3137A"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498.8</w:t>
            </w:r>
          </w:p>
        </w:tc>
      </w:tr>
      <w:tr w:rsidR="00134236" w:rsidRPr="00134236" w14:paraId="272CAD14" w14:textId="77777777" w:rsidTr="00CB28A8">
        <w:tc>
          <w:tcPr>
            <w:tcW w:w="9576" w:type="dxa"/>
            <w:gridSpan w:val="7"/>
            <w:tcBorders>
              <w:left w:val="nil"/>
              <w:bottom w:val="nil"/>
              <w:right w:val="nil"/>
            </w:tcBorders>
          </w:tcPr>
          <w:p w14:paraId="0EA33B75" w14:textId="13529F0C" w:rsidR="00134236" w:rsidRPr="00134236" w:rsidRDefault="00134236" w:rsidP="00E22258">
            <w:pPr>
              <w:spacing w:before="60" w:after="0" w:line="240" w:lineRule="auto"/>
              <w:rPr>
                <w:rFonts w:ascii="Calibri" w:hAnsi="Calibri"/>
                <w:sz w:val="18"/>
                <w:szCs w:val="18"/>
              </w:rPr>
            </w:pPr>
            <w:r w:rsidRPr="00134236">
              <w:rPr>
                <w:rFonts w:ascii="Calibri" w:hAnsi="Calibri"/>
                <w:sz w:val="18"/>
                <w:szCs w:val="18"/>
              </w:rPr>
              <w:t>Next Generation MCAS Achievement Levels: 440</w:t>
            </w:r>
            <w:r w:rsidR="00604946">
              <w:rPr>
                <w:rFonts w:ascii="Calibri" w:hAnsi="Calibri"/>
                <w:sz w:val="18"/>
                <w:szCs w:val="18"/>
              </w:rPr>
              <w:t>–</w:t>
            </w:r>
            <w:r w:rsidRPr="00134236">
              <w:rPr>
                <w:rFonts w:ascii="Calibri" w:hAnsi="Calibri"/>
                <w:sz w:val="18"/>
                <w:szCs w:val="18"/>
              </w:rPr>
              <w:t>470 Not Meeting Expectations; 470</w:t>
            </w:r>
            <w:r w:rsidR="00604946">
              <w:rPr>
                <w:rFonts w:ascii="Calibri" w:hAnsi="Calibri"/>
                <w:sz w:val="18"/>
                <w:szCs w:val="18"/>
              </w:rPr>
              <w:t>–</w:t>
            </w:r>
            <w:r w:rsidRPr="00134236">
              <w:rPr>
                <w:rFonts w:ascii="Calibri" w:hAnsi="Calibri"/>
                <w:sz w:val="18"/>
                <w:szCs w:val="18"/>
              </w:rPr>
              <w:t>500 Partially Meeting Expectations; 500</w:t>
            </w:r>
            <w:r w:rsidR="00604946">
              <w:rPr>
                <w:rFonts w:ascii="Calibri" w:hAnsi="Calibri"/>
                <w:sz w:val="18"/>
                <w:szCs w:val="18"/>
              </w:rPr>
              <w:t>–</w:t>
            </w:r>
            <w:r w:rsidRPr="00134236">
              <w:rPr>
                <w:rFonts w:ascii="Calibri" w:hAnsi="Calibri"/>
                <w:sz w:val="18"/>
                <w:szCs w:val="18"/>
              </w:rPr>
              <w:t>530 Meeting Expectations; 530</w:t>
            </w:r>
            <w:r w:rsidR="00604946">
              <w:rPr>
                <w:rFonts w:ascii="Calibri" w:hAnsi="Calibri"/>
                <w:sz w:val="18"/>
                <w:szCs w:val="18"/>
              </w:rPr>
              <w:t>–</w:t>
            </w:r>
            <w:r w:rsidRPr="00134236">
              <w:rPr>
                <w:rFonts w:ascii="Calibri" w:hAnsi="Calibri"/>
                <w:sz w:val="18"/>
                <w:szCs w:val="18"/>
              </w:rPr>
              <w:t>560 Exceeding Expectations</w:t>
            </w:r>
          </w:p>
        </w:tc>
      </w:tr>
    </w:tbl>
    <w:p w14:paraId="77F8AD3B" w14:textId="77777777" w:rsidR="00134236" w:rsidRPr="00134236" w:rsidRDefault="00134236" w:rsidP="00134236">
      <w:pPr>
        <w:spacing w:after="0"/>
        <w:rPr>
          <w:rFonts w:cs="Times New Roman"/>
        </w:rPr>
      </w:pPr>
    </w:p>
    <w:p w14:paraId="1A1AAFE4" w14:textId="77777777" w:rsidR="00134236" w:rsidRPr="00134236" w:rsidRDefault="00134236" w:rsidP="00134236">
      <w:pPr>
        <w:spacing w:after="0"/>
        <w:rPr>
          <w:rFonts w:cs="Times New Roman"/>
        </w:rPr>
      </w:pPr>
    </w:p>
    <w:p w14:paraId="0CDA7042" w14:textId="63AC58F0" w:rsidR="00134236" w:rsidRPr="00134236" w:rsidRDefault="00134236" w:rsidP="00134236">
      <w:pPr>
        <w:spacing w:after="0"/>
        <w:rPr>
          <w:rFonts w:cs="Times New Roman"/>
          <w:b/>
        </w:rPr>
      </w:pPr>
      <w:r w:rsidRPr="00134236">
        <w:rPr>
          <w:rFonts w:cs="Times New Roman"/>
          <w:b/>
        </w:rPr>
        <w:t xml:space="preserve">The percentage of students meeting or exceeding expectations on the Next-Generation MCAS </w:t>
      </w:r>
      <w:r w:rsidR="008B1964">
        <w:rPr>
          <w:rFonts w:cs="Times New Roman"/>
          <w:b/>
        </w:rPr>
        <w:t xml:space="preserve">assessment </w:t>
      </w:r>
      <w:r w:rsidRPr="00134236">
        <w:rPr>
          <w:rFonts w:cs="Times New Roman"/>
          <w:b/>
        </w:rPr>
        <w:t>in grades 3</w:t>
      </w:r>
      <w:r w:rsidR="008B1964">
        <w:rPr>
          <w:rFonts w:cs="Times New Roman"/>
          <w:b/>
        </w:rPr>
        <w:t>–</w:t>
      </w:r>
      <w:r w:rsidRPr="00134236">
        <w:rPr>
          <w:rFonts w:cs="Times New Roman"/>
          <w:b/>
        </w:rPr>
        <w:t>8 was above the state rate by 1 percentage point in ELA (50 percent vs</w:t>
      </w:r>
      <w:r w:rsidR="008B1964">
        <w:rPr>
          <w:rFonts w:cs="Times New Roman"/>
          <w:b/>
        </w:rPr>
        <w:t>.</w:t>
      </w:r>
      <w:r w:rsidRPr="00134236">
        <w:rPr>
          <w:rFonts w:cs="Times New Roman"/>
          <w:b/>
        </w:rPr>
        <w:t xml:space="preserve"> 49 percent) and above the state rate by 4 percentage points in math (52 percent vs</w:t>
      </w:r>
      <w:r w:rsidR="008B1964">
        <w:rPr>
          <w:rFonts w:cs="Times New Roman"/>
          <w:b/>
        </w:rPr>
        <w:t>.</w:t>
      </w:r>
      <w:r w:rsidRPr="00134236">
        <w:rPr>
          <w:rFonts w:cs="Times New Roman"/>
          <w:b/>
        </w:rPr>
        <w:t xml:space="preserve"> 48 percent).</w:t>
      </w:r>
    </w:p>
    <w:p w14:paraId="331150D2" w14:textId="67AD82F0" w:rsidR="00134236" w:rsidRPr="00134236" w:rsidRDefault="008B1964" w:rsidP="00FC58CB">
      <w:pPr>
        <w:numPr>
          <w:ilvl w:val="0"/>
          <w:numId w:val="27"/>
        </w:numPr>
        <w:spacing w:after="0"/>
        <w:contextualSpacing/>
        <w:rPr>
          <w:rFonts w:cs="Times New Roman"/>
        </w:rPr>
      </w:pPr>
      <w:r>
        <w:rPr>
          <w:rFonts w:cs="Times New Roman"/>
        </w:rPr>
        <w:t>In ELA, t</w:t>
      </w:r>
      <w:r w:rsidRPr="00134236">
        <w:rPr>
          <w:rFonts w:cs="Times New Roman"/>
        </w:rPr>
        <w:t xml:space="preserve">he </w:t>
      </w:r>
      <w:r w:rsidR="00134236" w:rsidRPr="00134236">
        <w:rPr>
          <w:rFonts w:cs="Times New Roman"/>
        </w:rPr>
        <w:t>percentage of students meeting or exceeding expectations was above the state rate for economically disadvantaged students by 3 percentage points, equal to the state rate for students with disabilities, and below the state rate by 4 percentage points for high needs students and English language learners.</w:t>
      </w:r>
    </w:p>
    <w:p w14:paraId="3A564EA6" w14:textId="49185CCE" w:rsidR="00134236" w:rsidRPr="00134236" w:rsidRDefault="008B1964" w:rsidP="00FC58CB">
      <w:pPr>
        <w:numPr>
          <w:ilvl w:val="0"/>
          <w:numId w:val="27"/>
        </w:numPr>
        <w:spacing w:after="0"/>
        <w:contextualSpacing/>
        <w:rPr>
          <w:rFonts w:cs="Times New Roman"/>
        </w:rPr>
      </w:pPr>
      <w:r>
        <w:rPr>
          <w:rFonts w:cs="Times New Roman"/>
        </w:rPr>
        <w:t>In math, t</w:t>
      </w:r>
      <w:r w:rsidRPr="00134236">
        <w:rPr>
          <w:rFonts w:cs="Times New Roman"/>
        </w:rPr>
        <w:t xml:space="preserve">he </w:t>
      </w:r>
      <w:r w:rsidR="00134236" w:rsidRPr="00134236">
        <w:rPr>
          <w:rFonts w:cs="Times New Roman"/>
        </w:rPr>
        <w:t xml:space="preserve">percentage of students meeting or exceeding expectation was below the state rate for high needs students by 4 percentage points, and by </w:t>
      </w:r>
      <w:r w:rsidR="009229A9">
        <w:rPr>
          <w:rFonts w:cs="Times New Roman"/>
        </w:rPr>
        <w:t>1</w:t>
      </w:r>
      <w:r w:rsidR="009229A9" w:rsidRPr="00134236">
        <w:rPr>
          <w:rFonts w:cs="Times New Roman"/>
        </w:rPr>
        <w:t xml:space="preserve"> </w:t>
      </w:r>
      <w:r w:rsidR="00134236" w:rsidRPr="00134236">
        <w:rPr>
          <w:rFonts w:cs="Times New Roman"/>
        </w:rPr>
        <w:t>percentage point for students with disabilities and English language learners, and above the state rate by 3 percentage points for economically disadvantaged students.</w:t>
      </w:r>
    </w:p>
    <w:p w14:paraId="1C13FF4A" w14:textId="77777777" w:rsidR="00134236" w:rsidRPr="00134236" w:rsidRDefault="00134236" w:rsidP="00134236">
      <w:pPr>
        <w:spacing w:after="0"/>
        <w:rPr>
          <w:rFonts w:cs="Times New Roman"/>
        </w:rPr>
      </w:pPr>
    </w:p>
    <w:tbl>
      <w:tblPr>
        <w:tblStyle w:val="TableGrid5"/>
        <w:tblW w:w="0" w:type="auto"/>
        <w:tblLook w:val="04A0" w:firstRow="1" w:lastRow="0" w:firstColumn="1" w:lastColumn="0" w:noHBand="0" w:noVBand="1"/>
        <w:tblCaption w:val="Table 3: Wakefield Public Schools"/>
        <w:tblDescription w:val="Next-Generation MCAS ELA and Math Percent Meeting or Exceeding (M/E) Expectations Grades 3–8, 2017 "/>
      </w:tblPr>
      <w:tblGrid>
        <w:gridCol w:w="1110"/>
        <w:gridCol w:w="724"/>
        <w:gridCol w:w="974"/>
        <w:gridCol w:w="986"/>
        <w:gridCol w:w="1352"/>
        <w:gridCol w:w="886"/>
        <w:gridCol w:w="990"/>
        <w:gridCol w:w="986"/>
        <w:gridCol w:w="1352"/>
      </w:tblGrid>
      <w:tr w:rsidR="00134236" w:rsidRPr="00134236" w14:paraId="339AF6B4" w14:textId="77777777" w:rsidTr="00BB0032">
        <w:trPr>
          <w:tblHeader/>
        </w:trPr>
        <w:tc>
          <w:tcPr>
            <w:tcW w:w="9576" w:type="dxa"/>
            <w:gridSpan w:val="9"/>
            <w:tcBorders>
              <w:top w:val="nil"/>
              <w:left w:val="nil"/>
              <w:right w:val="nil"/>
            </w:tcBorders>
          </w:tcPr>
          <w:p w14:paraId="46356A36" w14:textId="77777777" w:rsidR="00134236" w:rsidRPr="00134236" w:rsidRDefault="00134236" w:rsidP="00134236">
            <w:pPr>
              <w:spacing w:after="0" w:line="240" w:lineRule="auto"/>
              <w:jc w:val="center"/>
              <w:rPr>
                <w:rFonts w:cs="Times New Roman"/>
                <w:b/>
                <w:sz w:val="20"/>
                <w:szCs w:val="20"/>
              </w:rPr>
            </w:pPr>
            <w:r w:rsidRPr="00134236">
              <w:rPr>
                <w:rFonts w:cs="Times New Roman"/>
                <w:b/>
                <w:sz w:val="20"/>
                <w:szCs w:val="20"/>
              </w:rPr>
              <w:t>Table 3: Wakefield Public Schools</w:t>
            </w:r>
          </w:p>
          <w:p w14:paraId="0A387987" w14:textId="46AD18FC" w:rsidR="00134236" w:rsidRPr="00134236" w:rsidRDefault="00134236" w:rsidP="008B1964">
            <w:pPr>
              <w:spacing w:after="0" w:line="240" w:lineRule="auto"/>
              <w:jc w:val="center"/>
              <w:rPr>
                <w:rFonts w:cs="Times New Roman"/>
                <w:sz w:val="20"/>
                <w:szCs w:val="20"/>
              </w:rPr>
            </w:pPr>
            <w:r w:rsidRPr="00134236">
              <w:rPr>
                <w:rFonts w:cs="Times New Roman"/>
                <w:b/>
                <w:sz w:val="20"/>
                <w:szCs w:val="20"/>
              </w:rPr>
              <w:t xml:space="preserve">Next-Generation MCAS ELA and Math Percent Meeting or Exceeding </w:t>
            </w:r>
            <w:r w:rsidR="008B1964">
              <w:rPr>
                <w:rFonts w:cs="Times New Roman"/>
                <w:b/>
                <w:sz w:val="20"/>
                <w:szCs w:val="20"/>
              </w:rPr>
              <w:t xml:space="preserve">(M/E) </w:t>
            </w:r>
            <w:r w:rsidRPr="00134236">
              <w:rPr>
                <w:rFonts w:cs="Times New Roman"/>
                <w:b/>
                <w:sz w:val="20"/>
                <w:szCs w:val="20"/>
              </w:rPr>
              <w:t>Expectations Grades 3</w:t>
            </w:r>
            <w:r w:rsidR="008B1964">
              <w:rPr>
                <w:rFonts w:cs="Times New Roman"/>
                <w:b/>
                <w:sz w:val="20"/>
                <w:szCs w:val="20"/>
              </w:rPr>
              <w:t>–</w:t>
            </w:r>
            <w:r w:rsidRPr="00134236">
              <w:rPr>
                <w:rFonts w:cs="Times New Roman"/>
                <w:b/>
                <w:sz w:val="20"/>
                <w:szCs w:val="20"/>
              </w:rPr>
              <w:t xml:space="preserve">8, 2017 </w:t>
            </w:r>
          </w:p>
        </w:tc>
      </w:tr>
      <w:tr w:rsidR="00134236" w:rsidRPr="00134236" w14:paraId="6A72E875" w14:textId="77777777" w:rsidTr="00CB28A8">
        <w:tc>
          <w:tcPr>
            <w:tcW w:w="1149" w:type="dxa"/>
            <w:shd w:val="clear" w:color="auto" w:fill="D9D9D9" w:themeFill="background1" w:themeFillShade="D9"/>
          </w:tcPr>
          <w:p w14:paraId="5AF715E1" w14:textId="5803103D" w:rsidR="00134236" w:rsidRPr="00E22258" w:rsidRDefault="008B1964" w:rsidP="00E22258">
            <w:pPr>
              <w:spacing w:after="0" w:line="240" w:lineRule="auto"/>
              <w:rPr>
                <w:rFonts w:cs="Times New Roman"/>
                <w:b/>
                <w:sz w:val="20"/>
                <w:szCs w:val="20"/>
              </w:rPr>
            </w:pPr>
            <w:r w:rsidRPr="00E22258">
              <w:rPr>
                <w:rFonts w:cs="Times New Roman"/>
                <w:b/>
                <w:sz w:val="20"/>
                <w:szCs w:val="20"/>
              </w:rPr>
              <w:t>Group</w:t>
            </w:r>
          </w:p>
        </w:tc>
        <w:tc>
          <w:tcPr>
            <w:tcW w:w="730" w:type="dxa"/>
            <w:shd w:val="clear" w:color="auto" w:fill="D9D9D9" w:themeFill="background1" w:themeFillShade="D9"/>
          </w:tcPr>
          <w:p w14:paraId="540F454F" w14:textId="77777777" w:rsidR="00134236" w:rsidRPr="00134236" w:rsidRDefault="00134236" w:rsidP="00134236">
            <w:pPr>
              <w:spacing w:after="0" w:line="240" w:lineRule="auto"/>
              <w:jc w:val="center"/>
              <w:rPr>
                <w:rFonts w:cs="Times New Roman"/>
                <w:b/>
                <w:sz w:val="20"/>
                <w:szCs w:val="20"/>
              </w:rPr>
            </w:pPr>
            <w:r w:rsidRPr="00134236">
              <w:rPr>
                <w:rFonts w:cs="Times New Roman"/>
                <w:b/>
                <w:sz w:val="20"/>
                <w:szCs w:val="20"/>
              </w:rPr>
              <w:t>N</w:t>
            </w:r>
          </w:p>
        </w:tc>
        <w:tc>
          <w:tcPr>
            <w:tcW w:w="1016" w:type="dxa"/>
            <w:shd w:val="clear" w:color="auto" w:fill="D9D9D9" w:themeFill="background1" w:themeFillShade="D9"/>
          </w:tcPr>
          <w:p w14:paraId="68E2C91B" w14:textId="77777777" w:rsidR="00134236" w:rsidRPr="00134236" w:rsidRDefault="00134236" w:rsidP="00134236">
            <w:pPr>
              <w:spacing w:after="0" w:line="240" w:lineRule="auto"/>
              <w:jc w:val="center"/>
              <w:rPr>
                <w:rFonts w:cs="Times New Roman"/>
                <w:b/>
                <w:sz w:val="20"/>
                <w:szCs w:val="20"/>
              </w:rPr>
            </w:pPr>
            <w:r w:rsidRPr="00134236">
              <w:rPr>
                <w:rFonts w:cs="Times New Roman"/>
                <w:b/>
                <w:sz w:val="20"/>
                <w:szCs w:val="20"/>
              </w:rPr>
              <w:t>ELA M/E</w:t>
            </w:r>
          </w:p>
        </w:tc>
        <w:tc>
          <w:tcPr>
            <w:tcW w:w="1022" w:type="dxa"/>
            <w:shd w:val="clear" w:color="auto" w:fill="D9D9D9" w:themeFill="background1" w:themeFillShade="D9"/>
          </w:tcPr>
          <w:p w14:paraId="5F49EFBE" w14:textId="77777777" w:rsidR="00134236" w:rsidRPr="00134236" w:rsidRDefault="00134236" w:rsidP="00134236">
            <w:pPr>
              <w:spacing w:after="0" w:line="240" w:lineRule="auto"/>
              <w:jc w:val="center"/>
              <w:rPr>
                <w:rFonts w:cs="Times New Roman"/>
                <w:b/>
                <w:sz w:val="20"/>
                <w:szCs w:val="20"/>
              </w:rPr>
            </w:pPr>
            <w:r w:rsidRPr="00134236">
              <w:rPr>
                <w:rFonts w:cs="Times New Roman"/>
                <w:b/>
                <w:sz w:val="20"/>
                <w:szCs w:val="20"/>
              </w:rPr>
              <w:t>State M/E</w:t>
            </w:r>
          </w:p>
        </w:tc>
        <w:tc>
          <w:tcPr>
            <w:tcW w:w="1352" w:type="dxa"/>
            <w:shd w:val="clear" w:color="auto" w:fill="D9D9D9" w:themeFill="background1" w:themeFillShade="D9"/>
          </w:tcPr>
          <w:p w14:paraId="327F2B2F" w14:textId="77777777" w:rsidR="00134236" w:rsidRPr="00134236" w:rsidRDefault="00134236" w:rsidP="00134236">
            <w:pPr>
              <w:spacing w:after="0" w:line="240" w:lineRule="auto"/>
              <w:jc w:val="center"/>
              <w:rPr>
                <w:rFonts w:cs="Times New Roman"/>
                <w:b/>
                <w:sz w:val="20"/>
                <w:szCs w:val="20"/>
              </w:rPr>
            </w:pPr>
            <w:r w:rsidRPr="00134236">
              <w:rPr>
                <w:rFonts w:cs="Times New Roman"/>
                <w:b/>
                <w:sz w:val="20"/>
                <w:szCs w:val="20"/>
              </w:rPr>
              <w:t>Above/Below State</w:t>
            </w:r>
          </w:p>
        </w:tc>
        <w:tc>
          <w:tcPr>
            <w:tcW w:w="909" w:type="dxa"/>
            <w:shd w:val="clear" w:color="auto" w:fill="D9D9D9" w:themeFill="background1" w:themeFillShade="D9"/>
          </w:tcPr>
          <w:p w14:paraId="53A877C6" w14:textId="77777777" w:rsidR="00134236" w:rsidRPr="00134236" w:rsidRDefault="00134236" w:rsidP="00134236">
            <w:pPr>
              <w:spacing w:after="0" w:line="240" w:lineRule="auto"/>
              <w:jc w:val="center"/>
              <w:rPr>
                <w:rFonts w:cs="Times New Roman"/>
                <w:b/>
                <w:sz w:val="20"/>
                <w:szCs w:val="20"/>
              </w:rPr>
            </w:pPr>
            <w:r w:rsidRPr="00134236">
              <w:rPr>
                <w:rFonts w:cs="Times New Roman"/>
                <w:b/>
                <w:sz w:val="20"/>
                <w:szCs w:val="20"/>
              </w:rPr>
              <w:t>N</w:t>
            </w:r>
          </w:p>
        </w:tc>
        <w:tc>
          <w:tcPr>
            <w:tcW w:w="1024" w:type="dxa"/>
            <w:shd w:val="clear" w:color="auto" w:fill="D9D9D9" w:themeFill="background1" w:themeFillShade="D9"/>
          </w:tcPr>
          <w:p w14:paraId="0107CEA2" w14:textId="77777777" w:rsidR="00134236" w:rsidRPr="00134236" w:rsidRDefault="00134236" w:rsidP="00134236">
            <w:pPr>
              <w:spacing w:after="0" w:line="240" w:lineRule="auto"/>
              <w:jc w:val="center"/>
              <w:rPr>
                <w:rFonts w:cs="Times New Roman"/>
                <w:b/>
                <w:sz w:val="20"/>
                <w:szCs w:val="20"/>
              </w:rPr>
            </w:pPr>
            <w:r w:rsidRPr="00134236">
              <w:rPr>
                <w:rFonts w:cs="Times New Roman"/>
                <w:b/>
                <w:sz w:val="20"/>
                <w:szCs w:val="20"/>
              </w:rPr>
              <w:t>Math M/E</w:t>
            </w:r>
          </w:p>
        </w:tc>
        <w:tc>
          <w:tcPr>
            <w:tcW w:w="1022" w:type="dxa"/>
            <w:shd w:val="clear" w:color="auto" w:fill="D9D9D9" w:themeFill="background1" w:themeFillShade="D9"/>
          </w:tcPr>
          <w:p w14:paraId="238EDF51" w14:textId="77777777" w:rsidR="00134236" w:rsidRPr="00134236" w:rsidRDefault="00134236" w:rsidP="00134236">
            <w:pPr>
              <w:spacing w:after="0" w:line="240" w:lineRule="auto"/>
              <w:jc w:val="center"/>
              <w:rPr>
                <w:rFonts w:cs="Times New Roman"/>
                <w:b/>
                <w:sz w:val="20"/>
                <w:szCs w:val="20"/>
              </w:rPr>
            </w:pPr>
            <w:r w:rsidRPr="00134236">
              <w:rPr>
                <w:rFonts w:cs="Times New Roman"/>
                <w:b/>
                <w:sz w:val="20"/>
                <w:szCs w:val="20"/>
              </w:rPr>
              <w:t>State M/E</w:t>
            </w:r>
          </w:p>
        </w:tc>
        <w:tc>
          <w:tcPr>
            <w:tcW w:w="1352" w:type="dxa"/>
            <w:shd w:val="clear" w:color="auto" w:fill="D9D9D9" w:themeFill="background1" w:themeFillShade="D9"/>
          </w:tcPr>
          <w:p w14:paraId="3B19DE53" w14:textId="77777777" w:rsidR="00134236" w:rsidRPr="00134236" w:rsidRDefault="00134236" w:rsidP="00134236">
            <w:pPr>
              <w:spacing w:after="0" w:line="240" w:lineRule="auto"/>
              <w:jc w:val="center"/>
              <w:rPr>
                <w:rFonts w:cs="Times New Roman"/>
                <w:b/>
                <w:sz w:val="20"/>
                <w:szCs w:val="20"/>
              </w:rPr>
            </w:pPr>
            <w:r w:rsidRPr="00134236">
              <w:rPr>
                <w:rFonts w:cs="Times New Roman"/>
                <w:b/>
                <w:sz w:val="20"/>
                <w:szCs w:val="20"/>
              </w:rPr>
              <w:t>Above/Below State</w:t>
            </w:r>
          </w:p>
        </w:tc>
      </w:tr>
      <w:tr w:rsidR="00134236" w:rsidRPr="00134236" w14:paraId="14D4C999" w14:textId="77777777" w:rsidTr="00CB28A8">
        <w:tc>
          <w:tcPr>
            <w:tcW w:w="1149" w:type="dxa"/>
          </w:tcPr>
          <w:p w14:paraId="554CD1FB" w14:textId="77777777" w:rsidR="00134236" w:rsidRPr="00134236" w:rsidRDefault="00134236" w:rsidP="00134236">
            <w:pPr>
              <w:spacing w:after="0" w:line="240" w:lineRule="auto"/>
              <w:rPr>
                <w:rFonts w:cs="Times New Roman"/>
                <w:sz w:val="20"/>
                <w:szCs w:val="20"/>
              </w:rPr>
            </w:pPr>
            <w:r w:rsidRPr="00134236">
              <w:rPr>
                <w:rFonts w:cs="Times New Roman"/>
                <w:sz w:val="20"/>
                <w:szCs w:val="20"/>
              </w:rPr>
              <w:t>High Needs</w:t>
            </w:r>
          </w:p>
        </w:tc>
        <w:tc>
          <w:tcPr>
            <w:tcW w:w="730" w:type="dxa"/>
          </w:tcPr>
          <w:p w14:paraId="7F205F39"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494</w:t>
            </w:r>
          </w:p>
        </w:tc>
        <w:tc>
          <w:tcPr>
            <w:tcW w:w="1016" w:type="dxa"/>
          </w:tcPr>
          <w:p w14:paraId="17F21422"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23%</w:t>
            </w:r>
          </w:p>
        </w:tc>
        <w:tc>
          <w:tcPr>
            <w:tcW w:w="1022" w:type="dxa"/>
          </w:tcPr>
          <w:p w14:paraId="3CFB0ABC"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27%</w:t>
            </w:r>
          </w:p>
        </w:tc>
        <w:tc>
          <w:tcPr>
            <w:tcW w:w="1352" w:type="dxa"/>
          </w:tcPr>
          <w:p w14:paraId="05D7927C"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-4</w:t>
            </w:r>
          </w:p>
        </w:tc>
        <w:tc>
          <w:tcPr>
            <w:tcW w:w="909" w:type="dxa"/>
          </w:tcPr>
          <w:p w14:paraId="3A1B5DC3"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497</w:t>
            </w:r>
          </w:p>
        </w:tc>
        <w:tc>
          <w:tcPr>
            <w:tcW w:w="1024" w:type="dxa"/>
          </w:tcPr>
          <w:p w14:paraId="46E8DCF4"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23%</w:t>
            </w:r>
          </w:p>
        </w:tc>
        <w:tc>
          <w:tcPr>
            <w:tcW w:w="1022" w:type="dxa"/>
          </w:tcPr>
          <w:p w14:paraId="6E7151AF"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27%</w:t>
            </w:r>
          </w:p>
        </w:tc>
        <w:tc>
          <w:tcPr>
            <w:tcW w:w="1352" w:type="dxa"/>
          </w:tcPr>
          <w:p w14:paraId="0C5786A3"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-4</w:t>
            </w:r>
          </w:p>
        </w:tc>
      </w:tr>
      <w:tr w:rsidR="00134236" w:rsidRPr="00134236" w14:paraId="3E954FE3" w14:textId="77777777" w:rsidTr="00CB28A8">
        <w:tc>
          <w:tcPr>
            <w:tcW w:w="1149" w:type="dxa"/>
            <w:shd w:val="clear" w:color="auto" w:fill="D9D9D9" w:themeFill="background1" w:themeFillShade="D9"/>
          </w:tcPr>
          <w:p w14:paraId="4246B6C4" w14:textId="77777777" w:rsidR="00134236" w:rsidRPr="00134236" w:rsidRDefault="00134236" w:rsidP="00134236">
            <w:pPr>
              <w:spacing w:after="0" w:line="240" w:lineRule="auto"/>
              <w:rPr>
                <w:rFonts w:cs="Times New Roman"/>
                <w:sz w:val="20"/>
                <w:szCs w:val="20"/>
              </w:rPr>
            </w:pPr>
            <w:r w:rsidRPr="00134236">
              <w:rPr>
                <w:rFonts w:cs="Times New Roman"/>
                <w:sz w:val="20"/>
                <w:szCs w:val="20"/>
              </w:rPr>
              <w:t>Econ. Dis.</w:t>
            </w:r>
          </w:p>
        </w:tc>
        <w:tc>
          <w:tcPr>
            <w:tcW w:w="730" w:type="dxa"/>
            <w:shd w:val="clear" w:color="auto" w:fill="D9D9D9" w:themeFill="background1" w:themeFillShade="D9"/>
          </w:tcPr>
          <w:p w14:paraId="2DDE6248"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247</w:t>
            </w:r>
          </w:p>
        </w:tc>
        <w:tc>
          <w:tcPr>
            <w:tcW w:w="1016" w:type="dxa"/>
            <w:shd w:val="clear" w:color="auto" w:fill="D9D9D9" w:themeFill="background1" w:themeFillShade="D9"/>
          </w:tcPr>
          <w:p w14:paraId="476D3F45"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32%</w:t>
            </w:r>
          </w:p>
        </w:tc>
        <w:tc>
          <w:tcPr>
            <w:tcW w:w="1022" w:type="dxa"/>
            <w:shd w:val="clear" w:color="auto" w:fill="D9D9D9" w:themeFill="background1" w:themeFillShade="D9"/>
          </w:tcPr>
          <w:p w14:paraId="45210F1C"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29%</w:t>
            </w:r>
          </w:p>
        </w:tc>
        <w:tc>
          <w:tcPr>
            <w:tcW w:w="1352" w:type="dxa"/>
            <w:shd w:val="clear" w:color="auto" w:fill="D9D9D9" w:themeFill="background1" w:themeFillShade="D9"/>
          </w:tcPr>
          <w:p w14:paraId="204D853B"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3</w:t>
            </w:r>
          </w:p>
        </w:tc>
        <w:tc>
          <w:tcPr>
            <w:tcW w:w="909" w:type="dxa"/>
            <w:shd w:val="clear" w:color="auto" w:fill="D9D9D9" w:themeFill="background1" w:themeFillShade="D9"/>
          </w:tcPr>
          <w:p w14:paraId="58FCFD07"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247</w:t>
            </w:r>
          </w:p>
        </w:tc>
        <w:tc>
          <w:tcPr>
            <w:tcW w:w="1024" w:type="dxa"/>
            <w:shd w:val="clear" w:color="auto" w:fill="D9D9D9" w:themeFill="background1" w:themeFillShade="D9"/>
          </w:tcPr>
          <w:p w14:paraId="7C83D227"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30%</w:t>
            </w:r>
          </w:p>
        </w:tc>
        <w:tc>
          <w:tcPr>
            <w:tcW w:w="1022" w:type="dxa"/>
            <w:shd w:val="clear" w:color="auto" w:fill="D9D9D9" w:themeFill="background1" w:themeFillShade="D9"/>
          </w:tcPr>
          <w:p w14:paraId="68220F7C"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27%</w:t>
            </w:r>
          </w:p>
        </w:tc>
        <w:tc>
          <w:tcPr>
            <w:tcW w:w="1352" w:type="dxa"/>
            <w:shd w:val="clear" w:color="auto" w:fill="D9D9D9" w:themeFill="background1" w:themeFillShade="D9"/>
          </w:tcPr>
          <w:p w14:paraId="7DB908D8"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3</w:t>
            </w:r>
          </w:p>
        </w:tc>
      </w:tr>
      <w:tr w:rsidR="00134236" w:rsidRPr="00134236" w14:paraId="07896C86" w14:textId="77777777" w:rsidTr="00CB28A8">
        <w:tc>
          <w:tcPr>
            <w:tcW w:w="1149" w:type="dxa"/>
          </w:tcPr>
          <w:p w14:paraId="01269667" w14:textId="77777777" w:rsidR="00134236" w:rsidRPr="00134236" w:rsidRDefault="00134236" w:rsidP="00134236">
            <w:pPr>
              <w:spacing w:after="0" w:line="240" w:lineRule="auto"/>
              <w:rPr>
                <w:rFonts w:cs="Times New Roman"/>
                <w:sz w:val="20"/>
                <w:szCs w:val="20"/>
              </w:rPr>
            </w:pPr>
            <w:r w:rsidRPr="00134236">
              <w:rPr>
                <w:rFonts w:cs="Times New Roman"/>
                <w:sz w:val="20"/>
                <w:szCs w:val="20"/>
              </w:rPr>
              <w:t>SWD</w:t>
            </w:r>
          </w:p>
        </w:tc>
        <w:tc>
          <w:tcPr>
            <w:tcW w:w="730" w:type="dxa"/>
          </w:tcPr>
          <w:p w14:paraId="4064A637"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309</w:t>
            </w:r>
          </w:p>
        </w:tc>
        <w:tc>
          <w:tcPr>
            <w:tcW w:w="1016" w:type="dxa"/>
          </w:tcPr>
          <w:p w14:paraId="704959AE"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13%</w:t>
            </w:r>
          </w:p>
        </w:tc>
        <w:tc>
          <w:tcPr>
            <w:tcW w:w="1022" w:type="dxa"/>
          </w:tcPr>
          <w:p w14:paraId="49025B60"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13%</w:t>
            </w:r>
          </w:p>
        </w:tc>
        <w:tc>
          <w:tcPr>
            <w:tcW w:w="1352" w:type="dxa"/>
          </w:tcPr>
          <w:p w14:paraId="7A7852C1"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0</w:t>
            </w:r>
          </w:p>
        </w:tc>
        <w:tc>
          <w:tcPr>
            <w:tcW w:w="909" w:type="dxa"/>
          </w:tcPr>
          <w:p w14:paraId="750BB0FE"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312</w:t>
            </w:r>
          </w:p>
        </w:tc>
        <w:tc>
          <w:tcPr>
            <w:tcW w:w="1024" w:type="dxa"/>
          </w:tcPr>
          <w:p w14:paraId="5C91FC47"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13%</w:t>
            </w:r>
          </w:p>
        </w:tc>
        <w:tc>
          <w:tcPr>
            <w:tcW w:w="1022" w:type="dxa"/>
          </w:tcPr>
          <w:p w14:paraId="6788214F"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14%</w:t>
            </w:r>
          </w:p>
        </w:tc>
        <w:tc>
          <w:tcPr>
            <w:tcW w:w="1352" w:type="dxa"/>
          </w:tcPr>
          <w:p w14:paraId="6C72B4A7"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-1</w:t>
            </w:r>
          </w:p>
        </w:tc>
      </w:tr>
      <w:tr w:rsidR="00134236" w:rsidRPr="00134236" w14:paraId="4424FFA7" w14:textId="77777777" w:rsidTr="00CB28A8">
        <w:tc>
          <w:tcPr>
            <w:tcW w:w="1149" w:type="dxa"/>
            <w:shd w:val="clear" w:color="auto" w:fill="D9D9D9" w:themeFill="background1" w:themeFillShade="D9"/>
          </w:tcPr>
          <w:p w14:paraId="3E14FBEA" w14:textId="0A849456" w:rsidR="00134236" w:rsidRPr="00134236" w:rsidRDefault="00134236" w:rsidP="00134236">
            <w:pPr>
              <w:spacing w:after="0" w:line="240" w:lineRule="auto"/>
              <w:rPr>
                <w:rFonts w:cs="Times New Roman"/>
                <w:sz w:val="20"/>
                <w:szCs w:val="20"/>
              </w:rPr>
            </w:pPr>
            <w:r w:rsidRPr="00134236">
              <w:rPr>
                <w:rFonts w:cs="Times New Roman"/>
                <w:sz w:val="20"/>
                <w:szCs w:val="20"/>
              </w:rPr>
              <w:t>ELL</w:t>
            </w:r>
            <w:r w:rsidR="008B1964">
              <w:rPr>
                <w:rFonts w:cs="Times New Roman"/>
                <w:sz w:val="20"/>
                <w:szCs w:val="20"/>
              </w:rPr>
              <w:t>s</w:t>
            </w:r>
          </w:p>
        </w:tc>
        <w:tc>
          <w:tcPr>
            <w:tcW w:w="730" w:type="dxa"/>
            <w:shd w:val="clear" w:color="auto" w:fill="D9D9D9" w:themeFill="background1" w:themeFillShade="D9"/>
          </w:tcPr>
          <w:p w14:paraId="4611126E"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36</w:t>
            </w:r>
          </w:p>
        </w:tc>
        <w:tc>
          <w:tcPr>
            <w:tcW w:w="1016" w:type="dxa"/>
            <w:shd w:val="clear" w:color="auto" w:fill="D9D9D9" w:themeFill="background1" w:themeFillShade="D9"/>
          </w:tcPr>
          <w:p w14:paraId="17FCD84F"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19%</w:t>
            </w:r>
          </w:p>
        </w:tc>
        <w:tc>
          <w:tcPr>
            <w:tcW w:w="1022" w:type="dxa"/>
            <w:shd w:val="clear" w:color="auto" w:fill="D9D9D9" w:themeFill="background1" w:themeFillShade="D9"/>
          </w:tcPr>
          <w:p w14:paraId="5A031A13"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23%</w:t>
            </w:r>
          </w:p>
        </w:tc>
        <w:tc>
          <w:tcPr>
            <w:tcW w:w="1352" w:type="dxa"/>
            <w:shd w:val="clear" w:color="auto" w:fill="D9D9D9" w:themeFill="background1" w:themeFillShade="D9"/>
          </w:tcPr>
          <w:p w14:paraId="440C40C4"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-4</w:t>
            </w:r>
          </w:p>
        </w:tc>
        <w:tc>
          <w:tcPr>
            <w:tcW w:w="909" w:type="dxa"/>
            <w:shd w:val="clear" w:color="auto" w:fill="D9D9D9" w:themeFill="background1" w:themeFillShade="D9"/>
          </w:tcPr>
          <w:p w14:paraId="251D6E54"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36</w:t>
            </w:r>
          </w:p>
        </w:tc>
        <w:tc>
          <w:tcPr>
            <w:tcW w:w="1024" w:type="dxa"/>
            <w:shd w:val="clear" w:color="auto" w:fill="D9D9D9" w:themeFill="background1" w:themeFillShade="D9"/>
          </w:tcPr>
          <w:p w14:paraId="751E5F29"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25%</w:t>
            </w:r>
          </w:p>
        </w:tc>
        <w:tc>
          <w:tcPr>
            <w:tcW w:w="1022" w:type="dxa"/>
            <w:shd w:val="clear" w:color="auto" w:fill="D9D9D9" w:themeFill="background1" w:themeFillShade="D9"/>
          </w:tcPr>
          <w:p w14:paraId="29358F26"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26%</w:t>
            </w:r>
          </w:p>
        </w:tc>
        <w:tc>
          <w:tcPr>
            <w:tcW w:w="1352" w:type="dxa"/>
            <w:shd w:val="clear" w:color="auto" w:fill="D9D9D9" w:themeFill="background1" w:themeFillShade="D9"/>
          </w:tcPr>
          <w:p w14:paraId="06C163F9"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-1</w:t>
            </w:r>
          </w:p>
        </w:tc>
      </w:tr>
      <w:tr w:rsidR="00134236" w:rsidRPr="00134236" w14:paraId="379AFD48" w14:textId="77777777" w:rsidTr="00CB28A8">
        <w:tc>
          <w:tcPr>
            <w:tcW w:w="1149" w:type="dxa"/>
          </w:tcPr>
          <w:p w14:paraId="5A708C59" w14:textId="79A466B1" w:rsidR="00134236" w:rsidRPr="00134236" w:rsidRDefault="008B1964" w:rsidP="008B1964">
            <w:pPr>
              <w:spacing w:after="0" w:line="240" w:lineRule="auto"/>
              <w:rPr>
                <w:rFonts w:cs="Times New Roman"/>
                <w:sz w:val="20"/>
                <w:szCs w:val="20"/>
              </w:rPr>
            </w:pPr>
            <w:r w:rsidRPr="00134236">
              <w:rPr>
                <w:rFonts w:cs="Times New Roman"/>
                <w:sz w:val="20"/>
                <w:szCs w:val="20"/>
              </w:rPr>
              <w:t>A</w:t>
            </w:r>
            <w:r>
              <w:rPr>
                <w:rFonts w:cs="Times New Roman"/>
                <w:sz w:val="20"/>
                <w:szCs w:val="20"/>
              </w:rPr>
              <w:t>ll</w:t>
            </w:r>
          </w:p>
        </w:tc>
        <w:tc>
          <w:tcPr>
            <w:tcW w:w="730" w:type="dxa"/>
          </w:tcPr>
          <w:p w14:paraId="2AC514A4"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1,603</w:t>
            </w:r>
          </w:p>
        </w:tc>
        <w:tc>
          <w:tcPr>
            <w:tcW w:w="1016" w:type="dxa"/>
          </w:tcPr>
          <w:p w14:paraId="65B5970A"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50%</w:t>
            </w:r>
          </w:p>
        </w:tc>
        <w:tc>
          <w:tcPr>
            <w:tcW w:w="1022" w:type="dxa"/>
          </w:tcPr>
          <w:p w14:paraId="02705512"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49%</w:t>
            </w:r>
          </w:p>
        </w:tc>
        <w:tc>
          <w:tcPr>
            <w:tcW w:w="1352" w:type="dxa"/>
          </w:tcPr>
          <w:p w14:paraId="2A7C3F60"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1</w:t>
            </w:r>
          </w:p>
        </w:tc>
        <w:tc>
          <w:tcPr>
            <w:tcW w:w="909" w:type="dxa"/>
          </w:tcPr>
          <w:p w14:paraId="7B980351"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1,605</w:t>
            </w:r>
          </w:p>
        </w:tc>
        <w:tc>
          <w:tcPr>
            <w:tcW w:w="1024" w:type="dxa"/>
          </w:tcPr>
          <w:p w14:paraId="11C4292C"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52%</w:t>
            </w:r>
          </w:p>
        </w:tc>
        <w:tc>
          <w:tcPr>
            <w:tcW w:w="1022" w:type="dxa"/>
          </w:tcPr>
          <w:p w14:paraId="2D6C4272"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48%</w:t>
            </w:r>
          </w:p>
        </w:tc>
        <w:tc>
          <w:tcPr>
            <w:tcW w:w="1352" w:type="dxa"/>
          </w:tcPr>
          <w:p w14:paraId="2D3DD181"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4</w:t>
            </w:r>
          </w:p>
        </w:tc>
      </w:tr>
    </w:tbl>
    <w:p w14:paraId="4FF38E91" w14:textId="77777777" w:rsidR="00134236" w:rsidRPr="00134236" w:rsidRDefault="00134236" w:rsidP="00134236">
      <w:pPr>
        <w:spacing w:after="0"/>
        <w:rPr>
          <w:rFonts w:cs="Times New Roman"/>
        </w:rPr>
      </w:pPr>
    </w:p>
    <w:p w14:paraId="4DB14198" w14:textId="77777777" w:rsidR="00134236" w:rsidRPr="00134236" w:rsidRDefault="00134236" w:rsidP="00134236">
      <w:pPr>
        <w:spacing w:after="0"/>
        <w:rPr>
          <w:rFonts w:cs="Times New Roman"/>
        </w:rPr>
      </w:pPr>
    </w:p>
    <w:p w14:paraId="242E33CB" w14:textId="2D106540" w:rsidR="00134236" w:rsidRPr="00134236" w:rsidRDefault="008B1964" w:rsidP="00134236">
      <w:pPr>
        <w:spacing w:after="0"/>
        <w:rPr>
          <w:rFonts w:cs="Times New Roman"/>
          <w:b/>
        </w:rPr>
      </w:pPr>
      <w:r>
        <w:rPr>
          <w:rFonts w:cs="Times New Roman"/>
          <w:b/>
        </w:rPr>
        <w:t>O</w:t>
      </w:r>
      <w:r w:rsidRPr="00134236">
        <w:rPr>
          <w:rFonts w:cs="Times New Roman"/>
          <w:b/>
        </w:rPr>
        <w:t xml:space="preserve">n the MCAS </w:t>
      </w:r>
      <w:r>
        <w:rPr>
          <w:rFonts w:cs="Times New Roman"/>
          <w:b/>
        </w:rPr>
        <w:t xml:space="preserve">assessment </w:t>
      </w:r>
      <w:r w:rsidRPr="00134236">
        <w:rPr>
          <w:rFonts w:cs="Times New Roman"/>
          <w:b/>
        </w:rPr>
        <w:t>in 10</w:t>
      </w:r>
      <w:r w:rsidRPr="00134236">
        <w:rPr>
          <w:rFonts w:cs="Times New Roman"/>
          <w:b/>
          <w:vertAlign w:val="superscript"/>
        </w:rPr>
        <w:t>th</w:t>
      </w:r>
      <w:r w:rsidRPr="00134236">
        <w:rPr>
          <w:rFonts w:cs="Times New Roman"/>
          <w:b/>
        </w:rPr>
        <w:t xml:space="preserve"> grade</w:t>
      </w:r>
      <w:r>
        <w:rPr>
          <w:rFonts w:cs="Times New Roman"/>
          <w:b/>
        </w:rPr>
        <w:t>,</w:t>
      </w:r>
      <w:r w:rsidRPr="00134236">
        <w:rPr>
          <w:rFonts w:cs="Times New Roman"/>
          <w:b/>
        </w:rPr>
        <w:t xml:space="preserve"> </w:t>
      </w:r>
      <w:r>
        <w:rPr>
          <w:rFonts w:cs="Times New Roman"/>
          <w:b/>
        </w:rPr>
        <w:t>t</w:t>
      </w:r>
      <w:r w:rsidRPr="00134236">
        <w:rPr>
          <w:rFonts w:cs="Times New Roman"/>
          <w:b/>
        </w:rPr>
        <w:t xml:space="preserve">he </w:t>
      </w:r>
      <w:r w:rsidR="00134236" w:rsidRPr="00134236">
        <w:rPr>
          <w:rFonts w:cs="Times New Roman"/>
          <w:b/>
        </w:rPr>
        <w:t>percentage of all students scoring proficient or advanced was 6 and 10 percentage points above the state rate in ELA and math, respectively.</w:t>
      </w:r>
    </w:p>
    <w:p w14:paraId="1B85C8D7" w14:textId="19F0D746" w:rsidR="00134236" w:rsidRPr="00134236" w:rsidRDefault="00134236" w:rsidP="00FC58CB">
      <w:pPr>
        <w:numPr>
          <w:ilvl w:val="0"/>
          <w:numId w:val="27"/>
        </w:numPr>
        <w:spacing w:after="0"/>
        <w:contextualSpacing/>
        <w:rPr>
          <w:rFonts w:cs="Times New Roman"/>
        </w:rPr>
      </w:pPr>
      <w:r w:rsidRPr="00134236">
        <w:rPr>
          <w:rFonts w:cs="Times New Roman"/>
        </w:rPr>
        <w:t>In ELA</w:t>
      </w:r>
      <w:r w:rsidR="004E4F6C">
        <w:rPr>
          <w:rFonts w:cs="Times New Roman"/>
        </w:rPr>
        <w:t>,</w:t>
      </w:r>
      <w:r w:rsidRPr="00134236">
        <w:rPr>
          <w:rFonts w:cs="Times New Roman"/>
        </w:rPr>
        <w:t xml:space="preserve"> the percentage of students scoring proficient or advanced was above the state rate by 11 percentage points for high needs students and economically disadvantaged students, and above the state rate by 16 percentage points for students with disabilities.</w:t>
      </w:r>
    </w:p>
    <w:p w14:paraId="7676AEA1" w14:textId="37EC41B5" w:rsidR="00134236" w:rsidRPr="00134236" w:rsidRDefault="00134236" w:rsidP="00FC58CB">
      <w:pPr>
        <w:numPr>
          <w:ilvl w:val="0"/>
          <w:numId w:val="27"/>
        </w:numPr>
        <w:spacing w:after="0"/>
        <w:contextualSpacing/>
        <w:rPr>
          <w:rFonts w:cs="Times New Roman"/>
        </w:rPr>
      </w:pPr>
      <w:r w:rsidRPr="00134236">
        <w:rPr>
          <w:rFonts w:cs="Times New Roman"/>
        </w:rPr>
        <w:t>In math</w:t>
      </w:r>
      <w:r w:rsidR="004E4F6C">
        <w:rPr>
          <w:rFonts w:cs="Times New Roman"/>
        </w:rPr>
        <w:t>,</w:t>
      </w:r>
      <w:r w:rsidRPr="00134236">
        <w:rPr>
          <w:rFonts w:cs="Times New Roman"/>
        </w:rPr>
        <w:t xml:space="preserve"> the percentage of students scoring proficient or advanced was above the state rate by 10 to 15 percentage points for high needs students, economically disadvantaged students, and students with disabilities.</w:t>
      </w:r>
    </w:p>
    <w:p w14:paraId="42163E1D" w14:textId="77777777" w:rsidR="00134236" w:rsidRPr="00134236" w:rsidRDefault="00134236" w:rsidP="00134236">
      <w:pPr>
        <w:spacing w:after="0"/>
        <w:rPr>
          <w:rFonts w:cs="Times New Roman"/>
        </w:rPr>
      </w:pPr>
    </w:p>
    <w:tbl>
      <w:tblPr>
        <w:tblStyle w:val="TableGrid5"/>
        <w:tblW w:w="0" w:type="auto"/>
        <w:tblLook w:val="04A0" w:firstRow="1" w:lastRow="0" w:firstColumn="1" w:lastColumn="0" w:noHBand="0" w:noVBand="1"/>
        <w:tblCaption w:val="Table 4: Wakefield Public Schools"/>
        <w:tblDescription w:val="MCAS ELA and Math Percent Scoring Proficient or Advanced in Grade 10, 2017"/>
      </w:tblPr>
      <w:tblGrid>
        <w:gridCol w:w="1115"/>
        <w:gridCol w:w="712"/>
        <w:gridCol w:w="977"/>
        <w:gridCol w:w="991"/>
        <w:gridCol w:w="1352"/>
        <w:gridCol w:w="876"/>
        <w:gridCol w:w="994"/>
        <w:gridCol w:w="991"/>
        <w:gridCol w:w="1352"/>
      </w:tblGrid>
      <w:tr w:rsidR="00134236" w:rsidRPr="00134236" w14:paraId="08B9DC72" w14:textId="77777777" w:rsidTr="00BB0032">
        <w:trPr>
          <w:tblHeader/>
        </w:trPr>
        <w:tc>
          <w:tcPr>
            <w:tcW w:w="9576" w:type="dxa"/>
            <w:gridSpan w:val="9"/>
            <w:tcBorders>
              <w:top w:val="nil"/>
              <w:left w:val="nil"/>
              <w:right w:val="nil"/>
            </w:tcBorders>
          </w:tcPr>
          <w:p w14:paraId="6A59C077" w14:textId="77777777" w:rsidR="00134236" w:rsidRPr="00134236" w:rsidRDefault="00134236" w:rsidP="00134236">
            <w:pPr>
              <w:spacing w:after="0" w:line="240" w:lineRule="auto"/>
              <w:jc w:val="center"/>
              <w:rPr>
                <w:rFonts w:cs="Times New Roman"/>
                <w:b/>
                <w:sz w:val="20"/>
                <w:szCs w:val="20"/>
              </w:rPr>
            </w:pPr>
            <w:r w:rsidRPr="00134236">
              <w:rPr>
                <w:rFonts w:cs="Times New Roman"/>
                <w:b/>
                <w:sz w:val="20"/>
                <w:szCs w:val="20"/>
              </w:rPr>
              <w:lastRenderedPageBreak/>
              <w:t>Table 4: Wakefield Public Schools</w:t>
            </w:r>
          </w:p>
          <w:p w14:paraId="10397E95" w14:textId="77777777" w:rsidR="00134236" w:rsidRPr="00134236" w:rsidRDefault="00134236" w:rsidP="00134236">
            <w:pPr>
              <w:spacing w:after="0" w:line="240" w:lineRule="auto"/>
              <w:jc w:val="center"/>
              <w:rPr>
                <w:rFonts w:cs="Times New Roman"/>
                <w:sz w:val="20"/>
                <w:szCs w:val="20"/>
              </w:rPr>
            </w:pPr>
            <w:r w:rsidRPr="00134236">
              <w:rPr>
                <w:rFonts w:cs="Times New Roman"/>
                <w:b/>
                <w:sz w:val="20"/>
                <w:szCs w:val="20"/>
              </w:rPr>
              <w:t>MCAS ELA and Math Percent Scoring Proficient or Advanced in Grade 10, 2017</w:t>
            </w:r>
          </w:p>
        </w:tc>
      </w:tr>
      <w:tr w:rsidR="00134236" w:rsidRPr="00134236" w14:paraId="4A27DA88" w14:textId="77777777" w:rsidTr="00DF5AC6">
        <w:tc>
          <w:tcPr>
            <w:tcW w:w="1150" w:type="dxa"/>
            <w:shd w:val="clear" w:color="auto" w:fill="D9D9D9" w:themeFill="background1" w:themeFillShade="D9"/>
          </w:tcPr>
          <w:p w14:paraId="5D4AAB5F" w14:textId="3ACE612B" w:rsidR="00134236" w:rsidRPr="00E22258" w:rsidRDefault="008B1964" w:rsidP="00134236">
            <w:pPr>
              <w:spacing w:after="0" w:line="240" w:lineRule="auto"/>
              <w:rPr>
                <w:rFonts w:cs="Times New Roman"/>
                <w:b/>
                <w:sz w:val="20"/>
                <w:szCs w:val="20"/>
              </w:rPr>
            </w:pPr>
            <w:r w:rsidRPr="00E22258">
              <w:rPr>
                <w:rFonts w:cs="Times New Roman"/>
                <w:b/>
                <w:sz w:val="20"/>
                <w:szCs w:val="20"/>
              </w:rPr>
              <w:t>Group</w:t>
            </w:r>
          </w:p>
        </w:tc>
        <w:tc>
          <w:tcPr>
            <w:tcW w:w="730" w:type="dxa"/>
            <w:shd w:val="clear" w:color="auto" w:fill="D9D9D9" w:themeFill="background1" w:themeFillShade="D9"/>
          </w:tcPr>
          <w:p w14:paraId="149D50ED" w14:textId="77777777" w:rsidR="00134236" w:rsidRPr="00134236" w:rsidRDefault="00134236" w:rsidP="00134236">
            <w:pPr>
              <w:spacing w:after="0" w:line="240" w:lineRule="auto"/>
              <w:jc w:val="center"/>
              <w:rPr>
                <w:rFonts w:cs="Times New Roman"/>
                <w:b/>
                <w:sz w:val="20"/>
                <w:szCs w:val="20"/>
              </w:rPr>
            </w:pPr>
            <w:r w:rsidRPr="00134236">
              <w:rPr>
                <w:rFonts w:cs="Times New Roman"/>
                <w:b/>
                <w:sz w:val="20"/>
                <w:szCs w:val="20"/>
              </w:rPr>
              <w:t>N</w:t>
            </w:r>
          </w:p>
        </w:tc>
        <w:tc>
          <w:tcPr>
            <w:tcW w:w="1015" w:type="dxa"/>
            <w:shd w:val="clear" w:color="auto" w:fill="D9D9D9" w:themeFill="background1" w:themeFillShade="D9"/>
          </w:tcPr>
          <w:p w14:paraId="72365FC6" w14:textId="77777777" w:rsidR="00134236" w:rsidRPr="00134236" w:rsidRDefault="00134236" w:rsidP="00134236">
            <w:pPr>
              <w:spacing w:after="0" w:line="240" w:lineRule="auto"/>
              <w:jc w:val="center"/>
              <w:rPr>
                <w:rFonts w:cs="Times New Roman"/>
                <w:b/>
                <w:sz w:val="20"/>
                <w:szCs w:val="20"/>
              </w:rPr>
            </w:pPr>
            <w:r w:rsidRPr="00134236">
              <w:rPr>
                <w:rFonts w:cs="Times New Roman"/>
                <w:b/>
                <w:sz w:val="20"/>
                <w:szCs w:val="20"/>
              </w:rPr>
              <w:t>ELA</w:t>
            </w:r>
          </w:p>
        </w:tc>
        <w:tc>
          <w:tcPr>
            <w:tcW w:w="1022" w:type="dxa"/>
            <w:shd w:val="clear" w:color="auto" w:fill="D9D9D9" w:themeFill="background1" w:themeFillShade="D9"/>
          </w:tcPr>
          <w:p w14:paraId="2B051A4E" w14:textId="77777777" w:rsidR="00134236" w:rsidRPr="00134236" w:rsidRDefault="00134236" w:rsidP="00134236">
            <w:pPr>
              <w:spacing w:after="0" w:line="240" w:lineRule="auto"/>
              <w:jc w:val="center"/>
              <w:rPr>
                <w:rFonts w:cs="Times New Roman"/>
                <w:b/>
                <w:sz w:val="20"/>
                <w:szCs w:val="20"/>
              </w:rPr>
            </w:pPr>
            <w:r w:rsidRPr="00134236">
              <w:rPr>
                <w:rFonts w:cs="Times New Roman"/>
                <w:b/>
                <w:sz w:val="20"/>
                <w:szCs w:val="20"/>
              </w:rPr>
              <w:t>State</w:t>
            </w:r>
          </w:p>
        </w:tc>
        <w:tc>
          <w:tcPr>
            <w:tcW w:w="1352" w:type="dxa"/>
            <w:shd w:val="clear" w:color="auto" w:fill="D9D9D9" w:themeFill="background1" w:themeFillShade="D9"/>
          </w:tcPr>
          <w:p w14:paraId="7DCEE10C" w14:textId="77777777" w:rsidR="00134236" w:rsidRPr="00134236" w:rsidRDefault="00134236" w:rsidP="00134236">
            <w:pPr>
              <w:spacing w:after="0" w:line="240" w:lineRule="auto"/>
              <w:jc w:val="center"/>
              <w:rPr>
                <w:rFonts w:cs="Times New Roman"/>
                <w:b/>
                <w:sz w:val="20"/>
                <w:szCs w:val="20"/>
              </w:rPr>
            </w:pPr>
            <w:r w:rsidRPr="00134236">
              <w:rPr>
                <w:rFonts w:cs="Times New Roman"/>
                <w:b/>
                <w:sz w:val="20"/>
                <w:szCs w:val="20"/>
              </w:rPr>
              <w:t>Above/Below State</w:t>
            </w:r>
          </w:p>
        </w:tc>
        <w:tc>
          <w:tcPr>
            <w:tcW w:w="909" w:type="dxa"/>
            <w:shd w:val="clear" w:color="auto" w:fill="D9D9D9" w:themeFill="background1" w:themeFillShade="D9"/>
          </w:tcPr>
          <w:p w14:paraId="049C8AD7" w14:textId="77777777" w:rsidR="00134236" w:rsidRPr="00134236" w:rsidRDefault="00134236" w:rsidP="00134236">
            <w:pPr>
              <w:spacing w:after="0" w:line="240" w:lineRule="auto"/>
              <w:jc w:val="center"/>
              <w:rPr>
                <w:rFonts w:cs="Times New Roman"/>
                <w:b/>
                <w:sz w:val="20"/>
                <w:szCs w:val="20"/>
              </w:rPr>
            </w:pPr>
            <w:r w:rsidRPr="00134236">
              <w:rPr>
                <w:rFonts w:cs="Times New Roman"/>
                <w:b/>
                <w:sz w:val="20"/>
                <w:szCs w:val="20"/>
              </w:rPr>
              <w:t>N</w:t>
            </w:r>
          </w:p>
        </w:tc>
        <w:tc>
          <w:tcPr>
            <w:tcW w:w="1024" w:type="dxa"/>
            <w:shd w:val="clear" w:color="auto" w:fill="D9D9D9" w:themeFill="background1" w:themeFillShade="D9"/>
          </w:tcPr>
          <w:p w14:paraId="048708CA" w14:textId="77777777" w:rsidR="00134236" w:rsidRPr="00134236" w:rsidRDefault="00134236" w:rsidP="00134236">
            <w:pPr>
              <w:spacing w:after="0" w:line="240" w:lineRule="auto"/>
              <w:jc w:val="center"/>
              <w:rPr>
                <w:rFonts w:cs="Times New Roman"/>
                <w:b/>
                <w:sz w:val="20"/>
                <w:szCs w:val="20"/>
              </w:rPr>
            </w:pPr>
            <w:r w:rsidRPr="00134236">
              <w:rPr>
                <w:rFonts w:cs="Times New Roman"/>
                <w:b/>
                <w:sz w:val="20"/>
                <w:szCs w:val="20"/>
              </w:rPr>
              <w:t>Math</w:t>
            </w:r>
          </w:p>
        </w:tc>
        <w:tc>
          <w:tcPr>
            <w:tcW w:w="1022" w:type="dxa"/>
            <w:shd w:val="clear" w:color="auto" w:fill="D9D9D9" w:themeFill="background1" w:themeFillShade="D9"/>
          </w:tcPr>
          <w:p w14:paraId="4B68E714" w14:textId="77777777" w:rsidR="00134236" w:rsidRPr="00134236" w:rsidRDefault="00134236" w:rsidP="00134236">
            <w:pPr>
              <w:spacing w:after="0" w:line="240" w:lineRule="auto"/>
              <w:jc w:val="center"/>
              <w:rPr>
                <w:rFonts w:cs="Times New Roman"/>
                <w:b/>
                <w:sz w:val="20"/>
                <w:szCs w:val="20"/>
              </w:rPr>
            </w:pPr>
            <w:r w:rsidRPr="00134236">
              <w:rPr>
                <w:rFonts w:cs="Times New Roman"/>
                <w:b/>
                <w:sz w:val="20"/>
                <w:szCs w:val="20"/>
              </w:rPr>
              <w:t>State</w:t>
            </w:r>
          </w:p>
        </w:tc>
        <w:tc>
          <w:tcPr>
            <w:tcW w:w="1352" w:type="dxa"/>
            <w:shd w:val="clear" w:color="auto" w:fill="D9D9D9" w:themeFill="background1" w:themeFillShade="D9"/>
          </w:tcPr>
          <w:p w14:paraId="1275BEDD" w14:textId="77777777" w:rsidR="00134236" w:rsidRPr="00134236" w:rsidRDefault="00134236" w:rsidP="00134236">
            <w:pPr>
              <w:spacing w:after="0" w:line="240" w:lineRule="auto"/>
              <w:jc w:val="center"/>
              <w:rPr>
                <w:rFonts w:cs="Times New Roman"/>
                <w:b/>
                <w:sz w:val="20"/>
                <w:szCs w:val="20"/>
              </w:rPr>
            </w:pPr>
            <w:r w:rsidRPr="00134236">
              <w:rPr>
                <w:rFonts w:cs="Times New Roman"/>
                <w:b/>
                <w:sz w:val="20"/>
                <w:szCs w:val="20"/>
              </w:rPr>
              <w:t>Above/Below State</w:t>
            </w:r>
          </w:p>
        </w:tc>
      </w:tr>
      <w:tr w:rsidR="00134236" w:rsidRPr="00134236" w14:paraId="5A1C19E4" w14:textId="77777777" w:rsidTr="00DF5AC6">
        <w:tc>
          <w:tcPr>
            <w:tcW w:w="1150" w:type="dxa"/>
          </w:tcPr>
          <w:p w14:paraId="75F780B9" w14:textId="77777777" w:rsidR="00134236" w:rsidRPr="00134236" w:rsidRDefault="00134236" w:rsidP="00134236">
            <w:pPr>
              <w:spacing w:after="0" w:line="240" w:lineRule="auto"/>
              <w:rPr>
                <w:rFonts w:cs="Times New Roman"/>
                <w:sz w:val="20"/>
                <w:szCs w:val="20"/>
              </w:rPr>
            </w:pPr>
            <w:r w:rsidRPr="00134236">
              <w:rPr>
                <w:rFonts w:cs="Times New Roman"/>
                <w:sz w:val="20"/>
                <w:szCs w:val="20"/>
              </w:rPr>
              <w:t>High Needs</w:t>
            </w:r>
          </w:p>
        </w:tc>
        <w:tc>
          <w:tcPr>
            <w:tcW w:w="730" w:type="dxa"/>
          </w:tcPr>
          <w:p w14:paraId="331239EF"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60</w:t>
            </w:r>
          </w:p>
        </w:tc>
        <w:tc>
          <w:tcPr>
            <w:tcW w:w="1015" w:type="dxa"/>
          </w:tcPr>
          <w:p w14:paraId="5D45620F"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90%</w:t>
            </w:r>
          </w:p>
        </w:tc>
        <w:tc>
          <w:tcPr>
            <w:tcW w:w="1022" w:type="dxa"/>
          </w:tcPr>
          <w:p w14:paraId="49CFCA4A"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79%</w:t>
            </w:r>
          </w:p>
        </w:tc>
        <w:tc>
          <w:tcPr>
            <w:tcW w:w="1352" w:type="dxa"/>
          </w:tcPr>
          <w:p w14:paraId="439067DA"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11</w:t>
            </w:r>
          </w:p>
        </w:tc>
        <w:tc>
          <w:tcPr>
            <w:tcW w:w="909" w:type="dxa"/>
          </w:tcPr>
          <w:p w14:paraId="15ECF069"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60</w:t>
            </w:r>
          </w:p>
        </w:tc>
        <w:tc>
          <w:tcPr>
            <w:tcW w:w="1024" w:type="dxa"/>
          </w:tcPr>
          <w:p w14:paraId="3DCFBA4C"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68%</w:t>
            </w:r>
          </w:p>
        </w:tc>
        <w:tc>
          <w:tcPr>
            <w:tcW w:w="1022" w:type="dxa"/>
          </w:tcPr>
          <w:p w14:paraId="652ABA64"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58%</w:t>
            </w:r>
          </w:p>
        </w:tc>
        <w:tc>
          <w:tcPr>
            <w:tcW w:w="1352" w:type="dxa"/>
          </w:tcPr>
          <w:p w14:paraId="333D84CA"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10</w:t>
            </w:r>
          </w:p>
        </w:tc>
      </w:tr>
      <w:tr w:rsidR="00134236" w:rsidRPr="00134236" w14:paraId="5BFAA92E" w14:textId="77777777" w:rsidTr="00DF5AC6">
        <w:tc>
          <w:tcPr>
            <w:tcW w:w="1150" w:type="dxa"/>
            <w:shd w:val="clear" w:color="auto" w:fill="D9D9D9" w:themeFill="background1" w:themeFillShade="D9"/>
          </w:tcPr>
          <w:p w14:paraId="031A17DF" w14:textId="77777777" w:rsidR="00134236" w:rsidRPr="00134236" w:rsidRDefault="00134236" w:rsidP="00134236">
            <w:pPr>
              <w:spacing w:after="0" w:line="240" w:lineRule="auto"/>
              <w:rPr>
                <w:rFonts w:cs="Times New Roman"/>
                <w:sz w:val="20"/>
                <w:szCs w:val="20"/>
              </w:rPr>
            </w:pPr>
            <w:r w:rsidRPr="00134236">
              <w:rPr>
                <w:rFonts w:cs="Times New Roman"/>
                <w:sz w:val="20"/>
                <w:szCs w:val="20"/>
              </w:rPr>
              <w:t>Econ. Dis.</w:t>
            </w:r>
          </w:p>
        </w:tc>
        <w:tc>
          <w:tcPr>
            <w:tcW w:w="730" w:type="dxa"/>
            <w:shd w:val="clear" w:color="auto" w:fill="D9D9D9" w:themeFill="background1" w:themeFillShade="D9"/>
          </w:tcPr>
          <w:p w14:paraId="1B1289E6"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36</w:t>
            </w:r>
          </w:p>
        </w:tc>
        <w:tc>
          <w:tcPr>
            <w:tcW w:w="1015" w:type="dxa"/>
            <w:shd w:val="clear" w:color="auto" w:fill="D9D9D9" w:themeFill="background1" w:themeFillShade="D9"/>
          </w:tcPr>
          <w:p w14:paraId="314105C3"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92%</w:t>
            </w:r>
          </w:p>
        </w:tc>
        <w:tc>
          <w:tcPr>
            <w:tcW w:w="1022" w:type="dxa"/>
            <w:shd w:val="clear" w:color="auto" w:fill="D9D9D9" w:themeFill="background1" w:themeFillShade="D9"/>
          </w:tcPr>
          <w:p w14:paraId="2686E614"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81%</w:t>
            </w:r>
          </w:p>
        </w:tc>
        <w:tc>
          <w:tcPr>
            <w:tcW w:w="1352" w:type="dxa"/>
            <w:shd w:val="clear" w:color="auto" w:fill="D9D9D9" w:themeFill="background1" w:themeFillShade="D9"/>
          </w:tcPr>
          <w:p w14:paraId="203557BF"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11</w:t>
            </w:r>
          </w:p>
        </w:tc>
        <w:tc>
          <w:tcPr>
            <w:tcW w:w="909" w:type="dxa"/>
            <w:shd w:val="clear" w:color="auto" w:fill="D9D9D9" w:themeFill="background1" w:themeFillShade="D9"/>
          </w:tcPr>
          <w:p w14:paraId="397402FE"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36</w:t>
            </w:r>
          </w:p>
        </w:tc>
        <w:tc>
          <w:tcPr>
            <w:tcW w:w="1024" w:type="dxa"/>
            <w:shd w:val="clear" w:color="auto" w:fill="D9D9D9" w:themeFill="background1" w:themeFillShade="D9"/>
          </w:tcPr>
          <w:p w14:paraId="32A3A47D"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75%</w:t>
            </w:r>
          </w:p>
        </w:tc>
        <w:tc>
          <w:tcPr>
            <w:tcW w:w="1022" w:type="dxa"/>
            <w:shd w:val="clear" w:color="auto" w:fill="D9D9D9" w:themeFill="background1" w:themeFillShade="D9"/>
          </w:tcPr>
          <w:p w14:paraId="4AEA1D8F"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60%</w:t>
            </w:r>
          </w:p>
        </w:tc>
        <w:tc>
          <w:tcPr>
            <w:tcW w:w="1352" w:type="dxa"/>
            <w:shd w:val="clear" w:color="auto" w:fill="D9D9D9" w:themeFill="background1" w:themeFillShade="D9"/>
          </w:tcPr>
          <w:p w14:paraId="127CE21A"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15</w:t>
            </w:r>
          </w:p>
        </w:tc>
      </w:tr>
      <w:tr w:rsidR="00134236" w:rsidRPr="00134236" w14:paraId="16597ED6" w14:textId="77777777" w:rsidTr="00DF5AC6">
        <w:tc>
          <w:tcPr>
            <w:tcW w:w="1150" w:type="dxa"/>
          </w:tcPr>
          <w:p w14:paraId="3A392A38" w14:textId="77777777" w:rsidR="00134236" w:rsidRPr="00134236" w:rsidRDefault="00134236" w:rsidP="00134236">
            <w:pPr>
              <w:spacing w:after="0" w:line="240" w:lineRule="auto"/>
              <w:rPr>
                <w:rFonts w:cs="Times New Roman"/>
                <w:sz w:val="20"/>
                <w:szCs w:val="20"/>
              </w:rPr>
            </w:pPr>
            <w:r w:rsidRPr="00134236">
              <w:rPr>
                <w:rFonts w:cs="Times New Roman"/>
                <w:sz w:val="20"/>
                <w:szCs w:val="20"/>
              </w:rPr>
              <w:t>SWD</w:t>
            </w:r>
          </w:p>
        </w:tc>
        <w:tc>
          <w:tcPr>
            <w:tcW w:w="730" w:type="dxa"/>
          </w:tcPr>
          <w:p w14:paraId="3E157E63"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32</w:t>
            </w:r>
          </w:p>
        </w:tc>
        <w:tc>
          <w:tcPr>
            <w:tcW w:w="1015" w:type="dxa"/>
          </w:tcPr>
          <w:p w14:paraId="599E5FD9"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84%</w:t>
            </w:r>
          </w:p>
        </w:tc>
        <w:tc>
          <w:tcPr>
            <w:tcW w:w="1022" w:type="dxa"/>
          </w:tcPr>
          <w:p w14:paraId="2BCFF767"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68%</w:t>
            </w:r>
          </w:p>
        </w:tc>
        <w:tc>
          <w:tcPr>
            <w:tcW w:w="1352" w:type="dxa"/>
          </w:tcPr>
          <w:p w14:paraId="6452EFA6"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16</w:t>
            </w:r>
          </w:p>
        </w:tc>
        <w:tc>
          <w:tcPr>
            <w:tcW w:w="909" w:type="dxa"/>
          </w:tcPr>
          <w:p w14:paraId="5CC0AD36"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32</w:t>
            </w:r>
          </w:p>
        </w:tc>
        <w:tc>
          <w:tcPr>
            <w:tcW w:w="1024" w:type="dxa"/>
          </w:tcPr>
          <w:p w14:paraId="66C1DEC2"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53%</w:t>
            </w:r>
          </w:p>
        </w:tc>
        <w:tc>
          <w:tcPr>
            <w:tcW w:w="1022" w:type="dxa"/>
          </w:tcPr>
          <w:p w14:paraId="368BB921"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42%</w:t>
            </w:r>
          </w:p>
        </w:tc>
        <w:tc>
          <w:tcPr>
            <w:tcW w:w="1352" w:type="dxa"/>
          </w:tcPr>
          <w:p w14:paraId="2949FC1C"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11</w:t>
            </w:r>
          </w:p>
        </w:tc>
      </w:tr>
      <w:tr w:rsidR="00134236" w:rsidRPr="00134236" w14:paraId="17C398E0" w14:textId="77777777" w:rsidTr="00DF5AC6">
        <w:tc>
          <w:tcPr>
            <w:tcW w:w="1150" w:type="dxa"/>
            <w:shd w:val="clear" w:color="auto" w:fill="D9D9D9" w:themeFill="background1" w:themeFillShade="D9"/>
          </w:tcPr>
          <w:p w14:paraId="0263A838" w14:textId="0125A3C2" w:rsidR="00134236" w:rsidRPr="00134236" w:rsidRDefault="00134236" w:rsidP="00134236">
            <w:pPr>
              <w:spacing w:after="0" w:line="240" w:lineRule="auto"/>
              <w:rPr>
                <w:rFonts w:cs="Times New Roman"/>
                <w:sz w:val="20"/>
                <w:szCs w:val="20"/>
              </w:rPr>
            </w:pPr>
            <w:r w:rsidRPr="00134236">
              <w:rPr>
                <w:rFonts w:cs="Times New Roman"/>
                <w:sz w:val="20"/>
                <w:szCs w:val="20"/>
              </w:rPr>
              <w:t>ELL</w:t>
            </w:r>
            <w:r w:rsidR="00181E2F">
              <w:rPr>
                <w:rFonts w:cs="Times New Roman"/>
                <w:sz w:val="20"/>
                <w:szCs w:val="20"/>
              </w:rPr>
              <w:t>s</w:t>
            </w:r>
          </w:p>
        </w:tc>
        <w:tc>
          <w:tcPr>
            <w:tcW w:w="730" w:type="dxa"/>
            <w:shd w:val="clear" w:color="auto" w:fill="D9D9D9" w:themeFill="background1" w:themeFillShade="D9"/>
          </w:tcPr>
          <w:p w14:paraId="443922F7"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5</w:t>
            </w:r>
          </w:p>
        </w:tc>
        <w:tc>
          <w:tcPr>
            <w:tcW w:w="1015" w:type="dxa"/>
            <w:shd w:val="clear" w:color="auto" w:fill="D9D9D9" w:themeFill="background1" w:themeFillShade="D9"/>
          </w:tcPr>
          <w:p w14:paraId="5EFF4788"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1022" w:type="dxa"/>
            <w:shd w:val="clear" w:color="auto" w:fill="D9D9D9" w:themeFill="background1" w:themeFillShade="D9"/>
          </w:tcPr>
          <w:p w14:paraId="0268092C"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59%</w:t>
            </w:r>
          </w:p>
        </w:tc>
        <w:tc>
          <w:tcPr>
            <w:tcW w:w="1352" w:type="dxa"/>
            <w:shd w:val="clear" w:color="auto" w:fill="D9D9D9" w:themeFill="background1" w:themeFillShade="D9"/>
          </w:tcPr>
          <w:p w14:paraId="6C348B83"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909" w:type="dxa"/>
            <w:shd w:val="clear" w:color="auto" w:fill="D9D9D9" w:themeFill="background1" w:themeFillShade="D9"/>
          </w:tcPr>
          <w:p w14:paraId="36D91914"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5</w:t>
            </w:r>
          </w:p>
        </w:tc>
        <w:tc>
          <w:tcPr>
            <w:tcW w:w="1024" w:type="dxa"/>
            <w:shd w:val="clear" w:color="auto" w:fill="D9D9D9" w:themeFill="background1" w:themeFillShade="D9"/>
          </w:tcPr>
          <w:p w14:paraId="41A3E1D1"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1022" w:type="dxa"/>
            <w:shd w:val="clear" w:color="auto" w:fill="D9D9D9" w:themeFill="background1" w:themeFillShade="D9"/>
          </w:tcPr>
          <w:p w14:paraId="471AE8B1"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39%</w:t>
            </w:r>
          </w:p>
        </w:tc>
        <w:tc>
          <w:tcPr>
            <w:tcW w:w="1352" w:type="dxa"/>
            <w:shd w:val="clear" w:color="auto" w:fill="D9D9D9" w:themeFill="background1" w:themeFillShade="D9"/>
          </w:tcPr>
          <w:p w14:paraId="6E5D9900"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r>
      <w:tr w:rsidR="00134236" w:rsidRPr="00134236" w14:paraId="0CCE429E" w14:textId="77777777" w:rsidTr="00DF5AC6">
        <w:tc>
          <w:tcPr>
            <w:tcW w:w="1150" w:type="dxa"/>
          </w:tcPr>
          <w:p w14:paraId="45CC973A" w14:textId="690909F6" w:rsidR="00134236" w:rsidRPr="00134236" w:rsidRDefault="00181E2F" w:rsidP="00181E2F">
            <w:pPr>
              <w:spacing w:after="0" w:line="240" w:lineRule="auto"/>
              <w:rPr>
                <w:rFonts w:cs="Times New Roman"/>
                <w:sz w:val="20"/>
                <w:szCs w:val="20"/>
              </w:rPr>
            </w:pPr>
            <w:r w:rsidRPr="00134236">
              <w:rPr>
                <w:rFonts w:cs="Times New Roman"/>
                <w:sz w:val="20"/>
                <w:szCs w:val="20"/>
              </w:rPr>
              <w:t>A</w:t>
            </w:r>
            <w:r>
              <w:rPr>
                <w:rFonts w:cs="Times New Roman"/>
                <w:sz w:val="20"/>
                <w:szCs w:val="20"/>
              </w:rPr>
              <w:t>ll</w:t>
            </w:r>
          </w:p>
        </w:tc>
        <w:tc>
          <w:tcPr>
            <w:tcW w:w="730" w:type="dxa"/>
          </w:tcPr>
          <w:p w14:paraId="54D25B58"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231</w:t>
            </w:r>
          </w:p>
        </w:tc>
        <w:tc>
          <w:tcPr>
            <w:tcW w:w="1015" w:type="dxa"/>
          </w:tcPr>
          <w:p w14:paraId="25071F8E"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97%</w:t>
            </w:r>
          </w:p>
        </w:tc>
        <w:tc>
          <w:tcPr>
            <w:tcW w:w="1022" w:type="dxa"/>
          </w:tcPr>
          <w:p w14:paraId="1D52433C"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91%</w:t>
            </w:r>
          </w:p>
        </w:tc>
        <w:tc>
          <w:tcPr>
            <w:tcW w:w="1352" w:type="dxa"/>
          </w:tcPr>
          <w:p w14:paraId="77EA148F"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6</w:t>
            </w:r>
          </w:p>
        </w:tc>
        <w:tc>
          <w:tcPr>
            <w:tcW w:w="909" w:type="dxa"/>
          </w:tcPr>
          <w:p w14:paraId="6A23A1E4"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231</w:t>
            </w:r>
          </w:p>
        </w:tc>
        <w:tc>
          <w:tcPr>
            <w:tcW w:w="1024" w:type="dxa"/>
          </w:tcPr>
          <w:p w14:paraId="7406900D"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89%</w:t>
            </w:r>
          </w:p>
        </w:tc>
        <w:tc>
          <w:tcPr>
            <w:tcW w:w="1022" w:type="dxa"/>
          </w:tcPr>
          <w:p w14:paraId="3AD135F7"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79%</w:t>
            </w:r>
          </w:p>
        </w:tc>
        <w:tc>
          <w:tcPr>
            <w:tcW w:w="1352" w:type="dxa"/>
          </w:tcPr>
          <w:p w14:paraId="0710064C"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10</w:t>
            </w:r>
          </w:p>
        </w:tc>
      </w:tr>
    </w:tbl>
    <w:p w14:paraId="5FDE52EE" w14:textId="77777777" w:rsidR="00134236" w:rsidRPr="00134236" w:rsidRDefault="00134236" w:rsidP="00134236">
      <w:pPr>
        <w:spacing w:after="0"/>
        <w:rPr>
          <w:rFonts w:cs="Times New Roman"/>
        </w:rPr>
      </w:pPr>
    </w:p>
    <w:p w14:paraId="6F2062C1" w14:textId="77777777" w:rsidR="00134236" w:rsidRPr="00134236" w:rsidRDefault="00134236" w:rsidP="00134236">
      <w:pPr>
        <w:spacing w:after="0"/>
        <w:rPr>
          <w:rFonts w:cs="Times New Roman"/>
        </w:rPr>
      </w:pPr>
    </w:p>
    <w:p w14:paraId="48796E57" w14:textId="77777777" w:rsidR="00134236" w:rsidRPr="00134236" w:rsidRDefault="00134236" w:rsidP="00134236">
      <w:pPr>
        <w:spacing w:after="0"/>
        <w:rPr>
          <w:rFonts w:cs="Times New Roman"/>
          <w:b/>
        </w:rPr>
      </w:pPr>
      <w:r w:rsidRPr="00134236">
        <w:rPr>
          <w:rFonts w:cs="Times New Roman"/>
          <w:b/>
        </w:rPr>
        <w:t>Between 2014 and 2017, science proficiency for all students declined by 11 percentage points, improved by 3 percentage points for students with disabilities, and did not improve for high needs students.</w:t>
      </w:r>
    </w:p>
    <w:p w14:paraId="758ACC8E" w14:textId="77777777" w:rsidR="00134236" w:rsidRPr="00134236" w:rsidRDefault="00134236" w:rsidP="00134236">
      <w:pPr>
        <w:spacing w:after="0"/>
        <w:rPr>
          <w:rFonts w:cs="Times New Roman"/>
        </w:rPr>
      </w:pPr>
    </w:p>
    <w:tbl>
      <w:tblPr>
        <w:tblStyle w:val="TableGrid5"/>
        <w:tblW w:w="0" w:type="auto"/>
        <w:tblLook w:val="04A0" w:firstRow="1" w:lastRow="0" w:firstColumn="1" w:lastColumn="0" w:noHBand="0" w:noVBand="1"/>
        <w:tblCaption w:val="Table 5: Wakefield Public Schools"/>
        <w:tblDescription w:val="MCAS Science Percent Scoring Proficient or Advanced in Grades 5, 8, and 10, 2014‑2017"/>
      </w:tblPr>
      <w:tblGrid>
        <w:gridCol w:w="1238"/>
        <w:gridCol w:w="1163"/>
        <w:gridCol w:w="1157"/>
        <w:gridCol w:w="1157"/>
        <w:gridCol w:w="1157"/>
        <w:gridCol w:w="1087"/>
        <w:gridCol w:w="1238"/>
        <w:gridCol w:w="1163"/>
      </w:tblGrid>
      <w:tr w:rsidR="00134236" w:rsidRPr="00134236" w14:paraId="757A67B0" w14:textId="77777777" w:rsidTr="00BB0032">
        <w:trPr>
          <w:tblHeader/>
        </w:trPr>
        <w:tc>
          <w:tcPr>
            <w:tcW w:w="9576" w:type="dxa"/>
            <w:gridSpan w:val="8"/>
            <w:tcBorders>
              <w:top w:val="nil"/>
              <w:left w:val="nil"/>
              <w:right w:val="nil"/>
            </w:tcBorders>
          </w:tcPr>
          <w:p w14:paraId="68D65254" w14:textId="77777777" w:rsidR="00134236" w:rsidRPr="00134236" w:rsidRDefault="00134236" w:rsidP="00134236">
            <w:pPr>
              <w:spacing w:after="0" w:line="240" w:lineRule="auto"/>
              <w:jc w:val="center"/>
              <w:rPr>
                <w:rFonts w:cs="Times New Roman"/>
                <w:b/>
                <w:sz w:val="20"/>
                <w:szCs w:val="20"/>
              </w:rPr>
            </w:pPr>
            <w:r w:rsidRPr="00134236">
              <w:rPr>
                <w:rFonts w:cs="Times New Roman"/>
                <w:b/>
                <w:sz w:val="20"/>
                <w:szCs w:val="20"/>
              </w:rPr>
              <w:t>Table 5: Wakefield Public Schools</w:t>
            </w:r>
          </w:p>
          <w:p w14:paraId="01214C57" w14:textId="1AD007AC" w:rsidR="00134236" w:rsidRPr="00134236" w:rsidRDefault="00134236" w:rsidP="004E4F6C">
            <w:pPr>
              <w:spacing w:after="0" w:line="240" w:lineRule="auto"/>
              <w:jc w:val="center"/>
              <w:rPr>
                <w:rFonts w:cs="Times New Roman"/>
                <w:sz w:val="20"/>
                <w:szCs w:val="20"/>
              </w:rPr>
            </w:pPr>
            <w:r w:rsidRPr="00134236">
              <w:rPr>
                <w:rFonts w:cs="Times New Roman"/>
                <w:b/>
                <w:sz w:val="20"/>
                <w:szCs w:val="20"/>
              </w:rPr>
              <w:t>MCAS Science Percent Scoring Proficient or Advanced in Grades 5, 8, and 10, 2014</w:t>
            </w:r>
            <w:r w:rsidR="004E4F6C">
              <w:rPr>
                <w:rFonts w:cs="Times New Roman"/>
                <w:b/>
                <w:sz w:val="20"/>
                <w:szCs w:val="20"/>
              </w:rPr>
              <w:softHyphen/>
            </w:r>
            <w:r w:rsidR="004E4F6C">
              <w:rPr>
                <w:rFonts w:cs="Times New Roman"/>
                <w:b/>
                <w:sz w:val="20"/>
                <w:szCs w:val="20"/>
              </w:rPr>
              <w:noBreakHyphen/>
            </w:r>
            <w:r w:rsidRPr="00134236">
              <w:rPr>
                <w:rFonts w:cs="Times New Roman"/>
                <w:b/>
                <w:sz w:val="20"/>
                <w:szCs w:val="20"/>
              </w:rPr>
              <w:t>2017</w:t>
            </w:r>
          </w:p>
        </w:tc>
      </w:tr>
      <w:tr w:rsidR="00134236" w:rsidRPr="00134236" w14:paraId="3E667FDF" w14:textId="77777777" w:rsidTr="00BB0032">
        <w:trPr>
          <w:tblHeader/>
        </w:trPr>
        <w:tc>
          <w:tcPr>
            <w:tcW w:w="1267" w:type="dxa"/>
            <w:shd w:val="clear" w:color="auto" w:fill="D9D9D9" w:themeFill="background1" w:themeFillShade="D9"/>
          </w:tcPr>
          <w:p w14:paraId="73E8D315" w14:textId="4CE005D0" w:rsidR="00134236" w:rsidRPr="00E22258" w:rsidRDefault="00181E2F" w:rsidP="00134236">
            <w:pPr>
              <w:spacing w:after="0" w:line="240" w:lineRule="auto"/>
              <w:rPr>
                <w:rFonts w:cs="Times New Roman"/>
                <w:b/>
                <w:sz w:val="20"/>
                <w:szCs w:val="20"/>
              </w:rPr>
            </w:pPr>
            <w:r w:rsidRPr="00E22258">
              <w:rPr>
                <w:rFonts w:cs="Times New Roman"/>
                <w:b/>
                <w:sz w:val="20"/>
                <w:szCs w:val="20"/>
              </w:rPr>
              <w:t>Group</w:t>
            </w:r>
          </w:p>
        </w:tc>
        <w:tc>
          <w:tcPr>
            <w:tcW w:w="1187" w:type="dxa"/>
            <w:shd w:val="clear" w:color="auto" w:fill="D9D9D9" w:themeFill="background1" w:themeFillShade="D9"/>
          </w:tcPr>
          <w:p w14:paraId="45F6B3A8" w14:textId="77777777" w:rsidR="00134236" w:rsidRPr="00134236" w:rsidRDefault="00134236" w:rsidP="00134236">
            <w:pPr>
              <w:spacing w:after="0" w:line="240" w:lineRule="auto"/>
              <w:jc w:val="center"/>
              <w:rPr>
                <w:rFonts w:cs="Times New Roman"/>
                <w:b/>
                <w:sz w:val="20"/>
                <w:szCs w:val="20"/>
              </w:rPr>
            </w:pPr>
            <w:r w:rsidRPr="00134236">
              <w:rPr>
                <w:rFonts w:cs="Times New Roman"/>
                <w:b/>
                <w:sz w:val="20"/>
                <w:szCs w:val="20"/>
              </w:rPr>
              <w:t>N (2017)</w:t>
            </w:r>
          </w:p>
        </w:tc>
        <w:tc>
          <w:tcPr>
            <w:tcW w:w="1187" w:type="dxa"/>
            <w:shd w:val="clear" w:color="auto" w:fill="D9D9D9" w:themeFill="background1" w:themeFillShade="D9"/>
          </w:tcPr>
          <w:p w14:paraId="24570495" w14:textId="77777777" w:rsidR="00134236" w:rsidRPr="00134236" w:rsidRDefault="00134236" w:rsidP="00134236">
            <w:pPr>
              <w:spacing w:after="0" w:line="240" w:lineRule="auto"/>
              <w:jc w:val="center"/>
              <w:rPr>
                <w:rFonts w:cs="Times New Roman"/>
                <w:b/>
                <w:sz w:val="20"/>
                <w:szCs w:val="20"/>
              </w:rPr>
            </w:pPr>
            <w:r w:rsidRPr="00134236">
              <w:rPr>
                <w:rFonts w:cs="Times New Roman"/>
                <w:b/>
                <w:sz w:val="20"/>
                <w:szCs w:val="20"/>
              </w:rPr>
              <w:t>2014</w:t>
            </w:r>
          </w:p>
        </w:tc>
        <w:tc>
          <w:tcPr>
            <w:tcW w:w="1187" w:type="dxa"/>
            <w:shd w:val="clear" w:color="auto" w:fill="D9D9D9" w:themeFill="background1" w:themeFillShade="D9"/>
          </w:tcPr>
          <w:p w14:paraId="395785B8" w14:textId="77777777" w:rsidR="00134236" w:rsidRPr="00134236" w:rsidRDefault="00134236" w:rsidP="00134236">
            <w:pPr>
              <w:spacing w:after="0" w:line="240" w:lineRule="auto"/>
              <w:jc w:val="center"/>
              <w:rPr>
                <w:rFonts w:cs="Times New Roman"/>
                <w:b/>
                <w:sz w:val="20"/>
                <w:szCs w:val="20"/>
              </w:rPr>
            </w:pPr>
            <w:r w:rsidRPr="00134236">
              <w:rPr>
                <w:rFonts w:cs="Times New Roman"/>
                <w:b/>
                <w:sz w:val="20"/>
                <w:szCs w:val="20"/>
              </w:rPr>
              <w:t>2015</w:t>
            </w:r>
          </w:p>
        </w:tc>
        <w:tc>
          <w:tcPr>
            <w:tcW w:w="1187" w:type="dxa"/>
            <w:shd w:val="clear" w:color="auto" w:fill="D9D9D9" w:themeFill="background1" w:themeFillShade="D9"/>
          </w:tcPr>
          <w:p w14:paraId="6DB1C985" w14:textId="77777777" w:rsidR="00134236" w:rsidRPr="00134236" w:rsidRDefault="00134236" w:rsidP="00134236">
            <w:pPr>
              <w:spacing w:after="0" w:line="240" w:lineRule="auto"/>
              <w:jc w:val="center"/>
              <w:rPr>
                <w:rFonts w:cs="Times New Roman"/>
                <w:b/>
                <w:sz w:val="20"/>
                <w:szCs w:val="20"/>
              </w:rPr>
            </w:pPr>
            <w:r w:rsidRPr="00134236">
              <w:rPr>
                <w:rFonts w:cs="Times New Roman"/>
                <w:b/>
                <w:sz w:val="20"/>
                <w:szCs w:val="20"/>
              </w:rPr>
              <w:t>2016</w:t>
            </w:r>
          </w:p>
        </w:tc>
        <w:tc>
          <w:tcPr>
            <w:tcW w:w="1113" w:type="dxa"/>
            <w:shd w:val="clear" w:color="auto" w:fill="D9D9D9" w:themeFill="background1" w:themeFillShade="D9"/>
          </w:tcPr>
          <w:p w14:paraId="588CDFD0" w14:textId="77777777" w:rsidR="00134236" w:rsidRPr="00134236" w:rsidRDefault="00134236" w:rsidP="00134236">
            <w:pPr>
              <w:spacing w:after="0" w:line="240" w:lineRule="auto"/>
              <w:jc w:val="center"/>
              <w:rPr>
                <w:rFonts w:cs="Times New Roman"/>
                <w:b/>
                <w:sz w:val="20"/>
                <w:szCs w:val="20"/>
              </w:rPr>
            </w:pPr>
            <w:r w:rsidRPr="00134236">
              <w:rPr>
                <w:rFonts w:cs="Times New Roman"/>
                <w:b/>
                <w:sz w:val="20"/>
                <w:szCs w:val="20"/>
              </w:rPr>
              <w:t>2017</w:t>
            </w:r>
          </w:p>
        </w:tc>
        <w:tc>
          <w:tcPr>
            <w:tcW w:w="1261" w:type="dxa"/>
            <w:shd w:val="clear" w:color="auto" w:fill="D9D9D9" w:themeFill="background1" w:themeFillShade="D9"/>
          </w:tcPr>
          <w:p w14:paraId="2F730901" w14:textId="39C31B24" w:rsidR="00134236" w:rsidRPr="00134236" w:rsidRDefault="00134236" w:rsidP="00181E2F">
            <w:pPr>
              <w:spacing w:after="0" w:line="240" w:lineRule="auto"/>
              <w:jc w:val="center"/>
              <w:rPr>
                <w:rFonts w:cs="Times New Roman"/>
                <w:b/>
                <w:sz w:val="20"/>
                <w:szCs w:val="20"/>
              </w:rPr>
            </w:pPr>
            <w:r w:rsidRPr="00134236">
              <w:rPr>
                <w:rFonts w:cs="Times New Roman"/>
                <w:b/>
                <w:sz w:val="20"/>
                <w:szCs w:val="20"/>
              </w:rPr>
              <w:t xml:space="preserve">4-yr </w:t>
            </w:r>
            <w:r w:rsidR="00181E2F">
              <w:rPr>
                <w:rFonts w:cs="Times New Roman"/>
                <w:b/>
                <w:sz w:val="20"/>
                <w:szCs w:val="20"/>
              </w:rPr>
              <w:t>C</w:t>
            </w:r>
            <w:r w:rsidR="00181E2F" w:rsidRPr="00134236">
              <w:rPr>
                <w:rFonts w:cs="Times New Roman"/>
                <w:b/>
                <w:sz w:val="20"/>
                <w:szCs w:val="20"/>
              </w:rPr>
              <w:t>hange</w:t>
            </w:r>
          </w:p>
        </w:tc>
        <w:tc>
          <w:tcPr>
            <w:tcW w:w="1187" w:type="dxa"/>
            <w:shd w:val="clear" w:color="auto" w:fill="D9D9D9" w:themeFill="background1" w:themeFillShade="D9"/>
          </w:tcPr>
          <w:p w14:paraId="6B2D280E" w14:textId="77777777" w:rsidR="00134236" w:rsidRPr="00134236" w:rsidRDefault="00134236" w:rsidP="00134236">
            <w:pPr>
              <w:spacing w:after="0" w:line="240" w:lineRule="auto"/>
              <w:jc w:val="center"/>
              <w:rPr>
                <w:rFonts w:cs="Times New Roman"/>
                <w:b/>
                <w:sz w:val="20"/>
                <w:szCs w:val="20"/>
              </w:rPr>
            </w:pPr>
            <w:r w:rsidRPr="00134236">
              <w:rPr>
                <w:rFonts w:cs="Times New Roman"/>
                <w:b/>
                <w:sz w:val="20"/>
                <w:szCs w:val="20"/>
              </w:rPr>
              <w:t>State (2017)</w:t>
            </w:r>
          </w:p>
        </w:tc>
      </w:tr>
      <w:tr w:rsidR="00134236" w:rsidRPr="00134236" w14:paraId="151BAF94" w14:textId="77777777" w:rsidTr="00BB0032">
        <w:trPr>
          <w:tblHeader/>
        </w:trPr>
        <w:tc>
          <w:tcPr>
            <w:tcW w:w="1267" w:type="dxa"/>
          </w:tcPr>
          <w:p w14:paraId="7D445F4E" w14:textId="77777777" w:rsidR="00134236" w:rsidRPr="00134236" w:rsidRDefault="00134236" w:rsidP="00134236">
            <w:pPr>
              <w:spacing w:after="0" w:line="240" w:lineRule="auto"/>
              <w:rPr>
                <w:rFonts w:cs="Times New Roman"/>
                <w:sz w:val="20"/>
                <w:szCs w:val="20"/>
              </w:rPr>
            </w:pPr>
            <w:r w:rsidRPr="00134236">
              <w:rPr>
                <w:rFonts w:cs="Times New Roman"/>
                <w:sz w:val="20"/>
                <w:szCs w:val="20"/>
              </w:rPr>
              <w:t>High Needs</w:t>
            </w:r>
          </w:p>
        </w:tc>
        <w:tc>
          <w:tcPr>
            <w:tcW w:w="1187" w:type="dxa"/>
          </w:tcPr>
          <w:p w14:paraId="4309369C"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207</w:t>
            </w:r>
          </w:p>
        </w:tc>
        <w:tc>
          <w:tcPr>
            <w:tcW w:w="1187" w:type="dxa"/>
          </w:tcPr>
          <w:p w14:paraId="5380E180"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33%</w:t>
            </w:r>
          </w:p>
        </w:tc>
        <w:tc>
          <w:tcPr>
            <w:tcW w:w="1187" w:type="dxa"/>
          </w:tcPr>
          <w:p w14:paraId="1257DBBF"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30%</w:t>
            </w:r>
          </w:p>
        </w:tc>
        <w:tc>
          <w:tcPr>
            <w:tcW w:w="1187" w:type="dxa"/>
          </w:tcPr>
          <w:p w14:paraId="4F95E59C"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26%</w:t>
            </w:r>
          </w:p>
        </w:tc>
        <w:tc>
          <w:tcPr>
            <w:tcW w:w="1113" w:type="dxa"/>
          </w:tcPr>
          <w:p w14:paraId="4496667E"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33%</w:t>
            </w:r>
          </w:p>
        </w:tc>
        <w:tc>
          <w:tcPr>
            <w:tcW w:w="1261" w:type="dxa"/>
          </w:tcPr>
          <w:p w14:paraId="58E6BAED"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0</w:t>
            </w:r>
          </w:p>
        </w:tc>
        <w:tc>
          <w:tcPr>
            <w:tcW w:w="1187" w:type="dxa"/>
          </w:tcPr>
          <w:p w14:paraId="269DF70F"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31%</w:t>
            </w:r>
          </w:p>
        </w:tc>
      </w:tr>
      <w:tr w:rsidR="00134236" w:rsidRPr="00134236" w14:paraId="30B98BEF" w14:textId="77777777" w:rsidTr="00BB0032">
        <w:trPr>
          <w:tblHeader/>
        </w:trPr>
        <w:tc>
          <w:tcPr>
            <w:tcW w:w="1267" w:type="dxa"/>
            <w:shd w:val="clear" w:color="auto" w:fill="D9D9D9" w:themeFill="background1" w:themeFillShade="D9"/>
          </w:tcPr>
          <w:p w14:paraId="622B6BEC" w14:textId="77777777" w:rsidR="00134236" w:rsidRPr="00134236" w:rsidRDefault="00134236" w:rsidP="00134236">
            <w:pPr>
              <w:spacing w:after="0" w:line="240" w:lineRule="auto"/>
              <w:rPr>
                <w:rFonts w:cs="Times New Roman"/>
                <w:sz w:val="20"/>
                <w:szCs w:val="20"/>
              </w:rPr>
            </w:pPr>
            <w:r w:rsidRPr="00134236">
              <w:rPr>
                <w:rFonts w:cs="Times New Roman"/>
                <w:sz w:val="20"/>
                <w:szCs w:val="20"/>
              </w:rPr>
              <w:t>Econ. Dis.</w:t>
            </w:r>
          </w:p>
        </w:tc>
        <w:tc>
          <w:tcPr>
            <w:tcW w:w="1187" w:type="dxa"/>
            <w:shd w:val="clear" w:color="auto" w:fill="D9D9D9" w:themeFill="background1" w:themeFillShade="D9"/>
          </w:tcPr>
          <w:p w14:paraId="36D82E8D"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109</w:t>
            </w:r>
          </w:p>
        </w:tc>
        <w:tc>
          <w:tcPr>
            <w:tcW w:w="1187" w:type="dxa"/>
            <w:shd w:val="clear" w:color="auto" w:fill="D9D9D9" w:themeFill="background1" w:themeFillShade="D9"/>
          </w:tcPr>
          <w:p w14:paraId="1E7EADB1"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1187" w:type="dxa"/>
            <w:shd w:val="clear" w:color="auto" w:fill="D9D9D9" w:themeFill="background1" w:themeFillShade="D9"/>
          </w:tcPr>
          <w:p w14:paraId="7CDA2A4D"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34%</w:t>
            </w:r>
          </w:p>
        </w:tc>
        <w:tc>
          <w:tcPr>
            <w:tcW w:w="1187" w:type="dxa"/>
            <w:shd w:val="clear" w:color="auto" w:fill="D9D9D9" w:themeFill="background1" w:themeFillShade="D9"/>
          </w:tcPr>
          <w:p w14:paraId="5895C55B"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31%</w:t>
            </w:r>
          </w:p>
        </w:tc>
        <w:tc>
          <w:tcPr>
            <w:tcW w:w="1113" w:type="dxa"/>
            <w:shd w:val="clear" w:color="auto" w:fill="D9D9D9" w:themeFill="background1" w:themeFillShade="D9"/>
          </w:tcPr>
          <w:p w14:paraId="04C117CB"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41%</w:t>
            </w:r>
          </w:p>
        </w:tc>
        <w:tc>
          <w:tcPr>
            <w:tcW w:w="1261" w:type="dxa"/>
            <w:shd w:val="clear" w:color="auto" w:fill="D9D9D9" w:themeFill="background1" w:themeFillShade="D9"/>
          </w:tcPr>
          <w:p w14:paraId="7EBA7127"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1187" w:type="dxa"/>
            <w:shd w:val="clear" w:color="auto" w:fill="D9D9D9" w:themeFill="background1" w:themeFillShade="D9"/>
          </w:tcPr>
          <w:p w14:paraId="5193DE07"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32%</w:t>
            </w:r>
          </w:p>
        </w:tc>
      </w:tr>
      <w:tr w:rsidR="00134236" w:rsidRPr="00134236" w14:paraId="77421D0A" w14:textId="77777777" w:rsidTr="00BB0032">
        <w:trPr>
          <w:tblHeader/>
        </w:trPr>
        <w:tc>
          <w:tcPr>
            <w:tcW w:w="1267" w:type="dxa"/>
          </w:tcPr>
          <w:p w14:paraId="593A1E0C" w14:textId="77777777" w:rsidR="00134236" w:rsidRPr="00134236" w:rsidRDefault="00134236" w:rsidP="00134236">
            <w:pPr>
              <w:spacing w:after="0" w:line="240" w:lineRule="auto"/>
              <w:rPr>
                <w:rFonts w:cs="Times New Roman"/>
                <w:sz w:val="20"/>
                <w:szCs w:val="20"/>
              </w:rPr>
            </w:pPr>
            <w:r w:rsidRPr="00134236">
              <w:rPr>
                <w:rFonts w:cs="Times New Roman"/>
                <w:sz w:val="20"/>
                <w:szCs w:val="20"/>
              </w:rPr>
              <w:t>SWD</w:t>
            </w:r>
          </w:p>
        </w:tc>
        <w:tc>
          <w:tcPr>
            <w:tcW w:w="1187" w:type="dxa"/>
          </w:tcPr>
          <w:p w14:paraId="259FA47A"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129</w:t>
            </w:r>
          </w:p>
        </w:tc>
        <w:tc>
          <w:tcPr>
            <w:tcW w:w="1187" w:type="dxa"/>
          </w:tcPr>
          <w:p w14:paraId="7875A84B"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19%</w:t>
            </w:r>
          </w:p>
        </w:tc>
        <w:tc>
          <w:tcPr>
            <w:tcW w:w="1187" w:type="dxa"/>
          </w:tcPr>
          <w:p w14:paraId="54C64C7E"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22%</w:t>
            </w:r>
          </w:p>
        </w:tc>
        <w:tc>
          <w:tcPr>
            <w:tcW w:w="1187" w:type="dxa"/>
          </w:tcPr>
          <w:p w14:paraId="5671525E"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19%</w:t>
            </w:r>
          </w:p>
        </w:tc>
        <w:tc>
          <w:tcPr>
            <w:tcW w:w="1113" w:type="dxa"/>
          </w:tcPr>
          <w:p w14:paraId="5471BCC2"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22%</w:t>
            </w:r>
          </w:p>
        </w:tc>
        <w:tc>
          <w:tcPr>
            <w:tcW w:w="1261" w:type="dxa"/>
          </w:tcPr>
          <w:p w14:paraId="2A634BCC"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3</w:t>
            </w:r>
          </w:p>
        </w:tc>
        <w:tc>
          <w:tcPr>
            <w:tcW w:w="1187" w:type="dxa"/>
          </w:tcPr>
          <w:p w14:paraId="3E5FAB79"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21%</w:t>
            </w:r>
          </w:p>
        </w:tc>
      </w:tr>
      <w:tr w:rsidR="00134236" w:rsidRPr="00134236" w14:paraId="08DA404B" w14:textId="77777777" w:rsidTr="00BB0032">
        <w:trPr>
          <w:tblHeader/>
        </w:trPr>
        <w:tc>
          <w:tcPr>
            <w:tcW w:w="1267" w:type="dxa"/>
            <w:shd w:val="clear" w:color="auto" w:fill="D9D9D9" w:themeFill="background1" w:themeFillShade="D9"/>
          </w:tcPr>
          <w:p w14:paraId="3E6111E7" w14:textId="7CDC90B3" w:rsidR="00134236" w:rsidRPr="00134236" w:rsidRDefault="00134236" w:rsidP="00134236">
            <w:pPr>
              <w:spacing w:after="0" w:line="240" w:lineRule="auto"/>
              <w:rPr>
                <w:rFonts w:cs="Times New Roman"/>
                <w:sz w:val="20"/>
                <w:szCs w:val="20"/>
              </w:rPr>
            </w:pPr>
            <w:r w:rsidRPr="00134236">
              <w:rPr>
                <w:rFonts w:cs="Times New Roman"/>
                <w:sz w:val="20"/>
                <w:szCs w:val="20"/>
              </w:rPr>
              <w:t>ELL</w:t>
            </w:r>
            <w:r w:rsidR="00181E2F">
              <w:rPr>
                <w:rFonts w:cs="Times New Roman"/>
                <w:sz w:val="20"/>
                <w:szCs w:val="20"/>
              </w:rPr>
              <w:t>s</w:t>
            </w:r>
          </w:p>
        </w:tc>
        <w:tc>
          <w:tcPr>
            <w:tcW w:w="1187" w:type="dxa"/>
            <w:shd w:val="clear" w:color="auto" w:fill="D9D9D9" w:themeFill="background1" w:themeFillShade="D9"/>
          </w:tcPr>
          <w:p w14:paraId="2CF89BC4"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8</w:t>
            </w:r>
          </w:p>
        </w:tc>
        <w:tc>
          <w:tcPr>
            <w:tcW w:w="1187" w:type="dxa"/>
            <w:shd w:val="clear" w:color="auto" w:fill="D9D9D9" w:themeFill="background1" w:themeFillShade="D9"/>
          </w:tcPr>
          <w:p w14:paraId="587C87AB"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1187" w:type="dxa"/>
            <w:shd w:val="clear" w:color="auto" w:fill="D9D9D9" w:themeFill="background1" w:themeFillShade="D9"/>
          </w:tcPr>
          <w:p w14:paraId="3C6D8051"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1187" w:type="dxa"/>
            <w:shd w:val="clear" w:color="auto" w:fill="D9D9D9" w:themeFill="background1" w:themeFillShade="D9"/>
          </w:tcPr>
          <w:p w14:paraId="4FE06B0E"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10%</w:t>
            </w:r>
          </w:p>
        </w:tc>
        <w:tc>
          <w:tcPr>
            <w:tcW w:w="1113" w:type="dxa"/>
            <w:shd w:val="clear" w:color="auto" w:fill="D9D9D9" w:themeFill="background1" w:themeFillShade="D9"/>
          </w:tcPr>
          <w:p w14:paraId="6F77EACC"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1261" w:type="dxa"/>
            <w:shd w:val="clear" w:color="auto" w:fill="D9D9D9" w:themeFill="background1" w:themeFillShade="D9"/>
          </w:tcPr>
          <w:p w14:paraId="667797D5"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1187" w:type="dxa"/>
            <w:shd w:val="clear" w:color="auto" w:fill="D9D9D9" w:themeFill="background1" w:themeFillShade="D9"/>
          </w:tcPr>
          <w:p w14:paraId="1508ACCF"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20%</w:t>
            </w:r>
          </w:p>
        </w:tc>
      </w:tr>
      <w:tr w:rsidR="00134236" w:rsidRPr="00134236" w14:paraId="08D081DD" w14:textId="77777777" w:rsidTr="00BB0032">
        <w:trPr>
          <w:tblHeader/>
        </w:trPr>
        <w:tc>
          <w:tcPr>
            <w:tcW w:w="1267" w:type="dxa"/>
          </w:tcPr>
          <w:p w14:paraId="37E12E7A" w14:textId="0CF4FCC3" w:rsidR="00134236" w:rsidRPr="00134236" w:rsidRDefault="00181E2F" w:rsidP="00181E2F">
            <w:pPr>
              <w:spacing w:after="0" w:line="240" w:lineRule="auto"/>
              <w:rPr>
                <w:rFonts w:cs="Times New Roman"/>
                <w:sz w:val="20"/>
                <w:szCs w:val="20"/>
              </w:rPr>
            </w:pPr>
            <w:r w:rsidRPr="00134236">
              <w:rPr>
                <w:rFonts w:cs="Times New Roman"/>
                <w:sz w:val="20"/>
                <w:szCs w:val="20"/>
              </w:rPr>
              <w:t>A</w:t>
            </w:r>
            <w:r>
              <w:rPr>
                <w:rFonts w:cs="Times New Roman"/>
                <w:sz w:val="20"/>
                <w:szCs w:val="20"/>
              </w:rPr>
              <w:t>ll</w:t>
            </w:r>
          </w:p>
        </w:tc>
        <w:tc>
          <w:tcPr>
            <w:tcW w:w="1187" w:type="dxa"/>
          </w:tcPr>
          <w:p w14:paraId="54C0BEC2"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755</w:t>
            </w:r>
          </w:p>
        </w:tc>
        <w:tc>
          <w:tcPr>
            <w:tcW w:w="1187" w:type="dxa"/>
          </w:tcPr>
          <w:p w14:paraId="0162FA69"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65%</w:t>
            </w:r>
          </w:p>
        </w:tc>
        <w:tc>
          <w:tcPr>
            <w:tcW w:w="1187" w:type="dxa"/>
          </w:tcPr>
          <w:p w14:paraId="4D2D5121"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59%</w:t>
            </w:r>
          </w:p>
        </w:tc>
        <w:tc>
          <w:tcPr>
            <w:tcW w:w="1187" w:type="dxa"/>
          </w:tcPr>
          <w:p w14:paraId="5E8E47AA"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53%</w:t>
            </w:r>
          </w:p>
        </w:tc>
        <w:tc>
          <w:tcPr>
            <w:tcW w:w="1113" w:type="dxa"/>
          </w:tcPr>
          <w:p w14:paraId="1360208C"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54%</w:t>
            </w:r>
          </w:p>
        </w:tc>
        <w:tc>
          <w:tcPr>
            <w:tcW w:w="1261" w:type="dxa"/>
          </w:tcPr>
          <w:p w14:paraId="69CD61E4"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-11</w:t>
            </w:r>
          </w:p>
        </w:tc>
        <w:tc>
          <w:tcPr>
            <w:tcW w:w="1187" w:type="dxa"/>
          </w:tcPr>
          <w:p w14:paraId="0731492A"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53%</w:t>
            </w:r>
          </w:p>
        </w:tc>
      </w:tr>
    </w:tbl>
    <w:p w14:paraId="4212B834" w14:textId="77777777" w:rsidR="00134236" w:rsidRPr="00134236" w:rsidRDefault="00134236" w:rsidP="00134236">
      <w:pPr>
        <w:spacing w:after="0"/>
        <w:rPr>
          <w:rFonts w:cs="Times New Roman"/>
        </w:rPr>
      </w:pPr>
    </w:p>
    <w:p w14:paraId="63317037" w14:textId="77777777" w:rsidR="00134236" w:rsidRPr="00134236" w:rsidRDefault="00134236" w:rsidP="00134236">
      <w:pPr>
        <w:spacing w:after="0"/>
        <w:rPr>
          <w:rFonts w:cs="Times New Roman"/>
        </w:rPr>
      </w:pPr>
    </w:p>
    <w:p w14:paraId="7AAAD933" w14:textId="19FD910E" w:rsidR="00134236" w:rsidRPr="00134236" w:rsidRDefault="00134236" w:rsidP="00134236">
      <w:pPr>
        <w:spacing w:after="0" w:line="240" w:lineRule="auto"/>
        <w:rPr>
          <w:rFonts w:eastAsia="Times New Roman" w:cs="Times New Roman"/>
          <w:b/>
        </w:rPr>
      </w:pPr>
      <w:r w:rsidRPr="00134236">
        <w:rPr>
          <w:rFonts w:eastAsia="Times New Roman" w:cs="Times New Roman"/>
          <w:b/>
        </w:rPr>
        <w:t xml:space="preserve">In ELA, the percentage of students meeting or exceeding expectations on the Next-Generation MCAS </w:t>
      </w:r>
      <w:r w:rsidR="0078366D">
        <w:rPr>
          <w:rFonts w:eastAsia="Times New Roman" w:cs="Times New Roman"/>
          <w:b/>
        </w:rPr>
        <w:t xml:space="preserve">assessment </w:t>
      </w:r>
      <w:r w:rsidRPr="00134236">
        <w:rPr>
          <w:rFonts w:eastAsia="Times New Roman" w:cs="Times New Roman"/>
          <w:b/>
        </w:rPr>
        <w:t xml:space="preserve">was </w:t>
      </w:r>
      <w:r w:rsidR="0078366D">
        <w:rPr>
          <w:rFonts w:eastAsia="Times New Roman" w:cs="Times New Roman"/>
          <w:b/>
        </w:rPr>
        <w:t>1</w:t>
      </w:r>
      <w:r w:rsidR="0078366D" w:rsidRPr="00134236">
        <w:rPr>
          <w:rFonts w:eastAsia="Times New Roman" w:cs="Times New Roman"/>
          <w:b/>
        </w:rPr>
        <w:t xml:space="preserve"> </w:t>
      </w:r>
      <w:r w:rsidRPr="00134236">
        <w:rPr>
          <w:rFonts w:eastAsia="Times New Roman" w:cs="Times New Roman"/>
          <w:b/>
        </w:rPr>
        <w:t>percentage point above the state rate in grades 3</w:t>
      </w:r>
      <w:r w:rsidR="0078366D">
        <w:rPr>
          <w:rFonts w:eastAsia="Times New Roman" w:cs="Times New Roman"/>
          <w:b/>
        </w:rPr>
        <w:t>–</w:t>
      </w:r>
      <w:r w:rsidRPr="00134236">
        <w:rPr>
          <w:rFonts w:eastAsia="Times New Roman" w:cs="Times New Roman"/>
          <w:b/>
        </w:rPr>
        <w:t>8 as a whole and in the 5</w:t>
      </w:r>
      <w:r w:rsidRPr="00134236">
        <w:rPr>
          <w:rFonts w:eastAsia="Times New Roman" w:cs="Times New Roman"/>
          <w:b/>
          <w:vertAlign w:val="superscript"/>
        </w:rPr>
        <w:t>th</w:t>
      </w:r>
      <w:r w:rsidRPr="00134236">
        <w:rPr>
          <w:rFonts w:eastAsia="Times New Roman" w:cs="Times New Roman"/>
          <w:b/>
        </w:rPr>
        <w:t xml:space="preserve"> grade, and 5 to 8 percentage point</w:t>
      </w:r>
      <w:r w:rsidR="004E4F6C">
        <w:rPr>
          <w:rFonts w:eastAsia="Times New Roman" w:cs="Times New Roman"/>
          <w:b/>
        </w:rPr>
        <w:t>s</w:t>
      </w:r>
      <w:r w:rsidRPr="00134236">
        <w:rPr>
          <w:rFonts w:eastAsia="Times New Roman" w:cs="Times New Roman"/>
          <w:b/>
        </w:rPr>
        <w:t xml:space="preserve"> </w:t>
      </w:r>
      <w:r w:rsidR="009229A9" w:rsidRPr="00134236">
        <w:rPr>
          <w:rFonts w:eastAsia="Times New Roman" w:cs="Times New Roman"/>
          <w:b/>
        </w:rPr>
        <w:t xml:space="preserve">above the state rate </w:t>
      </w:r>
      <w:r w:rsidRPr="00134236">
        <w:rPr>
          <w:rFonts w:eastAsia="Times New Roman" w:cs="Times New Roman"/>
          <w:b/>
        </w:rPr>
        <w:t>in the 3</w:t>
      </w:r>
      <w:r w:rsidRPr="00134236">
        <w:rPr>
          <w:rFonts w:eastAsia="Times New Roman" w:cs="Times New Roman"/>
          <w:b/>
          <w:vertAlign w:val="superscript"/>
        </w:rPr>
        <w:t>rd</w:t>
      </w:r>
      <w:r w:rsidRPr="00134236">
        <w:rPr>
          <w:rFonts w:eastAsia="Times New Roman" w:cs="Times New Roman"/>
          <w:b/>
        </w:rPr>
        <w:t>, 4</w:t>
      </w:r>
      <w:r w:rsidRPr="00134236">
        <w:rPr>
          <w:rFonts w:eastAsia="Times New Roman" w:cs="Times New Roman"/>
          <w:b/>
          <w:vertAlign w:val="superscript"/>
        </w:rPr>
        <w:t>th</w:t>
      </w:r>
      <w:r w:rsidRPr="00134236">
        <w:rPr>
          <w:rFonts w:eastAsia="Times New Roman" w:cs="Times New Roman"/>
          <w:b/>
        </w:rPr>
        <w:t>, and 7</w:t>
      </w:r>
      <w:r w:rsidRPr="00134236">
        <w:rPr>
          <w:rFonts w:eastAsia="Times New Roman" w:cs="Times New Roman"/>
          <w:b/>
          <w:vertAlign w:val="superscript"/>
        </w:rPr>
        <w:t>th</w:t>
      </w:r>
      <w:r w:rsidRPr="00134236">
        <w:rPr>
          <w:rFonts w:eastAsia="Times New Roman" w:cs="Times New Roman"/>
          <w:b/>
        </w:rPr>
        <w:t xml:space="preserve"> grades, and 10 and 5 percentage points </w:t>
      </w:r>
      <w:r w:rsidR="009229A9" w:rsidRPr="00134236">
        <w:rPr>
          <w:rFonts w:eastAsia="Times New Roman" w:cs="Times New Roman"/>
          <w:b/>
        </w:rPr>
        <w:t xml:space="preserve">below the state rate </w:t>
      </w:r>
      <w:r w:rsidRPr="00134236">
        <w:rPr>
          <w:rFonts w:eastAsia="Times New Roman" w:cs="Times New Roman"/>
          <w:b/>
        </w:rPr>
        <w:t>in the 6</w:t>
      </w:r>
      <w:r w:rsidRPr="00134236">
        <w:rPr>
          <w:rFonts w:eastAsia="Times New Roman" w:cs="Times New Roman"/>
          <w:b/>
          <w:vertAlign w:val="superscript"/>
        </w:rPr>
        <w:t>th</w:t>
      </w:r>
      <w:r w:rsidRPr="00134236">
        <w:rPr>
          <w:rFonts w:eastAsia="Times New Roman" w:cs="Times New Roman"/>
          <w:b/>
        </w:rPr>
        <w:t xml:space="preserve"> and 8</w:t>
      </w:r>
      <w:r w:rsidRPr="00134236">
        <w:rPr>
          <w:rFonts w:eastAsia="Times New Roman" w:cs="Times New Roman"/>
          <w:b/>
          <w:vertAlign w:val="superscript"/>
        </w:rPr>
        <w:t>th</w:t>
      </w:r>
      <w:r w:rsidRPr="00134236">
        <w:rPr>
          <w:rFonts w:eastAsia="Times New Roman" w:cs="Times New Roman"/>
          <w:b/>
        </w:rPr>
        <w:t xml:space="preserve"> grades</w:t>
      </w:r>
      <w:r w:rsidR="0078366D">
        <w:rPr>
          <w:rFonts w:eastAsia="Times New Roman" w:cs="Times New Roman"/>
          <w:b/>
        </w:rPr>
        <w:t>, respectively</w:t>
      </w:r>
      <w:r w:rsidRPr="00134236">
        <w:rPr>
          <w:rFonts w:eastAsia="Times New Roman" w:cs="Times New Roman"/>
          <w:b/>
        </w:rPr>
        <w:t>.</w:t>
      </w:r>
    </w:p>
    <w:p w14:paraId="075B76F6" w14:textId="77777777" w:rsidR="00134236" w:rsidRPr="00134236" w:rsidRDefault="00134236" w:rsidP="00134236">
      <w:pPr>
        <w:spacing w:after="0" w:line="240" w:lineRule="auto"/>
        <w:rPr>
          <w:rFonts w:eastAsia="Times New Roman" w:cs="Times New Roman"/>
        </w:rPr>
      </w:pPr>
    </w:p>
    <w:p w14:paraId="5AEF718A" w14:textId="2FB291FD" w:rsidR="00134236" w:rsidRPr="00134236" w:rsidRDefault="00134236" w:rsidP="00134236">
      <w:pPr>
        <w:spacing w:after="0" w:line="240" w:lineRule="auto"/>
        <w:contextualSpacing/>
        <w:rPr>
          <w:rFonts w:eastAsia="Times New Roman" w:cs="Times New Roman"/>
        </w:rPr>
      </w:pPr>
      <w:r w:rsidRPr="00134236">
        <w:rPr>
          <w:rFonts w:eastAsia="Times New Roman" w:cs="Times New Roman"/>
          <w:b/>
        </w:rPr>
        <w:t xml:space="preserve">In math, the percentage of students meeting or exceeding expectations on the Next-Generation MCAS </w:t>
      </w:r>
      <w:r w:rsidR="0078366D">
        <w:rPr>
          <w:rFonts w:eastAsia="Times New Roman" w:cs="Times New Roman"/>
          <w:b/>
        </w:rPr>
        <w:t xml:space="preserve">assessment </w:t>
      </w:r>
      <w:r w:rsidRPr="00134236">
        <w:rPr>
          <w:rFonts w:eastAsia="Times New Roman" w:cs="Times New Roman"/>
          <w:b/>
        </w:rPr>
        <w:t>was 4 percentage points above the state rate in grades 3</w:t>
      </w:r>
      <w:r w:rsidR="0078366D">
        <w:rPr>
          <w:rFonts w:eastAsia="Times New Roman" w:cs="Times New Roman"/>
          <w:b/>
        </w:rPr>
        <w:t>–</w:t>
      </w:r>
      <w:r w:rsidRPr="00134236">
        <w:rPr>
          <w:rFonts w:eastAsia="Times New Roman" w:cs="Times New Roman"/>
          <w:b/>
        </w:rPr>
        <w:t>8 as a whole and by 3 to 9 percentage points in the 3</w:t>
      </w:r>
      <w:r w:rsidRPr="00134236">
        <w:rPr>
          <w:rFonts w:eastAsia="Times New Roman" w:cs="Times New Roman"/>
          <w:b/>
          <w:vertAlign w:val="superscript"/>
        </w:rPr>
        <w:t>rd</w:t>
      </w:r>
      <w:r w:rsidRPr="00134236">
        <w:rPr>
          <w:rFonts w:eastAsia="Times New Roman" w:cs="Times New Roman"/>
          <w:b/>
        </w:rPr>
        <w:t xml:space="preserve"> through 5</w:t>
      </w:r>
      <w:r w:rsidRPr="00134236">
        <w:rPr>
          <w:rFonts w:eastAsia="Times New Roman" w:cs="Times New Roman"/>
          <w:b/>
          <w:vertAlign w:val="superscript"/>
        </w:rPr>
        <w:t>th</w:t>
      </w:r>
      <w:r w:rsidRPr="00134236">
        <w:rPr>
          <w:rFonts w:eastAsia="Times New Roman" w:cs="Times New Roman"/>
          <w:b/>
        </w:rPr>
        <w:t xml:space="preserve"> grades and </w:t>
      </w:r>
      <w:r w:rsidR="009229A9">
        <w:rPr>
          <w:rFonts w:eastAsia="Times New Roman" w:cs="Times New Roman"/>
          <w:b/>
        </w:rPr>
        <w:t xml:space="preserve">in </w:t>
      </w:r>
      <w:r w:rsidRPr="00134236">
        <w:rPr>
          <w:rFonts w:eastAsia="Times New Roman" w:cs="Times New Roman"/>
          <w:b/>
        </w:rPr>
        <w:t>the 7</w:t>
      </w:r>
      <w:r w:rsidRPr="00134236">
        <w:rPr>
          <w:rFonts w:eastAsia="Times New Roman" w:cs="Times New Roman"/>
          <w:b/>
          <w:vertAlign w:val="superscript"/>
        </w:rPr>
        <w:t>th</w:t>
      </w:r>
      <w:r w:rsidRPr="00134236">
        <w:rPr>
          <w:rFonts w:eastAsia="Times New Roman" w:cs="Times New Roman"/>
          <w:b/>
        </w:rPr>
        <w:t xml:space="preserve"> and 8</w:t>
      </w:r>
      <w:r w:rsidRPr="00134236">
        <w:rPr>
          <w:rFonts w:eastAsia="Times New Roman" w:cs="Times New Roman"/>
          <w:b/>
          <w:vertAlign w:val="superscript"/>
        </w:rPr>
        <w:t>th</w:t>
      </w:r>
      <w:r w:rsidRPr="00134236">
        <w:rPr>
          <w:rFonts w:eastAsia="Times New Roman" w:cs="Times New Roman"/>
          <w:b/>
        </w:rPr>
        <w:t xml:space="preserve"> grades, and below the state in the 6</w:t>
      </w:r>
      <w:r w:rsidRPr="00134236">
        <w:rPr>
          <w:rFonts w:eastAsia="Times New Roman" w:cs="Times New Roman"/>
          <w:b/>
          <w:vertAlign w:val="superscript"/>
        </w:rPr>
        <w:t>th</w:t>
      </w:r>
      <w:r w:rsidRPr="00134236">
        <w:rPr>
          <w:rFonts w:eastAsia="Times New Roman" w:cs="Times New Roman"/>
          <w:b/>
        </w:rPr>
        <w:t xml:space="preserve"> grade.</w:t>
      </w:r>
    </w:p>
    <w:p w14:paraId="2EE3A17C" w14:textId="209192A0" w:rsidR="00134236" w:rsidRDefault="00134236" w:rsidP="00134236">
      <w:pPr>
        <w:spacing w:after="0" w:line="240" w:lineRule="auto"/>
        <w:contextualSpacing/>
        <w:rPr>
          <w:rFonts w:eastAsia="Times New Roman" w:cs="Times New Roman"/>
        </w:rPr>
      </w:pPr>
    </w:p>
    <w:tbl>
      <w:tblPr>
        <w:tblStyle w:val="TableGrid5"/>
        <w:tblW w:w="9576" w:type="dxa"/>
        <w:tblLayout w:type="fixed"/>
        <w:tblLook w:val="00A0" w:firstRow="1" w:lastRow="0" w:firstColumn="1" w:lastColumn="0" w:noHBand="0" w:noVBand="0"/>
        <w:tblCaption w:val="Table 6: Wakefield Public Schools"/>
        <w:tblDescription w:val="Next-Generation MCAS ELA and Math Percent Meeting or Exceeding (M/E) Expectations in Grades 3–8, 2017"/>
      </w:tblPr>
      <w:tblGrid>
        <w:gridCol w:w="738"/>
        <w:gridCol w:w="1104"/>
        <w:gridCol w:w="1105"/>
        <w:gridCol w:w="1105"/>
        <w:gridCol w:w="1105"/>
        <w:gridCol w:w="1071"/>
        <w:gridCol w:w="1080"/>
        <w:gridCol w:w="1163"/>
        <w:gridCol w:w="1105"/>
      </w:tblGrid>
      <w:tr w:rsidR="00134236" w:rsidRPr="00134236" w14:paraId="3F9D9B9B" w14:textId="77777777" w:rsidTr="00BB0032">
        <w:trPr>
          <w:tblHeader/>
        </w:trPr>
        <w:tc>
          <w:tcPr>
            <w:tcW w:w="9576" w:type="dxa"/>
            <w:gridSpan w:val="9"/>
            <w:tcBorders>
              <w:top w:val="nil"/>
              <w:left w:val="nil"/>
              <w:right w:val="nil"/>
            </w:tcBorders>
          </w:tcPr>
          <w:p w14:paraId="1E366D1F" w14:textId="77777777" w:rsidR="00134236" w:rsidRPr="00134236" w:rsidRDefault="00134236" w:rsidP="00134236">
            <w:pPr>
              <w:spacing w:after="0" w:line="240" w:lineRule="auto"/>
              <w:jc w:val="center"/>
              <w:rPr>
                <w:b/>
                <w:sz w:val="20"/>
                <w:szCs w:val="20"/>
              </w:rPr>
            </w:pPr>
            <w:r w:rsidRPr="00134236">
              <w:rPr>
                <w:b/>
                <w:sz w:val="20"/>
                <w:szCs w:val="20"/>
              </w:rPr>
              <w:t xml:space="preserve">Table 6: </w:t>
            </w:r>
            <w:r w:rsidRPr="00134236">
              <w:rPr>
                <w:rFonts w:cs="Times New Roman"/>
                <w:b/>
                <w:sz w:val="20"/>
                <w:szCs w:val="20"/>
              </w:rPr>
              <w:t>Wakefield Public Schools</w:t>
            </w:r>
          </w:p>
          <w:p w14:paraId="2904FE54" w14:textId="709770D2" w:rsidR="00134236" w:rsidRPr="00134236" w:rsidRDefault="00134236" w:rsidP="00181E2F">
            <w:pPr>
              <w:spacing w:after="0" w:line="240" w:lineRule="auto"/>
              <w:jc w:val="center"/>
              <w:rPr>
                <w:b/>
                <w:sz w:val="20"/>
                <w:szCs w:val="20"/>
              </w:rPr>
            </w:pPr>
            <w:r w:rsidRPr="00134236">
              <w:rPr>
                <w:b/>
                <w:sz w:val="20"/>
                <w:szCs w:val="20"/>
              </w:rPr>
              <w:t xml:space="preserve">Next-Generation MCAS ELA and Math Percent Meeting or Exceeding </w:t>
            </w:r>
            <w:r w:rsidR="00181E2F">
              <w:rPr>
                <w:b/>
                <w:sz w:val="20"/>
                <w:szCs w:val="20"/>
              </w:rPr>
              <w:t xml:space="preserve">(M/E) </w:t>
            </w:r>
            <w:r w:rsidRPr="00134236">
              <w:rPr>
                <w:b/>
                <w:sz w:val="20"/>
                <w:szCs w:val="20"/>
              </w:rPr>
              <w:t>Expectations in Grades 3</w:t>
            </w:r>
            <w:r w:rsidR="00181E2F">
              <w:rPr>
                <w:b/>
                <w:sz w:val="20"/>
                <w:szCs w:val="20"/>
              </w:rPr>
              <w:t>–</w:t>
            </w:r>
            <w:r w:rsidRPr="00134236">
              <w:rPr>
                <w:b/>
                <w:sz w:val="20"/>
                <w:szCs w:val="20"/>
              </w:rPr>
              <w:t>8, 2017</w:t>
            </w:r>
          </w:p>
        </w:tc>
      </w:tr>
      <w:tr w:rsidR="00134236" w:rsidRPr="00134236" w14:paraId="50D8580B" w14:textId="77777777" w:rsidTr="00DF5AC6">
        <w:tc>
          <w:tcPr>
            <w:tcW w:w="738" w:type="dxa"/>
            <w:shd w:val="clear" w:color="auto" w:fill="D9D9D9" w:themeFill="background1" w:themeFillShade="D9"/>
          </w:tcPr>
          <w:p w14:paraId="1C6760E7" w14:textId="77777777" w:rsidR="00134236" w:rsidRPr="00134236" w:rsidRDefault="00134236" w:rsidP="00E22258">
            <w:pPr>
              <w:spacing w:after="0" w:line="240" w:lineRule="auto"/>
              <w:rPr>
                <w:b/>
                <w:sz w:val="20"/>
                <w:szCs w:val="20"/>
              </w:rPr>
            </w:pPr>
            <w:r w:rsidRPr="00134236">
              <w:rPr>
                <w:b/>
                <w:sz w:val="20"/>
                <w:szCs w:val="20"/>
              </w:rPr>
              <w:t>Grade</w:t>
            </w:r>
          </w:p>
        </w:tc>
        <w:tc>
          <w:tcPr>
            <w:tcW w:w="1104" w:type="dxa"/>
            <w:shd w:val="clear" w:color="auto" w:fill="D9D9D9" w:themeFill="background1" w:themeFillShade="D9"/>
          </w:tcPr>
          <w:p w14:paraId="44FD3E5B" w14:textId="77777777" w:rsidR="00134236" w:rsidRPr="00134236" w:rsidRDefault="00134236" w:rsidP="00134236">
            <w:pPr>
              <w:spacing w:after="0" w:line="240" w:lineRule="auto"/>
              <w:jc w:val="center"/>
              <w:rPr>
                <w:b/>
                <w:sz w:val="20"/>
                <w:szCs w:val="20"/>
              </w:rPr>
            </w:pPr>
            <w:r w:rsidRPr="00134236">
              <w:rPr>
                <w:b/>
                <w:sz w:val="20"/>
                <w:szCs w:val="20"/>
              </w:rPr>
              <w:t>N</w:t>
            </w:r>
          </w:p>
        </w:tc>
        <w:tc>
          <w:tcPr>
            <w:tcW w:w="1105" w:type="dxa"/>
            <w:shd w:val="clear" w:color="auto" w:fill="D9D9D9" w:themeFill="background1" w:themeFillShade="D9"/>
          </w:tcPr>
          <w:p w14:paraId="424E0AFD" w14:textId="77777777" w:rsidR="00134236" w:rsidRPr="00134236" w:rsidRDefault="00134236" w:rsidP="00134236">
            <w:pPr>
              <w:spacing w:after="0" w:line="240" w:lineRule="auto"/>
              <w:jc w:val="center"/>
              <w:rPr>
                <w:b/>
                <w:sz w:val="20"/>
                <w:szCs w:val="20"/>
              </w:rPr>
            </w:pPr>
            <w:r w:rsidRPr="00134236">
              <w:rPr>
                <w:b/>
                <w:sz w:val="20"/>
                <w:szCs w:val="20"/>
              </w:rPr>
              <w:t>ELA M/E</w:t>
            </w:r>
          </w:p>
        </w:tc>
        <w:tc>
          <w:tcPr>
            <w:tcW w:w="1105" w:type="dxa"/>
            <w:shd w:val="clear" w:color="auto" w:fill="D9D9D9" w:themeFill="background1" w:themeFillShade="D9"/>
          </w:tcPr>
          <w:p w14:paraId="47087542" w14:textId="77777777" w:rsidR="00134236" w:rsidRPr="00134236" w:rsidRDefault="00134236" w:rsidP="00134236">
            <w:pPr>
              <w:spacing w:after="0" w:line="240" w:lineRule="auto"/>
              <w:jc w:val="center"/>
              <w:rPr>
                <w:b/>
                <w:sz w:val="20"/>
                <w:szCs w:val="20"/>
              </w:rPr>
            </w:pPr>
            <w:r w:rsidRPr="00134236">
              <w:rPr>
                <w:b/>
                <w:sz w:val="20"/>
                <w:szCs w:val="20"/>
              </w:rPr>
              <w:t>State ELA</w:t>
            </w:r>
          </w:p>
        </w:tc>
        <w:tc>
          <w:tcPr>
            <w:tcW w:w="1105" w:type="dxa"/>
            <w:shd w:val="clear" w:color="auto" w:fill="D9D9D9" w:themeFill="background1" w:themeFillShade="D9"/>
          </w:tcPr>
          <w:p w14:paraId="2A874DA7" w14:textId="77777777" w:rsidR="00134236" w:rsidRPr="00134236" w:rsidRDefault="00134236" w:rsidP="00134236">
            <w:pPr>
              <w:spacing w:after="0" w:line="240" w:lineRule="auto"/>
              <w:jc w:val="center"/>
              <w:rPr>
                <w:b/>
                <w:sz w:val="20"/>
                <w:szCs w:val="20"/>
              </w:rPr>
            </w:pPr>
            <w:r w:rsidRPr="00134236">
              <w:rPr>
                <w:b/>
                <w:sz w:val="20"/>
                <w:szCs w:val="20"/>
              </w:rPr>
              <w:t>Difference</w:t>
            </w:r>
          </w:p>
        </w:tc>
        <w:tc>
          <w:tcPr>
            <w:tcW w:w="1071" w:type="dxa"/>
            <w:shd w:val="clear" w:color="auto" w:fill="D9D9D9" w:themeFill="background1" w:themeFillShade="D9"/>
          </w:tcPr>
          <w:p w14:paraId="23BACFFE" w14:textId="77777777" w:rsidR="00134236" w:rsidRPr="00134236" w:rsidRDefault="00134236" w:rsidP="00134236">
            <w:pPr>
              <w:spacing w:after="0" w:line="240" w:lineRule="auto"/>
              <w:jc w:val="center"/>
              <w:rPr>
                <w:b/>
                <w:sz w:val="20"/>
                <w:szCs w:val="20"/>
              </w:rPr>
            </w:pPr>
            <w:r w:rsidRPr="00134236">
              <w:rPr>
                <w:b/>
                <w:sz w:val="20"/>
                <w:szCs w:val="20"/>
              </w:rPr>
              <w:t>N</w:t>
            </w:r>
          </w:p>
        </w:tc>
        <w:tc>
          <w:tcPr>
            <w:tcW w:w="1080" w:type="dxa"/>
            <w:shd w:val="clear" w:color="auto" w:fill="D9D9D9" w:themeFill="background1" w:themeFillShade="D9"/>
          </w:tcPr>
          <w:p w14:paraId="50CA1252" w14:textId="77777777" w:rsidR="00134236" w:rsidRPr="00134236" w:rsidRDefault="00134236" w:rsidP="00134236">
            <w:pPr>
              <w:spacing w:after="0" w:line="240" w:lineRule="auto"/>
              <w:jc w:val="center"/>
              <w:rPr>
                <w:b/>
                <w:sz w:val="20"/>
                <w:szCs w:val="20"/>
              </w:rPr>
            </w:pPr>
            <w:r w:rsidRPr="00134236">
              <w:rPr>
                <w:b/>
                <w:sz w:val="20"/>
                <w:szCs w:val="20"/>
              </w:rPr>
              <w:t>Math M/E</w:t>
            </w:r>
          </w:p>
        </w:tc>
        <w:tc>
          <w:tcPr>
            <w:tcW w:w="1163" w:type="dxa"/>
            <w:shd w:val="clear" w:color="auto" w:fill="D9D9D9" w:themeFill="background1" w:themeFillShade="D9"/>
          </w:tcPr>
          <w:p w14:paraId="732DC5D4" w14:textId="77777777" w:rsidR="00134236" w:rsidRPr="00134236" w:rsidRDefault="00134236" w:rsidP="00134236">
            <w:pPr>
              <w:spacing w:after="0" w:line="240" w:lineRule="auto"/>
              <w:jc w:val="center"/>
              <w:rPr>
                <w:b/>
                <w:sz w:val="20"/>
                <w:szCs w:val="20"/>
              </w:rPr>
            </w:pPr>
            <w:r w:rsidRPr="00134236">
              <w:rPr>
                <w:b/>
                <w:sz w:val="20"/>
                <w:szCs w:val="20"/>
              </w:rPr>
              <w:t>State Math</w:t>
            </w:r>
          </w:p>
        </w:tc>
        <w:tc>
          <w:tcPr>
            <w:tcW w:w="1105" w:type="dxa"/>
            <w:shd w:val="clear" w:color="auto" w:fill="D9D9D9" w:themeFill="background1" w:themeFillShade="D9"/>
          </w:tcPr>
          <w:p w14:paraId="3E0B4163" w14:textId="77777777" w:rsidR="00134236" w:rsidRPr="00134236" w:rsidRDefault="00134236" w:rsidP="00134236">
            <w:pPr>
              <w:spacing w:after="0" w:line="240" w:lineRule="auto"/>
              <w:jc w:val="center"/>
              <w:rPr>
                <w:b/>
                <w:sz w:val="20"/>
                <w:szCs w:val="20"/>
              </w:rPr>
            </w:pPr>
            <w:r w:rsidRPr="00134236">
              <w:rPr>
                <w:b/>
                <w:sz w:val="20"/>
                <w:szCs w:val="20"/>
              </w:rPr>
              <w:t>Difference</w:t>
            </w:r>
          </w:p>
        </w:tc>
      </w:tr>
      <w:tr w:rsidR="00134236" w:rsidRPr="00134236" w14:paraId="241E4CC4" w14:textId="77777777" w:rsidTr="00DF5AC6">
        <w:tc>
          <w:tcPr>
            <w:tcW w:w="738" w:type="dxa"/>
          </w:tcPr>
          <w:p w14:paraId="16B6791D" w14:textId="77777777" w:rsidR="00134236" w:rsidRPr="00134236" w:rsidRDefault="00134236" w:rsidP="00E22258">
            <w:pPr>
              <w:spacing w:after="0" w:line="240" w:lineRule="auto"/>
              <w:rPr>
                <w:sz w:val="20"/>
                <w:szCs w:val="20"/>
              </w:rPr>
            </w:pPr>
            <w:r w:rsidRPr="00134236">
              <w:rPr>
                <w:sz w:val="20"/>
                <w:szCs w:val="20"/>
              </w:rPr>
              <w:t>3</w:t>
            </w:r>
          </w:p>
        </w:tc>
        <w:tc>
          <w:tcPr>
            <w:tcW w:w="1104" w:type="dxa"/>
          </w:tcPr>
          <w:p w14:paraId="7150FC36"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258</w:t>
            </w:r>
          </w:p>
        </w:tc>
        <w:tc>
          <w:tcPr>
            <w:tcW w:w="1105" w:type="dxa"/>
          </w:tcPr>
          <w:p w14:paraId="4AE8AA0A"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55%</w:t>
            </w:r>
          </w:p>
        </w:tc>
        <w:tc>
          <w:tcPr>
            <w:tcW w:w="1105" w:type="dxa"/>
          </w:tcPr>
          <w:p w14:paraId="5AD01660"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47%</w:t>
            </w:r>
          </w:p>
        </w:tc>
        <w:tc>
          <w:tcPr>
            <w:tcW w:w="1105" w:type="dxa"/>
          </w:tcPr>
          <w:p w14:paraId="7BF74B6B"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8</w:t>
            </w:r>
          </w:p>
        </w:tc>
        <w:tc>
          <w:tcPr>
            <w:tcW w:w="1071" w:type="dxa"/>
          </w:tcPr>
          <w:p w14:paraId="59155350"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259</w:t>
            </w:r>
          </w:p>
        </w:tc>
        <w:tc>
          <w:tcPr>
            <w:tcW w:w="1080" w:type="dxa"/>
          </w:tcPr>
          <w:p w14:paraId="2229FF41"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58%</w:t>
            </w:r>
          </w:p>
        </w:tc>
        <w:tc>
          <w:tcPr>
            <w:tcW w:w="1163" w:type="dxa"/>
          </w:tcPr>
          <w:p w14:paraId="40321643"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49%</w:t>
            </w:r>
          </w:p>
        </w:tc>
        <w:tc>
          <w:tcPr>
            <w:tcW w:w="1105" w:type="dxa"/>
          </w:tcPr>
          <w:p w14:paraId="5C8CE447"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9</w:t>
            </w:r>
          </w:p>
        </w:tc>
      </w:tr>
      <w:tr w:rsidR="00134236" w:rsidRPr="00134236" w14:paraId="46B5F2E2" w14:textId="77777777" w:rsidTr="00DF5AC6">
        <w:tc>
          <w:tcPr>
            <w:tcW w:w="738" w:type="dxa"/>
            <w:shd w:val="clear" w:color="auto" w:fill="D9D9D9" w:themeFill="background1" w:themeFillShade="D9"/>
          </w:tcPr>
          <w:p w14:paraId="3973ADEE" w14:textId="77777777" w:rsidR="00134236" w:rsidRPr="00134236" w:rsidRDefault="00134236" w:rsidP="00E22258">
            <w:pPr>
              <w:spacing w:after="0" w:line="240" w:lineRule="auto"/>
              <w:rPr>
                <w:sz w:val="20"/>
                <w:szCs w:val="20"/>
              </w:rPr>
            </w:pPr>
            <w:r w:rsidRPr="00134236">
              <w:rPr>
                <w:sz w:val="20"/>
                <w:szCs w:val="20"/>
              </w:rPr>
              <w:t>4</w:t>
            </w:r>
          </w:p>
        </w:tc>
        <w:tc>
          <w:tcPr>
            <w:tcW w:w="1104" w:type="dxa"/>
            <w:shd w:val="clear" w:color="auto" w:fill="D9D9D9" w:themeFill="background1" w:themeFillShade="D9"/>
          </w:tcPr>
          <w:p w14:paraId="25E45C2E"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259</w:t>
            </w:r>
          </w:p>
        </w:tc>
        <w:tc>
          <w:tcPr>
            <w:tcW w:w="1105" w:type="dxa"/>
            <w:shd w:val="clear" w:color="auto" w:fill="D9D9D9" w:themeFill="background1" w:themeFillShade="D9"/>
          </w:tcPr>
          <w:p w14:paraId="44B10696"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53%</w:t>
            </w:r>
          </w:p>
        </w:tc>
        <w:tc>
          <w:tcPr>
            <w:tcW w:w="1105" w:type="dxa"/>
            <w:shd w:val="clear" w:color="auto" w:fill="D9D9D9" w:themeFill="background1" w:themeFillShade="D9"/>
          </w:tcPr>
          <w:p w14:paraId="565672F8"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48%</w:t>
            </w:r>
          </w:p>
        </w:tc>
        <w:tc>
          <w:tcPr>
            <w:tcW w:w="1105" w:type="dxa"/>
            <w:shd w:val="clear" w:color="auto" w:fill="D9D9D9" w:themeFill="background1" w:themeFillShade="D9"/>
          </w:tcPr>
          <w:p w14:paraId="4D858310"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5</w:t>
            </w:r>
          </w:p>
        </w:tc>
        <w:tc>
          <w:tcPr>
            <w:tcW w:w="1071" w:type="dxa"/>
            <w:shd w:val="clear" w:color="auto" w:fill="D9D9D9" w:themeFill="background1" w:themeFillShade="D9"/>
          </w:tcPr>
          <w:p w14:paraId="1601D707"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259</w:t>
            </w:r>
          </w:p>
        </w:tc>
        <w:tc>
          <w:tcPr>
            <w:tcW w:w="1080" w:type="dxa"/>
            <w:shd w:val="clear" w:color="auto" w:fill="D9D9D9" w:themeFill="background1" w:themeFillShade="D9"/>
          </w:tcPr>
          <w:p w14:paraId="5FA2F5B1"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54%</w:t>
            </w:r>
          </w:p>
        </w:tc>
        <w:tc>
          <w:tcPr>
            <w:tcW w:w="1163" w:type="dxa"/>
            <w:shd w:val="clear" w:color="auto" w:fill="D9D9D9" w:themeFill="background1" w:themeFillShade="D9"/>
          </w:tcPr>
          <w:p w14:paraId="09B87274"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49%</w:t>
            </w:r>
          </w:p>
        </w:tc>
        <w:tc>
          <w:tcPr>
            <w:tcW w:w="1105" w:type="dxa"/>
            <w:shd w:val="clear" w:color="auto" w:fill="D9D9D9" w:themeFill="background1" w:themeFillShade="D9"/>
          </w:tcPr>
          <w:p w14:paraId="040B75E1"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5</w:t>
            </w:r>
          </w:p>
        </w:tc>
      </w:tr>
      <w:tr w:rsidR="00134236" w:rsidRPr="00134236" w14:paraId="3EFB53F1" w14:textId="77777777" w:rsidTr="00DF5AC6">
        <w:tc>
          <w:tcPr>
            <w:tcW w:w="738" w:type="dxa"/>
          </w:tcPr>
          <w:p w14:paraId="4D33A024" w14:textId="77777777" w:rsidR="00134236" w:rsidRPr="00134236" w:rsidRDefault="00134236" w:rsidP="00E22258">
            <w:pPr>
              <w:spacing w:after="0" w:line="240" w:lineRule="auto"/>
              <w:rPr>
                <w:sz w:val="20"/>
                <w:szCs w:val="20"/>
              </w:rPr>
            </w:pPr>
            <w:r w:rsidRPr="00134236">
              <w:rPr>
                <w:sz w:val="20"/>
                <w:szCs w:val="20"/>
              </w:rPr>
              <w:t>5</w:t>
            </w:r>
          </w:p>
        </w:tc>
        <w:tc>
          <w:tcPr>
            <w:tcW w:w="1104" w:type="dxa"/>
          </w:tcPr>
          <w:p w14:paraId="50936F53"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242</w:t>
            </w:r>
          </w:p>
        </w:tc>
        <w:tc>
          <w:tcPr>
            <w:tcW w:w="1105" w:type="dxa"/>
          </w:tcPr>
          <w:p w14:paraId="4322B2B8"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50%</w:t>
            </w:r>
          </w:p>
        </w:tc>
        <w:tc>
          <w:tcPr>
            <w:tcW w:w="1105" w:type="dxa"/>
          </w:tcPr>
          <w:p w14:paraId="252F2871"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49%</w:t>
            </w:r>
          </w:p>
        </w:tc>
        <w:tc>
          <w:tcPr>
            <w:tcW w:w="1105" w:type="dxa"/>
          </w:tcPr>
          <w:p w14:paraId="1D2F4A99"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1</w:t>
            </w:r>
          </w:p>
        </w:tc>
        <w:tc>
          <w:tcPr>
            <w:tcW w:w="1071" w:type="dxa"/>
          </w:tcPr>
          <w:p w14:paraId="3A4D975D"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244</w:t>
            </w:r>
          </w:p>
        </w:tc>
        <w:tc>
          <w:tcPr>
            <w:tcW w:w="1080" w:type="dxa"/>
          </w:tcPr>
          <w:p w14:paraId="4DB4A513"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52%</w:t>
            </w:r>
          </w:p>
        </w:tc>
        <w:tc>
          <w:tcPr>
            <w:tcW w:w="1163" w:type="dxa"/>
          </w:tcPr>
          <w:p w14:paraId="262D9F06"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46%</w:t>
            </w:r>
          </w:p>
        </w:tc>
        <w:tc>
          <w:tcPr>
            <w:tcW w:w="1105" w:type="dxa"/>
          </w:tcPr>
          <w:p w14:paraId="3F3A69D8"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6</w:t>
            </w:r>
          </w:p>
        </w:tc>
      </w:tr>
      <w:tr w:rsidR="00134236" w:rsidRPr="00134236" w14:paraId="17F09D49" w14:textId="77777777" w:rsidTr="00DF5AC6">
        <w:tc>
          <w:tcPr>
            <w:tcW w:w="738" w:type="dxa"/>
            <w:shd w:val="clear" w:color="auto" w:fill="D9D9D9" w:themeFill="background1" w:themeFillShade="D9"/>
          </w:tcPr>
          <w:p w14:paraId="4AD02189" w14:textId="77777777" w:rsidR="00134236" w:rsidRPr="00134236" w:rsidRDefault="00134236" w:rsidP="00E22258">
            <w:pPr>
              <w:spacing w:after="0" w:line="240" w:lineRule="auto"/>
              <w:rPr>
                <w:sz w:val="20"/>
                <w:szCs w:val="20"/>
              </w:rPr>
            </w:pPr>
            <w:r w:rsidRPr="00134236">
              <w:rPr>
                <w:sz w:val="20"/>
                <w:szCs w:val="20"/>
              </w:rPr>
              <w:t>6</w:t>
            </w:r>
          </w:p>
        </w:tc>
        <w:tc>
          <w:tcPr>
            <w:tcW w:w="1104" w:type="dxa"/>
            <w:shd w:val="clear" w:color="auto" w:fill="D9D9D9" w:themeFill="background1" w:themeFillShade="D9"/>
          </w:tcPr>
          <w:p w14:paraId="2DA36E92"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256</w:t>
            </w:r>
          </w:p>
        </w:tc>
        <w:tc>
          <w:tcPr>
            <w:tcW w:w="1105" w:type="dxa"/>
            <w:shd w:val="clear" w:color="auto" w:fill="D9D9D9" w:themeFill="background1" w:themeFillShade="D9"/>
          </w:tcPr>
          <w:p w14:paraId="71D59CCB"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41%</w:t>
            </w:r>
          </w:p>
        </w:tc>
        <w:tc>
          <w:tcPr>
            <w:tcW w:w="1105" w:type="dxa"/>
            <w:shd w:val="clear" w:color="auto" w:fill="D9D9D9" w:themeFill="background1" w:themeFillShade="D9"/>
          </w:tcPr>
          <w:p w14:paraId="2AED1C12"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51%</w:t>
            </w:r>
          </w:p>
        </w:tc>
        <w:tc>
          <w:tcPr>
            <w:tcW w:w="1105" w:type="dxa"/>
            <w:shd w:val="clear" w:color="auto" w:fill="D9D9D9" w:themeFill="background1" w:themeFillShade="D9"/>
          </w:tcPr>
          <w:p w14:paraId="655AAFFC"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-10</w:t>
            </w:r>
          </w:p>
        </w:tc>
        <w:tc>
          <w:tcPr>
            <w:tcW w:w="1071" w:type="dxa"/>
            <w:shd w:val="clear" w:color="auto" w:fill="D9D9D9" w:themeFill="background1" w:themeFillShade="D9"/>
          </w:tcPr>
          <w:p w14:paraId="631E4165"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256</w:t>
            </w:r>
          </w:p>
        </w:tc>
        <w:tc>
          <w:tcPr>
            <w:tcW w:w="1080" w:type="dxa"/>
            <w:shd w:val="clear" w:color="auto" w:fill="D9D9D9" w:themeFill="background1" w:themeFillShade="D9"/>
          </w:tcPr>
          <w:p w14:paraId="1ABF9A48"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41%</w:t>
            </w:r>
          </w:p>
        </w:tc>
        <w:tc>
          <w:tcPr>
            <w:tcW w:w="1163" w:type="dxa"/>
            <w:shd w:val="clear" w:color="auto" w:fill="D9D9D9" w:themeFill="background1" w:themeFillShade="D9"/>
          </w:tcPr>
          <w:p w14:paraId="438E86C9"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50%</w:t>
            </w:r>
          </w:p>
        </w:tc>
        <w:tc>
          <w:tcPr>
            <w:tcW w:w="1105" w:type="dxa"/>
            <w:shd w:val="clear" w:color="auto" w:fill="D9D9D9" w:themeFill="background1" w:themeFillShade="D9"/>
          </w:tcPr>
          <w:p w14:paraId="4DD5A390"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-9</w:t>
            </w:r>
          </w:p>
        </w:tc>
      </w:tr>
      <w:tr w:rsidR="00134236" w:rsidRPr="00134236" w14:paraId="6579F514" w14:textId="77777777" w:rsidTr="00DF5AC6">
        <w:tc>
          <w:tcPr>
            <w:tcW w:w="738" w:type="dxa"/>
          </w:tcPr>
          <w:p w14:paraId="04CEC86C" w14:textId="77777777" w:rsidR="00134236" w:rsidRPr="00134236" w:rsidRDefault="00134236" w:rsidP="00E22258">
            <w:pPr>
              <w:spacing w:after="0" w:line="240" w:lineRule="auto"/>
              <w:rPr>
                <w:sz w:val="20"/>
                <w:szCs w:val="20"/>
              </w:rPr>
            </w:pPr>
            <w:r w:rsidRPr="00134236">
              <w:rPr>
                <w:sz w:val="20"/>
                <w:szCs w:val="20"/>
              </w:rPr>
              <w:t>7</w:t>
            </w:r>
          </w:p>
        </w:tc>
        <w:tc>
          <w:tcPr>
            <w:tcW w:w="1104" w:type="dxa"/>
          </w:tcPr>
          <w:p w14:paraId="0BEB94FB"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290</w:t>
            </w:r>
          </w:p>
        </w:tc>
        <w:tc>
          <w:tcPr>
            <w:tcW w:w="1105" w:type="dxa"/>
          </w:tcPr>
          <w:p w14:paraId="67BF0812"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57%</w:t>
            </w:r>
          </w:p>
        </w:tc>
        <w:tc>
          <w:tcPr>
            <w:tcW w:w="1105" w:type="dxa"/>
          </w:tcPr>
          <w:p w14:paraId="26A57ECC"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50%</w:t>
            </w:r>
          </w:p>
        </w:tc>
        <w:tc>
          <w:tcPr>
            <w:tcW w:w="1105" w:type="dxa"/>
          </w:tcPr>
          <w:p w14:paraId="35FE0CEF"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7</w:t>
            </w:r>
          </w:p>
        </w:tc>
        <w:tc>
          <w:tcPr>
            <w:tcW w:w="1071" w:type="dxa"/>
          </w:tcPr>
          <w:p w14:paraId="6E4308D5"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290</w:t>
            </w:r>
          </w:p>
        </w:tc>
        <w:tc>
          <w:tcPr>
            <w:tcW w:w="1080" w:type="dxa"/>
          </w:tcPr>
          <w:p w14:paraId="1CB6D5AF"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54%</w:t>
            </w:r>
          </w:p>
        </w:tc>
        <w:tc>
          <w:tcPr>
            <w:tcW w:w="1163" w:type="dxa"/>
          </w:tcPr>
          <w:p w14:paraId="2D304942"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47%</w:t>
            </w:r>
          </w:p>
        </w:tc>
        <w:tc>
          <w:tcPr>
            <w:tcW w:w="1105" w:type="dxa"/>
          </w:tcPr>
          <w:p w14:paraId="307722AC"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7</w:t>
            </w:r>
          </w:p>
        </w:tc>
      </w:tr>
      <w:tr w:rsidR="00134236" w:rsidRPr="00134236" w14:paraId="518C83B9" w14:textId="77777777" w:rsidTr="00DF5AC6">
        <w:tc>
          <w:tcPr>
            <w:tcW w:w="738" w:type="dxa"/>
            <w:shd w:val="clear" w:color="auto" w:fill="D9D9D9" w:themeFill="background1" w:themeFillShade="D9"/>
          </w:tcPr>
          <w:p w14:paraId="12BBDCE1" w14:textId="77777777" w:rsidR="00134236" w:rsidRPr="00134236" w:rsidRDefault="00134236" w:rsidP="00E22258">
            <w:pPr>
              <w:spacing w:after="0" w:line="240" w:lineRule="auto"/>
              <w:rPr>
                <w:sz w:val="20"/>
                <w:szCs w:val="20"/>
              </w:rPr>
            </w:pPr>
            <w:r w:rsidRPr="00134236">
              <w:rPr>
                <w:sz w:val="20"/>
                <w:szCs w:val="20"/>
              </w:rPr>
              <w:t>8</w:t>
            </w:r>
          </w:p>
        </w:tc>
        <w:tc>
          <w:tcPr>
            <w:tcW w:w="1104" w:type="dxa"/>
            <w:shd w:val="clear" w:color="auto" w:fill="D9D9D9" w:themeFill="background1" w:themeFillShade="D9"/>
          </w:tcPr>
          <w:p w14:paraId="4C156AB2"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298</w:t>
            </w:r>
          </w:p>
        </w:tc>
        <w:tc>
          <w:tcPr>
            <w:tcW w:w="1105" w:type="dxa"/>
            <w:shd w:val="clear" w:color="auto" w:fill="D9D9D9" w:themeFill="background1" w:themeFillShade="D9"/>
          </w:tcPr>
          <w:p w14:paraId="6CAB0906"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44%</w:t>
            </w:r>
          </w:p>
        </w:tc>
        <w:tc>
          <w:tcPr>
            <w:tcW w:w="1105" w:type="dxa"/>
            <w:shd w:val="clear" w:color="auto" w:fill="D9D9D9" w:themeFill="background1" w:themeFillShade="D9"/>
          </w:tcPr>
          <w:p w14:paraId="78862DA0"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49%</w:t>
            </w:r>
          </w:p>
        </w:tc>
        <w:tc>
          <w:tcPr>
            <w:tcW w:w="1105" w:type="dxa"/>
            <w:shd w:val="clear" w:color="auto" w:fill="D9D9D9" w:themeFill="background1" w:themeFillShade="D9"/>
          </w:tcPr>
          <w:p w14:paraId="4E915C78"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-5</w:t>
            </w:r>
          </w:p>
        </w:tc>
        <w:tc>
          <w:tcPr>
            <w:tcW w:w="1071" w:type="dxa"/>
            <w:shd w:val="clear" w:color="auto" w:fill="D9D9D9" w:themeFill="background1" w:themeFillShade="D9"/>
          </w:tcPr>
          <w:p w14:paraId="39953F7C"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297</w:t>
            </w:r>
          </w:p>
        </w:tc>
        <w:tc>
          <w:tcPr>
            <w:tcW w:w="1080" w:type="dxa"/>
            <w:shd w:val="clear" w:color="auto" w:fill="D9D9D9" w:themeFill="background1" w:themeFillShade="D9"/>
          </w:tcPr>
          <w:p w14:paraId="2DB1545C"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51%</w:t>
            </w:r>
          </w:p>
        </w:tc>
        <w:tc>
          <w:tcPr>
            <w:tcW w:w="1163" w:type="dxa"/>
            <w:shd w:val="clear" w:color="auto" w:fill="D9D9D9" w:themeFill="background1" w:themeFillShade="D9"/>
          </w:tcPr>
          <w:p w14:paraId="06FE1EDF"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48%</w:t>
            </w:r>
          </w:p>
        </w:tc>
        <w:tc>
          <w:tcPr>
            <w:tcW w:w="1105" w:type="dxa"/>
            <w:shd w:val="clear" w:color="auto" w:fill="D9D9D9" w:themeFill="background1" w:themeFillShade="D9"/>
          </w:tcPr>
          <w:p w14:paraId="5DF3157F"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3</w:t>
            </w:r>
          </w:p>
        </w:tc>
      </w:tr>
      <w:tr w:rsidR="00134236" w:rsidRPr="00134236" w14:paraId="28C6C3B2" w14:textId="77777777" w:rsidTr="00DF5AC6">
        <w:tc>
          <w:tcPr>
            <w:tcW w:w="738" w:type="dxa"/>
          </w:tcPr>
          <w:p w14:paraId="16A64134" w14:textId="7CD0274A" w:rsidR="00134236" w:rsidRPr="00134236" w:rsidRDefault="00134236" w:rsidP="00E22258">
            <w:pPr>
              <w:spacing w:after="0" w:line="240" w:lineRule="auto"/>
              <w:rPr>
                <w:sz w:val="20"/>
                <w:szCs w:val="20"/>
              </w:rPr>
            </w:pPr>
            <w:r w:rsidRPr="00134236">
              <w:rPr>
                <w:sz w:val="20"/>
                <w:szCs w:val="20"/>
              </w:rPr>
              <w:t>3</w:t>
            </w:r>
            <w:r w:rsidR="00181E2F">
              <w:rPr>
                <w:sz w:val="20"/>
                <w:szCs w:val="20"/>
              </w:rPr>
              <w:t>–</w:t>
            </w:r>
            <w:r w:rsidRPr="00134236">
              <w:rPr>
                <w:sz w:val="20"/>
                <w:szCs w:val="20"/>
              </w:rPr>
              <w:t>8</w:t>
            </w:r>
          </w:p>
        </w:tc>
        <w:tc>
          <w:tcPr>
            <w:tcW w:w="1104" w:type="dxa"/>
          </w:tcPr>
          <w:p w14:paraId="03201813"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1,603</w:t>
            </w:r>
          </w:p>
        </w:tc>
        <w:tc>
          <w:tcPr>
            <w:tcW w:w="1105" w:type="dxa"/>
          </w:tcPr>
          <w:p w14:paraId="01483C84"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50%</w:t>
            </w:r>
          </w:p>
        </w:tc>
        <w:tc>
          <w:tcPr>
            <w:tcW w:w="1105" w:type="dxa"/>
          </w:tcPr>
          <w:p w14:paraId="4B463C7E"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49%</w:t>
            </w:r>
          </w:p>
        </w:tc>
        <w:tc>
          <w:tcPr>
            <w:tcW w:w="1105" w:type="dxa"/>
          </w:tcPr>
          <w:p w14:paraId="608B8283"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1</w:t>
            </w:r>
          </w:p>
        </w:tc>
        <w:tc>
          <w:tcPr>
            <w:tcW w:w="1071" w:type="dxa"/>
          </w:tcPr>
          <w:p w14:paraId="631AB308"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1,605</w:t>
            </w:r>
          </w:p>
        </w:tc>
        <w:tc>
          <w:tcPr>
            <w:tcW w:w="1080" w:type="dxa"/>
          </w:tcPr>
          <w:p w14:paraId="125312C6"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52%</w:t>
            </w:r>
          </w:p>
        </w:tc>
        <w:tc>
          <w:tcPr>
            <w:tcW w:w="1163" w:type="dxa"/>
          </w:tcPr>
          <w:p w14:paraId="1803F9BE"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48%</w:t>
            </w:r>
          </w:p>
        </w:tc>
        <w:tc>
          <w:tcPr>
            <w:tcW w:w="1105" w:type="dxa"/>
          </w:tcPr>
          <w:p w14:paraId="6B90B042"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4</w:t>
            </w:r>
          </w:p>
        </w:tc>
      </w:tr>
    </w:tbl>
    <w:p w14:paraId="6C4E56E8" w14:textId="77777777" w:rsidR="00134236" w:rsidRPr="00134236" w:rsidRDefault="00134236" w:rsidP="00134236">
      <w:pPr>
        <w:spacing w:after="0" w:line="240" w:lineRule="auto"/>
        <w:contextualSpacing/>
        <w:rPr>
          <w:rFonts w:eastAsia="Times New Roman" w:cs="Times New Roman"/>
        </w:rPr>
      </w:pPr>
    </w:p>
    <w:p w14:paraId="1A6ECDEF" w14:textId="45E2715D" w:rsidR="00134236" w:rsidRPr="00134236" w:rsidRDefault="00134236" w:rsidP="00134236">
      <w:pPr>
        <w:spacing w:after="0" w:line="240" w:lineRule="auto"/>
        <w:rPr>
          <w:rFonts w:eastAsia="Times New Roman" w:cs="Times New Roman"/>
          <w:b/>
        </w:rPr>
      </w:pPr>
      <w:r w:rsidRPr="00134236">
        <w:rPr>
          <w:rFonts w:eastAsia="Times New Roman" w:cs="Times New Roman"/>
          <w:b/>
        </w:rPr>
        <w:lastRenderedPageBreak/>
        <w:t xml:space="preserve">Between 2014 and 2017, in science, the percentage of students scoring proficient or advanced on the MCAS </w:t>
      </w:r>
      <w:r w:rsidR="00302C59">
        <w:rPr>
          <w:rFonts w:eastAsia="Times New Roman" w:cs="Times New Roman"/>
          <w:b/>
        </w:rPr>
        <w:t xml:space="preserve">assessment </w:t>
      </w:r>
      <w:r w:rsidRPr="00134236">
        <w:rPr>
          <w:rFonts w:eastAsia="Times New Roman" w:cs="Times New Roman"/>
          <w:b/>
        </w:rPr>
        <w:t>declined by 11 percentage point</w:t>
      </w:r>
      <w:r w:rsidR="00302C59">
        <w:rPr>
          <w:rFonts w:eastAsia="Times New Roman" w:cs="Times New Roman"/>
          <w:b/>
        </w:rPr>
        <w:t>s</w:t>
      </w:r>
      <w:r w:rsidRPr="00134236">
        <w:rPr>
          <w:rFonts w:eastAsia="Times New Roman" w:cs="Times New Roman"/>
          <w:b/>
        </w:rPr>
        <w:t xml:space="preserve"> in the district as a whole and by 13 percentage points in the 5</w:t>
      </w:r>
      <w:r w:rsidRPr="00134236">
        <w:rPr>
          <w:rFonts w:eastAsia="Times New Roman" w:cs="Times New Roman"/>
          <w:b/>
          <w:vertAlign w:val="superscript"/>
        </w:rPr>
        <w:t>th</w:t>
      </w:r>
      <w:r w:rsidRPr="00134236">
        <w:rPr>
          <w:rFonts w:eastAsia="Times New Roman" w:cs="Times New Roman"/>
          <w:b/>
        </w:rPr>
        <w:t xml:space="preserve"> and 8</w:t>
      </w:r>
      <w:r w:rsidRPr="00134236">
        <w:rPr>
          <w:rFonts w:eastAsia="Times New Roman" w:cs="Times New Roman"/>
          <w:b/>
          <w:vertAlign w:val="superscript"/>
        </w:rPr>
        <w:t>th</w:t>
      </w:r>
      <w:r w:rsidRPr="00134236">
        <w:rPr>
          <w:rFonts w:eastAsia="Times New Roman" w:cs="Times New Roman"/>
          <w:b/>
        </w:rPr>
        <w:t xml:space="preserve"> grade</w:t>
      </w:r>
      <w:r w:rsidR="00444C1B">
        <w:rPr>
          <w:rFonts w:eastAsia="Times New Roman" w:cs="Times New Roman"/>
          <w:b/>
        </w:rPr>
        <w:t>s</w:t>
      </w:r>
      <w:r w:rsidRPr="00134236">
        <w:rPr>
          <w:rFonts w:eastAsia="Times New Roman" w:cs="Times New Roman"/>
          <w:b/>
        </w:rPr>
        <w:t>, and by 3 percentage points in the 10</w:t>
      </w:r>
      <w:r w:rsidRPr="00134236">
        <w:rPr>
          <w:rFonts w:eastAsia="Times New Roman" w:cs="Times New Roman"/>
          <w:b/>
          <w:vertAlign w:val="superscript"/>
        </w:rPr>
        <w:t>th</w:t>
      </w:r>
      <w:r w:rsidR="00181E2F">
        <w:rPr>
          <w:rFonts w:eastAsia="Times New Roman" w:cs="Times New Roman"/>
          <w:b/>
          <w:vertAlign w:val="superscript"/>
        </w:rPr>
        <w:t xml:space="preserve"> </w:t>
      </w:r>
      <w:r w:rsidR="00181E2F">
        <w:rPr>
          <w:rFonts w:eastAsia="Times New Roman" w:cs="Times New Roman"/>
          <w:b/>
        </w:rPr>
        <w:t>grade</w:t>
      </w:r>
      <w:r w:rsidRPr="00134236">
        <w:rPr>
          <w:rFonts w:eastAsia="Times New Roman" w:cs="Times New Roman"/>
          <w:b/>
        </w:rPr>
        <w:t>.</w:t>
      </w:r>
    </w:p>
    <w:p w14:paraId="27DF0505" w14:textId="77777777" w:rsidR="00134236" w:rsidRPr="00134236" w:rsidRDefault="00134236" w:rsidP="00134236">
      <w:pPr>
        <w:spacing w:after="0" w:line="240" w:lineRule="auto"/>
        <w:contextualSpacing/>
        <w:rPr>
          <w:rFonts w:eastAsia="Times New Roman" w:cs="Times New Roman"/>
        </w:rPr>
      </w:pPr>
    </w:p>
    <w:tbl>
      <w:tblPr>
        <w:tblStyle w:val="TableGrid5"/>
        <w:tblW w:w="0" w:type="auto"/>
        <w:tblLook w:val="04A0" w:firstRow="1" w:lastRow="0" w:firstColumn="1" w:lastColumn="0" w:noHBand="0" w:noVBand="1"/>
        <w:tblCaption w:val="Table 7: Wakefield Public Schools"/>
        <w:tblDescription w:val="MCAS Science Percent Scoring Proficient or Advanced in Grades 5, 8, and 10, 2014–2017"/>
      </w:tblPr>
      <w:tblGrid>
        <w:gridCol w:w="1238"/>
        <w:gridCol w:w="1163"/>
        <w:gridCol w:w="1157"/>
        <w:gridCol w:w="1157"/>
        <w:gridCol w:w="1157"/>
        <w:gridCol w:w="1087"/>
        <w:gridCol w:w="1238"/>
        <w:gridCol w:w="1163"/>
      </w:tblGrid>
      <w:tr w:rsidR="00134236" w:rsidRPr="00134236" w14:paraId="09979AFE" w14:textId="77777777" w:rsidTr="00BB0032">
        <w:trPr>
          <w:tblHeader/>
        </w:trPr>
        <w:tc>
          <w:tcPr>
            <w:tcW w:w="9576" w:type="dxa"/>
            <w:gridSpan w:val="8"/>
            <w:tcBorders>
              <w:top w:val="nil"/>
              <w:left w:val="nil"/>
              <w:right w:val="nil"/>
            </w:tcBorders>
          </w:tcPr>
          <w:p w14:paraId="31D05753" w14:textId="77777777" w:rsidR="00134236" w:rsidRPr="00134236" w:rsidRDefault="00134236" w:rsidP="00134236">
            <w:pPr>
              <w:spacing w:after="0" w:line="240" w:lineRule="auto"/>
              <w:jc w:val="center"/>
              <w:rPr>
                <w:rFonts w:cs="Times New Roman"/>
                <w:b/>
                <w:sz w:val="20"/>
                <w:szCs w:val="20"/>
              </w:rPr>
            </w:pPr>
            <w:r w:rsidRPr="00134236">
              <w:rPr>
                <w:rFonts w:cs="Times New Roman"/>
                <w:b/>
                <w:sz w:val="20"/>
                <w:szCs w:val="20"/>
              </w:rPr>
              <w:t>Table 7: Wakefield Public Schools</w:t>
            </w:r>
          </w:p>
          <w:p w14:paraId="20B2E212" w14:textId="58803D97" w:rsidR="00134236" w:rsidRPr="00134236" w:rsidRDefault="00134236" w:rsidP="0078366D">
            <w:pPr>
              <w:spacing w:after="0" w:line="240" w:lineRule="auto"/>
              <w:jc w:val="center"/>
              <w:rPr>
                <w:rFonts w:cs="Times New Roman"/>
                <w:sz w:val="20"/>
                <w:szCs w:val="20"/>
              </w:rPr>
            </w:pPr>
            <w:r w:rsidRPr="00134236">
              <w:rPr>
                <w:rFonts w:cs="Times New Roman"/>
                <w:b/>
                <w:sz w:val="20"/>
                <w:szCs w:val="20"/>
              </w:rPr>
              <w:t>MCAS Science Percent Scoring Proficient or Advanced in Grades 5, 8, and 10, 2014</w:t>
            </w:r>
            <w:r w:rsidR="0078366D">
              <w:rPr>
                <w:rFonts w:cs="Times New Roman"/>
                <w:b/>
                <w:sz w:val="20"/>
                <w:szCs w:val="20"/>
              </w:rPr>
              <w:t>–</w:t>
            </w:r>
            <w:r w:rsidRPr="00134236">
              <w:rPr>
                <w:rFonts w:cs="Times New Roman"/>
                <w:b/>
                <w:sz w:val="20"/>
                <w:szCs w:val="20"/>
              </w:rPr>
              <w:t>2017</w:t>
            </w:r>
          </w:p>
        </w:tc>
      </w:tr>
      <w:tr w:rsidR="00134236" w:rsidRPr="00134236" w14:paraId="255DC1C7" w14:textId="77777777" w:rsidTr="00DF5AC6">
        <w:tc>
          <w:tcPr>
            <w:tcW w:w="1267" w:type="dxa"/>
            <w:shd w:val="clear" w:color="auto" w:fill="D9D9D9" w:themeFill="background1" w:themeFillShade="D9"/>
          </w:tcPr>
          <w:p w14:paraId="1821BC92" w14:textId="77777777" w:rsidR="00134236" w:rsidRPr="00134236" w:rsidRDefault="00134236" w:rsidP="00E22258">
            <w:pPr>
              <w:spacing w:after="0" w:line="240" w:lineRule="auto"/>
              <w:rPr>
                <w:rFonts w:cs="Times New Roman"/>
                <w:b/>
                <w:sz w:val="20"/>
                <w:szCs w:val="20"/>
              </w:rPr>
            </w:pPr>
            <w:r w:rsidRPr="00134236">
              <w:rPr>
                <w:rFonts w:cs="Times New Roman"/>
                <w:b/>
                <w:sz w:val="20"/>
                <w:szCs w:val="20"/>
              </w:rPr>
              <w:t>Grade</w:t>
            </w:r>
          </w:p>
        </w:tc>
        <w:tc>
          <w:tcPr>
            <w:tcW w:w="1187" w:type="dxa"/>
            <w:shd w:val="clear" w:color="auto" w:fill="D9D9D9" w:themeFill="background1" w:themeFillShade="D9"/>
          </w:tcPr>
          <w:p w14:paraId="614BECA7" w14:textId="77777777" w:rsidR="00134236" w:rsidRPr="00134236" w:rsidRDefault="00134236" w:rsidP="00134236">
            <w:pPr>
              <w:spacing w:after="0" w:line="240" w:lineRule="auto"/>
              <w:jc w:val="center"/>
              <w:rPr>
                <w:rFonts w:cs="Times New Roman"/>
                <w:b/>
                <w:sz w:val="20"/>
                <w:szCs w:val="20"/>
              </w:rPr>
            </w:pPr>
            <w:r w:rsidRPr="00134236">
              <w:rPr>
                <w:rFonts w:cs="Times New Roman"/>
                <w:b/>
                <w:sz w:val="20"/>
                <w:szCs w:val="20"/>
              </w:rPr>
              <w:t>N (2017)</w:t>
            </w:r>
          </w:p>
        </w:tc>
        <w:tc>
          <w:tcPr>
            <w:tcW w:w="1187" w:type="dxa"/>
            <w:shd w:val="clear" w:color="auto" w:fill="D9D9D9" w:themeFill="background1" w:themeFillShade="D9"/>
          </w:tcPr>
          <w:p w14:paraId="38C2A4AD" w14:textId="77777777" w:rsidR="00134236" w:rsidRPr="00134236" w:rsidRDefault="00134236" w:rsidP="00134236">
            <w:pPr>
              <w:spacing w:after="0" w:line="240" w:lineRule="auto"/>
              <w:jc w:val="center"/>
              <w:rPr>
                <w:rFonts w:cs="Times New Roman"/>
                <w:b/>
                <w:sz w:val="20"/>
                <w:szCs w:val="20"/>
              </w:rPr>
            </w:pPr>
            <w:r w:rsidRPr="00134236">
              <w:rPr>
                <w:rFonts w:cs="Times New Roman"/>
                <w:b/>
                <w:sz w:val="20"/>
                <w:szCs w:val="20"/>
              </w:rPr>
              <w:t>2014</w:t>
            </w:r>
          </w:p>
        </w:tc>
        <w:tc>
          <w:tcPr>
            <w:tcW w:w="1187" w:type="dxa"/>
            <w:shd w:val="clear" w:color="auto" w:fill="D9D9D9" w:themeFill="background1" w:themeFillShade="D9"/>
          </w:tcPr>
          <w:p w14:paraId="1E344ACE" w14:textId="77777777" w:rsidR="00134236" w:rsidRPr="00134236" w:rsidRDefault="00134236" w:rsidP="00134236">
            <w:pPr>
              <w:spacing w:after="0" w:line="240" w:lineRule="auto"/>
              <w:jc w:val="center"/>
              <w:rPr>
                <w:rFonts w:cs="Times New Roman"/>
                <w:b/>
                <w:sz w:val="20"/>
                <w:szCs w:val="20"/>
              </w:rPr>
            </w:pPr>
            <w:r w:rsidRPr="00134236">
              <w:rPr>
                <w:rFonts w:cs="Times New Roman"/>
                <w:b/>
                <w:sz w:val="20"/>
                <w:szCs w:val="20"/>
              </w:rPr>
              <w:t>2015</w:t>
            </w:r>
          </w:p>
        </w:tc>
        <w:tc>
          <w:tcPr>
            <w:tcW w:w="1187" w:type="dxa"/>
            <w:shd w:val="clear" w:color="auto" w:fill="D9D9D9" w:themeFill="background1" w:themeFillShade="D9"/>
          </w:tcPr>
          <w:p w14:paraId="57267F06" w14:textId="77777777" w:rsidR="00134236" w:rsidRPr="00134236" w:rsidRDefault="00134236" w:rsidP="00134236">
            <w:pPr>
              <w:spacing w:after="0" w:line="240" w:lineRule="auto"/>
              <w:jc w:val="center"/>
              <w:rPr>
                <w:rFonts w:cs="Times New Roman"/>
                <w:b/>
                <w:sz w:val="20"/>
                <w:szCs w:val="20"/>
              </w:rPr>
            </w:pPr>
            <w:r w:rsidRPr="00134236">
              <w:rPr>
                <w:rFonts w:cs="Times New Roman"/>
                <w:b/>
                <w:sz w:val="20"/>
                <w:szCs w:val="20"/>
              </w:rPr>
              <w:t>2016</w:t>
            </w:r>
          </w:p>
        </w:tc>
        <w:tc>
          <w:tcPr>
            <w:tcW w:w="1113" w:type="dxa"/>
            <w:shd w:val="clear" w:color="auto" w:fill="D9D9D9" w:themeFill="background1" w:themeFillShade="D9"/>
          </w:tcPr>
          <w:p w14:paraId="7AE4003D" w14:textId="77777777" w:rsidR="00134236" w:rsidRPr="00134236" w:rsidRDefault="00134236" w:rsidP="00134236">
            <w:pPr>
              <w:spacing w:after="0" w:line="240" w:lineRule="auto"/>
              <w:jc w:val="center"/>
              <w:rPr>
                <w:rFonts w:cs="Times New Roman"/>
                <w:b/>
                <w:sz w:val="20"/>
                <w:szCs w:val="20"/>
              </w:rPr>
            </w:pPr>
            <w:r w:rsidRPr="00134236">
              <w:rPr>
                <w:rFonts w:cs="Times New Roman"/>
                <w:b/>
                <w:sz w:val="20"/>
                <w:szCs w:val="20"/>
              </w:rPr>
              <w:t>2017</w:t>
            </w:r>
          </w:p>
        </w:tc>
        <w:tc>
          <w:tcPr>
            <w:tcW w:w="1261" w:type="dxa"/>
            <w:shd w:val="clear" w:color="auto" w:fill="D9D9D9" w:themeFill="background1" w:themeFillShade="D9"/>
          </w:tcPr>
          <w:p w14:paraId="17EA160E" w14:textId="4AC79F80" w:rsidR="00134236" w:rsidRPr="00134236" w:rsidRDefault="00134236" w:rsidP="0078366D">
            <w:pPr>
              <w:spacing w:after="0" w:line="240" w:lineRule="auto"/>
              <w:jc w:val="center"/>
              <w:rPr>
                <w:rFonts w:cs="Times New Roman"/>
                <w:b/>
                <w:sz w:val="20"/>
                <w:szCs w:val="20"/>
              </w:rPr>
            </w:pPr>
            <w:r w:rsidRPr="00134236">
              <w:rPr>
                <w:rFonts w:cs="Times New Roman"/>
                <w:b/>
                <w:sz w:val="20"/>
                <w:szCs w:val="20"/>
              </w:rPr>
              <w:t>4</w:t>
            </w:r>
            <w:r w:rsidR="0078366D">
              <w:rPr>
                <w:rFonts w:cs="Times New Roman"/>
                <w:b/>
                <w:sz w:val="20"/>
                <w:szCs w:val="20"/>
              </w:rPr>
              <w:t>-</w:t>
            </w:r>
            <w:r w:rsidRPr="00134236">
              <w:rPr>
                <w:rFonts w:cs="Times New Roman"/>
                <w:b/>
                <w:sz w:val="20"/>
                <w:szCs w:val="20"/>
              </w:rPr>
              <w:t xml:space="preserve">yr </w:t>
            </w:r>
            <w:r w:rsidR="0078366D">
              <w:rPr>
                <w:rFonts w:cs="Times New Roman"/>
                <w:b/>
                <w:sz w:val="20"/>
                <w:szCs w:val="20"/>
              </w:rPr>
              <w:t>C</w:t>
            </w:r>
            <w:r w:rsidR="0078366D" w:rsidRPr="00134236">
              <w:rPr>
                <w:rFonts w:cs="Times New Roman"/>
                <w:b/>
                <w:sz w:val="20"/>
                <w:szCs w:val="20"/>
              </w:rPr>
              <w:t>hange</w:t>
            </w:r>
          </w:p>
        </w:tc>
        <w:tc>
          <w:tcPr>
            <w:tcW w:w="1187" w:type="dxa"/>
            <w:shd w:val="clear" w:color="auto" w:fill="D9D9D9" w:themeFill="background1" w:themeFillShade="D9"/>
          </w:tcPr>
          <w:p w14:paraId="0A5CCE29" w14:textId="550DBEAC" w:rsidR="00134236" w:rsidRPr="00134236" w:rsidRDefault="00134236" w:rsidP="00134236">
            <w:pPr>
              <w:spacing w:after="0" w:line="240" w:lineRule="auto"/>
              <w:jc w:val="center"/>
              <w:rPr>
                <w:rFonts w:cs="Times New Roman"/>
                <w:b/>
                <w:sz w:val="20"/>
                <w:szCs w:val="20"/>
              </w:rPr>
            </w:pPr>
            <w:r w:rsidRPr="00134236">
              <w:rPr>
                <w:rFonts w:cs="Times New Roman"/>
                <w:b/>
                <w:sz w:val="20"/>
                <w:szCs w:val="20"/>
              </w:rPr>
              <w:t>State</w:t>
            </w:r>
            <w:r w:rsidR="0078366D">
              <w:rPr>
                <w:rFonts w:cs="Times New Roman"/>
                <w:b/>
                <w:sz w:val="20"/>
                <w:szCs w:val="20"/>
              </w:rPr>
              <w:t xml:space="preserve"> (2017)</w:t>
            </w:r>
          </w:p>
        </w:tc>
      </w:tr>
      <w:tr w:rsidR="00134236" w:rsidRPr="00134236" w14:paraId="43661066" w14:textId="77777777" w:rsidTr="00DF5AC6">
        <w:tc>
          <w:tcPr>
            <w:tcW w:w="1267" w:type="dxa"/>
            <w:shd w:val="clear" w:color="auto" w:fill="auto"/>
          </w:tcPr>
          <w:p w14:paraId="18DFC2B1" w14:textId="77777777" w:rsidR="00134236" w:rsidRPr="00134236" w:rsidRDefault="00134236" w:rsidP="00E22258">
            <w:pPr>
              <w:spacing w:after="0" w:line="240" w:lineRule="auto"/>
              <w:rPr>
                <w:rFonts w:cs="Times New Roman"/>
                <w:sz w:val="20"/>
                <w:szCs w:val="20"/>
              </w:rPr>
            </w:pPr>
            <w:r w:rsidRPr="00134236">
              <w:rPr>
                <w:rFonts w:cs="Times New Roman"/>
                <w:sz w:val="20"/>
                <w:szCs w:val="20"/>
              </w:rPr>
              <w:t>5</w:t>
            </w:r>
          </w:p>
        </w:tc>
        <w:tc>
          <w:tcPr>
            <w:tcW w:w="1187" w:type="dxa"/>
            <w:shd w:val="clear" w:color="auto" w:fill="auto"/>
          </w:tcPr>
          <w:p w14:paraId="5B3CBA25"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243</w:t>
            </w:r>
          </w:p>
        </w:tc>
        <w:tc>
          <w:tcPr>
            <w:tcW w:w="1187" w:type="dxa"/>
            <w:shd w:val="clear" w:color="auto" w:fill="auto"/>
          </w:tcPr>
          <w:p w14:paraId="43BDFFF9"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63%</w:t>
            </w:r>
          </w:p>
        </w:tc>
        <w:tc>
          <w:tcPr>
            <w:tcW w:w="1187" w:type="dxa"/>
            <w:shd w:val="clear" w:color="auto" w:fill="auto"/>
          </w:tcPr>
          <w:p w14:paraId="6B11C7D3"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53%</w:t>
            </w:r>
          </w:p>
        </w:tc>
        <w:tc>
          <w:tcPr>
            <w:tcW w:w="1187" w:type="dxa"/>
            <w:shd w:val="clear" w:color="auto" w:fill="auto"/>
          </w:tcPr>
          <w:p w14:paraId="242BD7B9"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46%</w:t>
            </w:r>
          </w:p>
        </w:tc>
        <w:tc>
          <w:tcPr>
            <w:tcW w:w="1113" w:type="dxa"/>
            <w:shd w:val="clear" w:color="auto" w:fill="auto"/>
          </w:tcPr>
          <w:p w14:paraId="40FFA79A"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50%</w:t>
            </w:r>
          </w:p>
        </w:tc>
        <w:tc>
          <w:tcPr>
            <w:tcW w:w="1261" w:type="dxa"/>
            <w:shd w:val="clear" w:color="auto" w:fill="auto"/>
          </w:tcPr>
          <w:p w14:paraId="2ACD9F28"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-13</w:t>
            </w:r>
          </w:p>
        </w:tc>
        <w:tc>
          <w:tcPr>
            <w:tcW w:w="1187" w:type="dxa"/>
            <w:shd w:val="clear" w:color="auto" w:fill="auto"/>
          </w:tcPr>
          <w:p w14:paraId="2D5F7DB3"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46%</w:t>
            </w:r>
          </w:p>
        </w:tc>
      </w:tr>
      <w:tr w:rsidR="00134236" w:rsidRPr="00134236" w14:paraId="3F4F8385" w14:textId="77777777" w:rsidTr="00DF5AC6">
        <w:tc>
          <w:tcPr>
            <w:tcW w:w="1267" w:type="dxa"/>
            <w:shd w:val="clear" w:color="auto" w:fill="D9D9D9" w:themeFill="background1" w:themeFillShade="D9"/>
          </w:tcPr>
          <w:p w14:paraId="3D8FE0C3" w14:textId="77777777" w:rsidR="00134236" w:rsidRPr="00134236" w:rsidRDefault="00134236" w:rsidP="00E22258">
            <w:pPr>
              <w:spacing w:after="0" w:line="240" w:lineRule="auto"/>
              <w:rPr>
                <w:rFonts w:cs="Times New Roman"/>
                <w:sz w:val="20"/>
                <w:szCs w:val="20"/>
              </w:rPr>
            </w:pPr>
            <w:r w:rsidRPr="00134236">
              <w:rPr>
                <w:rFonts w:cs="Times New Roman"/>
                <w:sz w:val="20"/>
                <w:szCs w:val="20"/>
              </w:rPr>
              <w:t>8</w:t>
            </w:r>
          </w:p>
        </w:tc>
        <w:tc>
          <w:tcPr>
            <w:tcW w:w="1187" w:type="dxa"/>
            <w:shd w:val="clear" w:color="auto" w:fill="D9D9D9" w:themeFill="background1" w:themeFillShade="D9"/>
          </w:tcPr>
          <w:p w14:paraId="53AE6C29"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298</w:t>
            </w:r>
          </w:p>
        </w:tc>
        <w:tc>
          <w:tcPr>
            <w:tcW w:w="1187" w:type="dxa"/>
            <w:shd w:val="clear" w:color="auto" w:fill="D9D9D9" w:themeFill="background1" w:themeFillShade="D9"/>
          </w:tcPr>
          <w:p w14:paraId="65783A22"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50%</w:t>
            </w:r>
          </w:p>
        </w:tc>
        <w:tc>
          <w:tcPr>
            <w:tcW w:w="1187" w:type="dxa"/>
            <w:shd w:val="clear" w:color="auto" w:fill="D9D9D9" w:themeFill="background1" w:themeFillShade="D9"/>
          </w:tcPr>
          <w:p w14:paraId="505B1101"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44%</w:t>
            </w:r>
          </w:p>
        </w:tc>
        <w:tc>
          <w:tcPr>
            <w:tcW w:w="1187" w:type="dxa"/>
            <w:shd w:val="clear" w:color="auto" w:fill="D9D9D9" w:themeFill="background1" w:themeFillShade="D9"/>
          </w:tcPr>
          <w:p w14:paraId="50A8275B"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38%</w:t>
            </w:r>
          </w:p>
        </w:tc>
        <w:tc>
          <w:tcPr>
            <w:tcW w:w="1113" w:type="dxa"/>
            <w:shd w:val="clear" w:color="auto" w:fill="D9D9D9" w:themeFill="background1" w:themeFillShade="D9"/>
          </w:tcPr>
          <w:p w14:paraId="5DFABFA6"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37%</w:t>
            </w:r>
          </w:p>
        </w:tc>
        <w:tc>
          <w:tcPr>
            <w:tcW w:w="1261" w:type="dxa"/>
            <w:shd w:val="clear" w:color="auto" w:fill="D9D9D9" w:themeFill="background1" w:themeFillShade="D9"/>
          </w:tcPr>
          <w:p w14:paraId="77972B3A"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-13</w:t>
            </w:r>
          </w:p>
        </w:tc>
        <w:tc>
          <w:tcPr>
            <w:tcW w:w="1187" w:type="dxa"/>
            <w:shd w:val="clear" w:color="auto" w:fill="D9D9D9" w:themeFill="background1" w:themeFillShade="D9"/>
          </w:tcPr>
          <w:p w14:paraId="7D624DCC"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40%</w:t>
            </w:r>
          </w:p>
        </w:tc>
      </w:tr>
      <w:tr w:rsidR="00134236" w:rsidRPr="00134236" w14:paraId="6E076A4B" w14:textId="77777777" w:rsidTr="00DF5AC6">
        <w:tc>
          <w:tcPr>
            <w:tcW w:w="1267" w:type="dxa"/>
            <w:shd w:val="clear" w:color="auto" w:fill="auto"/>
          </w:tcPr>
          <w:p w14:paraId="68755B42" w14:textId="77777777" w:rsidR="00134236" w:rsidRPr="00134236" w:rsidRDefault="00134236" w:rsidP="00E22258">
            <w:pPr>
              <w:spacing w:after="0" w:line="240" w:lineRule="auto"/>
              <w:rPr>
                <w:rFonts w:cs="Times New Roman"/>
                <w:sz w:val="20"/>
                <w:szCs w:val="20"/>
              </w:rPr>
            </w:pPr>
            <w:r w:rsidRPr="00134236">
              <w:rPr>
                <w:rFonts w:cs="Times New Roman"/>
                <w:sz w:val="20"/>
                <w:szCs w:val="20"/>
              </w:rPr>
              <w:t>10</w:t>
            </w:r>
          </w:p>
        </w:tc>
        <w:tc>
          <w:tcPr>
            <w:tcW w:w="1187" w:type="dxa"/>
            <w:shd w:val="clear" w:color="auto" w:fill="auto"/>
          </w:tcPr>
          <w:p w14:paraId="793AD9ED"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214</w:t>
            </w:r>
          </w:p>
        </w:tc>
        <w:tc>
          <w:tcPr>
            <w:tcW w:w="1187" w:type="dxa"/>
            <w:shd w:val="clear" w:color="auto" w:fill="auto"/>
          </w:tcPr>
          <w:p w14:paraId="61C748F7"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86%</w:t>
            </w:r>
          </w:p>
        </w:tc>
        <w:tc>
          <w:tcPr>
            <w:tcW w:w="1187" w:type="dxa"/>
            <w:shd w:val="clear" w:color="auto" w:fill="auto"/>
          </w:tcPr>
          <w:p w14:paraId="35470CEA"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83%</w:t>
            </w:r>
          </w:p>
        </w:tc>
        <w:tc>
          <w:tcPr>
            <w:tcW w:w="1187" w:type="dxa"/>
            <w:shd w:val="clear" w:color="auto" w:fill="auto"/>
          </w:tcPr>
          <w:p w14:paraId="01C7370B"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78%</w:t>
            </w:r>
          </w:p>
        </w:tc>
        <w:tc>
          <w:tcPr>
            <w:tcW w:w="1113" w:type="dxa"/>
            <w:shd w:val="clear" w:color="auto" w:fill="auto"/>
          </w:tcPr>
          <w:p w14:paraId="52973FCA"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83%</w:t>
            </w:r>
          </w:p>
        </w:tc>
        <w:tc>
          <w:tcPr>
            <w:tcW w:w="1261" w:type="dxa"/>
            <w:shd w:val="clear" w:color="auto" w:fill="auto"/>
          </w:tcPr>
          <w:p w14:paraId="0F771B54"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-3</w:t>
            </w:r>
          </w:p>
        </w:tc>
        <w:tc>
          <w:tcPr>
            <w:tcW w:w="1187" w:type="dxa"/>
            <w:shd w:val="clear" w:color="auto" w:fill="auto"/>
          </w:tcPr>
          <w:p w14:paraId="6760220E"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74%</w:t>
            </w:r>
          </w:p>
        </w:tc>
      </w:tr>
      <w:tr w:rsidR="00134236" w:rsidRPr="00134236" w14:paraId="000E0050" w14:textId="77777777" w:rsidTr="00DF5AC6">
        <w:tc>
          <w:tcPr>
            <w:tcW w:w="1267" w:type="dxa"/>
            <w:shd w:val="clear" w:color="auto" w:fill="D9D9D9" w:themeFill="background1" w:themeFillShade="D9"/>
          </w:tcPr>
          <w:p w14:paraId="2D85BF13" w14:textId="673EBC93" w:rsidR="00134236" w:rsidRPr="00134236" w:rsidRDefault="00302C59" w:rsidP="00E22258">
            <w:pPr>
              <w:spacing w:after="0" w:line="240" w:lineRule="auto"/>
              <w:rPr>
                <w:rFonts w:cs="Times New Roman"/>
                <w:sz w:val="20"/>
                <w:szCs w:val="20"/>
              </w:rPr>
            </w:pPr>
            <w:r w:rsidRPr="00134236">
              <w:rPr>
                <w:rFonts w:cs="Times New Roman"/>
                <w:sz w:val="20"/>
                <w:szCs w:val="20"/>
              </w:rPr>
              <w:t>A</w:t>
            </w:r>
            <w:r>
              <w:rPr>
                <w:rFonts w:cs="Times New Roman"/>
                <w:sz w:val="20"/>
                <w:szCs w:val="20"/>
              </w:rPr>
              <w:t>ll</w:t>
            </w:r>
          </w:p>
        </w:tc>
        <w:tc>
          <w:tcPr>
            <w:tcW w:w="1187" w:type="dxa"/>
            <w:shd w:val="clear" w:color="auto" w:fill="D9D9D9" w:themeFill="background1" w:themeFillShade="D9"/>
          </w:tcPr>
          <w:p w14:paraId="7F00113E"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755</w:t>
            </w:r>
          </w:p>
        </w:tc>
        <w:tc>
          <w:tcPr>
            <w:tcW w:w="1187" w:type="dxa"/>
            <w:shd w:val="clear" w:color="auto" w:fill="D9D9D9" w:themeFill="background1" w:themeFillShade="D9"/>
          </w:tcPr>
          <w:p w14:paraId="40A27375"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65%</w:t>
            </w:r>
          </w:p>
        </w:tc>
        <w:tc>
          <w:tcPr>
            <w:tcW w:w="1187" w:type="dxa"/>
            <w:shd w:val="clear" w:color="auto" w:fill="D9D9D9" w:themeFill="background1" w:themeFillShade="D9"/>
          </w:tcPr>
          <w:p w14:paraId="333413C4"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59%</w:t>
            </w:r>
          </w:p>
        </w:tc>
        <w:tc>
          <w:tcPr>
            <w:tcW w:w="1187" w:type="dxa"/>
            <w:shd w:val="clear" w:color="auto" w:fill="D9D9D9" w:themeFill="background1" w:themeFillShade="D9"/>
          </w:tcPr>
          <w:p w14:paraId="6FE70BE2"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53%</w:t>
            </w:r>
          </w:p>
        </w:tc>
        <w:tc>
          <w:tcPr>
            <w:tcW w:w="1113" w:type="dxa"/>
            <w:shd w:val="clear" w:color="auto" w:fill="D9D9D9" w:themeFill="background1" w:themeFillShade="D9"/>
          </w:tcPr>
          <w:p w14:paraId="0DBFDA76"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54%</w:t>
            </w:r>
          </w:p>
        </w:tc>
        <w:tc>
          <w:tcPr>
            <w:tcW w:w="1261" w:type="dxa"/>
            <w:shd w:val="clear" w:color="auto" w:fill="D9D9D9" w:themeFill="background1" w:themeFillShade="D9"/>
          </w:tcPr>
          <w:p w14:paraId="142C9000"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-11</w:t>
            </w:r>
          </w:p>
        </w:tc>
        <w:tc>
          <w:tcPr>
            <w:tcW w:w="1187" w:type="dxa"/>
            <w:shd w:val="clear" w:color="auto" w:fill="D9D9D9" w:themeFill="background1" w:themeFillShade="D9"/>
          </w:tcPr>
          <w:p w14:paraId="0C9D0D25"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53%</w:t>
            </w:r>
          </w:p>
        </w:tc>
      </w:tr>
    </w:tbl>
    <w:p w14:paraId="342EB58F" w14:textId="77777777" w:rsidR="00134236" w:rsidRPr="00134236" w:rsidRDefault="00134236" w:rsidP="00134236">
      <w:pPr>
        <w:spacing w:after="0"/>
        <w:rPr>
          <w:rFonts w:cs="Times New Roman"/>
        </w:rPr>
      </w:pPr>
    </w:p>
    <w:p w14:paraId="7EF80723" w14:textId="77777777" w:rsidR="00134236" w:rsidRPr="00134236" w:rsidRDefault="00134236" w:rsidP="00134236">
      <w:pPr>
        <w:spacing w:after="0"/>
        <w:rPr>
          <w:rFonts w:cs="Times New Roman"/>
        </w:rPr>
      </w:pPr>
    </w:p>
    <w:p w14:paraId="0C36CF8A" w14:textId="31DCA1B1" w:rsidR="00134236" w:rsidRPr="00134236" w:rsidRDefault="00134236" w:rsidP="00134236">
      <w:pPr>
        <w:spacing w:after="0"/>
        <w:rPr>
          <w:rFonts w:cs="Times New Roman"/>
          <w:b/>
        </w:rPr>
      </w:pPr>
      <w:r w:rsidRPr="00134236">
        <w:rPr>
          <w:rFonts w:cs="Times New Roman"/>
          <w:b/>
        </w:rPr>
        <w:t>Between 2014 and 2017, in ELA</w:t>
      </w:r>
      <w:r w:rsidR="004E4F6C">
        <w:rPr>
          <w:rFonts w:cs="Times New Roman"/>
          <w:b/>
        </w:rPr>
        <w:t>,</w:t>
      </w:r>
      <w:r w:rsidRPr="00134236">
        <w:rPr>
          <w:rFonts w:cs="Times New Roman"/>
          <w:b/>
        </w:rPr>
        <w:t xml:space="preserve"> the median student growth percentile (SGP) improved by 10 points in the 10</w:t>
      </w:r>
      <w:r w:rsidRPr="00134236">
        <w:rPr>
          <w:rFonts w:cs="Times New Roman"/>
          <w:b/>
          <w:vertAlign w:val="superscript"/>
        </w:rPr>
        <w:t>th</w:t>
      </w:r>
      <w:r w:rsidRPr="00134236">
        <w:rPr>
          <w:rFonts w:cs="Times New Roman"/>
          <w:b/>
        </w:rPr>
        <w:t xml:space="preserve"> grade and declined by 10.5 points in the 6</w:t>
      </w:r>
      <w:r w:rsidRPr="00134236">
        <w:rPr>
          <w:rFonts w:cs="Times New Roman"/>
          <w:b/>
          <w:vertAlign w:val="superscript"/>
        </w:rPr>
        <w:t>th</w:t>
      </w:r>
      <w:r w:rsidRPr="00134236">
        <w:rPr>
          <w:rFonts w:cs="Times New Roman"/>
          <w:b/>
        </w:rPr>
        <w:t xml:space="preserve"> grade.</w:t>
      </w:r>
    </w:p>
    <w:p w14:paraId="2DC4A47F" w14:textId="77777777" w:rsidR="00134236" w:rsidRPr="00134236" w:rsidRDefault="00134236" w:rsidP="00134236">
      <w:pPr>
        <w:spacing w:after="0"/>
        <w:rPr>
          <w:rFonts w:cs="Times New Roman"/>
        </w:rPr>
      </w:pPr>
    </w:p>
    <w:tbl>
      <w:tblPr>
        <w:tblStyle w:val="TableGrid5"/>
        <w:tblW w:w="9558" w:type="dxa"/>
        <w:tblLook w:val="04A0" w:firstRow="1" w:lastRow="0" w:firstColumn="1" w:lastColumn="0" w:noHBand="0" w:noVBand="1"/>
        <w:tblCaption w:val="Table 8: Wakefield Public Schools"/>
        <w:tblDescription w:val="ELA Median Student Growth Percentile, 2014–2017"/>
      </w:tblPr>
      <w:tblGrid>
        <w:gridCol w:w="1084"/>
        <w:gridCol w:w="1210"/>
        <w:gridCol w:w="1211"/>
        <w:gridCol w:w="1210"/>
        <w:gridCol w:w="1211"/>
        <w:gridCol w:w="1210"/>
        <w:gridCol w:w="1211"/>
        <w:gridCol w:w="1211"/>
      </w:tblGrid>
      <w:tr w:rsidR="00134236" w:rsidRPr="00134236" w14:paraId="56E46DB5" w14:textId="77777777" w:rsidTr="00BB0032">
        <w:trPr>
          <w:tblHeader/>
        </w:trPr>
        <w:tc>
          <w:tcPr>
            <w:tcW w:w="9558" w:type="dxa"/>
            <w:gridSpan w:val="8"/>
            <w:tcBorders>
              <w:top w:val="nil"/>
              <w:left w:val="nil"/>
              <w:right w:val="nil"/>
            </w:tcBorders>
            <w:shd w:val="clear" w:color="auto" w:fill="auto"/>
          </w:tcPr>
          <w:p w14:paraId="6BE75AED" w14:textId="77777777" w:rsidR="00134236" w:rsidRPr="00134236" w:rsidRDefault="00134236" w:rsidP="00134236">
            <w:pPr>
              <w:spacing w:after="0" w:line="240" w:lineRule="auto"/>
              <w:jc w:val="center"/>
              <w:rPr>
                <w:rFonts w:cs="Times New Roman"/>
                <w:b/>
                <w:sz w:val="20"/>
                <w:szCs w:val="20"/>
              </w:rPr>
            </w:pPr>
            <w:r w:rsidRPr="00134236">
              <w:rPr>
                <w:rFonts w:cs="Times New Roman"/>
                <w:b/>
                <w:sz w:val="20"/>
                <w:szCs w:val="20"/>
              </w:rPr>
              <w:t>Table 8: Wakefield Public Schools</w:t>
            </w:r>
          </w:p>
          <w:p w14:paraId="2598182E" w14:textId="6CD553C1" w:rsidR="00134236" w:rsidRPr="00134236" w:rsidRDefault="00134236" w:rsidP="0078366D">
            <w:pPr>
              <w:spacing w:after="0" w:line="240" w:lineRule="auto"/>
              <w:jc w:val="center"/>
              <w:rPr>
                <w:rFonts w:cs="Times New Roman"/>
              </w:rPr>
            </w:pPr>
            <w:r w:rsidRPr="00134236">
              <w:rPr>
                <w:rFonts w:cs="Times New Roman"/>
                <w:b/>
                <w:sz w:val="20"/>
                <w:szCs w:val="20"/>
              </w:rPr>
              <w:t>ELA Median Student Growth Percentile, 2014</w:t>
            </w:r>
            <w:r w:rsidR="0078366D">
              <w:rPr>
                <w:rFonts w:cs="Times New Roman"/>
                <w:b/>
                <w:sz w:val="20"/>
                <w:szCs w:val="20"/>
              </w:rPr>
              <w:t>–</w:t>
            </w:r>
            <w:r w:rsidRPr="00134236">
              <w:rPr>
                <w:rFonts w:cs="Times New Roman"/>
                <w:b/>
                <w:sz w:val="20"/>
                <w:szCs w:val="20"/>
              </w:rPr>
              <w:t>2017</w:t>
            </w:r>
          </w:p>
        </w:tc>
      </w:tr>
      <w:tr w:rsidR="00134236" w:rsidRPr="00134236" w14:paraId="218EBDD0" w14:textId="77777777" w:rsidTr="00DF5AC6">
        <w:tc>
          <w:tcPr>
            <w:tcW w:w="1084" w:type="dxa"/>
            <w:shd w:val="clear" w:color="auto" w:fill="D9D9D9" w:themeFill="background1" w:themeFillShade="D9"/>
          </w:tcPr>
          <w:p w14:paraId="1451A028" w14:textId="77777777" w:rsidR="00134236" w:rsidRPr="00134236" w:rsidRDefault="00134236" w:rsidP="00E22258">
            <w:pPr>
              <w:spacing w:after="0" w:line="240" w:lineRule="auto"/>
              <w:rPr>
                <w:rFonts w:cs="Times New Roman"/>
                <w:b/>
                <w:sz w:val="20"/>
                <w:szCs w:val="20"/>
              </w:rPr>
            </w:pPr>
            <w:r w:rsidRPr="00134236">
              <w:rPr>
                <w:rFonts w:cs="Times New Roman"/>
                <w:b/>
                <w:sz w:val="20"/>
                <w:szCs w:val="20"/>
              </w:rPr>
              <w:t>Grade</w:t>
            </w:r>
          </w:p>
        </w:tc>
        <w:tc>
          <w:tcPr>
            <w:tcW w:w="1210" w:type="dxa"/>
            <w:shd w:val="clear" w:color="auto" w:fill="D9D9D9" w:themeFill="background1" w:themeFillShade="D9"/>
          </w:tcPr>
          <w:p w14:paraId="1A79EB7C" w14:textId="77777777" w:rsidR="00134236" w:rsidRPr="00134236" w:rsidRDefault="00134236" w:rsidP="00134236">
            <w:pPr>
              <w:tabs>
                <w:tab w:val="center" w:pos="490"/>
              </w:tabs>
              <w:spacing w:after="0" w:line="240" w:lineRule="auto"/>
              <w:jc w:val="center"/>
              <w:rPr>
                <w:rFonts w:cs="Times New Roman"/>
                <w:b/>
                <w:sz w:val="20"/>
                <w:szCs w:val="20"/>
              </w:rPr>
            </w:pPr>
            <w:r w:rsidRPr="00134236">
              <w:rPr>
                <w:rFonts w:cs="Times New Roman"/>
                <w:b/>
                <w:sz w:val="20"/>
                <w:szCs w:val="20"/>
              </w:rPr>
              <w:t>N (2017)</w:t>
            </w:r>
          </w:p>
        </w:tc>
        <w:tc>
          <w:tcPr>
            <w:tcW w:w="1211" w:type="dxa"/>
            <w:shd w:val="clear" w:color="auto" w:fill="D9D9D9" w:themeFill="background1" w:themeFillShade="D9"/>
          </w:tcPr>
          <w:p w14:paraId="524BBC6D" w14:textId="77777777" w:rsidR="00134236" w:rsidRPr="00134236" w:rsidRDefault="00134236" w:rsidP="00134236">
            <w:pPr>
              <w:tabs>
                <w:tab w:val="center" w:pos="490"/>
              </w:tabs>
              <w:spacing w:after="0" w:line="240" w:lineRule="auto"/>
              <w:jc w:val="center"/>
              <w:rPr>
                <w:rFonts w:cs="Times New Roman"/>
                <w:b/>
                <w:sz w:val="20"/>
                <w:szCs w:val="20"/>
              </w:rPr>
            </w:pPr>
            <w:r w:rsidRPr="00134236">
              <w:rPr>
                <w:rFonts w:cs="Times New Roman"/>
                <w:b/>
                <w:sz w:val="20"/>
                <w:szCs w:val="20"/>
              </w:rPr>
              <w:t>2014</w:t>
            </w:r>
          </w:p>
        </w:tc>
        <w:tc>
          <w:tcPr>
            <w:tcW w:w="1210" w:type="dxa"/>
            <w:shd w:val="clear" w:color="auto" w:fill="D9D9D9" w:themeFill="background1" w:themeFillShade="D9"/>
          </w:tcPr>
          <w:p w14:paraId="3E888D45" w14:textId="77777777" w:rsidR="00134236" w:rsidRPr="00134236" w:rsidRDefault="00134236" w:rsidP="00134236">
            <w:pPr>
              <w:spacing w:after="0" w:line="240" w:lineRule="auto"/>
              <w:jc w:val="center"/>
              <w:rPr>
                <w:rFonts w:cs="Times New Roman"/>
                <w:b/>
                <w:sz w:val="20"/>
                <w:szCs w:val="20"/>
              </w:rPr>
            </w:pPr>
            <w:r w:rsidRPr="00134236">
              <w:rPr>
                <w:rFonts w:cs="Times New Roman"/>
                <w:b/>
                <w:sz w:val="20"/>
                <w:szCs w:val="20"/>
              </w:rPr>
              <w:t>2015</w:t>
            </w:r>
          </w:p>
        </w:tc>
        <w:tc>
          <w:tcPr>
            <w:tcW w:w="1211" w:type="dxa"/>
            <w:shd w:val="clear" w:color="auto" w:fill="D9D9D9" w:themeFill="background1" w:themeFillShade="D9"/>
          </w:tcPr>
          <w:p w14:paraId="17A06A95" w14:textId="77777777" w:rsidR="00134236" w:rsidRPr="00134236" w:rsidRDefault="00134236" w:rsidP="00134236">
            <w:pPr>
              <w:spacing w:after="0" w:line="240" w:lineRule="auto"/>
              <w:jc w:val="center"/>
              <w:rPr>
                <w:rFonts w:cs="Times New Roman"/>
                <w:b/>
                <w:sz w:val="20"/>
                <w:szCs w:val="20"/>
              </w:rPr>
            </w:pPr>
            <w:r w:rsidRPr="00134236">
              <w:rPr>
                <w:rFonts w:cs="Times New Roman"/>
                <w:b/>
                <w:sz w:val="20"/>
                <w:szCs w:val="20"/>
              </w:rPr>
              <w:t>2016</w:t>
            </w:r>
          </w:p>
        </w:tc>
        <w:tc>
          <w:tcPr>
            <w:tcW w:w="1210" w:type="dxa"/>
            <w:shd w:val="clear" w:color="auto" w:fill="D9D9D9" w:themeFill="background1" w:themeFillShade="D9"/>
          </w:tcPr>
          <w:p w14:paraId="002599CB" w14:textId="77777777" w:rsidR="00134236" w:rsidRPr="00134236" w:rsidRDefault="00134236" w:rsidP="00134236">
            <w:pPr>
              <w:spacing w:after="0" w:line="240" w:lineRule="auto"/>
              <w:jc w:val="center"/>
              <w:rPr>
                <w:rFonts w:cs="Times New Roman"/>
                <w:b/>
                <w:sz w:val="20"/>
                <w:szCs w:val="20"/>
              </w:rPr>
            </w:pPr>
            <w:r w:rsidRPr="00134236">
              <w:rPr>
                <w:rFonts w:cs="Times New Roman"/>
                <w:b/>
                <w:sz w:val="20"/>
                <w:szCs w:val="20"/>
              </w:rPr>
              <w:t>2017</w:t>
            </w:r>
          </w:p>
        </w:tc>
        <w:tc>
          <w:tcPr>
            <w:tcW w:w="1211" w:type="dxa"/>
            <w:shd w:val="clear" w:color="auto" w:fill="D9D9D9" w:themeFill="background1" w:themeFillShade="D9"/>
          </w:tcPr>
          <w:p w14:paraId="3D89B50C" w14:textId="4EFAF2B9" w:rsidR="00134236" w:rsidRPr="00134236" w:rsidRDefault="00134236" w:rsidP="0078366D">
            <w:pPr>
              <w:spacing w:after="0" w:line="240" w:lineRule="auto"/>
              <w:jc w:val="center"/>
              <w:rPr>
                <w:rFonts w:cs="Times New Roman"/>
                <w:b/>
                <w:sz w:val="20"/>
                <w:szCs w:val="20"/>
              </w:rPr>
            </w:pPr>
            <w:r w:rsidRPr="00134236">
              <w:rPr>
                <w:rFonts w:cs="Times New Roman"/>
                <w:b/>
                <w:sz w:val="20"/>
                <w:szCs w:val="20"/>
              </w:rPr>
              <w:t xml:space="preserve">4-yr </w:t>
            </w:r>
            <w:r w:rsidR="0078366D">
              <w:rPr>
                <w:rFonts w:cs="Times New Roman"/>
                <w:b/>
                <w:sz w:val="20"/>
                <w:szCs w:val="20"/>
              </w:rPr>
              <w:t>C</w:t>
            </w:r>
            <w:r w:rsidR="0078366D" w:rsidRPr="00134236">
              <w:rPr>
                <w:rFonts w:cs="Times New Roman"/>
                <w:b/>
                <w:sz w:val="20"/>
                <w:szCs w:val="20"/>
              </w:rPr>
              <w:t>hange</w:t>
            </w:r>
          </w:p>
        </w:tc>
        <w:tc>
          <w:tcPr>
            <w:tcW w:w="1211" w:type="dxa"/>
            <w:shd w:val="clear" w:color="auto" w:fill="D9D9D9" w:themeFill="background1" w:themeFillShade="D9"/>
          </w:tcPr>
          <w:p w14:paraId="66F35EF5" w14:textId="77777777" w:rsidR="00134236" w:rsidRPr="00134236" w:rsidRDefault="00134236" w:rsidP="00134236">
            <w:pPr>
              <w:spacing w:after="0" w:line="240" w:lineRule="auto"/>
              <w:jc w:val="center"/>
              <w:rPr>
                <w:rFonts w:cs="Times New Roman"/>
                <w:b/>
                <w:sz w:val="20"/>
                <w:szCs w:val="20"/>
              </w:rPr>
            </w:pPr>
            <w:r w:rsidRPr="00134236">
              <w:rPr>
                <w:rFonts w:cs="Times New Roman"/>
                <w:b/>
                <w:sz w:val="20"/>
                <w:szCs w:val="20"/>
              </w:rPr>
              <w:t>State (2017)</w:t>
            </w:r>
          </w:p>
        </w:tc>
      </w:tr>
      <w:tr w:rsidR="00134236" w:rsidRPr="00134236" w14:paraId="5FA8A4D1" w14:textId="77777777" w:rsidTr="00DF5AC6">
        <w:tc>
          <w:tcPr>
            <w:tcW w:w="1084" w:type="dxa"/>
          </w:tcPr>
          <w:p w14:paraId="7C14A21C" w14:textId="77777777" w:rsidR="00134236" w:rsidRPr="00134236" w:rsidRDefault="00134236" w:rsidP="00E22258">
            <w:pPr>
              <w:spacing w:after="0" w:line="240" w:lineRule="auto"/>
              <w:rPr>
                <w:rFonts w:cs="Times New Roman"/>
                <w:sz w:val="20"/>
                <w:szCs w:val="20"/>
              </w:rPr>
            </w:pPr>
            <w:r w:rsidRPr="00134236">
              <w:rPr>
                <w:rFonts w:cs="Times New Roman"/>
                <w:sz w:val="20"/>
                <w:szCs w:val="20"/>
              </w:rPr>
              <w:t>3</w:t>
            </w:r>
          </w:p>
        </w:tc>
        <w:tc>
          <w:tcPr>
            <w:tcW w:w="1210" w:type="dxa"/>
          </w:tcPr>
          <w:p w14:paraId="3E9C0C4D"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1211" w:type="dxa"/>
          </w:tcPr>
          <w:p w14:paraId="0390B0D4"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1210" w:type="dxa"/>
          </w:tcPr>
          <w:p w14:paraId="60DC7A19"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1211" w:type="dxa"/>
          </w:tcPr>
          <w:p w14:paraId="0544FD0F"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1210" w:type="dxa"/>
          </w:tcPr>
          <w:p w14:paraId="42ACD21C"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1211" w:type="dxa"/>
          </w:tcPr>
          <w:p w14:paraId="7B0555B5"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1211" w:type="dxa"/>
          </w:tcPr>
          <w:p w14:paraId="16B60348"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r>
      <w:tr w:rsidR="00134236" w:rsidRPr="00134236" w14:paraId="7E4729B3" w14:textId="77777777" w:rsidTr="00DF5AC6">
        <w:tc>
          <w:tcPr>
            <w:tcW w:w="1084" w:type="dxa"/>
            <w:shd w:val="clear" w:color="auto" w:fill="D9D9D9" w:themeFill="background1" w:themeFillShade="D9"/>
          </w:tcPr>
          <w:p w14:paraId="63C7C096" w14:textId="77777777" w:rsidR="00134236" w:rsidRPr="00134236" w:rsidRDefault="00134236" w:rsidP="00E22258">
            <w:pPr>
              <w:spacing w:after="0" w:line="240" w:lineRule="auto"/>
              <w:rPr>
                <w:rFonts w:cs="Times New Roman"/>
                <w:sz w:val="20"/>
                <w:szCs w:val="20"/>
              </w:rPr>
            </w:pPr>
            <w:r w:rsidRPr="00134236">
              <w:rPr>
                <w:rFonts w:cs="Times New Roman"/>
                <w:sz w:val="20"/>
                <w:szCs w:val="20"/>
              </w:rPr>
              <w:t>4</w:t>
            </w:r>
          </w:p>
        </w:tc>
        <w:tc>
          <w:tcPr>
            <w:tcW w:w="1210" w:type="dxa"/>
            <w:shd w:val="clear" w:color="auto" w:fill="D9D9D9" w:themeFill="background1" w:themeFillShade="D9"/>
          </w:tcPr>
          <w:p w14:paraId="01343275"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253</w:t>
            </w:r>
          </w:p>
        </w:tc>
        <w:tc>
          <w:tcPr>
            <w:tcW w:w="1211" w:type="dxa"/>
            <w:shd w:val="clear" w:color="auto" w:fill="D9D9D9" w:themeFill="background1" w:themeFillShade="D9"/>
          </w:tcPr>
          <w:p w14:paraId="4A805E90"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56.0</w:t>
            </w:r>
          </w:p>
        </w:tc>
        <w:tc>
          <w:tcPr>
            <w:tcW w:w="1210" w:type="dxa"/>
            <w:shd w:val="clear" w:color="auto" w:fill="D9D9D9" w:themeFill="background1" w:themeFillShade="D9"/>
          </w:tcPr>
          <w:p w14:paraId="39B88CA9"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47.0</w:t>
            </w:r>
          </w:p>
        </w:tc>
        <w:tc>
          <w:tcPr>
            <w:tcW w:w="1211" w:type="dxa"/>
            <w:shd w:val="clear" w:color="auto" w:fill="D9D9D9" w:themeFill="background1" w:themeFillShade="D9"/>
          </w:tcPr>
          <w:p w14:paraId="77F9063C"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64.0</w:t>
            </w:r>
          </w:p>
        </w:tc>
        <w:tc>
          <w:tcPr>
            <w:tcW w:w="1210" w:type="dxa"/>
            <w:shd w:val="clear" w:color="auto" w:fill="D9D9D9" w:themeFill="background1" w:themeFillShade="D9"/>
          </w:tcPr>
          <w:p w14:paraId="277119A5"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55.0</w:t>
            </w:r>
          </w:p>
        </w:tc>
        <w:tc>
          <w:tcPr>
            <w:tcW w:w="1211" w:type="dxa"/>
            <w:shd w:val="clear" w:color="auto" w:fill="D9D9D9" w:themeFill="background1" w:themeFillShade="D9"/>
          </w:tcPr>
          <w:p w14:paraId="38F18D82"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-1.0</w:t>
            </w:r>
          </w:p>
        </w:tc>
        <w:tc>
          <w:tcPr>
            <w:tcW w:w="1211" w:type="dxa"/>
            <w:shd w:val="clear" w:color="auto" w:fill="D9D9D9" w:themeFill="background1" w:themeFillShade="D9"/>
          </w:tcPr>
          <w:p w14:paraId="25CE8168"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50.0</w:t>
            </w:r>
          </w:p>
        </w:tc>
      </w:tr>
      <w:tr w:rsidR="00134236" w:rsidRPr="00134236" w14:paraId="0F67F0C6" w14:textId="77777777" w:rsidTr="00DF5AC6">
        <w:tc>
          <w:tcPr>
            <w:tcW w:w="1084" w:type="dxa"/>
          </w:tcPr>
          <w:p w14:paraId="0B17BDB4" w14:textId="77777777" w:rsidR="00134236" w:rsidRPr="00134236" w:rsidRDefault="00134236" w:rsidP="00E22258">
            <w:pPr>
              <w:spacing w:after="0" w:line="240" w:lineRule="auto"/>
              <w:rPr>
                <w:rFonts w:cs="Times New Roman"/>
                <w:sz w:val="20"/>
                <w:szCs w:val="20"/>
              </w:rPr>
            </w:pPr>
            <w:r w:rsidRPr="00134236">
              <w:rPr>
                <w:rFonts w:cs="Times New Roman"/>
                <w:sz w:val="20"/>
                <w:szCs w:val="20"/>
              </w:rPr>
              <w:t>5</w:t>
            </w:r>
          </w:p>
        </w:tc>
        <w:tc>
          <w:tcPr>
            <w:tcW w:w="1210" w:type="dxa"/>
          </w:tcPr>
          <w:p w14:paraId="28D557AB"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226</w:t>
            </w:r>
          </w:p>
        </w:tc>
        <w:tc>
          <w:tcPr>
            <w:tcW w:w="1211" w:type="dxa"/>
          </w:tcPr>
          <w:p w14:paraId="1B90F438"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47.0</w:t>
            </w:r>
          </w:p>
        </w:tc>
        <w:tc>
          <w:tcPr>
            <w:tcW w:w="1210" w:type="dxa"/>
          </w:tcPr>
          <w:p w14:paraId="22F5CB8E"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33.0</w:t>
            </w:r>
          </w:p>
        </w:tc>
        <w:tc>
          <w:tcPr>
            <w:tcW w:w="1211" w:type="dxa"/>
          </w:tcPr>
          <w:p w14:paraId="4A8EDDCD"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43.0</w:t>
            </w:r>
          </w:p>
        </w:tc>
        <w:tc>
          <w:tcPr>
            <w:tcW w:w="1210" w:type="dxa"/>
          </w:tcPr>
          <w:p w14:paraId="65DFEBCB"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40.0</w:t>
            </w:r>
          </w:p>
        </w:tc>
        <w:tc>
          <w:tcPr>
            <w:tcW w:w="1211" w:type="dxa"/>
          </w:tcPr>
          <w:p w14:paraId="5A65C148"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-7.0</w:t>
            </w:r>
          </w:p>
        </w:tc>
        <w:tc>
          <w:tcPr>
            <w:tcW w:w="1211" w:type="dxa"/>
          </w:tcPr>
          <w:p w14:paraId="0CB4CEA3"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50.0</w:t>
            </w:r>
          </w:p>
        </w:tc>
      </w:tr>
      <w:tr w:rsidR="00134236" w:rsidRPr="00134236" w14:paraId="64E1C78B" w14:textId="77777777" w:rsidTr="00DF5AC6">
        <w:tc>
          <w:tcPr>
            <w:tcW w:w="1084" w:type="dxa"/>
            <w:shd w:val="clear" w:color="auto" w:fill="D9D9D9" w:themeFill="background1" w:themeFillShade="D9"/>
          </w:tcPr>
          <w:p w14:paraId="218CA031" w14:textId="77777777" w:rsidR="00134236" w:rsidRPr="00134236" w:rsidRDefault="00134236" w:rsidP="00E22258">
            <w:pPr>
              <w:spacing w:after="0" w:line="240" w:lineRule="auto"/>
              <w:rPr>
                <w:rFonts w:cs="Times New Roman"/>
                <w:sz w:val="20"/>
                <w:szCs w:val="20"/>
              </w:rPr>
            </w:pPr>
            <w:r w:rsidRPr="00134236">
              <w:rPr>
                <w:rFonts w:cs="Times New Roman"/>
                <w:sz w:val="20"/>
                <w:szCs w:val="20"/>
              </w:rPr>
              <w:t>6</w:t>
            </w:r>
          </w:p>
        </w:tc>
        <w:tc>
          <w:tcPr>
            <w:tcW w:w="1210" w:type="dxa"/>
            <w:shd w:val="clear" w:color="auto" w:fill="D9D9D9" w:themeFill="background1" w:themeFillShade="D9"/>
          </w:tcPr>
          <w:p w14:paraId="2AEA3D7C"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246</w:t>
            </w:r>
          </w:p>
        </w:tc>
        <w:tc>
          <w:tcPr>
            <w:tcW w:w="1211" w:type="dxa"/>
            <w:shd w:val="clear" w:color="auto" w:fill="D9D9D9" w:themeFill="background1" w:themeFillShade="D9"/>
          </w:tcPr>
          <w:p w14:paraId="77459509"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43.5</w:t>
            </w:r>
          </w:p>
        </w:tc>
        <w:tc>
          <w:tcPr>
            <w:tcW w:w="1210" w:type="dxa"/>
            <w:shd w:val="clear" w:color="auto" w:fill="D9D9D9" w:themeFill="background1" w:themeFillShade="D9"/>
          </w:tcPr>
          <w:p w14:paraId="4373760D"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33.0</w:t>
            </w:r>
          </w:p>
        </w:tc>
        <w:tc>
          <w:tcPr>
            <w:tcW w:w="1211" w:type="dxa"/>
            <w:shd w:val="clear" w:color="auto" w:fill="D9D9D9" w:themeFill="background1" w:themeFillShade="D9"/>
          </w:tcPr>
          <w:p w14:paraId="3F84AD42"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46.0</w:t>
            </w:r>
          </w:p>
        </w:tc>
        <w:tc>
          <w:tcPr>
            <w:tcW w:w="1210" w:type="dxa"/>
            <w:shd w:val="clear" w:color="auto" w:fill="D9D9D9" w:themeFill="background1" w:themeFillShade="D9"/>
          </w:tcPr>
          <w:p w14:paraId="5FF7A354"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33.0</w:t>
            </w:r>
          </w:p>
        </w:tc>
        <w:tc>
          <w:tcPr>
            <w:tcW w:w="1211" w:type="dxa"/>
            <w:shd w:val="clear" w:color="auto" w:fill="D9D9D9" w:themeFill="background1" w:themeFillShade="D9"/>
          </w:tcPr>
          <w:p w14:paraId="3A41AC00"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-10.5</w:t>
            </w:r>
          </w:p>
        </w:tc>
        <w:tc>
          <w:tcPr>
            <w:tcW w:w="1211" w:type="dxa"/>
            <w:shd w:val="clear" w:color="auto" w:fill="D9D9D9" w:themeFill="background1" w:themeFillShade="D9"/>
          </w:tcPr>
          <w:p w14:paraId="047057B7"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50.0</w:t>
            </w:r>
          </w:p>
        </w:tc>
      </w:tr>
      <w:tr w:rsidR="00134236" w:rsidRPr="00134236" w14:paraId="5375E694" w14:textId="77777777" w:rsidTr="00DF5AC6">
        <w:tc>
          <w:tcPr>
            <w:tcW w:w="1084" w:type="dxa"/>
          </w:tcPr>
          <w:p w14:paraId="44B104F3" w14:textId="77777777" w:rsidR="00134236" w:rsidRPr="00134236" w:rsidRDefault="00134236" w:rsidP="00E22258">
            <w:pPr>
              <w:spacing w:after="0" w:line="240" w:lineRule="auto"/>
              <w:rPr>
                <w:rFonts w:cs="Times New Roman"/>
                <w:sz w:val="20"/>
                <w:szCs w:val="20"/>
              </w:rPr>
            </w:pPr>
            <w:r w:rsidRPr="00134236">
              <w:rPr>
                <w:rFonts w:cs="Times New Roman"/>
                <w:sz w:val="20"/>
                <w:szCs w:val="20"/>
              </w:rPr>
              <w:t>7</w:t>
            </w:r>
          </w:p>
        </w:tc>
        <w:tc>
          <w:tcPr>
            <w:tcW w:w="1210" w:type="dxa"/>
          </w:tcPr>
          <w:p w14:paraId="5617B5DE"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281</w:t>
            </w:r>
          </w:p>
        </w:tc>
        <w:tc>
          <w:tcPr>
            <w:tcW w:w="1211" w:type="dxa"/>
          </w:tcPr>
          <w:p w14:paraId="66A8EC73"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44.0</w:t>
            </w:r>
          </w:p>
        </w:tc>
        <w:tc>
          <w:tcPr>
            <w:tcW w:w="1210" w:type="dxa"/>
          </w:tcPr>
          <w:p w14:paraId="7983D9B5"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51.0</w:t>
            </w:r>
          </w:p>
        </w:tc>
        <w:tc>
          <w:tcPr>
            <w:tcW w:w="1211" w:type="dxa"/>
          </w:tcPr>
          <w:p w14:paraId="5243DE1A"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44.0</w:t>
            </w:r>
          </w:p>
        </w:tc>
        <w:tc>
          <w:tcPr>
            <w:tcW w:w="1210" w:type="dxa"/>
          </w:tcPr>
          <w:p w14:paraId="10AC7446"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52.0</w:t>
            </w:r>
          </w:p>
        </w:tc>
        <w:tc>
          <w:tcPr>
            <w:tcW w:w="1211" w:type="dxa"/>
          </w:tcPr>
          <w:p w14:paraId="42F55954"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8.0</w:t>
            </w:r>
          </w:p>
        </w:tc>
        <w:tc>
          <w:tcPr>
            <w:tcW w:w="1211" w:type="dxa"/>
          </w:tcPr>
          <w:p w14:paraId="5970B252"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50.0</w:t>
            </w:r>
          </w:p>
        </w:tc>
      </w:tr>
      <w:tr w:rsidR="00134236" w:rsidRPr="00134236" w14:paraId="6378CEE8" w14:textId="77777777" w:rsidTr="00DF5AC6">
        <w:tc>
          <w:tcPr>
            <w:tcW w:w="1084" w:type="dxa"/>
            <w:shd w:val="clear" w:color="auto" w:fill="D9D9D9" w:themeFill="background1" w:themeFillShade="D9"/>
          </w:tcPr>
          <w:p w14:paraId="6D1BA018" w14:textId="77777777" w:rsidR="00134236" w:rsidRPr="00134236" w:rsidRDefault="00134236" w:rsidP="00E22258">
            <w:pPr>
              <w:spacing w:after="0" w:line="240" w:lineRule="auto"/>
              <w:rPr>
                <w:rFonts w:cs="Times New Roman"/>
                <w:sz w:val="20"/>
                <w:szCs w:val="20"/>
              </w:rPr>
            </w:pPr>
            <w:r w:rsidRPr="00134236">
              <w:rPr>
                <w:rFonts w:cs="Times New Roman"/>
                <w:sz w:val="20"/>
                <w:szCs w:val="20"/>
              </w:rPr>
              <w:t>8</w:t>
            </w:r>
          </w:p>
        </w:tc>
        <w:tc>
          <w:tcPr>
            <w:tcW w:w="1210" w:type="dxa"/>
            <w:shd w:val="clear" w:color="auto" w:fill="D9D9D9" w:themeFill="background1" w:themeFillShade="D9"/>
          </w:tcPr>
          <w:p w14:paraId="57D99AE0"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284</w:t>
            </w:r>
          </w:p>
        </w:tc>
        <w:tc>
          <w:tcPr>
            <w:tcW w:w="1211" w:type="dxa"/>
            <w:shd w:val="clear" w:color="auto" w:fill="D9D9D9" w:themeFill="background1" w:themeFillShade="D9"/>
          </w:tcPr>
          <w:p w14:paraId="52175B6A"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37.0</w:t>
            </w:r>
          </w:p>
        </w:tc>
        <w:tc>
          <w:tcPr>
            <w:tcW w:w="1210" w:type="dxa"/>
            <w:shd w:val="clear" w:color="auto" w:fill="D9D9D9" w:themeFill="background1" w:themeFillShade="D9"/>
          </w:tcPr>
          <w:p w14:paraId="651ADBC1"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16.0</w:t>
            </w:r>
          </w:p>
        </w:tc>
        <w:tc>
          <w:tcPr>
            <w:tcW w:w="1211" w:type="dxa"/>
            <w:shd w:val="clear" w:color="auto" w:fill="D9D9D9" w:themeFill="background1" w:themeFillShade="D9"/>
          </w:tcPr>
          <w:p w14:paraId="526D6AAE"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38.0</w:t>
            </w:r>
          </w:p>
        </w:tc>
        <w:tc>
          <w:tcPr>
            <w:tcW w:w="1210" w:type="dxa"/>
            <w:shd w:val="clear" w:color="auto" w:fill="D9D9D9" w:themeFill="background1" w:themeFillShade="D9"/>
          </w:tcPr>
          <w:p w14:paraId="4AA280CF"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34.0</w:t>
            </w:r>
          </w:p>
        </w:tc>
        <w:tc>
          <w:tcPr>
            <w:tcW w:w="1211" w:type="dxa"/>
            <w:shd w:val="clear" w:color="auto" w:fill="D9D9D9" w:themeFill="background1" w:themeFillShade="D9"/>
          </w:tcPr>
          <w:p w14:paraId="573458BE"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-3.0</w:t>
            </w:r>
          </w:p>
        </w:tc>
        <w:tc>
          <w:tcPr>
            <w:tcW w:w="1211" w:type="dxa"/>
            <w:shd w:val="clear" w:color="auto" w:fill="D9D9D9" w:themeFill="background1" w:themeFillShade="D9"/>
          </w:tcPr>
          <w:p w14:paraId="0E3D5F2C"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50.0</w:t>
            </w:r>
          </w:p>
        </w:tc>
      </w:tr>
      <w:tr w:rsidR="00134236" w:rsidRPr="00134236" w14:paraId="560AD683" w14:textId="77777777" w:rsidTr="00DF5AC6">
        <w:tc>
          <w:tcPr>
            <w:tcW w:w="1084" w:type="dxa"/>
            <w:tcBorders>
              <w:bottom w:val="single" w:sz="4" w:space="0" w:color="auto"/>
            </w:tcBorders>
          </w:tcPr>
          <w:p w14:paraId="2CA695C4" w14:textId="77777777" w:rsidR="00134236" w:rsidRPr="00134236" w:rsidRDefault="00134236" w:rsidP="00E22258">
            <w:pPr>
              <w:spacing w:after="0" w:line="240" w:lineRule="auto"/>
              <w:rPr>
                <w:rFonts w:cs="Times New Roman"/>
                <w:sz w:val="20"/>
                <w:szCs w:val="20"/>
              </w:rPr>
            </w:pPr>
            <w:r w:rsidRPr="00134236">
              <w:rPr>
                <w:rFonts w:cs="Times New Roman"/>
                <w:sz w:val="20"/>
                <w:szCs w:val="20"/>
              </w:rPr>
              <w:t>10</w:t>
            </w:r>
          </w:p>
        </w:tc>
        <w:tc>
          <w:tcPr>
            <w:tcW w:w="1210" w:type="dxa"/>
            <w:tcBorders>
              <w:bottom w:val="single" w:sz="4" w:space="0" w:color="auto"/>
            </w:tcBorders>
          </w:tcPr>
          <w:p w14:paraId="0DCC40DF"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214</w:t>
            </w:r>
          </w:p>
        </w:tc>
        <w:tc>
          <w:tcPr>
            <w:tcW w:w="1211" w:type="dxa"/>
            <w:tcBorders>
              <w:bottom w:val="single" w:sz="4" w:space="0" w:color="auto"/>
            </w:tcBorders>
          </w:tcPr>
          <w:p w14:paraId="6FE1551E"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46.5</w:t>
            </w:r>
          </w:p>
        </w:tc>
        <w:tc>
          <w:tcPr>
            <w:tcW w:w="1210" w:type="dxa"/>
            <w:tcBorders>
              <w:bottom w:val="single" w:sz="4" w:space="0" w:color="auto"/>
            </w:tcBorders>
          </w:tcPr>
          <w:p w14:paraId="328B6340"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47.0</w:t>
            </w:r>
          </w:p>
        </w:tc>
        <w:tc>
          <w:tcPr>
            <w:tcW w:w="1211" w:type="dxa"/>
            <w:tcBorders>
              <w:bottom w:val="single" w:sz="4" w:space="0" w:color="auto"/>
            </w:tcBorders>
          </w:tcPr>
          <w:p w14:paraId="286B51C3"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28.0</w:t>
            </w:r>
          </w:p>
        </w:tc>
        <w:tc>
          <w:tcPr>
            <w:tcW w:w="1210" w:type="dxa"/>
            <w:tcBorders>
              <w:bottom w:val="single" w:sz="4" w:space="0" w:color="auto"/>
            </w:tcBorders>
          </w:tcPr>
          <w:p w14:paraId="382C7291"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56.5</w:t>
            </w:r>
          </w:p>
        </w:tc>
        <w:tc>
          <w:tcPr>
            <w:tcW w:w="1211" w:type="dxa"/>
            <w:tcBorders>
              <w:bottom w:val="single" w:sz="4" w:space="0" w:color="auto"/>
            </w:tcBorders>
          </w:tcPr>
          <w:p w14:paraId="1C33FE84"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10.0</w:t>
            </w:r>
          </w:p>
        </w:tc>
        <w:tc>
          <w:tcPr>
            <w:tcW w:w="1211" w:type="dxa"/>
            <w:tcBorders>
              <w:bottom w:val="single" w:sz="4" w:space="0" w:color="auto"/>
            </w:tcBorders>
          </w:tcPr>
          <w:p w14:paraId="11B7DFA1"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50.0</w:t>
            </w:r>
          </w:p>
        </w:tc>
      </w:tr>
      <w:tr w:rsidR="00134236" w:rsidRPr="00134236" w14:paraId="04AE3478" w14:textId="77777777" w:rsidTr="00DF5AC6">
        <w:tc>
          <w:tcPr>
            <w:tcW w:w="9558" w:type="dxa"/>
            <w:gridSpan w:val="8"/>
            <w:tcBorders>
              <w:left w:val="nil"/>
              <w:bottom w:val="nil"/>
              <w:right w:val="nil"/>
            </w:tcBorders>
          </w:tcPr>
          <w:p w14:paraId="78D4542D" w14:textId="77777777" w:rsidR="00134236" w:rsidRPr="00134236" w:rsidRDefault="00134236" w:rsidP="00E22258">
            <w:pPr>
              <w:spacing w:before="60" w:after="0" w:line="240" w:lineRule="auto"/>
              <w:rPr>
                <w:rFonts w:cs="Times New Roman"/>
                <w:sz w:val="18"/>
                <w:szCs w:val="18"/>
              </w:rPr>
            </w:pPr>
            <w:r w:rsidRPr="00134236">
              <w:rPr>
                <w:rFonts w:cs="Times New Roman"/>
                <w:sz w:val="18"/>
                <w:szCs w:val="18"/>
              </w:rPr>
              <w:t>Changes in SGP of 10 points or more are considered meaningful.</w:t>
            </w:r>
          </w:p>
        </w:tc>
      </w:tr>
    </w:tbl>
    <w:p w14:paraId="2A1F8549" w14:textId="77777777" w:rsidR="00134236" w:rsidRPr="00134236" w:rsidRDefault="00134236" w:rsidP="00134236">
      <w:pPr>
        <w:spacing w:after="0" w:line="240" w:lineRule="auto"/>
        <w:rPr>
          <w:rFonts w:cs="Times New Roman"/>
        </w:rPr>
      </w:pPr>
    </w:p>
    <w:p w14:paraId="16490302" w14:textId="77777777" w:rsidR="00134236" w:rsidRPr="00134236" w:rsidRDefault="00134236" w:rsidP="00134236">
      <w:pPr>
        <w:spacing w:after="0" w:line="240" w:lineRule="auto"/>
        <w:rPr>
          <w:rFonts w:cs="Times New Roman"/>
        </w:rPr>
      </w:pPr>
    </w:p>
    <w:p w14:paraId="5C7A47F1" w14:textId="6A7ECBDD" w:rsidR="00134236" w:rsidRPr="00134236" w:rsidRDefault="00134236" w:rsidP="00134236">
      <w:pPr>
        <w:spacing w:after="0" w:line="240" w:lineRule="auto"/>
        <w:rPr>
          <w:rFonts w:cs="Times New Roman"/>
          <w:b/>
        </w:rPr>
      </w:pPr>
      <w:r w:rsidRPr="00134236">
        <w:rPr>
          <w:rFonts w:cs="Times New Roman"/>
          <w:b/>
        </w:rPr>
        <w:t>Between 2014 and 2017, in math</w:t>
      </w:r>
      <w:r w:rsidR="004E4F6C">
        <w:rPr>
          <w:rFonts w:cs="Times New Roman"/>
          <w:b/>
        </w:rPr>
        <w:t>,</w:t>
      </w:r>
      <w:r w:rsidRPr="00134236">
        <w:rPr>
          <w:rFonts w:cs="Times New Roman"/>
          <w:b/>
        </w:rPr>
        <w:t xml:space="preserve"> the median SGP improved by 13.0 points in the 7</w:t>
      </w:r>
      <w:r w:rsidRPr="00134236">
        <w:rPr>
          <w:rFonts w:cs="Times New Roman"/>
          <w:b/>
          <w:vertAlign w:val="superscript"/>
        </w:rPr>
        <w:t>th</w:t>
      </w:r>
      <w:r w:rsidRPr="00134236">
        <w:rPr>
          <w:rFonts w:cs="Times New Roman"/>
          <w:b/>
        </w:rPr>
        <w:t xml:space="preserve"> grade and declined by 10.0 points in the 8</w:t>
      </w:r>
      <w:r w:rsidRPr="00134236">
        <w:rPr>
          <w:rFonts w:cs="Times New Roman"/>
          <w:b/>
          <w:vertAlign w:val="superscript"/>
        </w:rPr>
        <w:t>th</w:t>
      </w:r>
      <w:r w:rsidRPr="00134236">
        <w:rPr>
          <w:rFonts w:cs="Times New Roman"/>
          <w:b/>
        </w:rPr>
        <w:t xml:space="preserve"> grade.</w:t>
      </w:r>
    </w:p>
    <w:p w14:paraId="5A26DCFD" w14:textId="77777777" w:rsidR="00134236" w:rsidRPr="00134236" w:rsidRDefault="00134236" w:rsidP="00134236">
      <w:pPr>
        <w:spacing w:after="0" w:line="240" w:lineRule="auto"/>
        <w:rPr>
          <w:rFonts w:cs="Times New Roman"/>
        </w:rPr>
      </w:pPr>
    </w:p>
    <w:tbl>
      <w:tblPr>
        <w:tblStyle w:val="TableGrid5"/>
        <w:tblW w:w="9558" w:type="dxa"/>
        <w:tblLook w:val="04A0" w:firstRow="1" w:lastRow="0" w:firstColumn="1" w:lastColumn="0" w:noHBand="0" w:noVBand="1"/>
        <w:tblCaption w:val="Table 9: Wakefield Public Schools"/>
        <w:tblDescription w:val="Math Median Student Growth Percentile, 2014–2017"/>
      </w:tblPr>
      <w:tblGrid>
        <w:gridCol w:w="1092"/>
        <w:gridCol w:w="1209"/>
        <w:gridCol w:w="1209"/>
        <w:gridCol w:w="1210"/>
        <w:gridCol w:w="1209"/>
        <w:gridCol w:w="1210"/>
        <w:gridCol w:w="1209"/>
        <w:gridCol w:w="1210"/>
      </w:tblGrid>
      <w:tr w:rsidR="00134236" w:rsidRPr="00134236" w14:paraId="5C0C5F89" w14:textId="77777777" w:rsidTr="00BB0032">
        <w:trPr>
          <w:tblHeader/>
        </w:trPr>
        <w:tc>
          <w:tcPr>
            <w:tcW w:w="9558" w:type="dxa"/>
            <w:gridSpan w:val="8"/>
            <w:tcBorders>
              <w:top w:val="nil"/>
              <w:left w:val="nil"/>
              <w:right w:val="nil"/>
            </w:tcBorders>
            <w:shd w:val="clear" w:color="auto" w:fill="auto"/>
          </w:tcPr>
          <w:p w14:paraId="1FF8BA17" w14:textId="1B31FE41" w:rsidR="00134236" w:rsidRPr="00134236" w:rsidRDefault="00134236" w:rsidP="00134236">
            <w:pPr>
              <w:spacing w:after="0" w:line="240" w:lineRule="auto"/>
              <w:jc w:val="center"/>
              <w:rPr>
                <w:rFonts w:cs="Times New Roman"/>
                <w:b/>
                <w:sz w:val="20"/>
                <w:szCs w:val="20"/>
              </w:rPr>
            </w:pPr>
            <w:r w:rsidRPr="00134236">
              <w:rPr>
                <w:rFonts w:cs="Times New Roman"/>
                <w:b/>
                <w:sz w:val="20"/>
                <w:szCs w:val="20"/>
              </w:rPr>
              <w:t>Table</w:t>
            </w:r>
            <w:r w:rsidR="00444C1B">
              <w:rPr>
                <w:rFonts w:cs="Times New Roman"/>
                <w:b/>
                <w:sz w:val="20"/>
                <w:szCs w:val="20"/>
              </w:rPr>
              <w:t xml:space="preserve"> </w:t>
            </w:r>
            <w:r w:rsidRPr="00134236">
              <w:rPr>
                <w:rFonts w:cs="Times New Roman"/>
                <w:b/>
                <w:sz w:val="20"/>
                <w:szCs w:val="20"/>
              </w:rPr>
              <w:t>9: Wakefield Public Schools</w:t>
            </w:r>
          </w:p>
          <w:p w14:paraId="2407D894" w14:textId="0C3E745C" w:rsidR="00134236" w:rsidRPr="00134236" w:rsidRDefault="00134236" w:rsidP="0078366D">
            <w:pPr>
              <w:spacing w:after="0" w:line="240" w:lineRule="auto"/>
              <w:jc w:val="center"/>
              <w:rPr>
                <w:rFonts w:cs="Times New Roman"/>
                <w:sz w:val="20"/>
                <w:szCs w:val="20"/>
              </w:rPr>
            </w:pPr>
            <w:r w:rsidRPr="00134236">
              <w:rPr>
                <w:rFonts w:cs="Times New Roman"/>
                <w:b/>
                <w:sz w:val="20"/>
                <w:szCs w:val="20"/>
              </w:rPr>
              <w:t>Math Median Student Growth Percentile, 2014</w:t>
            </w:r>
            <w:r w:rsidR="0078366D">
              <w:rPr>
                <w:rFonts w:cs="Times New Roman"/>
                <w:b/>
                <w:sz w:val="20"/>
                <w:szCs w:val="20"/>
              </w:rPr>
              <w:t>–</w:t>
            </w:r>
            <w:r w:rsidRPr="00134236">
              <w:rPr>
                <w:rFonts w:cs="Times New Roman"/>
                <w:b/>
                <w:sz w:val="20"/>
                <w:szCs w:val="20"/>
              </w:rPr>
              <w:t>2017</w:t>
            </w:r>
          </w:p>
        </w:tc>
      </w:tr>
      <w:tr w:rsidR="00134236" w:rsidRPr="00134236" w14:paraId="09DCCC52" w14:textId="77777777" w:rsidTr="00DF5AC6">
        <w:tc>
          <w:tcPr>
            <w:tcW w:w="1092" w:type="dxa"/>
            <w:shd w:val="clear" w:color="auto" w:fill="D9D9D9" w:themeFill="background1" w:themeFillShade="D9"/>
          </w:tcPr>
          <w:p w14:paraId="61B9E655" w14:textId="77777777" w:rsidR="00134236" w:rsidRPr="00134236" w:rsidRDefault="00134236" w:rsidP="00E22258">
            <w:pPr>
              <w:spacing w:after="0" w:line="240" w:lineRule="auto"/>
              <w:rPr>
                <w:rFonts w:cs="Times New Roman"/>
                <w:b/>
                <w:sz w:val="20"/>
                <w:szCs w:val="20"/>
              </w:rPr>
            </w:pPr>
            <w:r w:rsidRPr="00134236">
              <w:rPr>
                <w:rFonts w:cs="Times New Roman"/>
                <w:b/>
                <w:sz w:val="20"/>
                <w:szCs w:val="20"/>
              </w:rPr>
              <w:t>Grade</w:t>
            </w:r>
          </w:p>
        </w:tc>
        <w:tc>
          <w:tcPr>
            <w:tcW w:w="1209" w:type="dxa"/>
            <w:shd w:val="clear" w:color="auto" w:fill="D9D9D9" w:themeFill="background1" w:themeFillShade="D9"/>
          </w:tcPr>
          <w:p w14:paraId="33C6235F" w14:textId="77777777" w:rsidR="00134236" w:rsidRPr="00134236" w:rsidRDefault="00134236" w:rsidP="00134236">
            <w:pPr>
              <w:spacing w:after="0" w:line="240" w:lineRule="auto"/>
              <w:jc w:val="center"/>
              <w:rPr>
                <w:rFonts w:cs="Times New Roman"/>
                <w:b/>
                <w:sz w:val="20"/>
                <w:szCs w:val="20"/>
              </w:rPr>
            </w:pPr>
            <w:r w:rsidRPr="00134236">
              <w:rPr>
                <w:rFonts w:cs="Times New Roman"/>
                <w:b/>
                <w:sz w:val="20"/>
                <w:szCs w:val="20"/>
              </w:rPr>
              <w:t>N (2017)</w:t>
            </w:r>
          </w:p>
        </w:tc>
        <w:tc>
          <w:tcPr>
            <w:tcW w:w="1209" w:type="dxa"/>
            <w:shd w:val="clear" w:color="auto" w:fill="D9D9D9" w:themeFill="background1" w:themeFillShade="D9"/>
          </w:tcPr>
          <w:p w14:paraId="5347BAD8" w14:textId="77777777" w:rsidR="00134236" w:rsidRPr="00134236" w:rsidRDefault="00134236" w:rsidP="00134236">
            <w:pPr>
              <w:spacing w:after="0" w:line="240" w:lineRule="auto"/>
              <w:jc w:val="center"/>
              <w:rPr>
                <w:rFonts w:cs="Times New Roman"/>
                <w:b/>
                <w:sz w:val="20"/>
                <w:szCs w:val="20"/>
              </w:rPr>
            </w:pPr>
            <w:r w:rsidRPr="00134236">
              <w:rPr>
                <w:rFonts w:cs="Times New Roman"/>
                <w:b/>
                <w:sz w:val="20"/>
                <w:szCs w:val="20"/>
              </w:rPr>
              <w:t>2014</w:t>
            </w:r>
          </w:p>
        </w:tc>
        <w:tc>
          <w:tcPr>
            <w:tcW w:w="1210" w:type="dxa"/>
            <w:shd w:val="clear" w:color="auto" w:fill="D9D9D9" w:themeFill="background1" w:themeFillShade="D9"/>
          </w:tcPr>
          <w:p w14:paraId="01D7C751" w14:textId="77777777" w:rsidR="00134236" w:rsidRPr="00134236" w:rsidRDefault="00134236" w:rsidP="00134236">
            <w:pPr>
              <w:spacing w:after="0" w:line="240" w:lineRule="auto"/>
              <w:jc w:val="center"/>
              <w:rPr>
                <w:rFonts w:cs="Times New Roman"/>
                <w:b/>
                <w:sz w:val="20"/>
                <w:szCs w:val="20"/>
              </w:rPr>
            </w:pPr>
            <w:r w:rsidRPr="00134236">
              <w:rPr>
                <w:rFonts w:cs="Times New Roman"/>
                <w:b/>
                <w:sz w:val="20"/>
                <w:szCs w:val="20"/>
              </w:rPr>
              <w:t>2015</w:t>
            </w:r>
          </w:p>
        </w:tc>
        <w:tc>
          <w:tcPr>
            <w:tcW w:w="1209" w:type="dxa"/>
            <w:shd w:val="clear" w:color="auto" w:fill="D9D9D9" w:themeFill="background1" w:themeFillShade="D9"/>
          </w:tcPr>
          <w:p w14:paraId="4E060F8B" w14:textId="77777777" w:rsidR="00134236" w:rsidRPr="00134236" w:rsidRDefault="00134236" w:rsidP="00134236">
            <w:pPr>
              <w:spacing w:after="0" w:line="240" w:lineRule="auto"/>
              <w:jc w:val="center"/>
              <w:rPr>
                <w:rFonts w:cs="Times New Roman"/>
                <w:b/>
                <w:sz w:val="20"/>
                <w:szCs w:val="20"/>
              </w:rPr>
            </w:pPr>
            <w:r w:rsidRPr="00134236">
              <w:rPr>
                <w:rFonts w:cs="Times New Roman"/>
                <w:b/>
                <w:sz w:val="20"/>
                <w:szCs w:val="20"/>
              </w:rPr>
              <w:t>2016</w:t>
            </w:r>
          </w:p>
        </w:tc>
        <w:tc>
          <w:tcPr>
            <w:tcW w:w="1210" w:type="dxa"/>
            <w:shd w:val="clear" w:color="auto" w:fill="D9D9D9" w:themeFill="background1" w:themeFillShade="D9"/>
          </w:tcPr>
          <w:p w14:paraId="598F2C47" w14:textId="77777777" w:rsidR="00134236" w:rsidRPr="00134236" w:rsidRDefault="00134236" w:rsidP="00134236">
            <w:pPr>
              <w:spacing w:after="0" w:line="240" w:lineRule="auto"/>
              <w:jc w:val="center"/>
              <w:rPr>
                <w:rFonts w:cs="Times New Roman"/>
                <w:b/>
                <w:sz w:val="20"/>
                <w:szCs w:val="20"/>
              </w:rPr>
            </w:pPr>
            <w:r w:rsidRPr="00134236">
              <w:rPr>
                <w:rFonts w:cs="Times New Roman"/>
                <w:b/>
                <w:sz w:val="20"/>
                <w:szCs w:val="20"/>
              </w:rPr>
              <w:t>2017</w:t>
            </w:r>
          </w:p>
        </w:tc>
        <w:tc>
          <w:tcPr>
            <w:tcW w:w="1209" w:type="dxa"/>
            <w:shd w:val="clear" w:color="auto" w:fill="D9D9D9" w:themeFill="background1" w:themeFillShade="D9"/>
          </w:tcPr>
          <w:p w14:paraId="64A27609" w14:textId="53029608" w:rsidR="00134236" w:rsidRPr="00134236" w:rsidRDefault="00134236" w:rsidP="0078366D">
            <w:pPr>
              <w:spacing w:after="0" w:line="240" w:lineRule="auto"/>
              <w:jc w:val="center"/>
              <w:rPr>
                <w:rFonts w:cs="Times New Roman"/>
                <w:b/>
                <w:sz w:val="20"/>
                <w:szCs w:val="20"/>
              </w:rPr>
            </w:pPr>
            <w:r w:rsidRPr="00134236">
              <w:rPr>
                <w:rFonts w:cs="Times New Roman"/>
                <w:b/>
                <w:sz w:val="20"/>
                <w:szCs w:val="20"/>
              </w:rPr>
              <w:t xml:space="preserve">4-yr </w:t>
            </w:r>
            <w:r w:rsidR="0078366D">
              <w:rPr>
                <w:rFonts w:cs="Times New Roman"/>
                <w:b/>
                <w:sz w:val="20"/>
                <w:szCs w:val="20"/>
              </w:rPr>
              <w:t>C</w:t>
            </w:r>
            <w:r w:rsidR="0078366D" w:rsidRPr="00134236">
              <w:rPr>
                <w:rFonts w:cs="Times New Roman"/>
                <w:b/>
                <w:sz w:val="20"/>
                <w:szCs w:val="20"/>
              </w:rPr>
              <w:t>hange</w:t>
            </w:r>
          </w:p>
        </w:tc>
        <w:tc>
          <w:tcPr>
            <w:tcW w:w="1210" w:type="dxa"/>
            <w:shd w:val="clear" w:color="auto" w:fill="D9D9D9" w:themeFill="background1" w:themeFillShade="D9"/>
          </w:tcPr>
          <w:p w14:paraId="479713BB" w14:textId="77777777" w:rsidR="00134236" w:rsidRPr="00134236" w:rsidRDefault="00134236" w:rsidP="00134236">
            <w:pPr>
              <w:spacing w:after="0" w:line="240" w:lineRule="auto"/>
              <w:jc w:val="center"/>
              <w:rPr>
                <w:rFonts w:cs="Times New Roman"/>
                <w:b/>
                <w:sz w:val="20"/>
                <w:szCs w:val="20"/>
              </w:rPr>
            </w:pPr>
            <w:r w:rsidRPr="00134236">
              <w:rPr>
                <w:rFonts w:cs="Times New Roman"/>
                <w:b/>
                <w:sz w:val="20"/>
                <w:szCs w:val="20"/>
              </w:rPr>
              <w:t>State (2017)</w:t>
            </w:r>
          </w:p>
        </w:tc>
      </w:tr>
      <w:tr w:rsidR="00134236" w:rsidRPr="00134236" w14:paraId="2290CEB1" w14:textId="77777777" w:rsidTr="00DF5AC6">
        <w:tc>
          <w:tcPr>
            <w:tcW w:w="1092" w:type="dxa"/>
          </w:tcPr>
          <w:p w14:paraId="76972207" w14:textId="77777777" w:rsidR="00134236" w:rsidRPr="00134236" w:rsidRDefault="00134236" w:rsidP="00E22258">
            <w:pPr>
              <w:spacing w:after="0" w:line="240" w:lineRule="auto"/>
              <w:rPr>
                <w:rFonts w:cs="Times New Roman"/>
                <w:sz w:val="20"/>
                <w:szCs w:val="20"/>
              </w:rPr>
            </w:pPr>
            <w:r w:rsidRPr="00134236">
              <w:rPr>
                <w:rFonts w:cs="Times New Roman"/>
                <w:sz w:val="20"/>
                <w:szCs w:val="20"/>
              </w:rPr>
              <w:t>3</w:t>
            </w:r>
          </w:p>
        </w:tc>
        <w:tc>
          <w:tcPr>
            <w:tcW w:w="1209" w:type="dxa"/>
          </w:tcPr>
          <w:p w14:paraId="1F01683F"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1209" w:type="dxa"/>
          </w:tcPr>
          <w:p w14:paraId="1408FC8D"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1210" w:type="dxa"/>
          </w:tcPr>
          <w:p w14:paraId="37CD6186"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1209" w:type="dxa"/>
          </w:tcPr>
          <w:p w14:paraId="5D232346"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1210" w:type="dxa"/>
          </w:tcPr>
          <w:p w14:paraId="280D2D37"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1209" w:type="dxa"/>
          </w:tcPr>
          <w:p w14:paraId="1C8C6954"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1210" w:type="dxa"/>
          </w:tcPr>
          <w:p w14:paraId="51B186E5"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r>
      <w:tr w:rsidR="00134236" w:rsidRPr="00134236" w14:paraId="1C90D3FA" w14:textId="77777777" w:rsidTr="00DF5AC6">
        <w:tc>
          <w:tcPr>
            <w:tcW w:w="1092" w:type="dxa"/>
            <w:shd w:val="clear" w:color="auto" w:fill="D9D9D9" w:themeFill="background1" w:themeFillShade="D9"/>
          </w:tcPr>
          <w:p w14:paraId="28562B6D" w14:textId="77777777" w:rsidR="00134236" w:rsidRPr="00134236" w:rsidRDefault="00134236" w:rsidP="00E22258">
            <w:pPr>
              <w:spacing w:after="0" w:line="240" w:lineRule="auto"/>
              <w:rPr>
                <w:rFonts w:cs="Times New Roman"/>
                <w:sz w:val="20"/>
                <w:szCs w:val="20"/>
              </w:rPr>
            </w:pPr>
            <w:r w:rsidRPr="00134236">
              <w:rPr>
                <w:rFonts w:cs="Times New Roman"/>
                <w:sz w:val="20"/>
                <w:szCs w:val="20"/>
              </w:rPr>
              <w:t>4</w:t>
            </w:r>
          </w:p>
        </w:tc>
        <w:tc>
          <w:tcPr>
            <w:tcW w:w="1209" w:type="dxa"/>
            <w:shd w:val="clear" w:color="auto" w:fill="D9D9D9" w:themeFill="background1" w:themeFillShade="D9"/>
          </w:tcPr>
          <w:p w14:paraId="0CCCC73F"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253</w:t>
            </w:r>
          </w:p>
        </w:tc>
        <w:tc>
          <w:tcPr>
            <w:tcW w:w="1209" w:type="dxa"/>
            <w:shd w:val="clear" w:color="auto" w:fill="D9D9D9" w:themeFill="background1" w:themeFillShade="D9"/>
          </w:tcPr>
          <w:p w14:paraId="27047CC7"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56.0</w:t>
            </w:r>
          </w:p>
        </w:tc>
        <w:tc>
          <w:tcPr>
            <w:tcW w:w="1210" w:type="dxa"/>
            <w:shd w:val="clear" w:color="auto" w:fill="D9D9D9" w:themeFill="background1" w:themeFillShade="D9"/>
          </w:tcPr>
          <w:p w14:paraId="72339D4E"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40.0</w:t>
            </w:r>
          </w:p>
        </w:tc>
        <w:tc>
          <w:tcPr>
            <w:tcW w:w="1209" w:type="dxa"/>
            <w:shd w:val="clear" w:color="auto" w:fill="D9D9D9" w:themeFill="background1" w:themeFillShade="D9"/>
          </w:tcPr>
          <w:p w14:paraId="4126B053"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69.0</w:t>
            </w:r>
          </w:p>
        </w:tc>
        <w:tc>
          <w:tcPr>
            <w:tcW w:w="1210" w:type="dxa"/>
            <w:shd w:val="clear" w:color="auto" w:fill="D9D9D9" w:themeFill="background1" w:themeFillShade="D9"/>
          </w:tcPr>
          <w:p w14:paraId="044724B7"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54.0</w:t>
            </w:r>
          </w:p>
        </w:tc>
        <w:tc>
          <w:tcPr>
            <w:tcW w:w="1209" w:type="dxa"/>
            <w:shd w:val="clear" w:color="auto" w:fill="D9D9D9" w:themeFill="background1" w:themeFillShade="D9"/>
          </w:tcPr>
          <w:p w14:paraId="38583BAD"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-2.0</w:t>
            </w:r>
          </w:p>
        </w:tc>
        <w:tc>
          <w:tcPr>
            <w:tcW w:w="1210" w:type="dxa"/>
            <w:shd w:val="clear" w:color="auto" w:fill="D9D9D9" w:themeFill="background1" w:themeFillShade="D9"/>
          </w:tcPr>
          <w:p w14:paraId="2BF6225B"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50.0</w:t>
            </w:r>
          </w:p>
        </w:tc>
      </w:tr>
      <w:tr w:rsidR="00134236" w:rsidRPr="00134236" w14:paraId="284DAF45" w14:textId="77777777" w:rsidTr="00DF5AC6">
        <w:tc>
          <w:tcPr>
            <w:tcW w:w="1092" w:type="dxa"/>
          </w:tcPr>
          <w:p w14:paraId="7B20EC44" w14:textId="77777777" w:rsidR="00134236" w:rsidRPr="00134236" w:rsidRDefault="00134236" w:rsidP="00E22258">
            <w:pPr>
              <w:spacing w:after="0" w:line="240" w:lineRule="auto"/>
              <w:rPr>
                <w:rFonts w:cs="Times New Roman"/>
                <w:sz w:val="20"/>
                <w:szCs w:val="20"/>
              </w:rPr>
            </w:pPr>
            <w:r w:rsidRPr="00134236">
              <w:rPr>
                <w:rFonts w:cs="Times New Roman"/>
                <w:sz w:val="20"/>
                <w:szCs w:val="20"/>
              </w:rPr>
              <w:t>5</w:t>
            </w:r>
          </w:p>
        </w:tc>
        <w:tc>
          <w:tcPr>
            <w:tcW w:w="1209" w:type="dxa"/>
          </w:tcPr>
          <w:p w14:paraId="3914F3BA"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227</w:t>
            </w:r>
          </w:p>
        </w:tc>
        <w:tc>
          <w:tcPr>
            <w:tcW w:w="1209" w:type="dxa"/>
          </w:tcPr>
          <w:p w14:paraId="73D6E655"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37.0</w:t>
            </w:r>
          </w:p>
        </w:tc>
        <w:tc>
          <w:tcPr>
            <w:tcW w:w="1210" w:type="dxa"/>
          </w:tcPr>
          <w:p w14:paraId="164F3AD3"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23.0</w:t>
            </w:r>
          </w:p>
        </w:tc>
        <w:tc>
          <w:tcPr>
            <w:tcW w:w="1209" w:type="dxa"/>
          </w:tcPr>
          <w:p w14:paraId="78907283"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36.0</w:t>
            </w:r>
          </w:p>
        </w:tc>
        <w:tc>
          <w:tcPr>
            <w:tcW w:w="1210" w:type="dxa"/>
          </w:tcPr>
          <w:p w14:paraId="5885FED4"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39.0</w:t>
            </w:r>
          </w:p>
        </w:tc>
        <w:tc>
          <w:tcPr>
            <w:tcW w:w="1209" w:type="dxa"/>
          </w:tcPr>
          <w:p w14:paraId="278DF2F1"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2.0</w:t>
            </w:r>
          </w:p>
        </w:tc>
        <w:tc>
          <w:tcPr>
            <w:tcW w:w="1210" w:type="dxa"/>
          </w:tcPr>
          <w:p w14:paraId="0BADDEEC"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50.0</w:t>
            </w:r>
          </w:p>
        </w:tc>
      </w:tr>
      <w:tr w:rsidR="00134236" w:rsidRPr="00134236" w14:paraId="7E6B5C01" w14:textId="77777777" w:rsidTr="00DF5AC6">
        <w:tc>
          <w:tcPr>
            <w:tcW w:w="1092" w:type="dxa"/>
            <w:shd w:val="clear" w:color="auto" w:fill="D9D9D9" w:themeFill="background1" w:themeFillShade="D9"/>
          </w:tcPr>
          <w:p w14:paraId="4749B1FF" w14:textId="77777777" w:rsidR="00134236" w:rsidRPr="00134236" w:rsidRDefault="00134236" w:rsidP="00E22258">
            <w:pPr>
              <w:spacing w:after="0" w:line="240" w:lineRule="auto"/>
              <w:rPr>
                <w:rFonts w:cs="Times New Roman"/>
                <w:sz w:val="20"/>
                <w:szCs w:val="20"/>
              </w:rPr>
            </w:pPr>
            <w:r w:rsidRPr="00134236">
              <w:rPr>
                <w:rFonts w:cs="Times New Roman"/>
                <w:sz w:val="20"/>
                <w:szCs w:val="20"/>
              </w:rPr>
              <w:t>6</w:t>
            </w:r>
          </w:p>
        </w:tc>
        <w:tc>
          <w:tcPr>
            <w:tcW w:w="1209" w:type="dxa"/>
            <w:shd w:val="clear" w:color="auto" w:fill="D9D9D9" w:themeFill="background1" w:themeFillShade="D9"/>
          </w:tcPr>
          <w:p w14:paraId="713E6BDC"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246</w:t>
            </w:r>
          </w:p>
        </w:tc>
        <w:tc>
          <w:tcPr>
            <w:tcW w:w="1209" w:type="dxa"/>
            <w:shd w:val="clear" w:color="auto" w:fill="D9D9D9" w:themeFill="background1" w:themeFillShade="D9"/>
          </w:tcPr>
          <w:p w14:paraId="02BCCA2A"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49.0</w:t>
            </w:r>
          </w:p>
        </w:tc>
        <w:tc>
          <w:tcPr>
            <w:tcW w:w="1210" w:type="dxa"/>
            <w:shd w:val="clear" w:color="auto" w:fill="D9D9D9" w:themeFill="background1" w:themeFillShade="D9"/>
          </w:tcPr>
          <w:p w14:paraId="1FA46ED3"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33.0</w:t>
            </w:r>
          </w:p>
        </w:tc>
        <w:tc>
          <w:tcPr>
            <w:tcW w:w="1209" w:type="dxa"/>
            <w:shd w:val="clear" w:color="auto" w:fill="D9D9D9" w:themeFill="background1" w:themeFillShade="D9"/>
          </w:tcPr>
          <w:p w14:paraId="023C45A9"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55.0</w:t>
            </w:r>
          </w:p>
        </w:tc>
        <w:tc>
          <w:tcPr>
            <w:tcW w:w="1210" w:type="dxa"/>
            <w:shd w:val="clear" w:color="auto" w:fill="D9D9D9" w:themeFill="background1" w:themeFillShade="D9"/>
          </w:tcPr>
          <w:p w14:paraId="5D4926EE"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41.0</w:t>
            </w:r>
          </w:p>
        </w:tc>
        <w:tc>
          <w:tcPr>
            <w:tcW w:w="1209" w:type="dxa"/>
            <w:shd w:val="clear" w:color="auto" w:fill="D9D9D9" w:themeFill="background1" w:themeFillShade="D9"/>
          </w:tcPr>
          <w:p w14:paraId="5A675DB1"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-8.0</w:t>
            </w:r>
          </w:p>
        </w:tc>
        <w:tc>
          <w:tcPr>
            <w:tcW w:w="1210" w:type="dxa"/>
            <w:shd w:val="clear" w:color="auto" w:fill="D9D9D9" w:themeFill="background1" w:themeFillShade="D9"/>
          </w:tcPr>
          <w:p w14:paraId="4A8228FD"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50.0</w:t>
            </w:r>
          </w:p>
        </w:tc>
      </w:tr>
      <w:tr w:rsidR="00134236" w:rsidRPr="00134236" w14:paraId="1A33F18A" w14:textId="77777777" w:rsidTr="00DF5AC6">
        <w:tc>
          <w:tcPr>
            <w:tcW w:w="1092" w:type="dxa"/>
          </w:tcPr>
          <w:p w14:paraId="77B59A5B" w14:textId="77777777" w:rsidR="00134236" w:rsidRPr="00134236" w:rsidRDefault="00134236" w:rsidP="00E22258">
            <w:pPr>
              <w:spacing w:after="0" w:line="240" w:lineRule="auto"/>
              <w:rPr>
                <w:rFonts w:cs="Times New Roman"/>
                <w:sz w:val="20"/>
                <w:szCs w:val="20"/>
              </w:rPr>
            </w:pPr>
            <w:r w:rsidRPr="00134236">
              <w:rPr>
                <w:rFonts w:cs="Times New Roman"/>
                <w:sz w:val="20"/>
                <w:szCs w:val="20"/>
              </w:rPr>
              <w:t>7</w:t>
            </w:r>
          </w:p>
        </w:tc>
        <w:tc>
          <w:tcPr>
            <w:tcW w:w="1209" w:type="dxa"/>
          </w:tcPr>
          <w:p w14:paraId="0CEF88FA"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281</w:t>
            </w:r>
          </w:p>
        </w:tc>
        <w:tc>
          <w:tcPr>
            <w:tcW w:w="1209" w:type="dxa"/>
          </w:tcPr>
          <w:p w14:paraId="5C66924B"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60.0</w:t>
            </w:r>
          </w:p>
        </w:tc>
        <w:tc>
          <w:tcPr>
            <w:tcW w:w="1210" w:type="dxa"/>
          </w:tcPr>
          <w:p w14:paraId="66073F47"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54.0</w:t>
            </w:r>
          </w:p>
        </w:tc>
        <w:tc>
          <w:tcPr>
            <w:tcW w:w="1209" w:type="dxa"/>
          </w:tcPr>
          <w:p w14:paraId="3F13868C"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70.0</w:t>
            </w:r>
          </w:p>
        </w:tc>
        <w:tc>
          <w:tcPr>
            <w:tcW w:w="1210" w:type="dxa"/>
          </w:tcPr>
          <w:p w14:paraId="6B1D7715"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73.0</w:t>
            </w:r>
          </w:p>
        </w:tc>
        <w:tc>
          <w:tcPr>
            <w:tcW w:w="1209" w:type="dxa"/>
          </w:tcPr>
          <w:p w14:paraId="646E52BE"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13.0</w:t>
            </w:r>
          </w:p>
        </w:tc>
        <w:tc>
          <w:tcPr>
            <w:tcW w:w="1210" w:type="dxa"/>
          </w:tcPr>
          <w:p w14:paraId="77693570"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50.0</w:t>
            </w:r>
          </w:p>
        </w:tc>
      </w:tr>
      <w:tr w:rsidR="00134236" w:rsidRPr="00134236" w14:paraId="25E1BE18" w14:textId="77777777" w:rsidTr="00DF5AC6">
        <w:tc>
          <w:tcPr>
            <w:tcW w:w="1092" w:type="dxa"/>
            <w:shd w:val="clear" w:color="auto" w:fill="D9D9D9" w:themeFill="background1" w:themeFillShade="D9"/>
          </w:tcPr>
          <w:p w14:paraId="55C60BAE" w14:textId="77777777" w:rsidR="00134236" w:rsidRPr="00134236" w:rsidRDefault="00134236" w:rsidP="00E22258">
            <w:pPr>
              <w:spacing w:after="0" w:line="240" w:lineRule="auto"/>
              <w:rPr>
                <w:rFonts w:cs="Times New Roman"/>
                <w:sz w:val="20"/>
                <w:szCs w:val="20"/>
              </w:rPr>
            </w:pPr>
            <w:r w:rsidRPr="00134236">
              <w:rPr>
                <w:rFonts w:cs="Times New Roman"/>
                <w:sz w:val="20"/>
                <w:szCs w:val="20"/>
              </w:rPr>
              <w:t>8</w:t>
            </w:r>
          </w:p>
        </w:tc>
        <w:tc>
          <w:tcPr>
            <w:tcW w:w="1209" w:type="dxa"/>
            <w:shd w:val="clear" w:color="auto" w:fill="D9D9D9" w:themeFill="background1" w:themeFillShade="D9"/>
          </w:tcPr>
          <w:p w14:paraId="29BAF62B"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283</w:t>
            </w:r>
          </w:p>
        </w:tc>
        <w:tc>
          <w:tcPr>
            <w:tcW w:w="1209" w:type="dxa"/>
            <w:shd w:val="clear" w:color="auto" w:fill="D9D9D9" w:themeFill="background1" w:themeFillShade="D9"/>
          </w:tcPr>
          <w:p w14:paraId="04828EF1"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55.0</w:t>
            </w:r>
          </w:p>
        </w:tc>
        <w:tc>
          <w:tcPr>
            <w:tcW w:w="1210" w:type="dxa"/>
            <w:shd w:val="clear" w:color="auto" w:fill="D9D9D9" w:themeFill="background1" w:themeFillShade="D9"/>
          </w:tcPr>
          <w:p w14:paraId="1FB25353"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23.0</w:t>
            </w:r>
          </w:p>
        </w:tc>
        <w:tc>
          <w:tcPr>
            <w:tcW w:w="1209" w:type="dxa"/>
            <w:shd w:val="clear" w:color="auto" w:fill="D9D9D9" w:themeFill="background1" w:themeFillShade="D9"/>
          </w:tcPr>
          <w:p w14:paraId="17334B3B"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48.0</w:t>
            </w:r>
          </w:p>
        </w:tc>
        <w:tc>
          <w:tcPr>
            <w:tcW w:w="1210" w:type="dxa"/>
            <w:shd w:val="clear" w:color="auto" w:fill="D9D9D9" w:themeFill="background1" w:themeFillShade="D9"/>
          </w:tcPr>
          <w:p w14:paraId="25D9D321"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45.0</w:t>
            </w:r>
          </w:p>
        </w:tc>
        <w:tc>
          <w:tcPr>
            <w:tcW w:w="1209" w:type="dxa"/>
            <w:shd w:val="clear" w:color="auto" w:fill="D9D9D9" w:themeFill="background1" w:themeFillShade="D9"/>
          </w:tcPr>
          <w:p w14:paraId="30855169"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-10.0</w:t>
            </w:r>
          </w:p>
        </w:tc>
        <w:tc>
          <w:tcPr>
            <w:tcW w:w="1210" w:type="dxa"/>
            <w:shd w:val="clear" w:color="auto" w:fill="D9D9D9" w:themeFill="background1" w:themeFillShade="D9"/>
          </w:tcPr>
          <w:p w14:paraId="0590FA5F"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50.0</w:t>
            </w:r>
          </w:p>
        </w:tc>
      </w:tr>
      <w:tr w:rsidR="00134236" w:rsidRPr="00134236" w14:paraId="4D51277F" w14:textId="77777777" w:rsidTr="00DF5AC6">
        <w:tc>
          <w:tcPr>
            <w:tcW w:w="1092" w:type="dxa"/>
            <w:tcBorders>
              <w:bottom w:val="single" w:sz="4" w:space="0" w:color="auto"/>
            </w:tcBorders>
          </w:tcPr>
          <w:p w14:paraId="60465F4E" w14:textId="77777777" w:rsidR="00134236" w:rsidRPr="00134236" w:rsidRDefault="00134236" w:rsidP="00E22258">
            <w:pPr>
              <w:spacing w:after="0" w:line="240" w:lineRule="auto"/>
              <w:rPr>
                <w:rFonts w:cs="Times New Roman"/>
                <w:sz w:val="20"/>
                <w:szCs w:val="20"/>
              </w:rPr>
            </w:pPr>
            <w:r w:rsidRPr="00134236">
              <w:rPr>
                <w:rFonts w:cs="Times New Roman"/>
                <w:sz w:val="20"/>
                <w:szCs w:val="20"/>
              </w:rPr>
              <w:t>10</w:t>
            </w:r>
          </w:p>
        </w:tc>
        <w:tc>
          <w:tcPr>
            <w:tcW w:w="1209" w:type="dxa"/>
            <w:tcBorders>
              <w:bottom w:val="single" w:sz="4" w:space="0" w:color="auto"/>
            </w:tcBorders>
          </w:tcPr>
          <w:p w14:paraId="06C32335"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210</w:t>
            </w:r>
          </w:p>
        </w:tc>
        <w:tc>
          <w:tcPr>
            <w:tcW w:w="1209" w:type="dxa"/>
            <w:tcBorders>
              <w:bottom w:val="single" w:sz="4" w:space="0" w:color="auto"/>
            </w:tcBorders>
          </w:tcPr>
          <w:p w14:paraId="072A6300"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40.0</w:t>
            </w:r>
          </w:p>
        </w:tc>
        <w:tc>
          <w:tcPr>
            <w:tcW w:w="1210" w:type="dxa"/>
            <w:tcBorders>
              <w:bottom w:val="single" w:sz="4" w:space="0" w:color="auto"/>
            </w:tcBorders>
          </w:tcPr>
          <w:p w14:paraId="0024BA11"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46.0</w:t>
            </w:r>
          </w:p>
        </w:tc>
        <w:tc>
          <w:tcPr>
            <w:tcW w:w="1209" w:type="dxa"/>
            <w:tcBorders>
              <w:bottom w:val="single" w:sz="4" w:space="0" w:color="auto"/>
            </w:tcBorders>
          </w:tcPr>
          <w:p w14:paraId="1C02C118"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32.5</w:t>
            </w:r>
          </w:p>
        </w:tc>
        <w:tc>
          <w:tcPr>
            <w:tcW w:w="1210" w:type="dxa"/>
            <w:tcBorders>
              <w:bottom w:val="single" w:sz="4" w:space="0" w:color="auto"/>
            </w:tcBorders>
          </w:tcPr>
          <w:p w14:paraId="30B681EC"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48.0</w:t>
            </w:r>
          </w:p>
        </w:tc>
        <w:tc>
          <w:tcPr>
            <w:tcW w:w="1209" w:type="dxa"/>
            <w:tcBorders>
              <w:bottom w:val="single" w:sz="4" w:space="0" w:color="auto"/>
            </w:tcBorders>
          </w:tcPr>
          <w:p w14:paraId="64A3188B"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8.0</w:t>
            </w:r>
          </w:p>
        </w:tc>
        <w:tc>
          <w:tcPr>
            <w:tcW w:w="1210" w:type="dxa"/>
            <w:tcBorders>
              <w:bottom w:val="single" w:sz="4" w:space="0" w:color="auto"/>
            </w:tcBorders>
          </w:tcPr>
          <w:p w14:paraId="5FF17638"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50.0</w:t>
            </w:r>
          </w:p>
        </w:tc>
      </w:tr>
      <w:tr w:rsidR="00134236" w:rsidRPr="00134236" w14:paraId="69EBD644" w14:textId="77777777" w:rsidTr="00DF5AC6">
        <w:tc>
          <w:tcPr>
            <w:tcW w:w="9558" w:type="dxa"/>
            <w:gridSpan w:val="8"/>
            <w:tcBorders>
              <w:left w:val="nil"/>
              <w:bottom w:val="nil"/>
              <w:right w:val="nil"/>
            </w:tcBorders>
          </w:tcPr>
          <w:p w14:paraId="3D651538" w14:textId="77777777" w:rsidR="00134236" w:rsidRPr="00134236" w:rsidRDefault="00134236" w:rsidP="00E22258">
            <w:pPr>
              <w:spacing w:before="60" w:after="0" w:line="240" w:lineRule="auto"/>
              <w:rPr>
                <w:rFonts w:cs="Times New Roman"/>
              </w:rPr>
            </w:pPr>
            <w:r w:rsidRPr="00134236">
              <w:rPr>
                <w:rFonts w:cs="Times New Roman"/>
                <w:sz w:val="18"/>
                <w:szCs w:val="18"/>
              </w:rPr>
              <w:t>Changes in SGP of 10 points or more are considered meaningful.</w:t>
            </w:r>
          </w:p>
        </w:tc>
      </w:tr>
    </w:tbl>
    <w:p w14:paraId="1787CF23" w14:textId="77777777" w:rsidR="00134236" w:rsidRPr="00134236" w:rsidRDefault="00134236" w:rsidP="00134236">
      <w:pPr>
        <w:spacing w:after="0" w:line="240" w:lineRule="auto"/>
      </w:pPr>
    </w:p>
    <w:p w14:paraId="502242C9" w14:textId="77777777" w:rsidR="00134236" w:rsidRPr="00134236" w:rsidRDefault="00134236" w:rsidP="00134236">
      <w:pPr>
        <w:spacing w:after="0" w:line="240" w:lineRule="auto"/>
      </w:pPr>
    </w:p>
    <w:p w14:paraId="4D690763" w14:textId="0A46A2B2" w:rsidR="00134236" w:rsidRPr="00134236" w:rsidRDefault="00134236" w:rsidP="00134236">
      <w:pPr>
        <w:spacing w:after="0" w:line="240" w:lineRule="auto"/>
        <w:rPr>
          <w:b/>
        </w:rPr>
      </w:pPr>
      <w:r w:rsidRPr="00134236">
        <w:rPr>
          <w:b/>
        </w:rPr>
        <w:lastRenderedPageBreak/>
        <w:t xml:space="preserve">In ELA, the percentage of students meeting or exceeding expectations on the Next-Generation MCAS </w:t>
      </w:r>
      <w:r w:rsidR="0078366D">
        <w:rPr>
          <w:b/>
        </w:rPr>
        <w:t xml:space="preserve">assessment </w:t>
      </w:r>
      <w:r w:rsidRPr="00134236">
        <w:rPr>
          <w:b/>
        </w:rPr>
        <w:t>ranged from 47 to 64 percent in the 3</w:t>
      </w:r>
      <w:r w:rsidRPr="00134236">
        <w:rPr>
          <w:b/>
          <w:vertAlign w:val="superscript"/>
        </w:rPr>
        <w:t>rd</w:t>
      </w:r>
      <w:r w:rsidRPr="00134236">
        <w:rPr>
          <w:b/>
        </w:rPr>
        <w:t xml:space="preserve"> grade, and from 49 to 61 percent in the 4</w:t>
      </w:r>
      <w:r w:rsidRPr="00134236">
        <w:rPr>
          <w:b/>
          <w:vertAlign w:val="superscript"/>
        </w:rPr>
        <w:t>th</w:t>
      </w:r>
      <w:r w:rsidRPr="00134236">
        <w:rPr>
          <w:b/>
        </w:rPr>
        <w:t xml:space="preserve"> grade in the district’s elementary school</w:t>
      </w:r>
      <w:r w:rsidR="0078366D">
        <w:rPr>
          <w:b/>
        </w:rPr>
        <w:t>s</w:t>
      </w:r>
      <w:r w:rsidRPr="00134236">
        <w:rPr>
          <w:b/>
        </w:rPr>
        <w:t>.  The percentage of students meeting or exceeding expectations was 50 percent in the 5</w:t>
      </w:r>
      <w:r w:rsidRPr="00134236">
        <w:rPr>
          <w:b/>
          <w:vertAlign w:val="superscript"/>
        </w:rPr>
        <w:t>th</w:t>
      </w:r>
      <w:r w:rsidRPr="00134236">
        <w:rPr>
          <w:b/>
        </w:rPr>
        <w:t xml:space="preserve"> grade, 41 percent in the 6</w:t>
      </w:r>
      <w:r w:rsidRPr="00134236">
        <w:rPr>
          <w:b/>
          <w:vertAlign w:val="superscript"/>
        </w:rPr>
        <w:t>th</w:t>
      </w:r>
      <w:r w:rsidRPr="00134236">
        <w:rPr>
          <w:b/>
        </w:rPr>
        <w:t xml:space="preserve"> grade, 58 percent in the 7</w:t>
      </w:r>
      <w:r w:rsidRPr="00134236">
        <w:rPr>
          <w:b/>
          <w:vertAlign w:val="superscript"/>
        </w:rPr>
        <w:t>th</w:t>
      </w:r>
      <w:r w:rsidRPr="00134236">
        <w:rPr>
          <w:b/>
        </w:rPr>
        <w:t xml:space="preserve"> grade, and 45 percent in the 8</w:t>
      </w:r>
      <w:r w:rsidRPr="00134236">
        <w:rPr>
          <w:b/>
          <w:vertAlign w:val="superscript"/>
        </w:rPr>
        <w:t>th</w:t>
      </w:r>
      <w:r w:rsidRPr="00134236">
        <w:rPr>
          <w:b/>
        </w:rPr>
        <w:t xml:space="preserve"> grade at Galvin Middle.</w:t>
      </w:r>
    </w:p>
    <w:p w14:paraId="514D5028" w14:textId="77777777" w:rsidR="00134236" w:rsidRPr="00134236" w:rsidRDefault="00134236" w:rsidP="00134236">
      <w:pPr>
        <w:spacing w:after="0" w:line="240" w:lineRule="auto"/>
      </w:pPr>
    </w:p>
    <w:tbl>
      <w:tblPr>
        <w:tblStyle w:val="TableGrid16"/>
        <w:tblW w:w="9540" w:type="dxa"/>
        <w:tblInd w:w="18" w:type="dxa"/>
        <w:tblLayout w:type="fixed"/>
        <w:tblLook w:val="04A0" w:firstRow="1" w:lastRow="0" w:firstColumn="1" w:lastColumn="0" w:noHBand="0" w:noVBand="1"/>
        <w:tblCaption w:val="Table 10: Wakefield Public Schools"/>
        <w:tblDescription w:val="Next-Generation MCAS ELA Percent Meeting or Exceeding Expectations by Grade and School, 2017"/>
      </w:tblPr>
      <w:tblGrid>
        <w:gridCol w:w="3150"/>
        <w:gridCol w:w="912"/>
        <w:gridCol w:w="913"/>
        <w:gridCol w:w="913"/>
        <w:gridCol w:w="913"/>
        <w:gridCol w:w="913"/>
        <w:gridCol w:w="913"/>
        <w:gridCol w:w="913"/>
      </w:tblGrid>
      <w:tr w:rsidR="00134236" w:rsidRPr="00134236" w14:paraId="0E5F9B6A" w14:textId="77777777" w:rsidTr="00BB0032">
        <w:trPr>
          <w:trHeight w:val="278"/>
          <w:tblHeader/>
        </w:trPr>
        <w:tc>
          <w:tcPr>
            <w:tcW w:w="9540" w:type="dxa"/>
            <w:gridSpan w:val="8"/>
            <w:tcBorders>
              <w:top w:val="nil"/>
              <w:left w:val="nil"/>
              <w:right w:val="nil"/>
            </w:tcBorders>
            <w:shd w:val="clear" w:color="auto" w:fill="auto"/>
          </w:tcPr>
          <w:p w14:paraId="1E08FDA7" w14:textId="77777777" w:rsidR="00134236" w:rsidRPr="00134236" w:rsidRDefault="00134236" w:rsidP="00134236">
            <w:pPr>
              <w:spacing w:after="0" w:line="240" w:lineRule="auto"/>
              <w:jc w:val="center"/>
              <w:rPr>
                <w:rFonts w:eastAsia="Times New Roman" w:cs="Times New Roman"/>
                <w:b/>
                <w:sz w:val="20"/>
                <w:szCs w:val="20"/>
              </w:rPr>
            </w:pPr>
            <w:r w:rsidRPr="00134236">
              <w:rPr>
                <w:rFonts w:eastAsia="Times New Roman" w:cs="Times New Roman"/>
                <w:b/>
                <w:sz w:val="20"/>
                <w:szCs w:val="20"/>
              </w:rPr>
              <w:t xml:space="preserve">Table 10: </w:t>
            </w:r>
            <w:r w:rsidRPr="00134236">
              <w:rPr>
                <w:rFonts w:cs="Times New Roman"/>
                <w:b/>
                <w:sz w:val="20"/>
                <w:szCs w:val="20"/>
              </w:rPr>
              <w:t>Wakefield Public Schools</w:t>
            </w:r>
          </w:p>
          <w:p w14:paraId="59F7B174" w14:textId="77777777" w:rsidR="00134236" w:rsidRPr="00134236" w:rsidRDefault="00134236" w:rsidP="00134236">
            <w:pPr>
              <w:spacing w:after="0" w:line="240" w:lineRule="auto"/>
              <w:jc w:val="center"/>
              <w:rPr>
                <w:rFonts w:eastAsia="Times New Roman" w:cs="Times New Roman"/>
                <w:b/>
                <w:sz w:val="20"/>
                <w:szCs w:val="20"/>
              </w:rPr>
            </w:pPr>
            <w:r w:rsidRPr="00134236">
              <w:rPr>
                <w:rFonts w:eastAsia="Times New Roman" w:cs="Times New Roman"/>
                <w:b/>
                <w:sz w:val="20"/>
                <w:szCs w:val="20"/>
              </w:rPr>
              <w:t>Next-Generation MCAS ELA Percent Meeting or Exceeding Expectations by Grade and School, 2017</w:t>
            </w:r>
          </w:p>
        </w:tc>
      </w:tr>
      <w:tr w:rsidR="00134236" w:rsidRPr="00134236" w14:paraId="6358BC2F" w14:textId="77777777" w:rsidTr="00DF5AC6">
        <w:trPr>
          <w:trHeight w:val="242"/>
        </w:trPr>
        <w:tc>
          <w:tcPr>
            <w:tcW w:w="3150" w:type="dxa"/>
            <w:shd w:val="clear" w:color="auto" w:fill="D9D9D9" w:themeFill="background1" w:themeFillShade="D9"/>
          </w:tcPr>
          <w:p w14:paraId="04D9F70C" w14:textId="77777777" w:rsidR="00134236" w:rsidRPr="00134236" w:rsidRDefault="00134236" w:rsidP="00E22258">
            <w:pPr>
              <w:spacing w:after="0" w:line="240" w:lineRule="auto"/>
              <w:rPr>
                <w:rFonts w:eastAsia="Times New Roman" w:cs="Times New Roman"/>
                <w:b/>
                <w:sz w:val="20"/>
                <w:szCs w:val="20"/>
              </w:rPr>
            </w:pPr>
            <w:r w:rsidRPr="00134236">
              <w:rPr>
                <w:rFonts w:eastAsia="Times New Roman" w:cs="Times New Roman"/>
                <w:b/>
                <w:sz w:val="20"/>
                <w:szCs w:val="20"/>
              </w:rPr>
              <w:t>School</w:t>
            </w:r>
          </w:p>
        </w:tc>
        <w:tc>
          <w:tcPr>
            <w:tcW w:w="912" w:type="dxa"/>
            <w:shd w:val="clear" w:color="auto" w:fill="D9D9D9" w:themeFill="background1" w:themeFillShade="D9"/>
          </w:tcPr>
          <w:p w14:paraId="38E72A0D" w14:textId="77777777" w:rsidR="00134236" w:rsidRPr="00134236" w:rsidRDefault="00134236" w:rsidP="00134236">
            <w:pPr>
              <w:spacing w:after="0" w:line="240" w:lineRule="auto"/>
              <w:jc w:val="center"/>
              <w:rPr>
                <w:rFonts w:eastAsia="Times New Roman" w:cs="Times New Roman"/>
                <w:b/>
                <w:sz w:val="20"/>
                <w:szCs w:val="20"/>
              </w:rPr>
            </w:pPr>
            <w:r w:rsidRPr="00134236">
              <w:rPr>
                <w:rFonts w:eastAsia="Times New Roman" w:cs="Times New Roman"/>
                <w:b/>
                <w:sz w:val="20"/>
                <w:szCs w:val="20"/>
              </w:rPr>
              <w:t>3</w:t>
            </w:r>
          </w:p>
        </w:tc>
        <w:tc>
          <w:tcPr>
            <w:tcW w:w="913" w:type="dxa"/>
            <w:shd w:val="clear" w:color="auto" w:fill="D9D9D9" w:themeFill="background1" w:themeFillShade="D9"/>
          </w:tcPr>
          <w:p w14:paraId="17451263" w14:textId="77777777" w:rsidR="00134236" w:rsidRPr="00134236" w:rsidRDefault="00134236" w:rsidP="00134236">
            <w:pPr>
              <w:spacing w:after="0" w:line="240" w:lineRule="auto"/>
              <w:jc w:val="center"/>
              <w:rPr>
                <w:rFonts w:eastAsia="Times New Roman" w:cs="Times New Roman"/>
                <w:b/>
                <w:sz w:val="20"/>
                <w:szCs w:val="20"/>
              </w:rPr>
            </w:pPr>
            <w:r w:rsidRPr="00134236">
              <w:rPr>
                <w:rFonts w:eastAsia="Times New Roman" w:cs="Times New Roman"/>
                <w:b/>
                <w:sz w:val="20"/>
                <w:szCs w:val="20"/>
              </w:rPr>
              <w:t>4</w:t>
            </w:r>
          </w:p>
        </w:tc>
        <w:tc>
          <w:tcPr>
            <w:tcW w:w="913" w:type="dxa"/>
            <w:shd w:val="clear" w:color="auto" w:fill="D9D9D9" w:themeFill="background1" w:themeFillShade="D9"/>
          </w:tcPr>
          <w:p w14:paraId="4FDF1563" w14:textId="77777777" w:rsidR="00134236" w:rsidRPr="00134236" w:rsidRDefault="00134236" w:rsidP="00134236">
            <w:pPr>
              <w:spacing w:after="0" w:line="240" w:lineRule="auto"/>
              <w:jc w:val="center"/>
              <w:rPr>
                <w:rFonts w:eastAsia="Times New Roman" w:cs="Times New Roman"/>
                <w:b/>
                <w:sz w:val="20"/>
                <w:szCs w:val="20"/>
              </w:rPr>
            </w:pPr>
            <w:r w:rsidRPr="00134236">
              <w:rPr>
                <w:rFonts w:eastAsia="Times New Roman" w:cs="Times New Roman"/>
                <w:b/>
                <w:sz w:val="20"/>
                <w:szCs w:val="20"/>
              </w:rPr>
              <w:t>5</w:t>
            </w:r>
          </w:p>
        </w:tc>
        <w:tc>
          <w:tcPr>
            <w:tcW w:w="913" w:type="dxa"/>
            <w:shd w:val="clear" w:color="auto" w:fill="D9D9D9" w:themeFill="background1" w:themeFillShade="D9"/>
          </w:tcPr>
          <w:p w14:paraId="3C44645C" w14:textId="77777777" w:rsidR="00134236" w:rsidRPr="00134236" w:rsidRDefault="00134236" w:rsidP="00134236">
            <w:pPr>
              <w:spacing w:after="0" w:line="240" w:lineRule="auto"/>
              <w:jc w:val="center"/>
              <w:rPr>
                <w:rFonts w:eastAsia="Times New Roman" w:cs="Times New Roman"/>
                <w:b/>
                <w:sz w:val="20"/>
                <w:szCs w:val="20"/>
              </w:rPr>
            </w:pPr>
            <w:r w:rsidRPr="00134236">
              <w:rPr>
                <w:rFonts w:eastAsia="Times New Roman" w:cs="Times New Roman"/>
                <w:b/>
                <w:sz w:val="20"/>
                <w:szCs w:val="20"/>
              </w:rPr>
              <w:t>6</w:t>
            </w:r>
          </w:p>
        </w:tc>
        <w:tc>
          <w:tcPr>
            <w:tcW w:w="913" w:type="dxa"/>
            <w:shd w:val="clear" w:color="auto" w:fill="D9D9D9" w:themeFill="background1" w:themeFillShade="D9"/>
          </w:tcPr>
          <w:p w14:paraId="26CAFEC1" w14:textId="77777777" w:rsidR="00134236" w:rsidRPr="00134236" w:rsidRDefault="00134236" w:rsidP="00134236">
            <w:pPr>
              <w:spacing w:after="0" w:line="240" w:lineRule="auto"/>
              <w:jc w:val="center"/>
              <w:rPr>
                <w:rFonts w:eastAsia="Times New Roman" w:cs="Times New Roman"/>
                <w:b/>
                <w:sz w:val="20"/>
                <w:szCs w:val="20"/>
              </w:rPr>
            </w:pPr>
            <w:r w:rsidRPr="00134236">
              <w:rPr>
                <w:rFonts w:eastAsia="Times New Roman" w:cs="Times New Roman"/>
                <w:b/>
                <w:sz w:val="20"/>
                <w:szCs w:val="20"/>
              </w:rPr>
              <w:t>7</w:t>
            </w:r>
          </w:p>
        </w:tc>
        <w:tc>
          <w:tcPr>
            <w:tcW w:w="913" w:type="dxa"/>
            <w:shd w:val="clear" w:color="auto" w:fill="D9D9D9" w:themeFill="background1" w:themeFillShade="D9"/>
          </w:tcPr>
          <w:p w14:paraId="549C0A14" w14:textId="77777777" w:rsidR="00134236" w:rsidRPr="00134236" w:rsidRDefault="00134236" w:rsidP="00134236">
            <w:pPr>
              <w:spacing w:after="0" w:line="240" w:lineRule="auto"/>
              <w:jc w:val="center"/>
              <w:rPr>
                <w:rFonts w:eastAsia="Times New Roman" w:cs="Times New Roman"/>
                <w:b/>
                <w:sz w:val="20"/>
                <w:szCs w:val="20"/>
              </w:rPr>
            </w:pPr>
            <w:r w:rsidRPr="00134236">
              <w:rPr>
                <w:rFonts w:eastAsia="Times New Roman" w:cs="Times New Roman"/>
                <w:b/>
                <w:sz w:val="20"/>
                <w:szCs w:val="20"/>
              </w:rPr>
              <w:t>8</w:t>
            </w:r>
          </w:p>
        </w:tc>
        <w:tc>
          <w:tcPr>
            <w:tcW w:w="913" w:type="dxa"/>
            <w:shd w:val="clear" w:color="auto" w:fill="D9D9D9" w:themeFill="background1" w:themeFillShade="D9"/>
          </w:tcPr>
          <w:p w14:paraId="013B848D" w14:textId="52DC37F7" w:rsidR="00134236" w:rsidRPr="00134236" w:rsidRDefault="00134236" w:rsidP="0078366D">
            <w:pPr>
              <w:spacing w:after="0" w:line="240" w:lineRule="auto"/>
              <w:jc w:val="center"/>
              <w:rPr>
                <w:rFonts w:eastAsia="Times New Roman" w:cs="Times New Roman"/>
                <w:b/>
                <w:sz w:val="20"/>
                <w:szCs w:val="20"/>
              </w:rPr>
            </w:pPr>
            <w:r w:rsidRPr="00134236">
              <w:rPr>
                <w:rFonts w:eastAsia="Times New Roman" w:cs="Times New Roman"/>
                <w:b/>
                <w:sz w:val="20"/>
                <w:szCs w:val="20"/>
              </w:rPr>
              <w:t>3</w:t>
            </w:r>
            <w:r w:rsidR="0078366D">
              <w:rPr>
                <w:rFonts w:eastAsia="Times New Roman" w:cs="Times New Roman"/>
                <w:b/>
                <w:sz w:val="20"/>
                <w:szCs w:val="20"/>
              </w:rPr>
              <w:t>–</w:t>
            </w:r>
            <w:r w:rsidRPr="00134236">
              <w:rPr>
                <w:rFonts w:eastAsia="Times New Roman" w:cs="Times New Roman"/>
                <w:b/>
                <w:sz w:val="20"/>
                <w:szCs w:val="20"/>
              </w:rPr>
              <w:t>8</w:t>
            </w:r>
          </w:p>
        </w:tc>
      </w:tr>
      <w:tr w:rsidR="00134236" w:rsidRPr="00134236" w14:paraId="608F91EB" w14:textId="77777777" w:rsidTr="00DF5AC6">
        <w:tc>
          <w:tcPr>
            <w:tcW w:w="3150" w:type="dxa"/>
            <w:shd w:val="clear" w:color="auto" w:fill="auto"/>
          </w:tcPr>
          <w:p w14:paraId="5E38424C" w14:textId="77777777" w:rsidR="00134236" w:rsidRPr="00134236" w:rsidRDefault="00134236" w:rsidP="00134236">
            <w:pPr>
              <w:spacing w:after="0" w:line="240" w:lineRule="auto"/>
              <w:rPr>
                <w:rFonts w:ascii="Calibri" w:hAnsi="Calibri"/>
                <w:sz w:val="20"/>
                <w:szCs w:val="20"/>
              </w:rPr>
            </w:pPr>
            <w:r w:rsidRPr="00134236">
              <w:rPr>
                <w:rFonts w:ascii="Calibri" w:hAnsi="Calibri"/>
                <w:sz w:val="20"/>
                <w:szCs w:val="20"/>
              </w:rPr>
              <w:t>Doyle ECC</w:t>
            </w:r>
          </w:p>
        </w:tc>
        <w:tc>
          <w:tcPr>
            <w:tcW w:w="912" w:type="dxa"/>
            <w:shd w:val="clear" w:color="auto" w:fill="auto"/>
          </w:tcPr>
          <w:p w14:paraId="2F544024"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913" w:type="dxa"/>
            <w:shd w:val="clear" w:color="auto" w:fill="auto"/>
          </w:tcPr>
          <w:p w14:paraId="4E2D7972"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913" w:type="dxa"/>
            <w:shd w:val="clear" w:color="auto" w:fill="auto"/>
          </w:tcPr>
          <w:p w14:paraId="4198F87C"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913" w:type="dxa"/>
            <w:shd w:val="clear" w:color="auto" w:fill="auto"/>
          </w:tcPr>
          <w:p w14:paraId="2481805E"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913" w:type="dxa"/>
            <w:shd w:val="clear" w:color="auto" w:fill="auto"/>
          </w:tcPr>
          <w:p w14:paraId="17266F64"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913" w:type="dxa"/>
            <w:shd w:val="clear" w:color="auto" w:fill="auto"/>
          </w:tcPr>
          <w:p w14:paraId="388C0F9E"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913" w:type="dxa"/>
            <w:shd w:val="clear" w:color="auto" w:fill="auto"/>
          </w:tcPr>
          <w:p w14:paraId="703FF464"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r>
      <w:tr w:rsidR="00134236" w:rsidRPr="00134236" w14:paraId="552536AF" w14:textId="77777777" w:rsidTr="00DF5AC6">
        <w:tc>
          <w:tcPr>
            <w:tcW w:w="3150" w:type="dxa"/>
            <w:shd w:val="clear" w:color="auto" w:fill="D9D9D9" w:themeFill="background1" w:themeFillShade="D9"/>
          </w:tcPr>
          <w:p w14:paraId="7EDDCC4B" w14:textId="77777777" w:rsidR="00134236" w:rsidRPr="00134236" w:rsidRDefault="00134236" w:rsidP="00134236">
            <w:pPr>
              <w:spacing w:after="0" w:line="240" w:lineRule="auto"/>
              <w:rPr>
                <w:rFonts w:ascii="Calibri" w:hAnsi="Calibri"/>
                <w:sz w:val="20"/>
                <w:szCs w:val="20"/>
              </w:rPr>
            </w:pPr>
            <w:r w:rsidRPr="00134236">
              <w:rPr>
                <w:rFonts w:ascii="Calibri" w:hAnsi="Calibri"/>
                <w:sz w:val="20"/>
                <w:szCs w:val="20"/>
              </w:rPr>
              <w:t>Dolbeare</w:t>
            </w:r>
          </w:p>
        </w:tc>
        <w:tc>
          <w:tcPr>
            <w:tcW w:w="912" w:type="dxa"/>
            <w:shd w:val="clear" w:color="auto" w:fill="D9D9D9" w:themeFill="background1" w:themeFillShade="D9"/>
          </w:tcPr>
          <w:p w14:paraId="1DF356FA"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47%</w:t>
            </w:r>
          </w:p>
        </w:tc>
        <w:tc>
          <w:tcPr>
            <w:tcW w:w="913" w:type="dxa"/>
            <w:shd w:val="clear" w:color="auto" w:fill="D9D9D9" w:themeFill="background1" w:themeFillShade="D9"/>
          </w:tcPr>
          <w:p w14:paraId="1B5C86DF"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49%</w:t>
            </w:r>
          </w:p>
        </w:tc>
        <w:tc>
          <w:tcPr>
            <w:tcW w:w="913" w:type="dxa"/>
            <w:shd w:val="clear" w:color="auto" w:fill="D9D9D9" w:themeFill="background1" w:themeFillShade="D9"/>
          </w:tcPr>
          <w:p w14:paraId="47AEC884"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913" w:type="dxa"/>
            <w:shd w:val="clear" w:color="auto" w:fill="D9D9D9" w:themeFill="background1" w:themeFillShade="D9"/>
          </w:tcPr>
          <w:p w14:paraId="174F4FF0"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913" w:type="dxa"/>
            <w:shd w:val="clear" w:color="auto" w:fill="D9D9D9" w:themeFill="background1" w:themeFillShade="D9"/>
          </w:tcPr>
          <w:p w14:paraId="58BA77D0"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913" w:type="dxa"/>
            <w:shd w:val="clear" w:color="auto" w:fill="D9D9D9" w:themeFill="background1" w:themeFillShade="D9"/>
          </w:tcPr>
          <w:p w14:paraId="0493474D"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913" w:type="dxa"/>
            <w:shd w:val="clear" w:color="auto" w:fill="D9D9D9" w:themeFill="background1" w:themeFillShade="D9"/>
          </w:tcPr>
          <w:p w14:paraId="2122F532"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48%</w:t>
            </w:r>
          </w:p>
        </w:tc>
      </w:tr>
      <w:tr w:rsidR="00134236" w:rsidRPr="00134236" w14:paraId="13C2906E" w14:textId="77777777" w:rsidTr="00DF5AC6">
        <w:tc>
          <w:tcPr>
            <w:tcW w:w="3150" w:type="dxa"/>
            <w:shd w:val="clear" w:color="auto" w:fill="auto"/>
          </w:tcPr>
          <w:p w14:paraId="0FAFC845" w14:textId="77777777" w:rsidR="00134236" w:rsidRPr="00134236" w:rsidRDefault="00134236" w:rsidP="00134236">
            <w:pPr>
              <w:spacing w:after="0" w:line="240" w:lineRule="auto"/>
              <w:rPr>
                <w:rFonts w:ascii="Calibri" w:hAnsi="Calibri"/>
                <w:sz w:val="20"/>
                <w:szCs w:val="20"/>
              </w:rPr>
            </w:pPr>
            <w:r w:rsidRPr="00134236">
              <w:rPr>
                <w:rFonts w:ascii="Calibri" w:hAnsi="Calibri"/>
                <w:sz w:val="20"/>
                <w:szCs w:val="20"/>
              </w:rPr>
              <w:t>Woodville</w:t>
            </w:r>
          </w:p>
        </w:tc>
        <w:tc>
          <w:tcPr>
            <w:tcW w:w="912" w:type="dxa"/>
            <w:shd w:val="clear" w:color="auto" w:fill="auto"/>
          </w:tcPr>
          <w:p w14:paraId="65A2B9BC"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52%</w:t>
            </w:r>
          </w:p>
        </w:tc>
        <w:tc>
          <w:tcPr>
            <w:tcW w:w="913" w:type="dxa"/>
            <w:shd w:val="clear" w:color="auto" w:fill="auto"/>
          </w:tcPr>
          <w:p w14:paraId="2EBC43C1"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52%</w:t>
            </w:r>
          </w:p>
        </w:tc>
        <w:tc>
          <w:tcPr>
            <w:tcW w:w="913" w:type="dxa"/>
            <w:shd w:val="clear" w:color="auto" w:fill="auto"/>
          </w:tcPr>
          <w:p w14:paraId="07801085"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913" w:type="dxa"/>
            <w:shd w:val="clear" w:color="auto" w:fill="auto"/>
          </w:tcPr>
          <w:p w14:paraId="570663C8"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913" w:type="dxa"/>
            <w:shd w:val="clear" w:color="auto" w:fill="auto"/>
          </w:tcPr>
          <w:p w14:paraId="2B2EC29A"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913" w:type="dxa"/>
            <w:shd w:val="clear" w:color="auto" w:fill="auto"/>
          </w:tcPr>
          <w:p w14:paraId="3BEC6AB5"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913" w:type="dxa"/>
            <w:shd w:val="clear" w:color="auto" w:fill="auto"/>
          </w:tcPr>
          <w:p w14:paraId="77C676A5"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52%</w:t>
            </w:r>
          </w:p>
        </w:tc>
      </w:tr>
      <w:tr w:rsidR="00134236" w:rsidRPr="00134236" w14:paraId="56ACA1FA" w14:textId="77777777" w:rsidTr="00DF5AC6">
        <w:tc>
          <w:tcPr>
            <w:tcW w:w="3150" w:type="dxa"/>
            <w:shd w:val="clear" w:color="auto" w:fill="D9D9D9" w:themeFill="background1" w:themeFillShade="D9"/>
          </w:tcPr>
          <w:p w14:paraId="2A2B826F" w14:textId="77777777" w:rsidR="00134236" w:rsidRPr="00134236" w:rsidRDefault="00134236" w:rsidP="00134236">
            <w:pPr>
              <w:spacing w:after="0" w:line="240" w:lineRule="auto"/>
              <w:rPr>
                <w:rFonts w:ascii="Calibri" w:hAnsi="Calibri"/>
                <w:sz w:val="20"/>
                <w:szCs w:val="20"/>
              </w:rPr>
            </w:pPr>
            <w:r w:rsidRPr="00134236">
              <w:rPr>
                <w:rFonts w:ascii="Calibri" w:hAnsi="Calibri"/>
                <w:sz w:val="20"/>
                <w:szCs w:val="20"/>
              </w:rPr>
              <w:t>Greenwood</w:t>
            </w:r>
          </w:p>
        </w:tc>
        <w:tc>
          <w:tcPr>
            <w:tcW w:w="912" w:type="dxa"/>
            <w:shd w:val="clear" w:color="auto" w:fill="D9D9D9" w:themeFill="background1" w:themeFillShade="D9"/>
          </w:tcPr>
          <w:p w14:paraId="6237B82F"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62%</w:t>
            </w:r>
          </w:p>
        </w:tc>
        <w:tc>
          <w:tcPr>
            <w:tcW w:w="913" w:type="dxa"/>
            <w:shd w:val="clear" w:color="auto" w:fill="D9D9D9" w:themeFill="background1" w:themeFillShade="D9"/>
          </w:tcPr>
          <w:p w14:paraId="0EA1D771"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61%</w:t>
            </w:r>
          </w:p>
        </w:tc>
        <w:tc>
          <w:tcPr>
            <w:tcW w:w="913" w:type="dxa"/>
            <w:shd w:val="clear" w:color="auto" w:fill="D9D9D9" w:themeFill="background1" w:themeFillShade="D9"/>
          </w:tcPr>
          <w:p w14:paraId="71D2C0E5"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913" w:type="dxa"/>
            <w:shd w:val="clear" w:color="auto" w:fill="D9D9D9" w:themeFill="background1" w:themeFillShade="D9"/>
          </w:tcPr>
          <w:p w14:paraId="3D3F0FE5"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913" w:type="dxa"/>
            <w:shd w:val="clear" w:color="auto" w:fill="D9D9D9" w:themeFill="background1" w:themeFillShade="D9"/>
          </w:tcPr>
          <w:p w14:paraId="3751A407"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913" w:type="dxa"/>
            <w:shd w:val="clear" w:color="auto" w:fill="D9D9D9" w:themeFill="background1" w:themeFillShade="D9"/>
          </w:tcPr>
          <w:p w14:paraId="520E603B"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913" w:type="dxa"/>
            <w:shd w:val="clear" w:color="auto" w:fill="D9D9D9" w:themeFill="background1" w:themeFillShade="D9"/>
          </w:tcPr>
          <w:p w14:paraId="0C8EA069"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62%</w:t>
            </w:r>
          </w:p>
        </w:tc>
      </w:tr>
      <w:tr w:rsidR="00134236" w:rsidRPr="00134236" w14:paraId="11196DA9" w14:textId="77777777" w:rsidTr="00DF5AC6">
        <w:tc>
          <w:tcPr>
            <w:tcW w:w="3150" w:type="dxa"/>
            <w:shd w:val="clear" w:color="auto" w:fill="auto"/>
          </w:tcPr>
          <w:p w14:paraId="37CED8C0" w14:textId="77777777" w:rsidR="00134236" w:rsidRPr="00134236" w:rsidRDefault="00134236" w:rsidP="00134236">
            <w:pPr>
              <w:spacing w:after="0" w:line="240" w:lineRule="auto"/>
              <w:rPr>
                <w:rFonts w:ascii="Calibri" w:hAnsi="Calibri"/>
                <w:sz w:val="20"/>
                <w:szCs w:val="20"/>
              </w:rPr>
            </w:pPr>
            <w:r w:rsidRPr="00134236">
              <w:rPr>
                <w:rFonts w:ascii="Calibri" w:hAnsi="Calibri"/>
                <w:sz w:val="20"/>
                <w:szCs w:val="20"/>
              </w:rPr>
              <w:t>Walton</w:t>
            </w:r>
          </w:p>
        </w:tc>
        <w:tc>
          <w:tcPr>
            <w:tcW w:w="912" w:type="dxa"/>
            <w:shd w:val="clear" w:color="auto" w:fill="auto"/>
          </w:tcPr>
          <w:p w14:paraId="155E0AEE"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64%</w:t>
            </w:r>
          </w:p>
        </w:tc>
        <w:tc>
          <w:tcPr>
            <w:tcW w:w="913" w:type="dxa"/>
            <w:shd w:val="clear" w:color="auto" w:fill="auto"/>
          </w:tcPr>
          <w:p w14:paraId="53D60362"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56%</w:t>
            </w:r>
          </w:p>
        </w:tc>
        <w:tc>
          <w:tcPr>
            <w:tcW w:w="913" w:type="dxa"/>
            <w:shd w:val="clear" w:color="auto" w:fill="auto"/>
          </w:tcPr>
          <w:p w14:paraId="544CA5E9"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913" w:type="dxa"/>
            <w:shd w:val="clear" w:color="auto" w:fill="auto"/>
          </w:tcPr>
          <w:p w14:paraId="1B85B749"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913" w:type="dxa"/>
            <w:shd w:val="clear" w:color="auto" w:fill="auto"/>
          </w:tcPr>
          <w:p w14:paraId="73D5249D"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913" w:type="dxa"/>
            <w:shd w:val="clear" w:color="auto" w:fill="auto"/>
          </w:tcPr>
          <w:p w14:paraId="52EA849C"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913" w:type="dxa"/>
            <w:shd w:val="clear" w:color="auto" w:fill="auto"/>
          </w:tcPr>
          <w:p w14:paraId="09EE2BF8"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61%</w:t>
            </w:r>
          </w:p>
        </w:tc>
      </w:tr>
      <w:tr w:rsidR="00134236" w:rsidRPr="00134236" w14:paraId="1373C54F" w14:textId="77777777" w:rsidTr="00DF5AC6">
        <w:tc>
          <w:tcPr>
            <w:tcW w:w="3150" w:type="dxa"/>
            <w:shd w:val="clear" w:color="auto" w:fill="D9D9D9" w:themeFill="background1" w:themeFillShade="D9"/>
          </w:tcPr>
          <w:p w14:paraId="1790B873" w14:textId="655BEC80" w:rsidR="00134236" w:rsidRPr="00134236" w:rsidRDefault="00134236" w:rsidP="0078366D">
            <w:pPr>
              <w:spacing w:after="0" w:line="240" w:lineRule="auto"/>
              <w:rPr>
                <w:rFonts w:ascii="Calibri" w:hAnsi="Calibri"/>
                <w:sz w:val="20"/>
                <w:szCs w:val="20"/>
              </w:rPr>
            </w:pPr>
            <w:r w:rsidRPr="00134236">
              <w:rPr>
                <w:rFonts w:ascii="Calibri" w:hAnsi="Calibri"/>
                <w:sz w:val="20"/>
                <w:szCs w:val="20"/>
              </w:rPr>
              <w:t xml:space="preserve">Galvin </w:t>
            </w:r>
            <w:r w:rsidR="0078366D" w:rsidRPr="00134236">
              <w:rPr>
                <w:rFonts w:ascii="Calibri" w:hAnsi="Calibri"/>
                <w:sz w:val="20"/>
                <w:szCs w:val="20"/>
              </w:rPr>
              <w:t>M</w:t>
            </w:r>
            <w:r w:rsidR="0078366D">
              <w:rPr>
                <w:rFonts w:ascii="Calibri" w:hAnsi="Calibri"/>
                <w:sz w:val="20"/>
                <w:szCs w:val="20"/>
              </w:rPr>
              <w:t>iddle</w:t>
            </w:r>
          </w:p>
        </w:tc>
        <w:tc>
          <w:tcPr>
            <w:tcW w:w="912" w:type="dxa"/>
            <w:shd w:val="clear" w:color="auto" w:fill="D9D9D9" w:themeFill="background1" w:themeFillShade="D9"/>
          </w:tcPr>
          <w:p w14:paraId="2600D544"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913" w:type="dxa"/>
            <w:shd w:val="clear" w:color="auto" w:fill="D9D9D9" w:themeFill="background1" w:themeFillShade="D9"/>
          </w:tcPr>
          <w:p w14:paraId="0902621B"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913" w:type="dxa"/>
            <w:shd w:val="clear" w:color="auto" w:fill="D9D9D9" w:themeFill="background1" w:themeFillShade="D9"/>
          </w:tcPr>
          <w:p w14:paraId="3B7A5577"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50%</w:t>
            </w:r>
          </w:p>
        </w:tc>
        <w:tc>
          <w:tcPr>
            <w:tcW w:w="913" w:type="dxa"/>
            <w:shd w:val="clear" w:color="auto" w:fill="D9D9D9" w:themeFill="background1" w:themeFillShade="D9"/>
          </w:tcPr>
          <w:p w14:paraId="5F2D7DC9"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41%</w:t>
            </w:r>
          </w:p>
        </w:tc>
        <w:tc>
          <w:tcPr>
            <w:tcW w:w="913" w:type="dxa"/>
            <w:shd w:val="clear" w:color="auto" w:fill="D9D9D9" w:themeFill="background1" w:themeFillShade="D9"/>
          </w:tcPr>
          <w:p w14:paraId="6F3F73C4"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58%</w:t>
            </w:r>
          </w:p>
        </w:tc>
        <w:tc>
          <w:tcPr>
            <w:tcW w:w="913" w:type="dxa"/>
            <w:shd w:val="clear" w:color="auto" w:fill="D9D9D9" w:themeFill="background1" w:themeFillShade="D9"/>
          </w:tcPr>
          <w:p w14:paraId="704907AF"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45%</w:t>
            </w:r>
          </w:p>
        </w:tc>
        <w:tc>
          <w:tcPr>
            <w:tcW w:w="913" w:type="dxa"/>
            <w:shd w:val="clear" w:color="auto" w:fill="D9D9D9" w:themeFill="background1" w:themeFillShade="D9"/>
          </w:tcPr>
          <w:p w14:paraId="3CB8AA8D"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49%</w:t>
            </w:r>
          </w:p>
        </w:tc>
      </w:tr>
      <w:tr w:rsidR="00134236" w:rsidRPr="00134236" w14:paraId="4A0AC187" w14:textId="77777777" w:rsidTr="00DF5AC6">
        <w:tc>
          <w:tcPr>
            <w:tcW w:w="3150" w:type="dxa"/>
            <w:shd w:val="clear" w:color="auto" w:fill="auto"/>
          </w:tcPr>
          <w:p w14:paraId="5B651242" w14:textId="77777777" w:rsidR="00134236" w:rsidRPr="00134236" w:rsidRDefault="00134236" w:rsidP="00134236">
            <w:pPr>
              <w:spacing w:after="0" w:line="240" w:lineRule="auto"/>
              <w:rPr>
                <w:rFonts w:ascii="Calibri" w:hAnsi="Calibri"/>
                <w:sz w:val="20"/>
                <w:szCs w:val="20"/>
              </w:rPr>
            </w:pPr>
            <w:r w:rsidRPr="00134236">
              <w:rPr>
                <w:rFonts w:ascii="Calibri" w:hAnsi="Calibri"/>
                <w:sz w:val="20"/>
                <w:szCs w:val="20"/>
              </w:rPr>
              <w:t>District</w:t>
            </w:r>
          </w:p>
        </w:tc>
        <w:tc>
          <w:tcPr>
            <w:tcW w:w="912" w:type="dxa"/>
            <w:shd w:val="clear" w:color="auto" w:fill="auto"/>
          </w:tcPr>
          <w:p w14:paraId="4F7A4E69"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55%</w:t>
            </w:r>
          </w:p>
        </w:tc>
        <w:tc>
          <w:tcPr>
            <w:tcW w:w="913" w:type="dxa"/>
            <w:shd w:val="clear" w:color="auto" w:fill="auto"/>
          </w:tcPr>
          <w:p w14:paraId="221EE338"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53%</w:t>
            </w:r>
          </w:p>
        </w:tc>
        <w:tc>
          <w:tcPr>
            <w:tcW w:w="913" w:type="dxa"/>
            <w:shd w:val="clear" w:color="auto" w:fill="auto"/>
          </w:tcPr>
          <w:p w14:paraId="15FFA35A"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50%</w:t>
            </w:r>
          </w:p>
        </w:tc>
        <w:tc>
          <w:tcPr>
            <w:tcW w:w="913" w:type="dxa"/>
            <w:shd w:val="clear" w:color="auto" w:fill="auto"/>
          </w:tcPr>
          <w:p w14:paraId="0B2A7C87"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41%</w:t>
            </w:r>
          </w:p>
        </w:tc>
        <w:tc>
          <w:tcPr>
            <w:tcW w:w="913" w:type="dxa"/>
            <w:shd w:val="clear" w:color="auto" w:fill="auto"/>
          </w:tcPr>
          <w:p w14:paraId="77F80FCC"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57%</w:t>
            </w:r>
          </w:p>
        </w:tc>
        <w:tc>
          <w:tcPr>
            <w:tcW w:w="913" w:type="dxa"/>
            <w:shd w:val="clear" w:color="auto" w:fill="auto"/>
          </w:tcPr>
          <w:p w14:paraId="0282ED44"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44%</w:t>
            </w:r>
          </w:p>
        </w:tc>
        <w:tc>
          <w:tcPr>
            <w:tcW w:w="913" w:type="dxa"/>
            <w:shd w:val="clear" w:color="auto" w:fill="auto"/>
          </w:tcPr>
          <w:p w14:paraId="73D4E965"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50%</w:t>
            </w:r>
          </w:p>
        </w:tc>
      </w:tr>
      <w:tr w:rsidR="00134236" w:rsidRPr="00134236" w14:paraId="6BD8BFB8" w14:textId="77777777" w:rsidTr="00DF5AC6">
        <w:tc>
          <w:tcPr>
            <w:tcW w:w="3150" w:type="dxa"/>
            <w:shd w:val="clear" w:color="auto" w:fill="D9D9D9" w:themeFill="background1" w:themeFillShade="D9"/>
          </w:tcPr>
          <w:p w14:paraId="19AF2FF0" w14:textId="77777777" w:rsidR="00134236" w:rsidRPr="00134236" w:rsidRDefault="00134236" w:rsidP="00134236">
            <w:pPr>
              <w:spacing w:after="0" w:line="240" w:lineRule="auto"/>
              <w:rPr>
                <w:rFonts w:ascii="Calibri" w:hAnsi="Calibri"/>
                <w:sz w:val="20"/>
                <w:szCs w:val="20"/>
              </w:rPr>
            </w:pPr>
            <w:r w:rsidRPr="00134236">
              <w:rPr>
                <w:rFonts w:ascii="Calibri" w:hAnsi="Calibri"/>
                <w:sz w:val="20"/>
                <w:szCs w:val="20"/>
              </w:rPr>
              <w:t>State</w:t>
            </w:r>
          </w:p>
        </w:tc>
        <w:tc>
          <w:tcPr>
            <w:tcW w:w="912" w:type="dxa"/>
            <w:shd w:val="clear" w:color="auto" w:fill="D9D9D9" w:themeFill="background1" w:themeFillShade="D9"/>
          </w:tcPr>
          <w:p w14:paraId="70CEC022"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47%</w:t>
            </w:r>
          </w:p>
        </w:tc>
        <w:tc>
          <w:tcPr>
            <w:tcW w:w="913" w:type="dxa"/>
            <w:shd w:val="clear" w:color="auto" w:fill="D9D9D9" w:themeFill="background1" w:themeFillShade="D9"/>
          </w:tcPr>
          <w:p w14:paraId="46ADD029"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48%</w:t>
            </w:r>
          </w:p>
        </w:tc>
        <w:tc>
          <w:tcPr>
            <w:tcW w:w="913" w:type="dxa"/>
            <w:shd w:val="clear" w:color="auto" w:fill="D9D9D9" w:themeFill="background1" w:themeFillShade="D9"/>
          </w:tcPr>
          <w:p w14:paraId="15179FD2"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49%</w:t>
            </w:r>
          </w:p>
        </w:tc>
        <w:tc>
          <w:tcPr>
            <w:tcW w:w="913" w:type="dxa"/>
            <w:shd w:val="clear" w:color="auto" w:fill="D9D9D9" w:themeFill="background1" w:themeFillShade="D9"/>
          </w:tcPr>
          <w:p w14:paraId="465AF67B"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51%</w:t>
            </w:r>
          </w:p>
        </w:tc>
        <w:tc>
          <w:tcPr>
            <w:tcW w:w="913" w:type="dxa"/>
            <w:shd w:val="clear" w:color="auto" w:fill="D9D9D9" w:themeFill="background1" w:themeFillShade="D9"/>
          </w:tcPr>
          <w:p w14:paraId="2AAEB98E"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50%</w:t>
            </w:r>
          </w:p>
        </w:tc>
        <w:tc>
          <w:tcPr>
            <w:tcW w:w="913" w:type="dxa"/>
            <w:shd w:val="clear" w:color="auto" w:fill="D9D9D9" w:themeFill="background1" w:themeFillShade="D9"/>
          </w:tcPr>
          <w:p w14:paraId="0C115382"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49%</w:t>
            </w:r>
          </w:p>
        </w:tc>
        <w:tc>
          <w:tcPr>
            <w:tcW w:w="913" w:type="dxa"/>
            <w:shd w:val="clear" w:color="auto" w:fill="D9D9D9" w:themeFill="background1" w:themeFillShade="D9"/>
          </w:tcPr>
          <w:p w14:paraId="0FBD4A51"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49%</w:t>
            </w:r>
          </w:p>
        </w:tc>
      </w:tr>
    </w:tbl>
    <w:p w14:paraId="753FDBD1" w14:textId="77777777" w:rsidR="00134236" w:rsidRPr="00134236" w:rsidRDefault="00134236" w:rsidP="00134236">
      <w:pPr>
        <w:spacing w:after="0" w:line="240" w:lineRule="auto"/>
      </w:pPr>
    </w:p>
    <w:p w14:paraId="2DE0E95F" w14:textId="77777777" w:rsidR="00134236" w:rsidRPr="00134236" w:rsidRDefault="00134236" w:rsidP="00134236">
      <w:pPr>
        <w:spacing w:after="0" w:line="240" w:lineRule="auto"/>
      </w:pPr>
    </w:p>
    <w:p w14:paraId="2865B283" w14:textId="57CBDC63" w:rsidR="00134236" w:rsidRDefault="00134236" w:rsidP="00134236">
      <w:pPr>
        <w:spacing w:after="0" w:line="240" w:lineRule="auto"/>
        <w:rPr>
          <w:b/>
        </w:rPr>
      </w:pPr>
      <w:r w:rsidRPr="00134236">
        <w:rPr>
          <w:b/>
        </w:rPr>
        <w:t xml:space="preserve">In math, the percentage of students meeting or exceeding expectations on the Next-Generation MCAS </w:t>
      </w:r>
      <w:r w:rsidR="0078366D">
        <w:rPr>
          <w:b/>
        </w:rPr>
        <w:t xml:space="preserve">assessment </w:t>
      </w:r>
      <w:r w:rsidRPr="00134236">
        <w:rPr>
          <w:b/>
        </w:rPr>
        <w:t>ranged from 52 to 64 percent in the 3</w:t>
      </w:r>
      <w:r w:rsidRPr="00134236">
        <w:rPr>
          <w:b/>
          <w:vertAlign w:val="superscript"/>
        </w:rPr>
        <w:t>rd</w:t>
      </w:r>
      <w:r w:rsidRPr="00134236">
        <w:rPr>
          <w:b/>
        </w:rPr>
        <w:t xml:space="preserve"> grade, and from 46 to 68 percent in the 4</w:t>
      </w:r>
      <w:r w:rsidRPr="00134236">
        <w:rPr>
          <w:b/>
          <w:vertAlign w:val="superscript"/>
        </w:rPr>
        <w:t>th</w:t>
      </w:r>
      <w:r w:rsidRPr="00134236">
        <w:rPr>
          <w:b/>
        </w:rPr>
        <w:t xml:space="preserve"> grade in the district’s elementary school</w:t>
      </w:r>
      <w:r w:rsidR="00642879">
        <w:rPr>
          <w:b/>
        </w:rPr>
        <w:t>s</w:t>
      </w:r>
      <w:r w:rsidRPr="00134236">
        <w:rPr>
          <w:b/>
        </w:rPr>
        <w:t>.  The percentage of students meeting or exceeding expectations was 53 percent in the 5</w:t>
      </w:r>
      <w:r w:rsidRPr="00134236">
        <w:rPr>
          <w:b/>
          <w:vertAlign w:val="superscript"/>
        </w:rPr>
        <w:t>th</w:t>
      </w:r>
      <w:r w:rsidRPr="00134236">
        <w:rPr>
          <w:b/>
        </w:rPr>
        <w:t xml:space="preserve"> grade, 42 percent in the 6</w:t>
      </w:r>
      <w:r w:rsidRPr="00134236">
        <w:rPr>
          <w:b/>
          <w:vertAlign w:val="superscript"/>
        </w:rPr>
        <w:t>th</w:t>
      </w:r>
      <w:r w:rsidRPr="00134236">
        <w:rPr>
          <w:b/>
        </w:rPr>
        <w:t xml:space="preserve"> grade, 55 percent in the 7</w:t>
      </w:r>
      <w:r w:rsidRPr="00134236">
        <w:rPr>
          <w:b/>
          <w:vertAlign w:val="superscript"/>
        </w:rPr>
        <w:t>th</w:t>
      </w:r>
      <w:r w:rsidRPr="00134236">
        <w:rPr>
          <w:b/>
        </w:rPr>
        <w:t xml:space="preserve"> grade, and </w:t>
      </w:r>
      <w:r w:rsidR="0078366D">
        <w:rPr>
          <w:b/>
        </w:rPr>
        <w:t>5</w:t>
      </w:r>
      <w:r w:rsidR="0078366D" w:rsidRPr="00134236">
        <w:rPr>
          <w:b/>
        </w:rPr>
        <w:t xml:space="preserve">2 </w:t>
      </w:r>
      <w:r w:rsidRPr="00134236">
        <w:rPr>
          <w:b/>
        </w:rPr>
        <w:t>percent in the 8</w:t>
      </w:r>
      <w:r w:rsidRPr="00134236">
        <w:rPr>
          <w:b/>
          <w:vertAlign w:val="superscript"/>
        </w:rPr>
        <w:t>th</w:t>
      </w:r>
      <w:r w:rsidRPr="00134236">
        <w:rPr>
          <w:b/>
        </w:rPr>
        <w:t xml:space="preserve"> grade at Galvin Middle.</w:t>
      </w:r>
    </w:p>
    <w:p w14:paraId="69AF2653" w14:textId="39491B60" w:rsidR="00C329BB" w:rsidRDefault="00C329BB" w:rsidP="00134236">
      <w:pPr>
        <w:spacing w:after="0" w:line="240" w:lineRule="auto"/>
        <w:rPr>
          <w:b/>
        </w:rPr>
      </w:pPr>
    </w:p>
    <w:tbl>
      <w:tblPr>
        <w:tblStyle w:val="TableGrid16"/>
        <w:tblW w:w="9540" w:type="dxa"/>
        <w:tblInd w:w="18" w:type="dxa"/>
        <w:tblLayout w:type="fixed"/>
        <w:tblLook w:val="04A0" w:firstRow="1" w:lastRow="0" w:firstColumn="1" w:lastColumn="0" w:noHBand="0" w:noVBand="1"/>
        <w:tblCaption w:val="Table 11: Wakefield Public Schools"/>
        <w:tblDescription w:val="Next-Generation MCAS Math Percent Meeting or Exceeding Expectations by Grade and School, 2017"/>
      </w:tblPr>
      <w:tblGrid>
        <w:gridCol w:w="3150"/>
        <w:gridCol w:w="912"/>
        <w:gridCol w:w="913"/>
        <w:gridCol w:w="913"/>
        <w:gridCol w:w="913"/>
        <w:gridCol w:w="913"/>
        <w:gridCol w:w="913"/>
        <w:gridCol w:w="913"/>
      </w:tblGrid>
      <w:tr w:rsidR="00134236" w:rsidRPr="00134236" w14:paraId="03E033A3" w14:textId="77777777" w:rsidTr="00BB0032">
        <w:trPr>
          <w:tblHeader/>
        </w:trPr>
        <w:tc>
          <w:tcPr>
            <w:tcW w:w="9540" w:type="dxa"/>
            <w:gridSpan w:val="8"/>
            <w:tcBorders>
              <w:top w:val="nil"/>
              <w:left w:val="nil"/>
              <w:right w:val="nil"/>
            </w:tcBorders>
            <w:shd w:val="clear" w:color="auto" w:fill="auto"/>
          </w:tcPr>
          <w:p w14:paraId="5EB74970" w14:textId="77777777" w:rsidR="00134236" w:rsidRPr="00134236" w:rsidRDefault="00134236" w:rsidP="00134236">
            <w:pPr>
              <w:spacing w:after="0" w:line="240" w:lineRule="auto"/>
              <w:jc w:val="center"/>
              <w:rPr>
                <w:rFonts w:eastAsia="Times New Roman" w:cs="Times New Roman"/>
                <w:b/>
                <w:sz w:val="20"/>
                <w:szCs w:val="20"/>
              </w:rPr>
            </w:pPr>
            <w:r w:rsidRPr="00134236">
              <w:rPr>
                <w:rFonts w:eastAsia="Times New Roman" w:cs="Times New Roman"/>
                <w:b/>
                <w:sz w:val="20"/>
                <w:szCs w:val="20"/>
              </w:rPr>
              <w:t xml:space="preserve">Table 11: </w:t>
            </w:r>
            <w:r w:rsidRPr="00134236">
              <w:rPr>
                <w:rFonts w:cs="Times New Roman"/>
                <w:b/>
                <w:sz w:val="20"/>
                <w:szCs w:val="20"/>
              </w:rPr>
              <w:t>Wakefield Public Schools</w:t>
            </w:r>
          </w:p>
          <w:p w14:paraId="38893C6F" w14:textId="77777777" w:rsidR="00134236" w:rsidRPr="00134236" w:rsidRDefault="00134236" w:rsidP="00134236">
            <w:pPr>
              <w:spacing w:after="0" w:line="240" w:lineRule="auto"/>
              <w:jc w:val="center"/>
              <w:rPr>
                <w:rFonts w:eastAsia="Times New Roman" w:cs="Times New Roman"/>
                <w:b/>
                <w:sz w:val="20"/>
                <w:szCs w:val="20"/>
              </w:rPr>
            </w:pPr>
            <w:r w:rsidRPr="00134236">
              <w:rPr>
                <w:rFonts w:eastAsia="Times New Roman" w:cs="Times New Roman"/>
                <w:b/>
                <w:sz w:val="20"/>
                <w:szCs w:val="20"/>
              </w:rPr>
              <w:t>Next-Generation MCAS</w:t>
            </w:r>
            <w:r w:rsidRPr="00134236" w:rsidDel="009A0498">
              <w:rPr>
                <w:rFonts w:eastAsia="Times New Roman" w:cs="Times New Roman"/>
                <w:b/>
                <w:sz w:val="20"/>
                <w:szCs w:val="20"/>
              </w:rPr>
              <w:t xml:space="preserve"> </w:t>
            </w:r>
            <w:r w:rsidRPr="00134236">
              <w:rPr>
                <w:rFonts w:eastAsia="Times New Roman" w:cs="Times New Roman"/>
                <w:b/>
                <w:sz w:val="20"/>
                <w:szCs w:val="20"/>
              </w:rPr>
              <w:t>Math Percent Meeting or Exceeding Expectations by Grade and School, 2017</w:t>
            </w:r>
          </w:p>
        </w:tc>
      </w:tr>
      <w:tr w:rsidR="00134236" w:rsidRPr="00134236" w14:paraId="6F87B262" w14:textId="77777777" w:rsidTr="00DF5AC6">
        <w:tc>
          <w:tcPr>
            <w:tcW w:w="3150" w:type="dxa"/>
            <w:shd w:val="clear" w:color="auto" w:fill="D9D9D9" w:themeFill="background1" w:themeFillShade="D9"/>
          </w:tcPr>
          <w:p w14:paraId="4B29A85D" w14:textId="77777777" w:rsidR="00134236" w:rsidRPr="00134236" w:rsidRDefault="00134236" w:rsidP="00E22258">
            <w:pPr>
              <w:spacing w:after="0" w:line="240" w:lineRule="auto"/>
              <w:rPr>
                <w:rFonts w:eastAsia="Times New Roman" w:cs="Times New Roman"/>
                <w:b/>
                <w:sz w:val="20"/>
                <w:szCs w:val="20"/>
              </w:rPr>
            </w:pPr>
            <w:r w:rsidRPr="00134236">
              <w:rPr>
                <w:rFonts w:eastAsia="Times New Roman" w:cs="Times New Roman"/>
                <w:b/>
                <w:sz w:val="20"/>
                <w:szCs w:val="20"/>
              </w:rPr>
              <w:t>School</w:t>
            </w:r>
          </w:p>
        </w:tc>
        <w:tc>
          <w:tcPr>
            <w:tcW w:w="912" w:type="dxa"/>
            <w:shd w:val="clear" w:color="auto" w:fill="D9D9D9" w:themeFill="background1" w:themeFillShade="D9"/>
          </w:tcPr>
          <w:p w14:paraId="182CE1D0" w14:textId="77777777" w:rsidR="00134236" w:rsidRPr="00134236" w:rsidRDefault="00134236" w:rsidP="00134236">
            <w:pPr>
              <w:spacing w:after="0" w:line="240" w:lineRule="auto"/>
              <w:jc w:val="center"/>
              <w:rPr>
                <w:rFonts w:eastAsia="Times New Roman" w:cs="Times New Roman"/>
                <w:b/>
                <w:sz w:val="20"/>
                <w:szCs w:val="20"/>
              </w:rPr>
            </w:pPr>
            <w:r w:rsidRPr="00134236">
              <w:rPr>
                <w:rFonts w:eastAsia="Times New Roman" w:cs="Times New Roman"/>
                <w:b/>
                <w:sz w:val="20"/>
                <w:szCs w:val="20"/>
              </w:rPr>
              <w:t>3</w:t>
            </w:r>
          </w:p>
        </w:tc>
        <w:tc>
          <w:tcPr>
            <w:tcW w:w="913" w:type="dxa"/>
            <w:shd w:val="clear" w:color="auto" w:fill="D9D9D9" w:themeFill="background1" w:themeFillShade="D9"/>
          </w:tcPr>
          <w:p w14:paraId="0CDF9CDE" w14:textId="77777777" w:rsidR="00134236" w:rsidRPr="00134236" w:rsidRDefault="00134236" w:rsidP="00134236">
            <w:pPr>
              <w:spacing w:after="0" w:line="240" w:lineRule="auto"/>
              <w:jc w:val="center"/>
              <w:rPr>
                <w:rFonts w:eastAsia="Times New Roman" w:cs="Times New Roman"/>
                <w:b/>
                <w:sz w:val="20"/>
                <w:szCs w:val="20"/>
              </w:rPr>
            </w:pPr>
            <w:r w:rsidRPr="00134236">
              <w:rPr>
                <w:rFonts w:eastAsia="Times New Roman" w:cs="Times New Roman"/>
                <w:b/>
                <w:sz w:val="20"/>
                <w:szCs w:val="20"/>
              </w:rPr>
              <w:t>4</w:t>
            </w:r>
          </w:p>
        </w:tc>
        <w:tc>
          <w:tcPr>
            <w:tcW w:w="913" w:type="dxa"/>
            <w:shd w:val="clear" w:color="auto" w:fill="D9D9D9" w:themeFill="background1" w:themeFillShade="D9"/>
          </w:tcPr>
          <w:p w14:paraId="79919BE1" w14:textId="77777777" w:rsidR="00134236" w:rsidRPr="00134236" w:rsidRDefault="00134236" w:rsidP="00134236">
            <w:pPr>
              <w:spacing w:after="0" w:line="240" w:lineRule="auto"/>
              <w:jc w:val="center"/>
              <w:rPr>
                <w:rFonts w:eastAsia="Times New Roman" w:cs="Times New Roman"/>
                <w:b/>
                <w:sz w:val="20"/>
                <w:szCs w:val="20"/>
              </w:rPr>
            </w:pPr>
            <w:r w:rsidRPr="00134236">
              <w:rPr>
                <w:rFonts w:eastAsia="Times New Roman" w:cs="Times New Roman"/>
                <w:b/>
                <w:sz w:val="20"/>
                <w:szCs w:val="20"/>
              </w:rPr>
              <w:t>5</w:t>
            </w:r>
          </w:p>
        </w:tc>
        <w:tc>
          <w:tcPr>
            <w:tcW w:w="913" w:type="dxa"/>
            <w:shd w:val="clear" w:color="auto" w:fill="D9D9D9" w:themeFill="background1" w:themeFillShade="D9"/>
          </w:tcPr>
          <w:p w14:paraId="6215FF85" w14:textId="77777777" w:rsidR="00134236" w:rsidRPr="00134236" w:rsidRDefault="00134236" w:rsidP="00134236">
            <w:pPr>
              <w:spacing w:after="0" w:line="240" w:lineRule="auto"/>
              <w:jc w:val="center"/>
              <w:rPr>
                <w:rFonts w:eastAsia="Times New Roman" w:cs="Times New Roman"/>
                <w:b/>
                <w:sz w:val="20"/>
                <w:szCs w:val="20"/>
              </w:rPr>
            </w:pPr>
            <w:r w:rsidRPr="00134236">
              <w:rPr>
                <w:rFonts w:eastAsia="Times New Roman" w:cs="Times New Roman"/>
                <w:b/>
                <w:sz w:val="20"/>
                <w:szCs w:val="20"/>
              </w:rPr>
              <w:t>6</w:t>
            </w:r>
          </w:p>
        </w:tc>
        <w:tc>
          <w:tcPr>
            <w:tcW w:w="913" w:type="dxa"/>
            <w:shd w:val="clear" w:color="auto" w:fill="D9D9D9" w:themeFill="background1" w:themeFillShade="D9"/>
          </w:tcPr>
          <w:p w14:paraId="00F88A08" w14:textId="77777777" w:rsidR="00134236" w:rsidRPr="00134236" w:rsidRDefault="00134236" w:rsidP="00134236">
            <w:pPr>
              <w:spacing w:after="0" w:line="240" w:lineRule="auto"/>
              <w:jc w:val="center"/>
              <w:rPr>
                <w:rFonts w:eastAsia="Times New Roman" w:cs="Times New Roman"/>
                <w:b/>
                <w:sz w:val="20"/>
                <w:szCs w:val="20"/>
              </w:rPr>
            </w:pPr>
            <w:r w:rsidRPr="00134236">
              <w:rPr>
                <w:rFonts w:eastAsia="Times New Roman" w:cs="Times New Roman"/>
                <w:b/>
                <w:sz w:val="20"/>
                <w:szCs w:val="20"/>
              </w:rPr>
              <w:t>7</w:t>
            </w:r>
          </w:p>
        </w:tc>
        <w:tc>
          <w:tcPr>
            <w:tcW w:w="913" w:type="dxa"/>
            <w:shd w:val="clear" w:color="auto" w:fill="D9D9D9" w:themeFill="background1" w:themeFillShade="D9"/>
          </w:tcPr>
          <w:p w14:paraId="59D3F9EB" w14:textId="77777777" w:rsidR="00134236" w:rsidRPr="00134236" w:rsidRDefault="00134236" w:rsidP="00134236">
            <w:pPr>
              <w:spacing w:after="0" w:line="240" w:lineRule="auto"/>
              <w:jc w:val="center"/>
              <w:rPr>
                <w:rFonts w:eastAsia="Times New Roman" w:cs="Times New Roman"/>
                <w:b/>
                <w:sz w:val="20"/>
                <w:szCs w:val="20"/>
              </w:rPr>
            </w:pPr>
            <w:r w:rsidRPr="00134236">
              <w:rPr>
                <w:rFonts w:eastAsia="Times New Roman" w:cs="Times New Roman"/>
                <w:b/>
                <w:sz w:val="20"/>
                <w:szCs w:val="20"/>
              </w:rPr>
              <w:t>8</w:t>
            </w:r>
          </w:p>
        </w:tc>
        <w:tc>
          <w:tcPr>
            <w:tcW w:w="913" w:type="dxa"/>
            <w:shd w:val="clear" w:color="auto" w:fill="D9D9D9" w:themeFill="background1" w:themeFillShade="D9"/>
          </w:tcPr>
          <w:p w14:paraId="3427A23C" w14:textId="42D2A40C" w:rsidR="00134236" w:rsidRPr="00134236" w:rsidRDefault="00134236" w:rsidP="00444C1B">
            <w:pPr>
              <w:spacing w:after="0" w:line="240" w:lineRule="auto"/>
              <w:jc w:val="center"/>
              <w:rPr>
                <w:rFonts w:eastAsia="Times New Roman" w:cs="Times New Roman"/>
                <w:b/>
                <w:sz w:val="20"/>
                <w:szCs w:val="20"/>
              </w:rPr>
            </w:pPr>
            <w:r w:rsidRPr="00134236">
              <w:rPr>
                <w:rFonts w:eastAsia="Times New Roman" w:cs="Times New Roman"/>
                <w:b/>
                <w:sz w:val="20"/>
                <w:szCs w:val="20"/>
              </w:rPr>
              <w:t>3</w:t>
            </w:r>
            <w:r w:rsidR="00444C1B">
              <w:rPr>
                <w:rFonts w:eastAsia="Times New Roman" w:cs="Times New Roman"/>
                <w:b/>
                <w:sz w:val="20"/>
                <w:szCs w:val="20"/>
              </w:rPr>
              <w:t>–</w:t>
            </w:r>
            <w:r w:rsidRPr="00134236">
              <w:rPr>
                <w:rFonts w:eastAsia="Times New Roman" w:cs="Times New Roman"/>
                <w:b/>
                <w:sz w:val="20"/>
                <w:szCs w:val="20"/>
              </w:rPr>
              <w:t>8</w:t>
            </w:r>
          </w:p>
        </w:tc>
      </w:tr>
      <w:tr w:rsidR="00134236" w:rsidRPr="00134236" w14:paraId="42AFD605" w14:textId="77777777" w:rsidTr="00DF5AC6">
        <w:tc>
          <w:tcPr>
            <w:tcW w:w="3150" w:type="dxa"/>
            <w:shd w:val="clear" w:color="auto" w:fill="auto"/>
          </w:tcPr>
          <w:p w14:paraId="43D34A98" w14:textId="77777777" w:rsidR="00134236" w:rsidRPr="00134236" w:rsidRDefault="00134236" w:rsidP="00134236">
            <w:pPr>
              <w:spacing w:after="0" w:line="240" w:lineRule="auto"/>
              <w:rPr>
                <w:rFonts w:ascii="Calibri" w:hAnsi="Calibri"/>
                <w:sz w:val="20"/>
                <w:szCs w:val="20"/>
              </w:rPr>
            </w:pPr>
            <w:r w:rsidRPr="00134236">
              <w:rPr>
                <w:rFonts w:ascii="Calibri" w:hAnsi="Calibri"/>
                <w:sz w:val="20"/>
                <w:szCs w:val="20"/>
              </w:rPr>
              <w:t>Doyle ECC</w:t>
            </w:r>
          </w:p>
        </w:tc>
        <w:tc>
          <w:tcPr>
            <w:tcW w:w="912" w:type="dxa"/>
            <w:shd w:val="clear" w:color="auto" w:fill="auto"/>
          </w:tcPr>
          <w:p w14:paraId="1BE17FC3"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913" w:type="dxa"/>
            <w:shd w:val="clear" w:color="auto" w:fill="auto"/>
          </w:tcPr>
          <w:p w14:paraId="34EF2DD0"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913" w:type="dxa"/>
            <w:shd w:val="clear" w:color="auto" w:fill="auto"/>
          </w:tcPr>
          <w:p w14:paraId="56BD5376"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913" w:type="dxa"/>
            <w:shd w:val="clear" w:color="auto" w:fill="auto"/>
          </w:tcPr>
          <w:p w14:paraId="3837B9F9"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913" w:type="dxa"/>
            <w:shd w:val="clear" w:color="auto" w:fill="auto"/>
          </w:tcPr>
          <w:p w14:paraId="4CE652B5"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913" w:type="dxa"/>
            <w:shd w:val="clear" w:color="auto" w:fill="auto"/>
          </w:tcPr>
          <w:p w14:paraId="3AFFCE02"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913" w:type="dxa"/>
            <w:shd w:val="clear" w:color="auto" w:fill="auto"/>
          </w:tcPr>
          <w:p w14:paraId="028EFDEB"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r>
      <w:tr w:rsidR="00134236" w:rsidRPr="00134236" w14:paraId="009EC6D7" w14:textId="77777777" w:rsidTr="00DF5AC6">
        <w:tc>
          <w:tcPr>
            <w:tcW w:w="3150" w:type="dxa"/>
            <w:shd w:val="clear" w:color="auto" w:fill="D9D9D9" w:themeFill="background1" w:themeFillShade="D9"/>
          </w:tcPr>
          <w:p w14:paraId="6EB259C1" w14:textId="77777777" w:rsidR="00134236" w:rsidRPr="00134236" w:rsidRDefault="00134236" w:rsidP="00134236">
            <w:pPr>
              <w:spacing w:after="0" w:line="240" w:lineRule="auto"/>
              <w:rPr>
                <w:rFonts w:ascii="Calibri" w:hAnsi="Calibri"/>
                <w:sz w:val="20"/>
                <w:szCs w:val="20"/>
              </w:rPr>
            </w:pPr>
            <w:r w:rsidRPr="00134236">
              <w:rPr>
                <w:rFonts w:ascii="Calibri" w:hAnsi="Calibri"/>
                <w:sz w:val="20"/>
                <w:szCs w:val="20"/>
              </w:rPr>
              <w:t>Dolbeare</w:t>
            </w:r>
          </w:p>
        </w:tc>
        <w:tc>
          <w:tcPr>
            <w:tcW w:w="912" w:type="dxa"/>
            <w:shd w:val="clear" w:color="auto" w:fill="D9D9D9" w:themeFill="background1" w:themeFillShade="D9"/>
          </w:tcPr>
          <w:p w14:paraId="4B2A2D16"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59%</w:t>
            </w:r>
          </w:p>
        </w:tc>
        <w:tc>
          <w:tcPr>
            <w:tcW w:w="913" w:type="dxa"/>
            <w:shd w:val="clear" w:color="auto" w:fill="D9D9D9" w:themeFill="background1" w:themeFillShade="D9"/>
          </w:tcPr>
          <w:p w14:paraId="2C107518"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51%</w:t>
            </w:r>
          </w:p>
        </w:tc>
        <w:tc>
          <w:tcPr>
            <w:tcW w:w="913" w:type="dxa"/>
            <w:shd w:val="clear" w:color="auto" w:fill="D9D9D9" w:themeFill="background1" w:themeFillShade="D9"/>
          </w:tcPr>
          <w:p w14:paraId="0E68D3DE"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913" w:type="dxa"/>
            <w:shd w:val="clear" w:color="auto" w:fill="D9D9D9" w:themeFill="background1" w:themeFillShade="D9"/>
          </w:tcPr>
          <w:p w14:paraId="66949D53"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913" w:type="dxa"/>
            <w:shd w:val="clear" w:color="auto" w:fill="D9D9D9" w:themeFill="background1" w:themeFillShade="D9"/>
          </w:tcPr>
          <w:p w14:paraId="6E646366"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913" w:type="dxa"/>
            <w:shd w:val="clear" w:color="auto" w:fill="D9D9D9" w:themeFill="background1" w:themeFillShade="D9"/>
          </w:tcPr>
          <w:p w14:paraId="1C462FA0"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913" w:type="dxa"/>
            <w:shd w:val="clear" w:color="auto" w:fill="D9D9D9" w:themeFill="background1" w:themeFillShade="D9"/>
          </w:tcPr>
          <w:p w14:paraId="4B9DD26F"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55%</w:t>
            </w:r>
          </w:p>
        </w:tc>
      </w:tr>
      <w:tr w:rsidR="00134236" w:rsidRPr="00134236" w14:paraId="10C2CED7" w14:textId="77777777" w:rsidTr="00DF5AC6">
        <w:tc>
          <w:tcPr>
            <w:tcW w:w="3150" w:type="dxa"/>
            <w:shd w:val="clear" w:color="auto" w:fill="auto"/>
          </w:tcPr>
          <w:p w14:paraId="663EE9C4" w14:textId="77777777" w:rsidR="00134236" w:rsidRPr="00134236" w:rsidRDefault="00134236" w:rsidP="00134236">
            <w:pPr>
              <w:spacing w:after="0" w:line="240" w:lineRule="auto"/>
              <w:rPr>
                <w:rFonts w:ascii="Calibri" w:hAnsi="Calibri"/>
                <w:sz w:val="20"/>
                <w:szCs w:val="20"/>
              </w:rPr>
            </w:pPr>
            <w:r w:rsidRPr="00134236">
              <w:rPr>
                <w:rFonts w:ascii="Calibri" w:hAnsi="Calibri"/>
                <w:sz w:val="20"/>
                <w:szCs w:val="20"/>
              </w:rPr>
              <w:t>Woodville</w:t>
            </w:r>
          </w:p>
        </w:tc>
        <w:tc>
          <w:tcPr>
            <w:tcW w:w="912" w:type="dxa"/>
            <w:shd w:val="clear" w:color="auto" w:fill="auto"/>
          </w:tcPr>
          <w:p w14:paraId="169ADEDF"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52%</w:t>
            </w:r>
          </w:p>
        </w:tc>
        <w:tc>
          <w:tcPr>
            <w:tcW w:w="913" w:type="dxa"/>
            <w:shd w:val="clear" w:color="auto" w:fill="auto"/>
          </w:tcPr>
          <w:p w14:paraId="4E64C7B5"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46%</w:t>
            </w:r>
          </w:p>
        </w:tc>
        <w:tc>
          <w:tcPr>
            <w:tcW w:w="913" w:type="dxa"/>
            <w:shd w:val="clear" w:color="auto" w:fill="auto"/>
          </w:tcPr>
          <w:p w14:paraId="0B4E5B86"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913" w:type="dxa"/>
            <w:shd w:val="clear" w:color="auto" w:fill="auto"/>
          </w:tcPr>
          <w:p w14:paraId="5819E551"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913" w:type="dxa"/>
            <w:shd w:val="clear" w:color="auto" w:fill="auto"/>
          </w:tcPr>
          <w:p w14:paraId="747F32C2"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913" w:type="dxa"/>
            <w:shd w:val="clear" w:color="auto" w:fill="auto"/>
          </w:tcPr>
          <w:p w14:paraId="4ECB309D"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913" w:type="dxa"/>
            <w:shd w:val="clear" w:color="auto" w:fill="auto"/>
          </w:tcPr>
          <w:p w14:paraId="6414E5DA"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49%</w:t>
            </w:r>
          </w:p>
        </w:tc>
      </w:tr>
      <w:tr w:rsidR="00134236" w:rsidRPr="00134236" w14:paraId="177D4959" w14:textId="77777777" w:rsidTr="00DF5AC6">
        <w:tc>
          <w:tcPr>
            <w:tcW w:w="3150" w:type="dxa"/>
            <w:shd w:val="clear" w:color="auto" w:fill="D9D9D9" w:themeFill="background1" w:themeFillShade="D9"/>
          </w:tcPr>
          <w:p w14:paraId="1C85BE23" w14:textId="77777777" w:rsidR="00134236" w:rsidRPr="00134236" w:rsidRDefault="00134236" w:rsidP="00134236">
            <w:pPr>
              <w:spacing w:after="0" w:line="240" w:lineRule="auto"/>
              <w:rPr>
                <w:rFonts w:ascii="Calibri" w:hAnsi="Calibri"/>
                <w:sz w:val="20"/>
                <w:szCs w:val="20"/>
              </w:rPr>
            </w:pPr>
            <w:r w:rsidRPr="00134236">
              <w:rPr>
                <w:rFonts w:ascii="Calibri" w:hAnsi="Calibri"/>
                <w:sz w:val="20"/>
                <w:szCs w:val="20"/>
              </w:rPr>
              <w:t>Greenwood</w:t>
            </w:r>
          </w:p>
        </w:tc>
        <w:tc>
          <w:tcPr>
            <w:tcW w:w="912" w:type="dxa"/>
            <w:shd w:val="clear" w:color="auto" w:fill="D9D9D9" w:themeFill="background1" w:themeFillShade="D9"/>
          </w:tcPr>
          <w:p w14:paraId="51DC08C0"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60%</w:t>
            </w:r>
          </w:p>
        </w:tc>
        <w:tc>
          <w:tcPr>
            <w:tcW w:w="913" w:type="dxa"/>
            <w:shd w:val="clear" w:color="auto" w:fill="D9D9D9" w:themeFill="background1" w:themeFillShade="D9"/>
          </w:tcPr>
          <w:p w14:paraId="014884E5"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68%</w:t>
            </w:r>
          </w:p>
        </w:tc>
        <w:tc>
          <w:tcPr>
            <w:tcW w:w="913" w:type="dxa"/>
            <w:shd w:val="clear" w:color="auto" w:fill="D9D9D9" w:themeFill="background1" w:themeFillShade="D9"/>
          </w:tcPr>
          <w:p w14:paraId="561F022F"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913" w:type="dxa"/>
            <w:shd w:val="clear" w:color="auto" w:fill="D9D9D9" w:themeFill="background1" w:themeFillShade="D9"/>
          </w:tcPr>
          <w:p w14:paraId="7EA3995E"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913" w:type="dxa"/>
            <w:shd w:val="clear" w:color="auto" w:fill="D9D9D9" w:themeFill="background1" w:themeFillShade="D9"/>
          </w:tcPr>
          <w:p w14:paraId="653F9DB6"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913" w:type="dxa"/>
            <w:shd w:val="clear" w:color="auto" w:fill="D9D9D9" w:themeFill="background1" w:themeFillShade="D9"/>
          </w:tcPr>
          <w:p w14:paraId="549244FA"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913" w:type="dxa"/>
            <w:shd w:val="clear" w:color="auto" w:fill="D9D9D9" w:themeFill="background1" w:themeFillShade="D9"/>
          </w:tcPr>
          <w:p w14:paraId="0A6D2050"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64%</w:t>
            </w:r>
          </w:p>
        </w:tc>
      </w:tr>
      <w:tr w:rsidR="00134236" w:rsidRPr="00134236" w14:paraId="7195C6B9" w14:textId="77777777" w:rsidTr="00DF5AC6">
        <w:tc>
          <w:tcPr>
            <w:tcW w:w="3150" w:type="dxa"/>
            <w:shd w:val="clear" w:color="auto" w:fill="auto"/>
          </w:tcPr>
          <w:p w14:paraId="3C739C38" w14:textId="77777777" w:rsidR="00134236" w:rsidRPr="00134236" w:rsidRDefault="00134236" w:rsidP="00134236">
            <w:pPr>
              <w:spacing w:after="0" w:line="240" w:lineRule="auto"/>
              <w:rPr>
                <w:rFonts w:ascii="Calibri" w:hAnsi="Calibri"/>
                <w:sz w:val="20"/>
                <w:szCs w:val="20"/>
              </w:rPr>
            </w:pPr>
            <w:r w:rsidRPr="00134236">
              <w:rPr>
                <w:rFonts w:ascii="Calibri" w:hAnsi="Calibri"/>
                <w:sz w:val="20"/>
                <w:szCs w:val="20"/>
              </w:rPr>
              <w:t>Walton</w:t>
            </w:r>
          </w:p>
        </w:tc>
        <w:tc>
          <w:tcPr>
            <w:tcW w:w="912" w:type="dxa"/>
            <w:shd w:val="clear" w:color="auto" w:fill="auto"/>
          </w:tcPr>
          <w:p w14:paraId="3A3CF5B9"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64%</w:t>
            </w:r>
          </w:p>
        </w:tc>
        <w:tc>
          <w:tcPr>
            <w:tcW w:w="913" w:type="dxa"/>
            <w:shd w:val="clear" w:color="auto" w:fill="auto"/>
          </w:tcPr>
          <w:p w14:paraId="4FAB8AD4"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66%</w:t>
            </w:r>
          </w:p>
        </w:tc>
        <w:tc>
          <w:tcPr>
            <w:tcW w:w="913" w:type="dxa"/>
            <w:shd w:val="clear" w:color="auto" w:fill="auto"/>
          </w:tcPr>
          <w:p w14:paraId="02F9D1F1"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913" w:type="dxa"/>
            <w:shd w:val="clear" w:color="auto" w:fill="auto"/>
          </w:tcPr>
          <w:p w14:paraId="44F7C5BF"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913" w:type="dxa"/>
            <w:shd w:val="clear" w:color="auto" w:fill="auto"/>
          </w:tcPr>
          <w:p w14:paraId="7069F6E5"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913" w:type="dxa"/>
            <w:shd w:val="clear" w:color="auto" w:fill="auto"/>
          </w:tcPr>
          <w:p w14:paraId="2C319D1D"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913" w:type="dxa"/>
            <w:shd w:val="clear" w:color="auto" w:fill="auto"/>
          </w:tcPr>
          <w:p w14:paraId="066526FF"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64%</w:t>
            </w:r>
          </w:p>
        </w:tc>
      </w:tr>
      <w:tr w:rsidR="00134236" w:rsidRPr="00134236" w14:paraId="1905E078" w14:textId="77777777" w:rsidTr="00DF5AC6">
        <w:tc>
          <w:tcPr>
            <w:tcW w:w="3150" w:type="dxa"/>
            <w:shd w:val="clear" w:color="auto" w:fill="D9D9D9" w:themeFill="background1" w:themeFillShade="D9"/>
          </w:tcPr>
          <w:p w14:paraId="19F588FE" w14:textId="25EC3149" w:rsidR="00134236" w:rsidRPr="00134236" w:rsidRDefault="00134236" w:rsidP="00282F1F">
            <w:pPr>
              <w:spacing w:after="0" w:line="240" w:lineRule="auto"/>
              <w:rPr>
                <w:rFonts w:ascii="Calibri" w:hAnsi="Calibri"/>
                <w:sz w:val="20"/>
                <w:szCs w:val="20"/>
              </w:rPr>
            </w:pPr>
            <w:r w:rsidRPr="00134236">
              <w:rPr>
                <w:rFonts w:ascii="Calibri" w:hAnsi="Calibri"/>
                <w:sz w:val="20"/>
                <w:szCs w:val="20"/>
              </w:rPr>
              <w:t xml:space="preserve">Galvin </w:t>
            </w:r>
            <w:r w:rsidR="00642879" w:rsidRPr="00134236">
              <w:rPr>
                <w:rFonts w:ascii="Calibri" w:hAnsi="Calibri"/>
                <w:sz w:val="20"/>
                <w:szCs w:val="20"/>
              </w:rPr>
              <w:t>M</w:t>
            </w:r>
            <w:r w:rsidR="00642879">
              <w:rPr>
                <w:rFonts w:ascii="Calibri" w:hAnsi="Calibri"/>
                <w:sz w:val="20"/>
                <w:szCs w:val="20"/>
              </w:rPr>
              <w:t>iddle</w:t>
            </w:r>
          </w:p>
        </w:tc>
        <w:tc>
          <w:tcPr>
            <w:tcW w:w="912" w:type="dxa"/>
            <w:shd w:val="clear" w:color="auto" w:fill="D9D9D9" w:themeFill="background1" w:themeFillShade="D9"/>
          </w:tcPr>
          <w:p w14:paraId="7B952D65"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913" w:type="dxa"/>
            <w:shd w:val="clear" w:color="auto" w:fill="D9D9D9" w:themeFill="background1" w:themeFillShade="D9"/>
          </w:tcPr>
          <w:p w14:paraId="24FB7394"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913" w:type="dxa"/>
            <w:shd w:val="clear" w:color="auto" w:fill="D9D9D9" w:themeFill="background1" w:themeFillShade="D9"/>
          </w:tcPr>
          <w:p w14:paraId="5D8DC038"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53%</w:t>
            </w:r>
          </w:p>
        </w:tc>
        <w:tc>
          <w:tcPr>
            <w:tcW w:w="913" w:type="dxa"/>
            <w:shd w:val="clear" w:color="auto" w:fill="D9D9D9" w:themeFill="background1" w:themeFillShade="D9"/>
          </w:tcPr>
          <w:p w14:paraId="2213FAD0"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42%</w:t>
            </w:r>
          </w:p>
        </w:tc>
        <w:tc>
          <w:tcPr>
            <w:tcW w:w="913" w:type="dxa"/>
            <w:shd w:val="clear" w:color="auto" w:fill="D9D9D9" w:themeFill="background1" w:themeFillShade="D9"/>
          </w:tcPr>
          <w:p w14:paraId="7389C890"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55%</w:t>
            </w:r>
          </w:p>
        </w:tc>
        <w:tc>
          <w:tcPr>
            <w:tcW w:w="913" w:type="dxa"/>
            <w:shd w:val="clear" w:color="auto" w:fill="D9D9D9" w:themeFill="background1" w:themeFillShade="D9"/>
          </w:tcPr>
          <w:p w14:paraId="07E035B3"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52%</w:t>
            </w:r>
          </w:p>
        </w:tc>
        <w:tc>
          <w:tcPr>
            <w:tcW w:w="913" w:type="dxa"/>
            <w:shd w:val="clear" w:color="auto" w:fill="D9D9D9" w:themeFill="background1" w:themeFillShade="D9"/>
          </w:tcPr>
          <w:p w14:paraId="3F78D165"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50%</w:t>
            </w:r>
          </w:p>
        </w:tc>
      </w:tr>
      <w:tr w:rsidR="00134236" w:rsidRPr="00134236" w14:paraId="2B1532BC" w14:textId="77777777" w:rsidTr="00DF5AC6">
        <w:tc>
          <w:tcPr>
            <w:tcW w:w="3150" w:type="dxa"/>
            <w:shd w:val="clear" w:color="auto" w:fill="auto"/>
          </w:tcPr>
          <w:p w14:paraId="118107BB" w14:textId="77777777" w:rsidR="00134236" w:rsidRPr="00134236" w:rsidRDefault="00134236" w:rsidP="00134236">
            <w:pPr>
              <w:spacing w:after="0" w:line="240" w:lineRule="auto"/>
              <w:rPr>
                <w:rFonts w:ascii="Calibri" w:hAnsi="Calibri"/>
                <w:sz w:val="20"/>
                <w:szCs w:val="20"/>
              </w:rPr>
            </w:pPr>
            <w:r w:rsidRPr="00134236">
              <w:rPr>
                <w:rFonts w:ascii="Calibri" w:hAnsi="Calibri"/>
                <w:sz w:val="20"/>
                <w:szCs w:val="20"/>
              </w:rPr>
              <w:t>District</w:t>
            </w:r>
          </w:p>
        </w:tc>
        <w:tc>
          <w:tcPr>
            <w:tcW w:w="912" w:type="dxa"/>
            <w:shd w:val="clear" w:color="auto" w:fill="auto"/>
          </w:tcPr>
          <w:p w14:paraId="1E1243E3"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58%</w:t>
            </w:r>
          </w:p>
        </w:tc>
        <w:tc>
          <w:tcPr>
            <w:tcW w:w="913" w:type="dxa"/>
            <w:shd w:val="clear" w:color="auto" w:fill="auto"/>
          </w:tcPr>
          <w:p w14:paraId="3DC322B9"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54%</w:t>
            </w:r>
          </w:p>
        </w:tc>
        <w:tc>
          <w:tcPr>
            <w:tcW w:w="913" w:type="dxa"/>
            <w:shd w:val="clear" w:color="auto" w:fill="auto"/>
          </w:tcPr>
          <w:p w14:paraId="0217E316"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52%</w:t>
            </w:r>
          </w:p>
        </w:tc>
        <w:tc>
          <w:tcPr>
            <w:tcW w:w="913" w:type="dxa"/>
            <w:shd w:val="clear" w:color="auto" w:fill="auto"/>
          </w:tcPr>
          <w:p w14:paraId="696F683B"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41%</w:t>
            </w:r>
          </w:p>
        </w:tc>
        <w:tc>
          <w:tcPr>
            <w:tcW w:w="913" w:type="dxa"/>
            <w:shd w:val="clear" w:color="auto" w:fill="auto"/>
          </w:tcPr>
          <w:p w14:paraId="71FE83D6"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54%</w:t>
            </w:r>
          </w:p>
        </w:tc>
        <w:tc>
          <w:tcPr>
            <w:tcW w:w="913" w:type="dxa"/>
            <w:shd w:val="clear" w:color="auto" w:fill="auto"/>
          </w:tcPr>
          <w:p w14:paraId="4C14A8DF"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51%</w:t>
            </w:r>
          </w:p>
        </w:tc>
        <w:tc>
          <w:tcPr>
            <w:tcW w:w="913" w:type="dxa"/>
            <w:shd w:val="clear" w:color="auto" w:fill="auto"/>
          </w:tcPr>
          <w:p w14:paraId="4F9F3DDD"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52%</w:t>
            </w:r>
          </w:p>
        </w:tc>
      </w:tr>
      <w:tr w:rsidR="00134236" w:rsidRPr="00134236" w14:paraId="123F352D" w14:textId="77777777" w:rsidTr="00DF5AC6">
        <w:tc>
          <w:tcPr>
            <w:tcW w:w="3150" w:type="dxa"/>
            <w:shd w:val="clear" w:color="auto" w:fill="D9D9D9" w:themeFill="background1" w:themeFillShade="D9"/>
          </w:tcPr>
          <w:p w14:paraId="67481BE7" w14:textId="77777777" w:rsidR="00134236" w:rsidRPr="00134236" w:rsidRDefault="00134236" w:rsidP="00134236">
            <w:pPr>
              <w:spacing w:after="0" w:line="240" w:lineRule="auto"/>
              <w:rPr>
                <w:rFonts w:ascii="Calibri" w:hAnsi="Calibri"/>
                <w:sz w:val="20"/>
                <w:szCs w:val="20"/>
              </w:rPr>
            </w:pPr>
            <w:r w:rsidRPr="00134236">
              <w:rPr>
                <w:rFonts w:ascii="Calibri" w:hAnsi="Calibri"/>
                <w:sz w:val="20"/>
                <w:szCs w:val="20"/>
              </w:rPr>
              <w:t>State</w:t>
            </w:r>
          </w:p>
        </w:tc>
        <w:tc>
          <w:tcPr>
            <w:tcW w:w="912" w:type="dxa"/>
            <w:shd w:val="clear" w:color="auto" w:fill="D9D9D9" w:themeFill="background1" w:themeFillShade="D9"/>
          </w:tcPr>
          <w:p w14:paraId="5463634E"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49%</w:t>
            </w:r>
          </w:p>
        </w:tc>
        <w:tc>
          <w:tcPr>
            <w:tcW w:w="913" w:type="dxa"/>
            <w:shd w:val="clear" w:color="auto" w:fill="D9D9D9" w:themeFill="background1" w:themeFillShade="D9"/>
          </w:tcPr>
          <w:p w14:paraId="03E580E1"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49%</w:t>
            </w:r>
          </w:p>
        </w:tc>
        <w:tc>
          <w:tcPr>
            <w:tcW w:w="913" w:type="dxa"/>
            <w:shd w:val="clear" w:color="auto" w:fill="D9D9D9" w:themeFill="background1" w:themeFillShade="D9"/>
          </w:tcPr>
          <w:p w14:paraId="168DED8A"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46%</w:t>
            </w:r>
          </w:p>
        </w:tc>
        <w:tc>
          <w:tcPr>
            <w:tcW w:w="913" w:type="dxa"/>
            <w:shd w:val="clear" w:color="auto" w:fill="D9D9D9" w:themeFill="background1" w:themeFillShade="D9"/>
          </w:tcPr>
          <w:p w14:paraId="5DDE8AA4"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50%</w:t>
            </w:r>
          </w:p>
        </w:tc>
        <w:tc>
          <w:tcPr>
            <w:tcW w:w="913" w:type="dxa"/>
            <w:shd w:val="clear" w:color="auto" w:fill="D9D9D9" w:themeFill="background1" w:themeFillShade="D9"/>
          </w:tcPr>
          <w:p w14:paraId="3D79A8AB"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47%</w:t>
            </w:r>
          </w:p>
        </w:tc>
        <w:tc>
          <w:tcPr>
            <w:tcW w:w="913" w:type="dxa"/>
            <w:shd w:val="clear" w:color="auto" w:fill="D9D9D9" w:themeFill="background1" w:themeFillShade="D9"/>
          </w:tcPr>
          <w:p w14:paraId="7F4881F5"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48%</w:t>
            </w:r>
          </w:p>
        </w:tc>
        <w:tc>
          <w:tcPr>
            <w:tcW w:w="913" w:type="dxa"/>
            <w:shd w:val="clear" w:color="auto" w:fill="D9D9D9" w:themeFill="background1" w:themeFillShade="D9"/>
          </w:tcPr>
          <w:p w14:paraId="1BAE8C0B"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48%</w:t>
            </w:r>
          </w:p>
        </w:tc>
      </w:tr>
    </w:tbl>
    <w:p w14:paraId="1DE7B526" w14:textId="77777777" w:rsidR="00134236" w:rsidRPr="00134236" w:rsidRDefault="00134236" w:rsidP="00134236">
      <w:pPr>
        <w:spacing w:after="0" w:line="240" w:lineRule="auto"/>
      </w:pPr>
    </w:p>
    <w:p w14:paraId="5D1D3650" w14:textId="016F7829" w:rsidR="00134236" w:rsidRPr="00134236" w:rsidRDefault="00134236" w:rsidP="00134236">
      <w:pPr>
        <w:spacing w:after="0" w:line="240" w:lineRule="auto"/>
      </w:pPr>
      <w:r w:rsidRPr="00134236">
        <w:rPr>
          <w:b/>
        </w:rPr>
        <w:t xml:space="preserve">On the MCAS </w:t>
      </w:r>
      <w:r w:rsidR="00657331">
        <w:rPr>
          <w:b/>
        </w:rPr>
        <w:t xml:space="preserve">assessment </w:t>
      </w:r>
      <w:r w:rsidRPr="00134236">
        <w:rPr>
          <w:b/>
        </w:rPr>
        <w:t>in the 10</w:t>
      </w:r>
      <w:r w:rsidRPr="00134236">
        <w:rPr>
          <w:b/>
          <w:vertAlign w:val="superscript"/>
        </w:rPr>
        <w:t>th</w:t>
      </w:r>
      <w:r w:rsidRPr="00134236">
        <w:rPr>
          <w:b/>
        </w:rPr>
        <w:t xml:space="preserve"> grade</w:t>
      </w:r>
      <w:r w:rsidR="00657331">
        <w:rPr>
          <w:b/>
        </w:rPr>
        <w:t>,</w:t>
      </w:r>
      <w:r w:rsidRPr="00134236">
        <w:rPr>
          <w:b/>
        </w:rPr>
        <w:t xml:space="preserve"> the percentage of students scoring proficient or advanced at Wakefield Memorial High was above the state rate by 6 and 12 percentage points in ELA and math</w:t>
      </w:r>
      <w:r w:rsidR="00657331">
        <w:rPr>
          <w:b/>
        </w:rPr>
        <w:t>,</w:t>
      </w:r>
      <w:r w:rsidRPr="00134236">
        <w:rPr>
          <w:b/>
        </w:rPr>
        <w:t xml:space="preserve"> respectively</w:t>
      </w:r>
      <w:r w:rsidRPr="00134236">
        <w:t>.</w:t>
      </w:r>
    </w:p>
    <w:p w14:paraId="44B98E27" w14:textId="77777777" w:rsidR="00134236" w:rsidRPr="00134236" w:rsidRDefault="00134236" w:rsidP="00134236">
      <w:pPr>
        <w:spacing w:after="0" w:line="240" w:lineRule="auto"/>
      </w:pPr>
    </w:p>
    <w:tbl>
      <w:tblPr>
        <w:tblStyle w:val="TableGrid5"/>
        <w:tblW w:w="0" w:type="auto"/>
        <w:tblLook w:val="04A0" w:firstRow="1" w:lastRow="0" w:firstColumn="1" w:lastColumn="0" w:noHBand="0" w:noVBand="1"/>
        <w:tblCaption w:val="Table 12: Wakefield Public Schools"/>
        <w:tblDescription w:val="MCAS ELA and Math Percent Scoring Proficient or Advanced in Grade 10, 2017"/>
      </w:tblPr>
      <w:tblGrid>
        <w:gridCol w:w="3129"/>
        <w:gridCol w:w="3114"/>
        <w:gridCol w:w="3117"/>
      </w:tblGrid>
      <w:tr w:rsidR="00134236" w:rsidRPr="00134236" w14:paraId="16FB9072" w14:textId="77777777" w:rsidTr="00BB0032">
        <w:trPr>
          <w:tblHeader/>
        </w:trPr>
        <w:tc>
          <w:tcPr>
            <w:tcW w:w="9576" w:type="dxa"/>
            <w:gridSpan w:val="3"/>
            <w:tcBorders>
              <w:top w:val="nil"/>
              <w:left w:val="nil"/>
              <w:right w:val="nil"/>
            </w:tcBorders>
          </w:tcPr>
          <w:p w14:paraId="1D8F4802" w14:textId="77777777" w:rsidR="00134236" w:rsidRPr="00134236" w:rsidRDefault="00134236" w:rsidP="00134236">
            <w:pPr>
              <w:spacing w:after="0" w:line="240" w:lineRule="auto"/>
              <w:jc w:val="center"/>
              <w:rPr>
                <w:b/>
                <w:sz w:val="20"/>
                <w:szCs w:val="20"/>
              </w:rPr>
            </w:pPr>
            <w:r w:rsidRPr="00134236">
              <w:rPr>
                <w:b/>
                <w:sz w:val="20"/>
                <w:szCs w:val="20"/>
              </w:rPr>
              <w:t xml:space="preserve">Table 12: </w:t>
            </w:r>
            <w:r w:rsidRPr="00134236">
              <w:rPr>
                <w:rFonts w:cs="Times New Roman"/>
                <w:b/>
                <w:sz w:val="20"/>
                <w:szCs w:val="20"/>
              </w:rPr>
              <w:t>Wakefield Public Schools</w:t>
            </w:r>
          </w:p>
          <w:p w14:paraId="1CCA4667" w14:textId="77777777" w:rsidR="00134236" w:rsidRPr="00134236" w:rsidRDefault="00134236" w:rsidP="00134236">
            <w:pPr>
              <w:spacing w:after="0" w:line="240" w:lineRule="auto"/>
              <w:jc w:val="center"/>
            </w:pPr>
            <w:r w:rsidRPr="00134236">
              <w:rPr>
                <w:b/>
                <w:sz w:val="20"/>
                <w:szCs w:val="20"/>
              </w:rPr>
              <w:t>MCAS ELA and Math Percent Scoring Proficient or Advanced in Grade 10, 2017</w:t>
            </w:r>
          </w:p>
        </w:tc>
      </w:tr>
      <w:tr w:rsidR="00134236" w:rsidRPr="00134236" w14:paraId="7A5CB070" w14:textId="77777777" w:rsidTr="00DF5AC6">
        <w:tc>
          <w:tcPr>
            <w:tcW w:w="3192" w:type="dxa"/>
            <w:shd w:val="clear" w:color="auto" w:fill="D9D9D9" w:themeFill="background1" w:themeFillShade="D9"/>
          </w:tcPr>
          <w:p w14:paraId="4BE133A4" w14:textId="77777777" w:rsidR="00134236" w:rsidRPr="00134236" w:rsidRDefault="00134236" w:rsidP="00E22258">
            <w:pPr>
              <w:spacing w:after="0" w:line="240" w:lineRule="auto"/>
              <w:rPr>
                <w:rFonts w:ascii="Calibri" w:hAnsi="Calibri"/>
                <w:b/>
                <w:sz w:val="20"/>
                <w:szCs w:val="20"/>
              </w:rPr>
            </w:pPr>
            <w:r w:rsidRPr="00134236">
              <w:rPr>
                <w:rFonts w:ascii="Calibri" w:hAnsi="Calibri"/>
                <w:b/>
                <w:sz w:val="20"/>
                <w:szCs w:val="20"/>
              </w:rPr>
              <w:t>School</w:t>
            </w:r>
          </w:p>
        </w:tc>
        <w:tc>
          <w:tcPr>
            <w:tcW w:w="3192" w:type="dxa"/>
            <w:shd w:val="clear" w:color="auto" w:fill="D9D9D9" w:themeFill="background1" w:themeFillShade="D9"/>
          </w:tcPr>
          <w:p w14:paraId="1986E655" w14:textId="77777777" w:rsidR="00134236" w:rsidRPr="00E22258" w:rsidRDefault="00134236" w:rsidP="00134236">
            <w:pPr>
              <w:spacing w:after="0" w:line="240" w:lineRule="auto"/>
              <w:jc w:val="center"/>
              <w:rPr>
                <w:b/>
                <w:sz w:val="20"/>
                <w:szCs w:val="20"/>
              </w:rPr>
            </w:pPr>
            <w:r w:rsidRPr="00E22258">
              <w:rPr>
                <w:b/>
                <w:sz w:val="20"/>
                <w:szCs w:val="20"/>
              </w:rPr>
              <w:t>ELA</w:t>
            </w:r>
          </w:p>
        </w:tc>
        <w:tc>
          <w:tcPr>
            <w:tcW w:w="3192" w:type="dxa"/>
            <w:shd w:val="clear" w:color="auto" w:fill="D9D9D9" w:themeFill="background1" w:themeFillShade="D9"/>
          </w:tcPr>
          <w:p w14:paraId="673F16DB" w14:textId="77777777" w:rsidR="00134236" w:rsidRPr="00E22258" w:rsidRDefault="00134236" w:rsidP="00134236">
            <w:pPr>
              <w:spacing w:after="0" w:line="240" w:lineRule="auto"/>
              <w:jc w:val="center"/>
              <w:rPr>
                <w:b/>
                <w:sz w:val="20"/>
                <w:szCs w:val="20"/>
              </w:rPr>
            </w:pPr>
            <w:r w:rsidRPr="00E22258">
              <w:rPr>
                <w:b/>
                <w:sz w:val="20"/>
                <w:szCs w:val="20"/>
              </w:rPr>
              <w:t>Math</w:t>
            </w:r>
          </w:p>
        </w:tc>
      </w:tr>
      <w:tr w:rsidR="00134236" w:rsidRPr="00134236" w14:paraId="2CF1B9A9" w14:textId="77777777" w:rsidTr="00DF5AC6">
        <w:tc>
          <w:tcPr>
            <w:tcW w:w="3192" w:type="dxa"/>
          </w:tcPr>
          <w:p w14:paraId="50E9B392" w14:textId="77777777" w:rsidR="00134236" w:rsidRPr="00134236" w:rsidRDefault="00134236" w:rsidP="00134236">
            <w:pPr>
              <w:spacing w:after="0" w:line="240" w:lineRule="auto"/>
              <w:rPr>
                <w:rFonts w:ascii="Calibri" w:hAnsi="Calibri"/>
                <w:sz w:val="20"/>
                <w:szCs w:val="20"/>
              </w:rPr>
            </w:pPr>
            <w:r w:rsidRPr="00134236">
              <w:rPr>
                <w:rFonts w:ascii="Calibri" w:hAnsi="Calibri"/>
                <w:sz w:val="20"/>
                <w:szCs w:val="20"/>
              </w:rPr>
              <w:t>Wakefield Memorial High</w:t>
            </w:r>
          </w:p>
        </w:tc>
        <w:tc>
          <w:tcPr>
            <w:tcW w:w="3192" w:type="dxa"/>
          </w:tcPr>
          <w:p w14:paraId="309ABDAF"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97%</w:t>
            </w:r>
          </w:p>
        </w:tc>
        <w:tc>
          <w:tcPr>
            <w:tcW w:w="3192" w:type="dxa"/>
          </w:tcPr>
          <w:p w14:paraId="3B6BADA7"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91%</w:t>
            </w:r>
          </w:p>
        </w:tc>
      </w:tr>
      <w:tr w:rsidR="00134236" w:rsidRPr="00134236" w14:paraId="41D1BE92" w14:textId="77777777" w:rsidTr="00DF5AC6">
        <w:tc>
          <w:tcPr>
            <w:tcW w:w="3192" w:type="dxa"/>
            <w:shd w:val="clear" w:color="auto" w:fill="auto"/>
          </w:tcPr>
          <w:p w14:paraId="506C41A4" w14:textId="77777777" w:rsidR="00134236" w:rsidRPr="00134236" w:rsidRDefault="00134236" w:rsidP="00134236">
            <w:pPr>
              <w:spacing w:after="0" w:line="240" w:lineRule="auto"/>
              <w:rPr>
                <w:rFonts w:ascii="Calibri" w:hAnsi="Calibri"/>
                <w:sz w:val="20"/>
                <w:szCs w:val="20"/>
              </w:rPr>
            </w:pPr>
            <w:r w:rsidRPr="00134236">
              <w:rPr>
                <w:rFonts w:ascii="Calibri" w:hAnsi="Calibri"/>
                <w:sz w:val="20"/>
                <w:szCs w:val="20"/>
              </w:rPr>
              <w:t>State</w:t>
            </w:r>
          </w:p>
        </w:tc>
        <w:tc>
          <w:tcPr>
            <w:tcW w:w="3192" w:type="dxa"/>
            <w:shd w:val="clear" w:color="auto" w:fill="auto"/>
          </w:tcPr>
          <w:p w14:paraId="641F01B9"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91%</w:t>
            </w:r>
          </w:p>
        </w:tc>
        <w:tc>
          <w:tcPr>
            <w:tcW w:w="3192" w:type="dxa"/>
            <w:shd w:val="clear" w:color="auto" w:fill="auto"/>
          </w:tcPr>
          <w:p w14:paraId="14920B8C"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79%</w:t>
            </w:r>
          </w:p>
        </w:tc>
      </w:tr>
    </w:tbl>
    <w:p w14:paraId="2688B02C" w14:textId="77777777" w:rsidR="00134236" w:rsidRPr="00134236" w:rsidRDefault="00134236" w:rsidP="00134236">
      <w:pPr>
        <w:spacing w:after="0" w:line="240" w:lineRule="auto"/>
      </w:pPr>
    </w:p>
    <w:p w14:paraId="64DB463F" w14:textId="77777777" w:rsidR="00134236" w:rsidRPr="00134236" w:rsidRDefault="00134236" w:rsidP="00134236">
      <w:pPr>
        <w:spacing w:after="0" w:line="240" w:lineRule="auto"/>
      </w:pPr>
    </w:p>
    <w:p w14:paraId="4B22DCEA" w14:textId="712B7796" w:rsidR="00134236" w:rsidRPr="00134236" w:rsidRDefault="00134236" w:rsidP="00134236">
      <w:pPr>
        <w:spacing w:after="0" w:line="240" w:lineRule="auto"/>
        <w:rPr>
          <w:b/>
        </w:rPr>
      </w:pPr>
      <w:r w:rsidRPr="00134236">
        <w:rPr>
          <w:b/>
        </w:rPr>
        <w:lastRenderedPageBreak/>
        <w:t xml:space="preserve">In science, the percentage of students scoring proficient or advanced on the MCAS </w:t>
      </w:r>
      <w:r w:rsidR="003962D8">
        <w:rPr>
          <w:b/>
        </w:rPr>
        <w:t xml:space="preserve">assessment </w:t>
      </w:r>
      <w:r w:rsidRPr="00134236">
        <w:rPr>
          <w:b/>
        </w:rPr>
        <w:t>was 51 and 37 percent in the 5</w:t>
      </w:r>
      <w:r w:rsidRPr="00134236">
        <w:rPr>
          <w:b/>
          <w:vertAlign w:val="superscript"/>
        </w:rPr>
        <w:t>th</w:t>
      </w:r>
      <w:r w:rsidRPr="00134236">
        <w:rPr>
          <w:b/>
        </w:rPr>
        <w:t xml:space="preserve"> and 8</w:t>
      </w:r>
      <w:r w:rsidRPr="00134236">
        <w:rPr>
          <w:b/>
          <w:vertAlign w:val="superscript"/>
        </w:rPr>
        <w:t>th</w:t>
      </w:r>
      <w:r w:rsidRPr="00134236">
        <w:rPr>
          <w:b/>
        </w:rPr>
        <w:t xml:space="preserve"> grades</w:t>
      </w:r>
      <w:r w:rsidR="003962D8">
        <w:rPr>
          <w:b/>
        </w:rPr>
        <w:t>, respectively,</w:t>
      </w:r>
      <w:r w:rsidRPr="00134236">
        <w:rPr>
          <w:b/>
        </w:rPr>
        <w:t xml:space="preserve"> at Galvin Middle.  Science proficiency in the 10</w:t>
      </w:r>
      <w:r w:rsidRPr="00134236">
        <w:rPr>
          <w:b/>
          <w:vertAlign w:val="superscript"/>
        </w:rPr>
        <w:t>th</w:t>
      </w:r>
      <w:r w:rsidRPr="00134236">
        <w:rPr>
          <w:b/>
        </w:rPr>
        <w:t xml:space="preserve"> grade at Wakefield Memorial High was 84 percent.</w:t>
      </w:r>
    </w:p>
    <w:p w14:paraId="1381EAC8" w14:textId="77777777" w:rsidR="00134236" w:rsidRPr="00134236" w:rsidRDefault="00134236" w:rsidP="00134236">
      <w:pPr>
        <w:spacing w:after="0" w:line="240" w:lineRule="auto"/>
      </w:pPr>
    </w:p>
    <w:tbl>
      <w:tblPr>
        <w:tblStyle w:val="TableGrid16"/>
        <w:tblW w:w="0" w:type="auto"/>
        <w:tblInd w:w="18" w:type="dxa"/>
        <w:tblLayout w:type="fixed"/>
        <w:tblLook w:val="04A0" w:firstRow="1" w:lastRow="0" w:firstColumn="1" w:lastColumn="0" w:noHBand="0" w:noVBand="1"/>
        <w:tblCaption w:val="Table 13: Wakefield Public Schools"/>
        <w:tblDescription w:val="MCAS Science Percent Scoring Proficient or Advanced by School and Grade, 2017"/>
      </w:tblPr>
      <w:tblGrid>
        <w:gridCol w:w="3330"/>
        <w:gridCol w:w="778"/>
        <w:gridCol w:w="779"/>
        <w:gridCol w:w="778"/>
        <w:gridCol w:w="779"/>
        <w:gridCol w:w="778"/>
        <w:gridCol w:w="779"/>
        <w:gridCol w:w="778"/>
        <w:gridCol w:w="779"/>
      </w:tblGrid>
      <w:tr w:rsidR="00134236" w:rsidRPr="00134236" w14:paraId="55B64BD9" w14:textId="77777777" w:rsidTr="00BB0032">
        <w:trPr>
          <w:tblHeader/>
        </w:trPr>
        <w:tc>
          <w:tcPr>
            <w:tcW w:w="9558" w:type="dxa"/>
            <w:gridSpan w:val="9"/>
            <w:tcBorders>
              <w:top w:val="nil"/>
              <w:left w:val="nil"/>
              <w:right w:val="nil"/>
            </w:tcBorders>
          </w:tcPr>
          <w:p w14:paraId="7A18B21A" w14:textId="77777777" w:rsidR="00134236" w:rsidRPr="00134236" w:rsidRDefault="00134236" w:rsidP="00134236">
            <w:pPr>
              <w:spacing w:after="0" w:line="240" w:lineRule="auto"/>
              <w:jc w:val="center"/>
              <w:rPr>
                <w:rFonts w:eastAsia="Times New Roman" w:cs="Times New Roman"/>
                <w:b/>
                <w:sz w:val="20"/>
                <w:szCs w:val="20"/>
              </w:rPr>
            </w:pPr>
            <w:r w:rsidRPr="00134236">
              <w:rPr>
                <w:rFonts w:eastAsia="Times New Roman" w:cs="Times New Roman"/>
                <w:b/>
                <w:sz w:val="20"/>
                <w:szCs w:val="20"/>
              </w:rPr>
              <w:t xml:space="preserve">Table 13: </w:t>
            </w:r>
            <w:r w:rsidRPr="00134236">
              <w:rPr>
                <w:rFonts w:cs="Times New Roman"/>
                <w:b/>
                <w:sz w:val="20"/>
                <w:szCs w:val="20"/>
              </w:rPr>
              <w:t>Wakefield Public Schools</w:t>
            </w:r>
          </w:p>
          <w:p w14:paraId="2075792C" w14:textId="77777777" w:rsidR="00134236" w:rsidRPr="00134236" w:rsidRDefault="00134236" w:rsidP="00134236">
            <w:pPr>
              <w:spacing w:after="0" w:line="240" w:lineRule="auto"/>
              <w:jc w:val="center"/>
              <w:rPr>
                <w:rFonts w:eastAsia="Times New Roman" w:cs="Times New Roman"/>
                <w:b/>
                <w:sz w:val="20"/>
                <w:szCs w:val="20"/>
              </w:rPr>
            </w:pPr>
            <w:r w:rsidRPr="00134236">
              <w:rPr>
                <w:rFonts w:eastAsia="Times New Roman" w:cs="Times New Roman"/>
                <w:b/>
                <w:sz w:val="20"/>
                <w:szCs w:val="20"/>
              </w:rPr>
              <w:t>MCAS Science Percent Scoring Proficient or Advanced by School and Grade, 2017</w:t>
            </w:r>
          </w:p>
        </w:tc>
      </w:tr>
      <w:tr w:rsidR="00134236" w:rsidRPr="00134236" w14:paraId="6A20962B" w14:textId="77777777" w:rsidTr="00DF5AC6">
        <w:tc>
          <w:tcPr>
            <w:tcW w:w="3330" w:type="dxa"/>
            <w:shd w:val="clear" w:color="auto" w:fill="D9D9D9" w:themeFill="background1" w:themeFillShade="D9"/>
          </w:tcPr>
          <w:p w14:paraId="4D88ACE2" w14:textId="77777777" w:rsidR="00134236" w:rsidRPr="00134236" w:rsidRDefault="00134236" w:rsidP="00E22258">
            <w:pPr>
              <w:spacing w:after="0" w:line="240" w:lineRule="auto"/>
              <w:rPr>
                <w:rFonts w:eastAsia="Times New Roman" w:cs="Times New Roman"/>
                <w:b/>
                <w:sz w:val="20"/>
                <w:szCs w:val="20"/>
              </w:rPr>
            </w:pPr>
            <w:r w:rsidRPr="00134236">
              <w:rPr>
                <w:rFonts w:eastAsia="Times New Roman" w:cs="Times New Roman"/>
                <w:b/>
                <w:sz w:val="20"/>
                <w:szCs w:val="20"/>
              </w:rPr>
              <w:t>School</w:t>
            </w:r>
          </w:p>
        </w:tc>
        <w:tc>
          <w:tcPr>
            <w:tcW w:w="778" w:type="dxa"/>
            <w:shd w:val="clear" w:color="auto" w:fill="D9D9D9" w:themeFill="background1" w:themeFillShade="D9"/>
          </w:tcPr>
          <w:p w14:paraId="0F5D26E8" w14:textId="77777777" w:rsidR="00134236" w:rsidRPr="00134236" w:rsidRDefault="00134236" w:rsidP="00134236">
            <w:pPr>
              <w:spacing w:after="0" w:line="240" w:lineRule="auto"/>
              <w:jc w:val="center"/>
              <w:rPr>
                <w:rFonts w:eastAsia="Times New Roman" w:cs="Times New Roman"/>
                <w:b/>
                <w:sz w:val="20"/>
                <w:szCs w:val="20"/>
              </w:rPr>
            </w:pPr>
            <w:r w:rsidRPr="00134236">
              <w:rPr>
                <w:rFonts w:eastAsia="Times New Roman" w:cs="Times New Roman"/>
                <w:b/>
                <w:sz w:val="20"/>
                <w:szCs w:val="20"/>
              </w:rPr>
              <w:t>3</w:t>
            </w:r>
          </w:p>
        </w:tc>
        <w:tc>
          <w:tcPr>
            <w:tcW w:w="779" w:type="dxa"/>
            <w:shd w:val="clear" w:color="auto" w:fill="D9D9D9" w:themeFill="background1" w:themeFillShade="D9"/>
          </w:tcPr>
          <w:p w14:paraId="03AA4CBB" w14:textId="77777777" w:rsidR="00134236" w:rsidRPr="00134236" w:rsidRDefault="00134236" w:rsidP="00134236">
            <w:pPr>
              <w:spacing w:after="0" w:line="240" w:lineRule="auto"/>
              <w:jc w:val="center"/>
              <w:rPr>
                <w:rFonts w:eastAsia="Times New Roman" w:cs="Times New Roman"/>
                <w:b/>
                <w:sz w:val="20"/>
                <w:szCs w:val="20"/>
              </w:rPr>
            </w:pPr>
            <w:r w:rsidRPr="00134236">
              <w:rPr>
                <w:rFonts w:eastAsia="Times New Roman" w:cs="Times New Roman"/>
                <w:b/>
                <w:sz w:val="20"/>
                <w:szCs w:val="20"/>
              </w:rPr>
              <w:t>4</w:t>
            </w:r>
          </w:p>
        </w:tc>
        <w:tc>
          <w:tcPr>
            <w:tcW w:w="778" w:type="dxa"/>
            <w:shd w:val="clear" w:color="auto" w:fill="D9D9D9" w:themeFill="background1" w:themeFillShade="D9"/>
          </w:tcPr>
          <w:p w14:paraId="374E491F" w14:textId="77777777" w:rsidR="00134236" w:rsidRPr="00134236" w:rsidRDefault="00134236" w:rsidP="00134236">
            <w:pPr>
              <w:spacing w:after="0" w:line="240" w:lineRule="auto"/>
              <w:jc w:val="center"/>
              <w:rPr>
                <w:rFonts w:eastAsia="Times New Roman" w:cs="Times New Roman"/>
                <w:b/>
                <w:sz w:val="20"/>
                <w:szCs w:val="20"/>
              </w:rPr>
            </w:pPr>
            <w:r w:rsidRPr="00134236">
              <w:rPr>
                <w:rFonts w:eastAsia="Times New Roman" w:cs="Times New Roman"/>
                <w:b/>
                <w:sz w:val="20"/>
                <w:szCs w:val="20"/>
              </w:rPr>
              <w:t>5</w:t>
            </w:r>
          </w:p>
        </w:tc>
        <w:tc>
          <w:tcPr>
            <w:tcW w:w="779" w:type="dxa"/>
            <w:shd w:val="clear" w:color="auto" w:fill="D9D9D9" w:themeFill="background1" w:themeFillShade="D9"/>
          </w:tcPr>
          <w:p w14:paraId="51580406" w14:textId="77777777" w:rsidR="00134236" w:rsidRPr="00134236" w:rsidRDefault="00134236" w:rsidP="00134236">
            <w:pPr>
              <w:spacing w:after="0" w:line="240" w:lineRule="auto"/>
              <w:jc w:val="center"/>
              <w:rPr>
                <w:rFonts w:eastAsia="Times New Roman" w:cs="Times New Roman"/>
                <w:b/>
                <w:sz w:val="20"/>
                <w:szCs w:val="20"/>
              </w:rPr>
            </w:pPr>
            <w:r w:rsidRPr="00134236">
              <w:rPr>
                <w:rFonts w:eastAsia="Times New Roman" w:cs="Times New Roman"/>
                <w:b/>
                <w:sz w:val="20"/>
                <w:szCs w:val="20"/>
              </w:rPr>
              <w:t>6</w:t>
            </w:r>
          </w:p>
        </w:tc>
        <w:tc>
          <w:tcPr>
            <w:tcW w:w="778" w:type="dxa"/>
            <w:shd w:val="clear" w:color="auto" w:fill="D9D9D9" w:themeFill="background1" w:themeFillShade="D9"/>
          </w:tcPr>
          <w:p w14:paraId="389F4B3F" w14:textId="77777777" w:rsidR="00134236" w:rsidRPr="00134236" w:rsidRDefault="00134236" w:rsidP="00134236">
            <w:pPr>
              <w:spacing w:after="0" w:line="240" w:lineRule="auto"/>
              <w:jc w:val="center"/>
              <w:rPr>
                <w:rFonts w:eastAsia="Times New Roman" w:cs="Times New Roman"/>
                <w:b/>
                <w:sz w:val="20"/>
                <w:szCs w:val="20"/>
              </w:rPr>
            </w:pPr>
            <w:r w:rsidRPr="00134236">
              <w:rPr>
                <w:rFonts w:eastAsia="Times New Roman" w:cs="Times New Roman"/>
                <w:b/>
                <w:sz w:val="20"/>
                <w:szCs w:val="20"/>
              </w:rPr>
              <w:t>7</w:t>
            </w:r>
          </w:p>
        </w:tc>
        <w:tc>
          <w:tcPr>
            <w:tcW w:w="779" w:type="dxa"/>
            <w:shd w:val="clear" w:color="auto" w:fill="D9D9D9" w:themeFill="background1" w:themeFillShade="D9"/>
          </w:tcPr>
          <w:p w14:paraId="52168D65" w14:textId="77777777" w:rsidR="00134236" w:rsidRPr="00134236" w:rsidRDefault="00134236" w:rsidP="00134236">
            <w:pPr>
              <w:spacing w:after="0" w:line="240" w:lineRule="auto"/>
              <w:jc w:val="center"/>
              <w:rPr>
                <w:rFonts w:eastAsia="Times New Roman" w:cs="Times New Roman"/>
                <w:b/>
                <w:sz w:val="20"/>
                <w:szCs w:val="20"/>
              </w:rPr>
            </w:pPr>
            <w:r w:rsidRPr="00134236">
              <w:rPr>
                <w:rFonts w:eastAsia="Times New Roman" w:cs="Times New Roman"/>
                <w:b/>
                <w:sz w:val="20"/>
                <w:szCs w:val="20"/>
              </w:rPr>
              <w:t>8</w:t>
            </w:r>
          </w:p>
        </w:tc>
        <w:tc>
          <w:tcPr>
            <w:tcW w:w="778" w:type="dxa"/>
            <w:shd w:val="clear" w:color="auto" w:fill="D9D9D9" w:themeFill="background1" w:themeFillShade="D9"/>
          </w:tcPr>
          <w:p w14:paraId="463B4FE8" w14:textId="77777777" w:rsidR="00134236" w:rsidRPr="00134236" w:rsidRDefault="00134236" w:rsidP="00134236">
            <w:pPr>
              <w:spacing w:after="0" w:line="240" w:lineRule="auto"/>
              <w:jc w:val="center"/>
              <w:rPr>
                <w:rFonts w:eastAsia="Times New Roman" w:cs="Times New Roman"/>
                <w:b/>
                <w:sz w:val="20"/>
                <w:szCs w:val="20"/>
              </w:rPr>
            </w:pPr>
            <w:r w:rsidRPr="00134236">
              <w:rPr>
                <w:rFonts w:eastAsia="Times New Roman" w:cs="Times New Roman"/>
                <w:b/>
                <w:sz w:val="20"/>
                <w:szCs w:val="20"/>
              </w:rPr>
              <w:t>10</w:t>
            </w:r>
          </w:p>
        </w:tc>
        <w:tc>
          <w:tcPr>
            <w:tcW w:w="779" w:type="dxa"/>
            <w:shd w:val="clear" w:color="auto" w:fill="D9D9D9" w:themeFill="background1" w:themeFillShade="D9"/>
          </w:tcPr>
          <w:p w14:paraId="6C75468E" w14:textId="77777777" w:rsidR="00134236" w:rsidRPr="00134236" w:rsidRDefault="00134236" w:rsidP="00134236">
            <w:pPr>
              <w:spacing w:after="0" w:line="240" w:lineRule="auto"/>
              <w:jc w:val="center"/>
              <w:rPr>
                <w:rFonts w:eastAsia="Times New Roman" w:cs="Times New Roman"/>
                <w:b/>
                <w:sz w:val="20"/>
                <w:szCs w:val="20"/>
              </w:rPr>
            </w:pPr>
            <w:r w:rsidRPr="00134236">
              <w:rPr>
                <w:rFonts w:eastAsia="Times New Roman" w:cs="Times New Roman"/>
                <w:b/>
                <w:sz w:val="20"/>
                <w:szCs w:val="20"/>
              </w:rPr>
              <w:t>Total</w:t>
            </w:r>
          </w:p>
        </w:tc>
      </w:tr>
      <w:tr w:rsidR="00134236" w:rsidRPr="00134236" w14:paraId="3A0A1677" w14:textId="77777777" w:rsidTr="00DF5AC6">
        <w:tc>
          <w:tcPr>
            <w:tcW w:w="3330" w:type="dxa"/>
            <w:shd w:val="clear" w:color="auto" w:fill="auto"/>
          </w:tcPr>
          <w:p w14:paraId="7F2DCEB4" w14:textId="77777777" w:rsidR="00134236" w:rsidRPr="00134236" w:rsidRDefault="00134236" w:rsidP="00134236">
            <w:pPr>
              <w:spacing w:after="0" w:line="240" w:lineRule="auto"/>
              <w:rPr>
                <w:sz w:val="20"/>
                <w:szCs w:val="20"/>
              </w:rPr>
            </w:pPr>
            <w:r w:rsidRPr="00134236">
              <w:rPr>
                <w:sz w:val="20"/>
                <w:szCs w:val="20"/>
              </w:rPr>
              <w:t>Doyle ECC</w:t>
            </w:r>
          </w:p>
        </w:tc>
        <w:tc>
          <w:tcPr>
            <w:tcW w:w="778" w:type="dxa"/>
            <w:shd w:val="clear" w:color="auto" w:fill="auto"/>
          </w:tcPr>
          <w:p w14:paraId="1B5FBC7D" w14:textId="77777777" w:rsidR="00134236" w:rsidRPr="00134236" w:rsidRDefault="00134236" w:rsidP="00134236">
            <w:pPr>
              <w:spacing w:after="0" w:line="240" w:lineRule="auto"/>
              <w:jc w:val="center"/>
              <w:rPr>
                <w:sz w:val="20"/>
                <w:szCs w:val="20"/>
              </w:rPr>
            </w:pPr>
            <w:r w:rsidRPr="00134236">
              <w:rPr>
                <w:sz w:val="20"/>
                <w:szCs w:val="20"/>
              </w:rPr>
              <w:t>--</w:t>
            </w:r>
          </w:p>
        </w:tc>
        <w:tc>
          <w:tcPr>
            <w:tcW w:w="779" w:type="dxa"/>
            <w:shd w:val="clear" w:color="auto" w:fill="auto"/>
          </w:tcPr>
          <w:p w14:paraId="42CECCDE" w14:textId="77777777" w:rsidR="00134236" w:rsidRPr="00134236" w:rsidRDefault="00134236" w:rsidP="00134236">
            <w:pPr>
              <w:spacing w:after="0" w:line="240" w:lineRule="auto"/>
              <w:jc w:val="center"/>
              <w:rPr>
                <w:sz w:val="20"/>
                <w:szCs w:val="20"/>
              </w:rPr>
            </w:pPr>
            <w:r w:rsidRPr="00134236">
              <w:rPr>
                <w:sz w:val="20"/>
                <w:szCs w:val="20"/>
              </w:rPr>
              <w:t>--</w:t>
            </w:r>
          </w:p>
        </w:tc>
        <w:tc>
          <w:tcPr>
            <w:tcW w:w="778" w:type="dxa"/>
            <w:shd w:val="clear" w:color="auto" w:fill="auto"/>
          </w:tcPr>
          <w:p w14:paraId="1296491A" w14:textId="77777777" w:rsidR="00134236" w:rsidRPr="00134236" w:rsidRDefault="00134236" w:rsidP="00134236">
            <w:pPr>
              <w:spacing w:after="0" w:line="240" w:lineRule="auto"/>
              <w:jc w:val="center"/>
              <w:rPr>
                <w:sz w:val="20"/>
                <w:szCs w:val="20"/>
              </w:rPr>
            </w:pPr>
            <w:r w:rsidRPr="00134236">
              <w:rPr>
                <w:sz w:val="20"/>
                <w:szCs w:val="20"/>
              </w:rPr>
              <w:t>--</w:t>
            </w:r>
          </w:p>
        </w:tc>
        <w:tc>
          <w:tcPr>
            <w:tcW w:w="779" w:type="dxa"/>
            <w:shd w:val="clear" w:color="auto" w:fill="auto"/>
          </w:tcPr>
          <w:p w14:paraId="2A7F25DD" w14:textId="77777777" w:rsidR="00134236" w:rsidRPr="00134236" w:rsidRDefault="00134236" w:rsidP="00134236">
            <w:pPr>
              <w:spacing w:after="0" w:line="240" w:lineRule="auto"/>
              <w:jc w:val="center"/>
              <w:rPr>
                <w:sz w:val="20"/>
                <w:szCs w:val="20"/>
              </w:rPr>
            </w:pPr>
            <w:r w:rsidRPr="00134236">
              <w:rPr>
                <w:sz w:val="20"/>
                <w:szCs w:val="20"/>
              </w:rPr>
              <w:t>--</w:t>
            </w:r>
          </w:p>
        </w:tc>
        <w:tc>
          <w:tcPr>
            <w:tcW w:w="778" w:type="dxa"/>
            <w:shd w:val="clear" w:color="auto" w:fill="auto"/>
          </w:tcPr>
          <w:p w14:paraId="6ADC6AB2" w14:textId="77777777" w:rsidR="00134236" w:rsidRPr="00134236" w:rsidRDefault="00134236" w:rsidP="00134236">
            <w:pPr>
              <w:spacing w:after="0" w:line="240" w:lineRule="auto"/>
              <w:jc w:val="center"/>
              <w:rPr>
                <w:sz w:val="20"/>
                <w:szCs w:val="20"/>
              </w:rPr>
            </w:pPr>
            <w:r w:rsidRPr="00134236">
              <w:rPr>
                <w:sz w:val="20"/>
                <w:szCs w:val="20"/>
              </w:rPr>
              <w:t>--</w:t>
            </w:r>
          </w:p>
        </w:tc>
        <w:tc>
          <w:tcPr>
            <w:tcW w:w="779" w:type="dxa"/>
            <w:shd w:val="clear" w:color="auto" w:fill="auto"/>
          </w:tcPr>
          <w:p w14:paraId="24F61F95" w14:textId="77777777" w:rsidR="00134236" w:rsidRPr="00134236" w:rsidRDefault="00134236" w:rsidP="00134236">
            <w:pPr>
              <w:spacing w:after="0" w:line="240" w:lineRule="auto"/>
              <w:jc w:val="center"/>
              <w:rPr>
                <w:sz w:val="20"/>
                <w:szCs w:val="20"/>
              </w:rPr>
            </w:pPr>
            <w:r w:rsidRPr="00134236">
              <w:rPr>
                <w:sz w:val="20"/>
                <w:szCs w:val="20"/>
              </w:rPr>
              <w:t>--</w:t>
            </w:r>
          </w:p>
        </w:tc>
        <w:tc>
          <w:tcPr>
            <w:tcW w:w="778" w:type="dxa"/>
            <w:shd w:val="clear" w:color="auto" w:fill="auto"/>
          </w:tcPr>
          <w:p w14:paraId="112666C8" w14:textId="77777777" w:rsidR="00134236" w:rsidRPr="00134236" w:rsidRDefault="00134236" w:rsidP="00134236">
            <w:pPr>
              <w:spacing w:after="0" w:line="240" w:lineRule="auto"/>
              <w:jc w:val="center"/>
              <w:rPr>
                <w:sz w:val="20"/>
                <w:szCs w:val="20"/>
              </w:rPr>
            </w:pPr>
            <w:r w:rsidRPr="00134236">
              <w:rPr>
                <w:sz w:val="20"/>
                <w:szCs w:val="20"/>
              </w:rPr>
              <w:t>--</w:t>
            </w:r>
          </w:p>
        </w:tc>
        <w:tc>
          <w:tcPr>
            <w:tcW w:w="779" w:type="dxa"/>
            <w:shd w:val="clear" w:color="auto" w:fill="auto"/>
          </w:tcPr>
          <w:p w14:paraId="0941BD5C" w14:textId="77777777" w:rsidR="00134236" w:rsidRPr="00134236" w:rsidRDefault="00134236" w:rsidP="00134236">
            <w:pPr>
              <w:spacing w:after="0" w:line="240" w:lineRule="auto"/>
              <w:jc w:val="center"/>
              <w:rPr>
                <w:sz w:val="20"/>
                <w:szCs w:val="20"/>
              </w:rPr>
            </w:pPr>
            <w:r w:rsidRPr="00134236">
              <w:rPr>
                <w:sz w:val="20"/>
                <w:szCs w:val="20"/>
              </w:rPr>
              <w:t>--</w:t>
            </w:r>
          </w:p>
        </w:tc>
      </w:tr>
      <w:tr w:rsidR="00134236" w:rsidRPr="00134236" w14:paraId="16B2378B" w14:textId="77777777" w:rsidTr="00DF5AC6">
        <w:tc>
          <w:tcPr>
            <w:tcW w:w="3330" w:type="dxa"/>
            <w:shd w:val="clear" w:color="auto" w:fill="D9D9D9" w:themeFill="background1" w:themeFillShade="D9"/>
          </w:tcPr>
          <w:p w14:paraId="300C94DE" w14:textId="77777777" w:rsidR="00134236" w:rsidRPr="00134236" w:rsidRDefault="00134236" w:rsidP="00134236">
            <w:pPr>
              <w:spacing w:after="0" w:line="240" w:lineRule="auto"/>
              <w:rPr>
                <w:sz w:val="20"/>
                <w:szCs w:val="20"/>
              </w:rPr>
            </w:pPr>
            <w:r w:rsidRPr="00134236">
              <w:rPr>
                <w:sz w:val="20"/>
                <w:szCs w:val="20"/>
              </w:rPr>
              <w:t>Dolbeare</w:t>
            </w:r>
          </w:p>
        </w:tc>
        <w:tc>
          <w:tcPr>
            <w:tcW w:w="778" w:type="dxa"/>
            <w:shd w:val="clear" w:color="auto" w:fill="D9D9D9" w:themeFill="background1" w:themeFillShade="D9"/>
          </w:tcPr>
          <w:p w14:paraId="6DB7E6FB" w14:textId="77777777" w:rsidR="00134236" w:rsidRPr="00134236" w:rsidRDefault="00134236" w:rsidP="00134236">
            <w:pPr>
              <w:spacing w:after="0" w:line="240" w:lineRule="auto"/>
              <w:jc w:val="center"/>
              <w:rPr>
                <w:sz w:val="20"/>
                <w:szCs w:val="20"/>
              </w:rPr>
            </w:pPr>
            <w:r w:rsidRPr="00134236">
              <w:rPr>
                <w:sz w:val="20"/>
                <w:szCs w:val="20"/>
              </w:rPr>
              <w:t>--</w:t>
            </w:r>
          </w:p>
        </w:tc>
        <w:tc>
          <w:tcPr>
            <w:tcW w:w="779" w:type="dxa"/>
            <w:shd w:val="clear" w:color="auto" w:fill="D9D9D9" w:themeFill="background1" w:themeFillShade="D9"/>
          </w:tcPr>
          <w:p w14:paraId="43251F53" w14:textId="77777777" w:rsidR="00134236" w:rsidRPr="00134236" w:rsidRDefault="00134236" w:rsidP="00134236">
            <w:pPr>
              <w:spacing w:after="0" w:line="240" w:lineRule="auto"/>
              <w:jc w:val="center"/>
              <w:rPr>
                <w:sz w:val="20"/>
                <w:szCs w:val="20"/>
              </w:rPr>
            </w:pPr>
            <w:r w:rsidRPr="00134236">
              <w:rPr>
                <w:sz w:val="20"/>
                <w:szCs w:val="20"/>
              </w:rPr>
              <w:t>--</w:t>
            </w:r>
          </w:p>
        </w:tc>
        <w:tc>
          <w:tcPr>
            <w:tcW w:w="778" w:type="dxa"/>
            <w:shd w:val="clear" w:color="auto" w:fill="D9D9D9" w:themeFill="background1" w:themeFillShade="D9"/>
          </w:tcPr>
          <w:p w14:paraId="022F7B9D" w14:textId="77777777" w:rsidR="00134236" w:rsidRPr="00134236" w:rsidRDefault="00134236" w:rsidP="00134236">
            <w:pPr>
              <w:spacing w:after="0" w:line="240" w:lineRule="auto"/>
              <w:jc w:val="center"/>
              <w:rPr>
                <w:sz w:val="20"/>
                <w:szCs w:val="20"/>
              </w:rPr>
            </w:pPr>
            <w:r w:rsidRPr="00134236">
              <w:rPr>
                <w:sz w:val="20"/>
                <w:szCs w:val="20"/>
              </w:rPr>
              <w:t>--</w:t>
            </w:r>
          </w:p>
        </w:tc>
        <w:tc>
          <w:tcPr>
            <w:tcW w:w="779" w:type="dxa"/>
            <w:shd w:val="clear" w:color="auto" w:fill="D9D9D9" w:themeFill="background1" w:themeFillShade="D9"/>
          </w:tcPr>
          <w:p w14:paraId="72A5DBF2" w14:textId="77777777" w:rsidR="00134236" w:rsidRPr="00134236" w:rsidRDefault="00134236" w:rsidP="00134236">
            <w:pPr>
              <w:spacing w:after="0" w:line="240" w:lineRule="auto"/>
              <w:jc w:val="center"/>
              <w:rPr>
                <w:sz w:val="20"/>
                <w:szCs w:val="20"/>
              </w:rPr>
            </w:pPr>
            <w:r w:rsidRPr="00134236">
              <w:rPr>
                <w:sz w:val="20"/>
                <w:szCs w:val="20"/>
              </w:rPr>
              <w:t>--</w:t>
            </w:r>
          </w:p>
        </w:tc>
        <w:tc>
          <w:tcPr>
            <w:tcW w:w="778" w:type="dxa"/>
            <w:shd w:val="clear" w:color="auto" w:fill="D9D9D9" w:themeFill="background1" w:themeFillShade="D9"/>
          </w:tcPr>
          <w:p w14:paraId="5FF3CFAC" w14:textId="77777777" w:rsidR="00134236" w:rsidRPr="00134236" w:rsidRDefault="00134236" w:rsidP="00134236">
            <w:pPr>
              <w:spacing w:after="0" w:line="240" w:lineRule="auto"/>
              <w:jc w:val="center"/>
              <w:rPr>
                <w:sz w:val="20"/>
                <w:szCs w:val="20"/>
              </w:rPr>
            </w:pPr>
            <w:r w:rsidRPr="00134236">
              <w:rPr>
                <w:sz w:val="20"/>
                <w:szCs w:val="20"/>
              </w:rPr>
              <w:t>--</w:t>
            </w:r>
          </w:p>
        </w:tc>
        <w:tc>
          <w:tcPr>
            <w:tcW w:w="779" w:type="dxa"/>
            <w:shd w:val="clear" w:color="auto" w:fill="D9D9D9" w:themeFill="background1" w:themeFillShade="D9"/>
          </w:tcPr>
          <w:p w14:paraId="2772D486" w14:textId="77777777" w:rsidR="00134236" w:rsidRPr="00134236" w:rsidRDefault="00134236" w:rsidP="00134236">
            <w:pPr>
              <w:spacing w:after="0" w:line="240" w:lineRule="auto"/>
              <w:jc w:val="center"/>
              <w:rPr>
                <w:sz w:val="20"/>
                <w:szCs w:val="20"/>
              </w:rPr>
            </w:pPr>
            <w:r w:rsidRPr="00134236">
              <w:rPr>
                <w:sz w:val="20"/>
                <w:szCs w:val="20"/>
              </w:rPr>
              <w:t>--</w:t>
            </w:r>
          </w:p>
        </w:tc>
        <w:tc>
          <w:tcPr>
            <w:tcW w:w="778" w:type="dxa"/>
            <w:shd w:val="clear" w:color="auto" w:fill="D9D9D9" w:themeFill="background1" w:themeFillShade="D9"/>
          </w:tcPr>
          <w:p w14:paraId="7B4FE6C0" w14:textId="77777777" w:rsidR="00134236" w:rsidRPr="00134236" w:rsidRDefault="00134236" w:rsidP="00134236">
            <w:pPr>
              <w:spacing w:after="0" w:line="240" w:lineRule="auto"/>
              <w:jc w:val="center"/>
              <w:rPr>
                <w:sz w:val="20"/>
                <w:szCs w:val="20"/>
              </w:rPr>
            </w:pPr>
            <w:r w:rsidRPr="00134236">
              <w:rPr>
                <w:sz w:val="20"/>
                <w:szCs w:val="20"/>
              </w:rPr>
              <w:t>--</w:t>
            </w:r>
          </w:p>
        </w:tc>
        <w:tc>
          <w:tcPr>
            <w:tcW w:w="779" w:type="dxa"/>
            <w:shd w:val="clear" w:color="auto" w:fill="D9D9D9" w:themeFill="background1" w:themeFillShade="D9"/>
          </w:tcPr>
          <w:p w14:paraId="43545E4B" w14:textId="77777777" w:rsidR="00134236" w:rsidRPr="00134236" w:rsidRDefault="00134236" w:rsidP="00134236">
            <w:pPr>
              <w:spacing w:after="0" w:line="240" w:lineRule="auto"/>
              <w:jc w:val="center"/>
              <w:rPr>
                <w:sz w:val="20"/>
                <w:szCs w:val="20"/>
              </w:rPr>
            </w:pPr>
            <w:r w:rsidRPr="00134236">
              <w:rPr>
                <w:sz w:val="20"/>
                <w:szCs w:val="20"/>
              </w:rPr>
              <w:t>--</w:t>
            </w:r>
          </w:p>
        </w:tc>
      </w:tr>
      <w:tr w:rsidR="00134236" w:rsidRPr="00134236" w14:paraId="4E58C363" w14:textId="77777777" w:rsidTr="00DF5AC6">
        <w:tc>
          <w:tcPr>
            <w:tcW w:w="3330" w:type="dxa"/>
            <w:shd w:val="clear" w:color="auto" w:fill="auto"/>
          </w:tcPr>
          <w:p w14:paraId="4E09903C" w14:textId="77777777" w:rsidR="00134236" w:rsidRPr="00134236" w:rsidRDefault="00134236" w:rsidP="00134236">
            <w:pPr>
              <w:spacing w:after="0" w:line="240" w:lineRule="auto"/>
              <w:rPr>
                <w:sz w:val="20"/>
                <w:szCs w:val="20"/>
              </w:rPr>
            </w:pPr>
            <w:r w:rsidRPr="00134236">
              <w:rPr>
                <w:sz w:val="20"/>
                <w:szCs w:val="20"/>
              </w:rPr>
              <w:t>Woodville</w:t>
            </w:r>
          </w:p>
        </w:tc>
        <w:tc>
          <w:tcPr>
            <w:tcW w:w="778" w:type="dxa"/>
            <w:shd w:val="clear" w:color="auto" w:fill="auto"/>
          </w:tcPr>
          <w:p w14:paraId="5FEF253D" w14:textId="77777777" w:rsidR="00134236" w:rsidRPr="00134236" w:rsidRDefault="00134236" w:rsidP="00134236">
            <w:pPr>
              <w:spacing w:after="0" w:line="240" w:lineRule="auto"/>
              <w:jc w:val="center"/>
              <w:rPr>
                <w:sz w:val="20"/>
                <w:szCs w:val="20"/>
              </w:rPr>
            </w:pPr>
            <w:r w:rsidRPr="00134236">
              <w:rPr>
                <w:sz w:val="20"/>
                <w:szCs w:val="20"/>
              </w:rPr>
              <w:t>--</w:t>
            </w:r>
          </w:p>
        </w:tc>
        <w:tc>
          <w:tcPr>
            <w:tcW w:w="779" w:type="dxa"/>
            <w:shd w:val="clear" w:color="auto" w:fill="auto"/>
          </w:tcPr>
          <w:p w14:paraId="74746E06" w14:textId="77777777" w:rsidR="00134236" w:rsidRPr="00134236" w:rsidRDefault="00134236" w:rsidP="00134236">
            <w:pPr>
              <w:spacing w:after="0" w:line="240" w:lineRule="auto"/>
              <w:jc w:val="center"/>
              <w:rPr>
                <w:sz w:val="20"/>
                <w:szCs w:val="20"/>
              </w:rPr>
            </w:pPr>
            <w:r w:rsidRPr="00134236">
              <w:rPr>
                <w:sz w:val="20"/>
                <w:szCs w:val="20"/>
              </w:rPr>
              <w:t>--</w:t>
            </w:r>
          </w:p>
        </w:tc>
        <w:tc>
          <w:tcPr>
            <w:tcW w:w="778" w:type="dxa"/>
            <w:shd w:val="clear" w:color="auto" w:fill="auto"/>
          </w:tcPr>
          <w:p w14:paraId="31ADC65B" w14:textId="77777777" w:rsidR="00134236" w:rsidRPr="00134236" w:rsidRDefault="00134236" w:rsidP="00134236">
            <w:pPr>
              <w:spacing w:after="0" w:line="240" w:lineRule="auto"/>
              <w:jc w:val="center"/>
              <w:rPr>
                <w:sz w:val="20"/>
                <w:szCs w:val="20"/>
              </w:rPr>
            </w:pPr>
            <w:r w:rsidRPr="00134236">
              <w:rPr>
                <w:sz w:val="20"/>
                <w:szCs w:val="20"/>
              </w:rPr>
              <w:t>--</w:t>
            </w:r>
          </w:p>
        </w:tc>
        <w:tc>
          <w:tcPr>
            <w:tcW w:w="779" w:type="dxa"/>
            <w:shd w:val="clear" w:color="auto" w:fill="auto"/>
          </w:tcPr>
          <w:p w14:paraId="729F535E" w14:textId="77777777" w:rsidR="00134236" w:rsidRPr="00134236" w:rsidRDefault="00134236" w:rsidP="00134236">
            <w:pPr>
              <w:spacing w:after="0" w:line="240" w:lineRule="auto"/>
              <w:jc w:val="center"/>
              <w:rPr>
                <w:sz w:val="20"/>
                <w:szCs w:val="20"/>
              </w:rPr>
            </w:pPr>
            <w:r w:rsidRPr="00134236">
              <w:rPr>
                <w:sz w:val="20"/>
                <w:szCs w:val="20"/>
              </w:rPr>
              <w:t>--</w:t>
            </w:r>
          </w:p>
        </w:tc>
        <w:tc>
          <w:tcPr>
            <w:tcW w:w="778" w:type="dxa"/>
            <w:shd w:val="clear" w:color="auto" w:fill="auto"/>
          </w:tcPr>
          <w:p w14:paraId="654E33D5" w14:textId="77777777" w:rsidR="00134236" w:rsidRPr="00134236" w:rsidRDefault="00134236" w:rsidP="00134236">
            <w:pPr>
              <w:spacing w:after="0" w:line="240" w:lineRule="auto"/>
              <w:jc w:val="center"/>
              <w:rPr>
                <w:sz w:val="20"/>
                <w:szCs w:val="20"/>
              </w:rPr>
            </w:pPr>
            <w:r w:rsidRPr="00134236">
              <w:rPr>
                <w:sz w:val="20"/>
                <w:szCs w:val="20"/>
              </w:rPr>
              <w:t>--</w:t>
            </w:r>
          </w:p>
        </w:tc>
        <w:tc>
          <w:tcPr>
            <w:tcW w:w="779" w:type="dxa"/>
            <w:shd w:val="clear" w:color="auto" w:fill="auto"/>
          </w:tcPr>
          <w:p w14:paraId="042767CC" w14:textId="77777777" w:rsidR="00134236" w:rsidRPr="00134236" w:rsidRDefault="00134236" w:rsidP="00134236">
            <w:pPr>
              <w:spacing w:after="0" w:line="240" w:lineRule="auto"/>
              <w:jc w:val="center"/>
              <w:rPr>
                <w:sz w:val="20"/>
                <w:szCs w:val="20"/>
              </w:rPr>
            </w:pPr>
            <w:r w:rsidRPr="00134236">
              <w:rPr>
                <w:sz w:val="20"/>
                <w:szCs w:val="20"/>
              </w:rPr>
              <w:t>--</w:t>
            </w:r>
          </w:p>
        </w:tc>
        <w:tc>
          <w:tcPr>
            <w:tcW w:w="778" w:type="dxa"/>
            <w:shd w:val="clear" w:color="auto" w:fill="auto"/>
          </w:tcPr>
          <w:p w14:paraId="76C5A26C" w14:textId="77777777" w:rsidR="00134236" w:rsidRPr="00134236" w:rsidRDefault="00134236" w:rsidP="00134236">
            <w:pPr>
              <w:spacing w:after="0" w:line="240" w:lineRule="auto"/>
              <w:jc w:val="center"/>
              <w:rPr>
                <w:sz w:val="20"/>
                <w:szCs w:val="20"/>
              </w:rPr>
            </w:pPr>
            <w:r w:rsidRPr="00134236">
              <w:rPr>
                <w:sz w:val="20"/>
                <w:szCs w:val="20"/>
              </w:rPr>
              <w:t>--</w:t>
            </w:r>
          </w:p>
        </w:tc>
        <w:tc>
          <w:tcPr>
            <w:tcW w:w="779" w:type="dxa"/>
            <w:shd w:val="clear" w:color="auto" w:fill="auto"/>
          </w:tcPr>
          <w:p w14:paraId="16F4F49C" w14:textId="77777777" w:rsidR="00134236" w:rsidRPr="00134236" w:rsidRDefault="00134236" w:rsidP="00134236">
            <w:pPr>
              <w:spacing w:after="0" w:line="240" w:lineRule="auto"/>
              <w:jc w:val="center"/>
              <w:rPr>
                <w:sz w:val="20"/>
                <w:szCs w:val="20"/>
              </w:rPr>
            </w:pPr>
            <w:r w:rsidRPr="00134236">
              <w:rPr>
                <w:sz w:val="20"/>
                <w:szCs w:val="20"/>
              </w:rPr>
              <w:t>--</w:t>
            </w:r>
          </w:p>
        </w:tc>
      </w:tr>
      <w:tr w:rsidR="00134236" w:rsidRPr="00134236" w14:paraId="0B05DF47" w14:textId="77777777" w:rsidTr="00DF5AC6">
        <w:tc>
          <w:tcPr>
            <w:tcW w:w="3330" w:type="dxa"/>
            <w:shd w:val="clear" w:color="auto" w:fill="D9D9D9" w:themeFill="background1" w:themeFillShade="D9"/>
          </w:tcPr>
          <w:p w14:paraId="3E4C8814" w14:textId="77777777" w:rsidR="00134236" w:rsidRPr="00134236" w:rsidRDefault="00134236" w:rsidP="00134236">
            <w:pPr>
              <w:spacing w:after="0" w:line="240" w:lineRule="auto"/>
              <w:rPr>
                <w:sz w:val="20"/>
                <w:szCs w:val="20"/>
              </w:rPr>
            </w:pPr>
            <w:r w:rsidRPr="00134236">
              <w:rPr>
                <w:sz w:val="20"/>
                <w:szCs w:val="20"/>
              </w:rPr>
              <w:t>Greenwood</w:t>
            </w:r>
          </w:p>
        </w:tc>
        <w:tc>
          <w:tcPr>
            <w:tcW w:w="778" w:type="dxa"/>
            <w:shd w:val="clear" w:color="auto" w:fill="D9D9D9" w:themeFill="background1" w:themeFillShade="D9"/>
          </w:tcPr>
          <w:p w14:paraId="190D3C50" w14:textId="77777777" w:rsidR="00134236" w:rsidRPr="00134236" w:rsidRDefault="00134236" w:rsidP="00134236">
            <w:pPr>
              <w:spacing w:after="0" w:line="240" w:lineRule="auto"/>
              <w:jc w:val="center"/>
              <w:rPr>
                <w:sz w:val="20"/>
                <w:szCs w:val="20"/>
              </w:rPr>
            </w:pPr>
            <w:r w:rsidRPr="00134236">
              <w:rPr>
                <w:sz w:val="20"/>
                <w:szCs w:val="20"/>
              </w:rPr>
              <w:t>--</w:t>
            </w:r>
          </w:p>
        </w:tc>
        <w:tc>
          <w:tcPr>
            <w:tcW w:w="779" w:type="dxa"/>
            <w:shd w:val="clear" w:color="auto" w:fill="D9D9D9" w:themeFill="background1" w:themeFillShade="D9"/>
          </w:tcPr>
          <w:p w14:paraId="2BCF82C2" w14:textId="77777777" w:rsidR="00134236" w:rsidRPr="00134236" w:rsidRDefault="00134236" w:rsidP="00134236">
            <w:pPr>
              <w:spacing w:after="0" w:line="240" w:lineRule="auto"/>
              <w:jc w:val="center"/>
              <w:rPr>
                <w:sz w:val="20"/>
                <w:szCs w:val="20"/>
              </w:rPr>
            </w:pPr>
            <w:r w:rsidRPr="00134236">
              <w:rPr>
                <w:sz w:val="20"/>
                <w:szCs w:val="20"/>
              </w:rPr>
              <w:t>--</w:t>
            </w:r>
          </w:p>
        </w:tc>
        <w:tc>
          <w:tcPr>
            <w:tcW w:w="778" w:type="dxa"/>
            <w:shd w:val="clear" w:color="auto" w:fill="D9D9D9" w:themeFill="background1" w:themeFillShade="D9"/>
          </w:tcPr>
          <w:p w14:paraId="52D82112" w14:textId="77777777" w:rsidR="00134236" w:rsidRPr="00134236" w:rsidRDefault="00134236" w:rsidP="00134236">
            <w:pPr>
              <w:spacing w:after="0" w:line="240" w:lineRule="auto"/>
              <w:jc w:val="center"/>
              <w:rPr>
                <w:sz w:val="20"/>
                <w:szCs w:val="20"/>
              </w:rPr>
            </w:pPr>
            <w:r w:rsidRPr="00134236">
              <w:rPr>
                <w:sz w:val="20"/>
                <w:szCs w:val="20"/>
              </w:rPr>
              <w:t>--</w:t>
            </w:r>
          </w:p>
        </w:tc>
        <w:tc>
          <w:tcPr>
            <w:tcW w:w="779" w:type="dxa"/>
            <w:shd w:val="clear" w:color="auto" w:fill="D9D9D9" w:themeFill="background1" w:themeFillShade="D9"/>
          </w:tcPr>
          <w:p w14:paraId="48798C26" w14:textId="77777777" w:rsidR="00134236" w:rsidRPr="00134236" w:rsidRDefault="00134236" w:rsidP="00134236">
            <w:pPr>
              <w:spacing w:after="0" w:line="240" w:lineRule="auto"/>
              <w:jc w:val="center"/>
              <w:rPr>
                <w:sz w:val="20"/>
                <w:szCs w:val="20"/>
              </w:rPr>
            </w:pPr>
            <w:r w:rsidRPr="00134236">
              <w:rPr>
                <w:sz w:val="20"/>
                <w:szCs w:val="20"/>
              </w:rPr>
              <w:t>--</w:t>
            </w:r>
          </w:p>
        </w:tc>
        <w:tc>
          <w:tcPr>
            <w:tcW w:w="778" w:type="dxa"/>
            <w:shd w:val="clear" w:color="auto" w:fill="D9D9D9" w:themeFill="background1" w:themeFillShade="D9"/>
          </w:tcPr>
          <w:p w14:paraId="7A027B1F" w14:textId="77777777" w:rsidR="00134236" w:rsidRPr="00134236" w:rsidRDefault="00134236" w:rsidP="00134236">
            <w:pPr>
              <w:spacing w:after="0" w:line="240" w:lineRule="auto"/>
              <w:jc w:val="center"/>
              <w:rPr>
                <w:sz w:val="20"/>
                <w:szCs w:val="20"/>
              </w:rPr>
            </w:pPr>
            <w:r w:rsidRPr="00134236">
              <w:rPr>
                <w:sz w:val="20"/>
                <w:szCs w:val="20"/>
              </w:rPr>
              <w:t>--</w:t>
            </w:r>
          </w:p>
        </w:tc>
        <w:tc>
          <w:tcPr>
            <w:tcW w:w="779" w:type="dxa"/>
            <w:shd w:val="clear" w:color="auto" w:fill="D9D9D9" w:themeFill="background1" w:themeFillShade="D9"/>
          </w:tcPr>
          <w:p w14:paraId="4C3A54FD" w14:textId="77777777" w:rsidR="00134236" w:rsidRPr="00134236" w:rsidRDefault="00134236" w:rsidP="00134236">
            <w:pPr>
              <w:spacing w:after="0" w:line="240" w:lineRule="auto"/>
              <w:jc w:val="center"/>
              <w:rPr>
                <w:sz w:val="20"/>
                <w:szCs w:val="20"/>
              </w:rPr>
            </w:pPr>
            <w:r w:rsidRPr="00134236">
              <w:rPr>
                <w:sz w:val="20"/>
                <w:szCs w:val="20"/>
              </w:rPr>
              <w:t>--</w:t>
            </w:r>
          </w:p>
        </w:tc>
        <w:tc>
          <w:tcPr>
            <w:tcW w:w="778" w:type="dxa"/>
            <w:shd w:val="clear" w:color="auto" w:fill="D9D9D9" w:themeFill="background1" w:themeFillShade="D9"/>
          </w:tcPr>
          <w:p w14:paraId="74DB4A25" w14:textId="77777777" w:rsidR="00134236" w:rsidRPr="00134236" w:rsidRDefault="00134236" w:rsidP="00134236">
            <w:pPr>
              <w:spacing w:after="0" w:line="240" w:lineRule="auto"/>
              <w:jc w:val="center"/>
              <w:rPr>
                <w:sz w:val="20"/>
                <w:szCs w:val="20"/>
              </w:rPr>
            </w:pPr>
            <w:r w:rsidRPr="00134236">
              <w:rPr>
                <w:sz w:val="20"/>
                <w:szCs w:val="20"/>
              </w:rPr>
              <w:t>--</w:t>
            </w:r>
          </w:p>
        </w:tc>
        <w:tc>
          <w:tcPr>
            <w:tcW w:w="779" w:type="dxa"/>
            <w:shd w:val="clear" w:color="auto" w:fill="D9D9D9" w:themeFill="background1" w:themeFillShade="D9"/>
          </w:tcPr>
          <w:p w14:paraId="1BB85E49" w14:textId="77777777" w:rsidR="00134236" w:rsidRPr="00134236" w:rsidRDefault="00134236" w:rsidP="00134236">
            <w:pPr>
              <w:spacing w:after="0" w:line="240" w:lineRule="auto"/>
              <w:jc w:val="center"/>
              <w:rPr>
                <w:sz w:val="20"/>
                <w:szCs w:val="20"/>
              </w:rPr>
            </w:pPr>
            <w:r w:rsidRPr="00134236">
              <w:rPr>
                <w:sz w:val="20"/>
                <w:szCs w:val="20"/>
              </w:rPr>
              <w:t>--</w:t>
            </w:r>
          </w:p>
        </w:tc>
      </w:tr>
      <w:tr w:rsidR="00134236" w:rsidRPr="00134236" w14:paraId="67CF7376" w14:textId="77777777" w:rsidTr="00DF5AC6">
        <w:tc>
          <w:tcPr>
            <w:tcW w:w="3330" w:type="dxa"/>
            <w:shd w:val="clear" w:color="auto" w:fill="auto"/>
          </w:tcPr>
          <w:p w14:paraId="7B536894" w14:textId="77777777" w:rsidR="00134236" w:rsidRPr="00134236" w:rsidRDefault="00134236" w:rsidP="00134236">
            <w:pPr>
              <w:spacing w:after="0" w:line="240" w:lineRule="auto"/>
              <w:rPr>
                <w:sz w:val="20"/>
                <w:szCs w:val="20"/>
              </w:rPr>
            </w:pPr>
            <w:r w:rsidRPr="00134236">
              <w:rPr>
                <w:sz w:val="20"/>
                <w:szCs w:val="20"/>
              </w:rPr>
              <w:t>Walton</w:t>
            </w:r>
          </w:p>
        </w:tc>
        <w:tc>
          <w:tcPr>
            <w:tcW w:w="778" w:type="dxa"/>
            <w:shd w:val="clear" w:color="auto" w:fill="auto"/>
          </w:tcPr>
          <w:p w14:paraId="49DFE209" w14:textId="77777777" w:rsidR="00134236" w:rsidRPr="00134236" w:rsidRDefault="00134236" w:rsidP="00134236">
            <w:pPr>
              <w:spacing w:after="0" w:line="240" w:lineRule="auto"/>
              <w:jc w:val="center"/>
              <w:rPr>
                <w:sz w:val="20"/>
                <w:szCs w:val="20"/>
              </w:rPr>
            </w:pPr>
            <w:r w:rsidRPr="00134236">
              <w:rPr>
                <w:sz w:val="20"/>
                <w:szCs w:val="20"/>
              </w:rPr>
              <w:t>--</w:t>
            </w:r>
          </w:p>
        </w:tc>
        <w:tc>
          <w:tcPr>
            <w:tcW w:w="779" w:type="dxa"/>
            <w:shd w:val="clear" w:color="auto" w:fill="auto"/>
          </w:tcPr>
          <w:p w14:paraId="2CEF5F3E" w14:textId="77777777" w:rsidR="00134236" w:rsidRPr="00134236" w:rsidRDefault="00134236" w:rsidP="00134236">
            <w:pPr>
              <w:spacing w:after="0" w:line="240" w:lineRule="auto"/>
              <w:jc w:val="center"/>
              <w:rPr>
                <w:sz w:val="20"/>
                <w:szCs w:val="20"/>
              </w:rPr>
            </w:pPr>
            <w:r w:rsidRPr="00134236">
              <w:rPr>
                <w:sz w:val="20"/>
                <w:szCs w:val="20"/>
              </w:rPr>
              <w:t>--</w:t>
            </w:r>
          </w:p>
        </w:tc>
        <w:tc>
          <w:tcPr>
            <w:tcW w:w="778" w:type="dxa"/>
            <w:shd w:val="clear" w:color="auto" w:fill="auto"/>
          </w:tcPr>
          <w:p w14:paraId="76259D8B" w14:textId="77777777" w:rsidR="00134236" w:rsidRPr="00134236" w:rsidRDefault="00134236" w:rsidP="00134236">
            <w:pPr>
              <w:spacing w:after="0" w:line="240" w:lineRule="auto"/>
              <w:jc w:val="center"/>
              <w:rPr>
                <w:sz w:val="20"/>
                <w:szCs w:val="20"/>
              </w:rPr>
            </w:pPr>
            <w:r w:rsidRPr="00134236">
              <w:rPr>
                <w:sz w:val="20"/>
                <w:szCs w:val="20"/>
              </w:rPr>
              <w:t>--</w:t>
            </w:r>
          </w:p>
        </w:tc>
        <w:tc>
          <w:tcPr>
            <w:tcW w:w="779" w:type="dxa"/>
            <w:shd w:val="clear" w:color="auto" w:fill="auto"/>
          </w:tcPr>
          <w:p w14:paraId="1C19DD67" w14:textId="77777777" w:rsidR="00134236" w:rsidRPr="00134236" w:rsidRDefault="00134236" w:rsidP="00134236">
            <w:pPr>
              <w:spacing w:after="0" w:line="240" w:lineRule="auto"/>
              <w:jc w:val="center"/>
              <w:rPr>
                <w:sz w:val="20"/>
                <w:szCs w:val="20"/>
              </w:rPr>
            </w:pPr>
            <w:r w:rsidRPr="00134236">
              <w:rPr>
                <w:sz w:val="20"/>
                <w:szCs w:val="20"/>
              </w:rPr>
              <w:t>--</w:t>
            </w:r>
          </w:p>
        </w:tc>
        <w:tc>
          <w:tcPr>
            <w:tcW w:w="778" w:type="dxa"/>
            <w:shd w:val="clear" w:color="auto" w:fill="auto"/>
          </w:tcPr>
          <w:p w14:paraId="274F6E4B" w14:textId="77777777" w:rsidR="00134236" w:rsidRPr="00134236" w:rsidRDefault="00134236" w:rsidP="00134236">
            <w:pPr>
              <w:spacing w:after="0" w:line="240" w:lineRule="auto"/>
              <w:jc w:val="center"/>
              <w:rPr>
                <w:sz w:val="20"/>
                <w:szCs w:val="20"/>
              </w:rPr>
            </w:pPr>
            <w:r w:rsidRPr="00134236">
              <w:rPr>
                <w:sz w:val="20"/>
                <w:szCs w:val="20"/>
              </w:rPr>
              <w:t>--</w:t>
            </w:r>
          </w:p>
        </w:tc>
        <w:tc>
          <w:tcPr>
            <w:tcW w:w="779" w:type="dxa"/>
            <w:shd w:val="clear" w:color="auto" w:fill="auto"/>
          </w:tcPr>
          <w:p w14:paraId="2D46FDBA" w14:textId="77777777" w:rsidR="00134236" w:rsidRPr="00134236" w:rsidRDefault="00134236" w:rsidP="00134236">
            <w:pPr>
              <w:spacing w:after="0" w:line="240" w:lineRule="auto"/>
              <w:jc w:val="center"/>
              <w:rPr>
                <w:sz w:val="20"/>
                <w:szCs w:val="20"/>
              </w:rPr>
            </w:pPr>
            <w:r w:rsidRPr="00134236">
              <w:rPr>
                <w:sz w:val="20"/>
                <w:szCs w:val="20"/>
              </w:rPr>
              <w:t>--</w:t>
            </w:r>
          </w:p>
        </w:tc>
        <w:tc>
          <w:tcPr>
            <w:tcW w:w="778" w:type="dxa"/>
            <w:shd w:val="clear" w:color="auto" w:fill="auto"/>
          </w:tcPr>
          <w:p w14:paraId="1780912E" w14:textId="77777777" w:rsidR="00134236" w:rsidRPr="00134236" w:rsidRDefault="00134236" w:rsidP="00134236">
            <w:pPr>
              <w:spacing w:after="0" w:line="240" w:lineRule="auto"/>
              <w:jc w:val="center"/>
              <w:rPr>
                <w:sz w:val="20"/>
                <w:szCs w:val="20"/>
              </w:rPr>
            </w:pPr>
            <w:r w:rsidRPr="00134236">
              <w:rPr>
                <w:sz w:val="20"/>
                <w:szCs w:val="20"/>
              </w:rPr>
              <w:t>--</w:t>
            </w:r>
          </w:p>
        </w:tc>
        <w:tc>
          <w:tcPr>
            <w:tcW w:w="779" w:type="dxa"/>
            <w:shd w:val="clear" w:color="auto" w:fill="auto"/>
          </w:tcPr>
          <w:p w14:paraId="3A4E4590" w14:textId="77777777" w:rsidR="00134236" w:rsidRPr="00134236" w:rsidRDefault="00134236" w:rsidP="00134236">
            <w:pPr>
              <w:spacing w:after="0" w:line="240" w:lineRule="auto"/>
              <w:jc w:val="center"/>
              <w:rPr>
                <w:sz w:val="20"/>
                <w:szCs w:val="20"/>
              </w:rPr>
            </w:pPr>
            <w:r w:rsidRPr="00134236">
              <w:rPr>
                <w:sz w:val="20"/>
                <w:szCs w:val="20"/>
              </w:rPr>
              <w:t>--</w:t>
            </w:r>
          </w:p>
        </w:tc>
      </w:tr>
      <w:tr w:rsidR="00134236" w:rsidRPr="00134236" w14:paraId="7092C87B" w14:textId="77777777" w:rsidTr="00DF5AC6">
        <w:tc>
          <w:tcPr>
            <w:tcW w:w="3330" w:type="dxa"/>
            <w:shd w:val="clear" w:color="auto" w:fill="D9D9D9" w:themeFill="background1" w:themeFillShade="D9"/>
          </w:tcPr>
          <w:p w14:paraId="1C8D6104" w14:textId="2B97ACEE" w:rsidR="00134236" w:rsidRPr="00134236" w:rsidRDefault="00134236" w:rsidP="0078366D">
            <w:pPr>
              <w:spacing w:after="0" w:line="240" w:lineRule="auto"/>
              <w:rPr>
                <w:sz w:val="20"/>
                <w:szCs w:val="20"/>
              </w:rPr>
            </w:pPr>
            <w:r w:rsidRPr="00134236">
              <w:rPr>
                <w:sz w:val="20"/>
                <w:szCs w:val="20"/>
              </w:rPr>
              <w:t xml:space="preserve">Galvin </w:t>
            </w:r>
            <w:r w:rsidR="0078366D" w:rsidRPr="00134236">
              <w:rPr>
                <w:sz w:val="20"/>
                <w:szCs w:val="20"/>
              </w:rPr>
              <w:t>M</w:t>
            </w:r>
            <w:r w:rsidR="0078366D">
              <w:rPr>
                <w:sz w:val="20"/>
                <w:szCs w:val="20"/>
              </w:rPr>
              <w:t>iddle</w:t>
            </w:r>
          </w:p>
        </w:tc>
        <w:tc>
          <w:tcPr>
            <w:tcW w:w="778" w:type="dxa"/>
            <w:shd w:val="clear" w:color="auto" w:fill="D9D9D9" w:themeFill="background1" w:themeFillShade="D9"/>
          </w:tcPr>
          <w:p w14:paraId="76CFA68C" w14:textId="77777777" w:rsidR="00134236" w:rsidRPr="00134236" w:rsidRDefault="00134236" w:rsidP="00134236">
            <w:pPr>
              <w:spacing w:after="0" w:line="240" w:lineRule="auto"/>
              <w:jc w:val="center"/>
              <w:rPr>
                <w:sz w:val="20"/>
                <w:szCs w:val="20"/>
              </w:rPr>
            </w:pPr>
            <w:r w:rsidRPr="00134236">
              <w:rPr>
                <w:sz w:val="20"/>
                <w:szCs w:val="20"/>
              </w:rPr>
              <w:t>--</w:t>
            </w:r>
          </w:p>
        </w:tc>
        <w:tc>
          <w:tcPr>
            <w:tcW w:w="779" w:type="dxa"/>
            <w:shd w:val="clear" w:color="auto" w:fill="D9D9D9" w:themeFill="background1" w:themeFillShade="D9"/>
          </w:tcPr>
          <w:p w14:paraId="17354FBC" w14:textId="77777777" w:rsidR="00134236" w:rsidRPr="00134236" w:rsidRDefault="00134236" w:rsidP="00134236">
            <w:pPr>
              <w:spacing w:after="0" w:line="240" w:lineRule="auto"/>
              <w:jc w:val="center"/>
              <w:rPr>
                <w:sz w:val="20"/>
                <w:szCs w:val="20"/>
              </w:rPr>
            </w:pPr>
            <w:r w:rsidRPr="00134236">
              <w:rPr>
                <w:sz w:val="20"/>
                <w:szCs w:val="20"/>
              </w:rPr>
              <w:t>--</w:t>
            </w:r>
          </w:p>
        </w:tc>
        <w:tc>
          <w:tcPr>
            <w:tcW w:w="778" w:type="dxa"/>
            <w:shd w:val="clear" w:color="auto" w:fill="D9D9D9" w:themeFill="background1" w:themeFillShade="D9"/>
          </w:tcPr>
          <w:p w14:paraId="734090F9" w14:textId="77777777" w:rsidR="00134236" w:rsidRPr="00134236" w:rsidRDefault="00134236" w:rsidP="00134236">
            <w:pPr>
              <w:spacing w:after="0" w:line="240" w:lineRule="auto"/>
              <w:jc w:val="center"/>
              <w:rPr>
                <w:sz w:val="20"/>
                <w:szCs w:val="20"/>
              </w:rPr>
            </w:pPr>
            <w:r w:rsidRPr="00134236">
              <w:rPr>
                <w:sz w:val="20"/>
                <w:szCs w:val="20"/>
              </w:rPr>
              <w:t>51%</w:t>
            </w:r>
          </w:p>
        </w:tc>
        <w:tc>
          <w:tcPr>
            <w:tcW w:w="779" w:type="dxa"/>
            <w:shd w:val="clear" w:color="auto" w:fill="D9D9D9" w:themeFill="background1" w:themeFillShade="D9"/>
          </w:tcPr>
          <w:p w14:paraId="0F068AB5" w14:textId="77777777" w:rsidR="00134236" w:rsidRPr="00134236" w:rsidRDefault="00134236" w:rsidP="00134236">
            <w:pPr>
              <w:spacing w:after="0" w:line="240" w:lineRule="auto"/>
              <w:jc w:val="center"/>
              <w:rPr>
                <w:sz w:val="20"/>
                <w:szCs w:val="20"/>
              </w:rPr>
            </w:pPr>
            <w:r w:rsidRPr="00134236">
              <w:rPr>
                <w:sz w:val="20"/>
                <w:szCs w:val="20"/>
              </w:rPr>
              <w:t>--</w:t>
            </w:r>
          </w:p>
        </w:tc>
        <w:tc>
          <w:tcPr>
            <w:tcW w:w="778" w:type="dxa"/>
            <w:shd w:val="clear" w:color="auto" w:fill="D9D9D9" w:themeFill="background1" w:themeFillShade="D9"/>
          </w:tcPr>
          <w:p w14:paraId="09040B1D" w14:textId="77777777" w:rsidR="00134236" w:rsidRPr="00134236" w:rsidRDefault="00134236" w:rsidP="00134236">
            <w:pPr>
              <w:spacing w:after="0" w:line="240" w:lineRule="auto"/>
              <w:jc w:val="center"/>
              <w:rPr>
                <w:sz w:val="20"/>
                <w:szCs w:val="20"/>
              </w:rPr>
            </w:pPr>
            <w:r w:rsidRPr="00134236">
              <w:rPr>
                <w:sz w:val="20"/>
                <w:szCs w:val="20"/>
              </w:rPr>
              <w:t>--</w:t>
            </w:r>
          </w:p>
        </w:tc>
        <w:tc>
          <w:tcPr>
            <w:tcW w:w="779" w:type="dxa"/>
            <w:shd w:val="clear" w:color="auto" w:fill="D9D9D9" w:themeFill="background1" w:themeFillShade="D9"/>
          </w:tcPr>
          <w:p w14:paraId="7B2B0457" w14:textId="77777777" w:rsidR="00134236" w:rsidRPr="00134236" w:rsidRDefault="00134236" w:rsidP="00134236">
            <w:pPr>
              <w:spacing w:after="0" w:line="240" w:lineRule="auto"/>
              <w:jc w:val="center"/>
              <w:rPr>
                <w:sz w:val="20"/>
                <w:szCs w:val="20"/>
              </w:rPr>
            </w:pPr>
            <w:r w:rsidRPr="00134236">
              <w:rPr>
                <w:sz w:val="20"/>
                <w:szCs w:val="20"/>
              </w:rPr>
              <w:t>37%</w:t>
            </w:r>
          </w:p>
        </w:tc>
        <w:tc>
          <w:tcPr>
            <w:tcW w:w="778" w:type="dxa"/>
            <w:shd w:val="clear" w:color="auto" w:fill="D9D9D9" w:themeFill="background1" w:themeFillShade="D9"/>
          </w:tcPr>
          <w:p w14:paraId="3C526F46" w14:textId="77777777" w:rsidR="00134236" w:rsidRPr="00134236" w:rsidRDefault="00134236" w:rsidP="00134236">
            <w:pPr>
              <w:spacing w:after="0" w:line="240" w:lineRule="auto"/>
              <w:jc w:val="center"/>
              <w:rPr>
                <w:sz w:val="20"/>
                <w:szCs w:val="20"/>
              </w:rPr>
            </w:pPr>
            <w:r w:rsidRPr="00134236">
              <w:rPr>
                <w:sz w:val="20"/>
                <w:szCs w:val="20"/>
              </w:rPr>
              <w:t>--</w:t>
            </w:r>
          </w:p>
        </w:tc>
        <w:tc>
          <w:tcPr>
            <w:tcW w:w="779" w:type="dxa"/>
            <w:shd w:val="clear" w:color="auto" w:fill="D9D9D9" w:themeFill="background1" w:themeFillShade="D9"/>
          </w:tcPr>
          <w:p w14:paraId="41839909" w14:textId="77777777" w:rsidR="00134236" w:rsidRPr="00134236" w:rsidRDefault="00134236" w:rsidP="00134236">
            <w:pPr>
              <w:spacing w:after="0" w:line="240" w:lineRule="auto"/>
              <w:jc w:val="center"/>
              <w:rPr>
                <w:sz w:val="20"/>
                <w:szCs w:val="20"/>
              </w:rPr>
            </w:pPr>
            <w:r w:rsidRPr="00134236">
              <w:rPr>
                <w:sz w:val="20"/>
                <w:szCs w:val="20"/>
              </w:rPr>
              <w:t>43%</w:t>
            </w:r>
          </w:p>
        </w:tc>
      </w:tr>
      <w:tr w:rsidR="00134236" w:rsidRPr="00134236" w14:paraId="1113E56E" w14:textId="77777777" w:rsidTr="00DF5AC6">
        <w:tc>
          <w:tcPr>
            <w:tcW w:w="3330" w:type="dxa"/>
            <w:shd w:val="clear" w:color="auto" w:fill="auto"/>
          </w:tcPr>
          <w:p w14:paraId="4A220B32" w14:textId="77777777" w:rsidR="00134236" w:rsidRPr="00134236" w:rsidRDefault="00134236" w:rsidP="00134236">
            <w:pPr>
              <w:spacing w:after="0" w:line="240" w:lineRule="auto"/>
              <w:rPr>
                <w:sz w:val="20"/>
                <w:szCs w:val="20"/>
              </w:rPr>
            </w:pPr>
            <w:r w:rsidRPr="00134236">
              <w:rPr>
                <w:sz w:val="20"/>
                <w:szCs w:val="20"/>
              </w:rPr>
              <w:t>Wakefield Memorial High</w:t>
            </w:r>
          </w:p>
        </w:tc>
        <w:tc>
          <w:tcPr>
            <w:tcW w:w="778" w:type="dxa"/>
            <w:shd w:val="clear" w:color="auto" w:fill="auto"/>
          </w:tcPr>
          <w:p w14:paraId="17146864" w14:textId="77777777" w:rsidR="00134236" w:rsidRPr="00134236" w:rsidRDefault="00134236" w:rsidP="00134236">
            <w:pPr>
              <w:spacing w:after="0" w:line="240" w:lineRule="auto"/>
              <w:jc w:val="center"/>
              <w:rPr>
                <w:sz w:val="20"/>
                <w:szCs w:val="20"/>
              </w:rPr>
            </w:pPr>
            <w:r w:rsidRPr="00134236">
              <w:rPr>
                <w:sz w:val="20"/>
                <w:szCs w:val="20"/>
              </w:rPr>
              <w:t>--</w:t>
            </w:r>
          </w:p>
        </w:tc>
        <w:tc>
          <w:tcPr>
            <w:tcW w:w="779" w:type="dxa"/>
            <w:shd w:val="clear" w:color="auto" w:fill="auto"/>
          </w:tcPr>
          <w:p w14:paraId="04F57509" w14:textId="77777777" w:rsidR="00134236" w:rsidRPr="00134236" w:rsidRDefault="00134236" w:rsidP="00134236">
            <w:pPr>
              <w:spacing w:after="0" w:line="240" w:lineRule="auto"/>
              <w:jc w:val="center"/>
              <w:rPr>
                <w:sz w:val="20"/>
                <w:szCs w:val="20"/>
              </w:rPr>
            </w:pPr>
            <w:r w:rsidRPr="00134236">
              <w:rPr>
                <w:sz w:val="20"/>
                <w:szCs w:val="20"/>
              </w:rPr>
              <w:t>--</w:t>
            </w:r>
          </w:p>
        </w:tc>
        <w:tc>
          <w:tcPr>
            <w:tcW w:w="778" w:type="dxa"/>
            <w:shd w:val="clear" w:color="auto" w:fill="auto"/>
          </w:tcPr>
          <w:p w14:paraId="5797904B" w14:textId="77777777" w:rsidR="00134236" w:rsidRPr="00134236" w:rsidRDefault="00134236" w:rsidP="00134236">
            <w:pPr>
              <w:spacing w:after="0" w:line="240" w:lineRule="auto"/>
              <w:jc w:val="center"/>
              <w:rPr>
                <w:sz w:val="20"/>
                <w:szCs w:val="20"/>
              </w:rPr>
            </w:pPr>
            <w:r w:rsidRPr="00134236">
              <w:rPr>
                <w:sz w:val="20"/>
                <w:szCs w:val="20"/>
              </w:rPr>
              <w:t>--</w:t>
            </w:r>
          </w:p>
        </w:tc>
        <w:tc>
          <w:tcPr>
            <w:tcW w:w="779" w:type="dxa"/>
            <w:shd w:val="clear" w:color="auto" w:fill="auto"/>
          </w:tcPr>
          <w:p w14:paraId="6C8765A9" w14:textId="77777777" w:rsidR="00134236" w:rsidRPr="00134236" w:rsidRDefault="00134236" w:rsidP="00134236">
            <w:pPr>
              <w:spacing w:after="0" w:line="240" w:lineRule="auto"/>
              <w:jc w:val="center"/>
              <w:rPr>
                <w:sz w:val="20"/>
                <w:szCs w:val="20"/>
              </w:rPr>
            </w:pPr>
            <w:r w:rsidRPr="00134236">
              <w:rPr>
                <w:sz w:val="20"/>
                <w:szCs w:val="20"/>
              </w:rPr>
              <w:t>--</w:t>
            </w:r>
          </w:p>
        </w:tc>
        <w:tc>
          <w:tcPr>
            <w:tcW w:w="778" w:type="dxa"/>
            <w:shd w:val="clear" w:color="auto" w:fill="auto"/>
          </w:tcPr>
          <w:p w14:paraId="2153EB20" w14:textId="77777777" w:rsidR="00134236" w:rsidRPr="00134236" w:rsidRDefault="00134236" w:rsidP="00134236">
            <w:pPr>
              <w:spacing w:after="0" w:line="240" w:lineRule="auto"/>
              <w:jc w:val="center"/>
              <w:rPr>
                <w:sz w:val="20"/>
                <w:szCs w:val="20"/>
              </w:rPr>
            </w:pPr>
            <w:r w:rsidRPr="00134236">
              <w:rPr>
                <w:sz w:val="20"/>
                <w:szCs w:val="20"/>
              </w:rPr>
              <w:t>--</w:t>
            </w:r>
          </w:p>
        </w:tc>
        <w:tc>
          <w:tcPr>
            <w:tcW w:w="779" w:type="dxa"/>
            <w:shd w:val="clear" w:color="auto" w:fill="auto"/>
          </w:tcPr>
          <w:p w14:paraId="2B6FDF4D" w14:textId="77777777" w:rsidR="00134236" w:rsidRPr="00134236" w:rsidRDefault="00134236" w:rsidP="00134236">
            <w:pPr>
              <w:spacing w:after="0" w:line="240" w:lineRule="auto"/>
              <w:jc w:val="center"/>
              <w:rPr>
                <w:sz w:val="20"/>
                <w:szCs w:val="20"/>
              </w:rPr>
            </w:pPr>
            <w:r w:rsidRPr="00134236">
              <w:rPr>
                <w:sz w:val="20"/>
                <w:szCs w:val="20"/>
              </w:rPr>
              <w:t>--</w:t>
            </w:r>
          </w:p>
        </w:tc>
        <w:tc>
          <w:tcPr>
            <w:tcW w:w="778" w:type="dxa"/>
            <w:shd w:val="clear" w:color="auto" w:fill="auto"/>
          </w:tcPr>
          <w:p w14:paraId="7DD65B0B" w14:textId="77777777" w:rsidR="00134236" w:rsidRPr="00134236" w:rsidRDefault="00134236" w:rsidP="00134236">
            <w:pPr>
              <w:spacing w:after="0" w:line="240" w:lineRule="auto"/>
              <w:jc w:val="center"/>
              <w:rPr>
                <w:sz w:val="20"/>
                <w:szCs w:val="20"/>
              </w:rPr>
            </w:pPr>
            <w:r w:rsidRPr="00134236">
              <w:rPr>
                <w:sz w:val="20"/>
                <w:szCs w:val="20"/>
              </w:rPr>
              <w:t>84%</w:t>
            </w:r>
          </w:p>
        </w:tc>
        <w:tc>
          <w:tcPr>
            <w:tcW w:w="779" w:type="dxa"/>
            <w:shd w:val="clear" w:color="auto" w:fill="auto"/>
          </w:tcPr>
          <w:p w14:paraId="236FBF8A" w14:textId="77777777" w:rsidR="00134236" w:rsidRPr="00134236" w:rsidRDefault="00134236" w:rsidP="00134236">
            <w:pPr>
              <w:spacing w:after="0" w:line="240" w:lineRule="auto"/>
              <w:jc w:val="center"/>
              <w:rPr>
                <w:sz w:val="20"/>
                <w:szCs w:val="20"/>
              </w:rPr>
            </w:pPr>
            <w:r w:rsidRPr="00134236">
              <w:rPr>
                <w:sz w:val="20"/>
                <w:szCs w:val="20"/>
              </w:rPr>
              <w:t>84%</w:t>
            </w:r>
          </w:p>
        </w:tc>
      </w:tr>
      <w:tr w:rsidR="00134236" w:rsidRPr="00134236" w14:paraId="50661F4B" w14:textId="77777777" w:rsidTr="00DF5AC6">
        <w:tc>
          <w:tcPr>
            <w:tcW w:w="3330" w:type="dxa"/>
            <w:shd w:val="clear" w:color="auto" w:fill="D9D9D9" w:themeFill="background1" w:themeFillShade="D9"/>
          </w:tcPr>
          <w:p w14:paraId="43556DB3" w14:textId="77777777" w:rsidR="00134236" w:rsidRPr="00134236" w:rsidRDefault="00134236" w:rsidP="00134236">
            <w:pPr>
              <w:spacing w:after="0" w:line="240" w:lineRule="auto"/>
              <w:rPr>
                <w:rFonts w:ascii="Calibri" w:hAnsi="Calibri"/>
                <w:sz w:val="20"/>
                <w:szCs w:val="20"/>
              </w:rPr>
            </w:pPr>
            <w:r w:rsidRPr="00134236">
              <w:rPr>
                <w:rFonts w:ascii="Calibri" w:hAnsi="Calibri"/>
                <w:sz w:val="20"/>
                <w:szCs w:val="20"/>
              </w:rPr>
              <w:t>District</w:t>
            </w:r>
          </w:p>
        </w:tc>
        <w:tc>
          <w:tcPr>
            <w:tcW w:w="778" w:type="dxa"/>
            <w:shd w:val="clear" w:color="auto" w:fill="D9D9D9" w:themeFill="background1" w:themeFillShade="D9"/>
          </w:tcPr>
          <w:p w14:paraId="3F5E4378"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779" w:type="dxa"/>
            <w:shd w:val="clear" w:color="auto" w:fill="D9D9D9" w:themeFill="background1" w:themeFillShade="D9"/>
          </w:tcPr>
          <w:p w14:paraId="1E4F2B76"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778" w:type="dxa"/>
            <w:shd w:val="clear" w:color="auto" w:fill="D9D9D9" w:themeFill="background1" w:themeFillShade="D9"/>
          </w:tcPr>
          <w:p w14:paraId="5E4311AD"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50%</w:t>
            </w:r>
          </w:p>
        </w:tc>
        <w:tc>
          <w:tcPr>
            <w:tcW w:w="779" w:type="dxa"/>
            <w:shd w:val="clear" w:color="auto" w:fill="D9D9D9" w:themeFill="background1" w:themeFillShade="D9"/>
          </w:tcPr>
          <w:p w14:paraId="4E0A0272"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778" w:type="dxa"/>
            <w:shd w:val="clear" w:color="auto" w:fill="D9D9D9" w:themeFill="background1" w:themeFillShade="D9"/>
          </w:tcPr>
          <w:p w14:paraId="710CBF21"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779" w:type="dxa"/>
            <w:shd w:val="clear" w:color="auto" w:fill="D9D9D9" w:themeFill="background1" w:themeFillShade="D9"/>
          </w:tcPr>
          <w:p w14:paraId="110D4E86"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37%</w:t>
            </w:r>
          </w:p>
        </w:tc>
        <w:tc>
          <w:tcPr>
            <w:tcW w:w="778" w:type="dxa"/>
            <w:shd w:val="clear" w:color="auto" w:fill="D9D9D9" w:themeFill="background1" w:themeFillShade="D9"/>
          </w:tcPr>
          <w:p w14:paraId="468A3622"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83%</w:t>
            </w:r>
          </w:p>
        </w:tc>
        <w:tc>
          <w:tcPr>
            <w:tcW w:w="779" w:type="dxa"/>
            <w:shd w:val="clear" w:color="auto" w:fill="D9D9D9" w:themeFill="background1" w:themeFillShade="D9"/>
          </w:tcPr>
          <w:p w14:paraId="3F4B8CD2" w14:textId="77777777" w:rsidR="00134236" w:rsidRPr="00134236" w:rsidRDefault="00134236" w:rsidP="00134236">
            <w:pPr>
              <w:spacing w:after="0" w:line="240" w:lineRule="auto"/>
              <w:jc w:val="center"/>
              <w:rPr>
                <w:sz w:val="20"/>
                <w:szCs w:val="20"/>
              </w:rPr>
            </w:pPr>
            <w:r w:rsidRPr="00134236">
              <w:rPr>
                <w:sz w:val="20"/>
                <w:szCs w:val="20"/>
              </w:rPr>
              <w:t>54%</w:t>
            </w:r>
          </w:p>
        </w:tc>
      </w:tr>
      <w:tr w:rsidR="00134236" w:rsidRPr="00134236" w14:paraId="677D6D5C" w14:textId="77777777" w:rsidTr="00DF5AC6">
        <w:tc>
          <w:tcPr>
            <w:tcW w:w="3330" w:type="dxa"/>
            <w:shd w:val="clear" w:color="auto" w:fill="auto"/>
          </w:tcPr>
          <w:p w14:paraId="78CB5343" w14:textId="77777777" w:rsidR="00134236" w:rsidRPr="00134236" w:rsidRDefault="00134236" w:rsidP="00134236">
            <w:pPr>
              <w:spacing w:after="0" w:line="240" w:lineRule="auto"/>
              <w:rPr>
                <w:rFonts w:ascii="Calibri" w:hAnsi="Calibri"/>
                <w:sz w:val="20"/>
                <w:szCs w:val="20"/>
              </w:rPr>
            </w:pPr>
            <w:r w:rsidRPr="00134236">
              <w:rPr>
                <w:rFonts w:ascii="Calibri" w:hAnsi="Calibri"/>
                <w:sz w:val="20"/>
                <w:szCs w:val="20"/>
              </w:rPr>
              <w:t>State</w:t>
            </w:r>
          </w:p>
        </w:tc>
        <w:tc>
          <w:tcPr>
            <w:tcW w:w="778" w:type="dxa"/>
            <w:shd w:val="clear" w:color="auto" w:fill="auto"/>
          </w:tcPr>
          <w:p w14:paraId="2B463B6F"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779" w:type="dxa"/>
            <w:shd w:val="clear" w:color="auto" w:fill="auto"/>
          </w:tcPr>
          <w:p w14:paraId="4062E22C"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778" w:type="dxa"/>
            <w:shd w:val="clear" w:color="auto" w:fill="auto"/>
          </w:tcPr>
          <w:p w14:paraId="2C8B8B73"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46%</w:t>
            </w:r>
          </w:p>
        </w:tc>
        <w:tc>
          <w:tcPr>
            <w:tcW w:w="779" w:type="dxa"/>
            <w:shd w:val="clear" w:color="auto" w:fill="auto"/>
          </w:tcPr>
          <w:p w14:paraId="00718FFA"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778" w:type="dxa"/>
            <w:shd w:val="clear" w:color="auto" w:fill="auto"/>
          </w:tcPr>
          <w:p w14:paraId="1FAD0B17"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779" w:type="dxa"/>
            <w:shd w:val="clear" w:color="auto" w:fill="auto"/>
          </w:tcPr>
          <w:p w14:paraId="4C8F3DB5"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40%</w:t>
            </w:r>
          </w:p>
        </w:tc>
        <w:tc>
          <w:tcPr>
            <w:tcW w:w="778" w:type="dxa"/>
            <w:shd w:val="clear" w:color="auto" w:fill="auto"/>
          </w:tcPr>
          <w:p w14:paraId="2E3F319E"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74%</w:t>
            </w:r>
          </w:p>
        </w:tc>
        <w:tc>
          <w:tcPr>
            <w:tcW w:w="779" w:type="dxa"/>
            <w:shd w:val="clear" w:color="auto" w:fill="auto"/>
          </w:tcPr>
          <w:p w14:paraId="495F48EC" w14:textId="77777777" w:rsidR="00134236" w:rsidRPr="00134236" w:rsidRDefault="00134236" w:rsidP="00134236">
            <w:pPr>
              <w:spacing w:after="0" w:line="240" w:lineRule="auto"/>
              <w:jc w:val="center"/>
              <w:rPr>
                <w:sz w:val="20"/>
                <w:szCs w:val="20"/>
              </w:rPr>
            </w:pPr>
            <w:r w:rsidRPr="00134236">
              <w:rPr>
                <w:sz w:val="20"/>
                <w:szCs w:val="20"/>
              </w:rPr>
              <w:t>53%</w:t>
            </w:r>
          </w:p>
        </w:tc>
      </w:tr>
    </w:tbl>
    <w:p w14:paraId="51D94447" w14:textId="77777777" w:rsidR="00134236" w:rsidRPr="00134236" w:rsidRDefault="00134236" w:rsidP="00134236">
      <w:pPr>
        <w:spacing w:after="0" w:line="240" w:lineRule="auto"/>
      </w:pPr>
    </w:p>
    <w:p w14:paraId="171D3A2D" w14:textId="77777777" w:rsidR="00134236" w:rsidRPr="00134236" w:rsidRDefault="00134236" w:rsidP="00134236">
      <w:pPr>
        <w:spacing w:after="0" w:line="240" w:lineRule="auto"/>
      </w:pPr>
    </w:p>
    <w:p w14:paraId="574D96C7" w14:textId="4AF703AC" w:rsidR="00134236" w:rsidRPr="00134236" w:rsidRDefault="00134236" w:rsidP="00134236">
      <w:pPr>
        <w:spacing w:after="0" w:line="240" w:lineRule="auto"/>
      </w:pPr>
      <w:r w:rsidRPr="00134236">
        <w:rPr>
          <w:b/>
        </w:rPr>
        <w:t xml:space="preserve">In ELA, the percentage of all students meeting or exceeding expectations on the Next-Generation MCAS </w:t>
      </w:r>
      <w:r w:rsidR="0078366D">
        <w:rPr>
          <w:b/>
        </w:rPr>
        <w:t xml:space="preserve">assessment </w:t>
      </w:r>
      <w:r w:rsidRPr="00134236">
        <w:rPr>
          <w:b/>
        </w:rPr>
        <w:t>ranged from 48 to 62 percent in the district’s school</w:t>
      </w:r>
      <w:r w:rsidR="0078366D">
        <w:rPr>
          <w:b/>
        </w:rPr>
        <w:t>s</w:t>
      </w:r>
      <w:r w:rsidRPr="00134236">
        <w:rPr>
          <w:b/>
        </w:rPr>
        <w:t>.</w:t>
      </w:r>
    </w:p>
    <w:p w14:paraId="569E469B" w14:textId="74D1EE9D" w:rsidR="00134236" w:rsidRPr="00134236" w:rsidRDefault="00134236" w:rsidP="00FC58CB">
      <w:pPr>
        <w:numPr>
          <w:ilvl w:val="0"/>
          <w:numId w:val="25"/>
        </w:numPr>
        <w:spacing w:after="0" w:line="240" w:lineRule="auto"/>
        <w:contextualSpacing/>
      </w:pPr>
      <w:r w:rsidRPr="00134236">
        <w:t>The percentage of high needs students meeting or exceeding expectations ranged from 19 to 37 percent in the district’s schools.</w:t>
      </w:r>
    </w:p>
    <w:p w14:paraId="11077AE2" w14:textId="34BBFA2B" w:rsidR="00134236" w:rsidRPr="00134236" w:rsidRDefault="00134236" w:rsidP="00FC58CB">
      <w:pPr>
        <w:numPr>
          <w:ilvl w:val="0"/>
          <w:numId w:val="25"/>
        </w:numPr>
        <w:spacing w:after="0" w:line="240" w:lineRule="auto"/>
        <w:contextualSpacing/>
      </w:pPr>
      <w:r w:rsidRPr="00134236">
        <w:t>The percentage of economically disadvantaged students meeting or exceeding expectations ranged from 29 to 50 percent in the district’s schools.</w:t>
      </w:r>
    </w:p>
    <w:p w14:paraId="6701EA05" w14:textId="2A790449" w:rsidR="00134236" w:rsidRPr="00134236" w:rsidRDefault="00134236" w:rsidP="00FC58CB">
      <w:pPr>
        <w:numPr>
          <w:ilvl w:val="0"/>
          <w:numId w:val="25"/>
        </w:numPr>
        <w:spacing w:after="0" w:line="240" w:lineRule="auto"/>
        <w:contextualSpacing/>
      </w:pPr>
      <w:r w:rsidRPr="00134236">
        <w:t>The percentage of students with disabilities meeting or exceeding expectations ranged from 6 to 36 percent in the district’s schools.</w:t>
      </w:r>
    </w:p>
    <w:p w14:paraId="4F7BAB51" w14:textId="7FA634FD" w:rsidR="00134236" w:rsidRPr="00134236" w:rsidRDefault="00134236" w:rsidP="00FC58CB">
      <w:pPr>
        <w:numPr>
          <w:ilvl w:val="0"/>
          <w:numId w:val="25"/>
        </w:numPr>
        <w:spacing w:after="0" w:line="240" w:lineRule="auto"/>
        <w:contextualSpacing/>
      </w:pPr>
      <w:r w:rsidRPr="00134236">
        <w:t>The percentage of English language learners meeting or exceeding expectations ranged from 6 to 33 percent in the district’s schools.</w:t>
      </w:r>
    </w:p>
    <w:p w14:paraId="566812AC" w14:textId="77777777" w:rsidR="00134236" w:rsidRPr="00134236" w:rsidRDefault="00134236" w:rsidP="00134236">
      <w:pPr>
        <w:spacing w:after="0" w:line="240" w:lineRule="auto"/>
      </w:pPr>
    </w:p>
    <w:p w14:paraId="71A13EED" w14:textId="5EAEC791" w:rsidR="00134236" w:rsidRPr="00134236" w:rsidRDefault="00134236" w:rsidP="00134236">
      <w:pPr>
        <w:spacing w:after="0" w:line="240" w:lineRule="auto"/>
        <w:rPr>
          <w:b/>
        </w:rPr>
      </w:pPr>
      <w:r w:rsidRPr="00134236">
        <w:rPr>
          <w:b/>
        </w:rPr>
        <w:t xml:space="preserve">In math, the percentage of all students meeting or exceeding expectations on the Next-Generation MCAS </w:t>
      </w:r>
      <w:r w:rsidR="0078366D">
        <w:rPr>
          <w:b/>
        </w:rPr>
        <w:t xml:space="preserve">assessment </w:t>
      </w:r>
      <w:r w:rsidRPr="00134236">
        <w:rPr>
          <w:b/>
        </w:rPr>
        <w:t xml:space="preserve">ranged from 49 to 64 percent in the district’s schools. </w:t>
      </w:r>
    </w:p>
    <w:p w14:paraId="51F80042" w14:textId="77777777" w:rsidR="00134236" w:rsidRPr="00134236" w:rsidRDefault="00134236" w:rsidP="00134236">
      <w:pPr>
        <w:spacing w:after="0" w:line="240" w:lineRule="auto"/>
      </w:pPr>
    </w:p>
    <w:p w14:paraId="322ECF0D" w14:textId="264BD143" w:rsidR="00134236" w:rsidRPr="00134236" w:rsidRDefault="00134236" w:rsidP="00FC58CB">
      <w:pPr>
        <w:numPr>
          <w:ilvl w:val="0"/>
          <w:numId w:val="25"/>
        </w:numPr>
        <w:spacing w:after="0" w:line="240" w:lineRule="auto"/>
        <w:contextualSpacing/>
      </w:pPr>
      <w:r w:rsidRPr="00134236">
        <w:t>The percentage of high needs students meeting or exceeding expectations ranged from 20 to 32 percent in the district’s schools.</w:t>
      </w:r>
    </w:p>
    <w:p w14:paraId="48C9EEDA" w14:textId="4EB809EC" w:rsidR="00134236" w:rsidRPr="00134236" w:rsidRDefault="00134236" w:rsidP="00FC58CB">
      <w:pPr>
        <w:numPr>
          <w:ilvl w:val="0"/>
          <w:numId w:val="25"/>
        </w:numPr>
        <w:spacing w:after="0" w:line="240" w:lineRule="auto"/>
        <w:contextualSpacing/>
      </w:pPr>
      <w:r w:rsidRPr="00134236">
        <w:t>The percentage of economically disadvantaged students meeting or exceeding expectations ranged from 20 to 39 percent in the district’s schools.</w:t>
      </w:r>
    </w:p>
    <w:p w14:paraId="05DD05D4" w14:textId="05617C94" w:rsidR="00134236" w:rsidRPr="00134236" w:rsidRDefault="00134236" w:rsidP="00FC58CB">
      <w:pPr>
        <w:numPr>
          <w:ilvl w:val="0"/>
          <w:numId w:val="25"/>
        </w:numPr>
        <w:spacing w:after="0" w:line="240" w:lineRule="auto"/>
        <w:contextualSpacing/>
      </w:pPr>
      <w:r w:rsidRPr="00134236">
        <w:t>The percentage of students with disabilities meeting or exceeding expectations ranged from 9 to 32 percent in the district’s schools.</w:t>
      </w:r>
    </w:p>
    <w:p w14:paraId="0B354752" w14:textId="64F4661B" w:rsidR="00134236" w:rsidRDefault="00134236" w:rsidP="00FC58CB">
      <w:pPr>
        <w:numPr>
          <w:ilvl w:val="0"/>
          <w:numId w:val="25"/>
        </w:numPr>
        <w:spacing w:after="0" w:line="240" w:lineRule="auto"/>
        <w:contextualSpacing/>
      </w:pPr>
      <w:r w:rsidRPr="00134236">
        <w:t>The percentage of English language learners meeting or exceeding expectations ranged from 12 to 33 percent in the district’s schools.</w:t>
      </w:r>
    </w:p>
    <w:p w14:paraId="0EFE0C4D" w14:textId="02A40056" w:rsidR="00F76BEE" w:rsidRDefault="00F76BEE" w:rsidP="00F76BEE">
      <w:pPr>
        <w:spacing w:after="0" w:line="240" w:lineRule="auto"/>
        <w:contextualSpacing/>
      </w:pPr>
    </w:p>
    <w:p w14:paraId="68AD9238" w14:textId="127F69DE" w:rsidR="00F76BEE" w:rsidRDefault="00F76BEE" w:rsidP="00F76BEE">
      <w:pPr>
        <w:spacing w:after="0" w:line="240" w:lineRule="auto"/>
        <w:contextualSpacing/>
      </w:pPr>
    </w:p>
    <w:p w14:paraId="3D0D33E7" w14:textId="4C23A667" w:rsidR="00F76BEE" w:rsidRDefault="00F76BEE" w:rsidP="00F76BEE">
      <w:pPr>
        <w:spacing w:after="0" w:line="240" w:lineRule="auto"/>
        <w:contextualSpacing/>
      </w:pPr>
    </w:p>
    <w:p w14:paraId="0EB3AB44" w14:textId="0732A2FE" w:rsidR="00F76BEE" w:rsidRDefault="00F76BEE" w:rsidP="00F76BEE">
      <w:pPr>
        <w:spacing w:after="0" w:line="240" w:lineRule="auto"/>
        <w:contextualSpacing/>
      </w:pPr>
    </w:p>
    <w:p w14:paraId="3CA38F4A" w14:textId="55FC91B4" w:rsidR="00F76BEE" w:rsidRDefault="00F76BEE" w:rsidP="00F76BEE">
      <w:pPr>
        <w:spacing w:after="0" w:line="240" w:lineRule="auto"/>
        <w:contextualSpacing/>
      </w:pPr>
    </w:p>
    <w:p w14:paraId="556E8FF7" w14:textId="1E37706D" w:rsidR="00F76BEE" w:rsidRDefault="00F76BEE" w:rsidP="00F76BEE">
      <w:pPr>
        <w:spacing w:after="0" w:line="240" w:lineRule="auto"/>
        <w:contextualSpacing/>
      </w:pPr>
    </w:p>
    <w:p w14:paraId="4FE0C775" w14:textId="77777777" w:rsidR="00F76BEE" w:rsidRPr="00134236" w:rsidRDefault="00F76BEE" w:rsidP="00F76BEE">
      <w:pPr>
        <w:spacing w:after="0" w:line="240" w:lineRule="auto"/>
        <w:contextualSpacing/>
      </w:pPr>
    </w:p>
    <w:p w14:paraId="15FDDC33" w14:textId="77777777" w:rsidR="00134236" w:rsidRPr="00134236" w:rsidRDefault="00134236" w:rsidP="00134236">
      <w:pPr>
        <w:spacing w:after="0" w:line="240" w:lineRule="auto"/>
        <w:contextualSpacing/>
      </w:pPr>
    </w:p>
    <w:tbl>
      <w:tblPr>
        <w:tblStyle w:val="TableGrid5"/>
        <w:tblW w:w="0" w:type="auto"/>
        <w:tblBorders>
          <w:left w:val="single" w:sz="18" w:space="0" w:color="auto"/>
        </w:tblBorders>
        <w:tblLayout w:type="fixed"/>
        <w:tblLook w:val="04A0" w:firstRow="1" w:lastRow="0" w:firstColumn="1" w:lastColumn="0" w:noHBand="0" w:noVBand="1"/>
        <w:tblCaption w:val="Table 14: Wakefield Public Schools"/>
        <w:tblDescription w:val="Next-Generation MCAS ELA and Math Percent Meeting and Exceeding Expectations by School, 2017"/>
      </w:tblPr>
      <w:tblGrid>
        <w:gridCol w:w="2628"/>
        <w:gridCol w:w="693"/>
        <w:gridCol w:w="693"/>
        <w:gridCol w:w="693"/>
        <w:gridCol w:w="693"/>
        <w:gridCol w:w="693"/>
        <w:gridCol w:w="693"/>
        <w:gridCol w:w="693"/>
        <w:gridCol w:w="693"/>
        <w:gridCol w:w="693"/>
        <w:gridCol w:w="693"/>
      </w:tblGrid>
      <w:tr w:rsidR="00134236" w:rsidRPr="00134236" w14:paraId="35EE9ADD" w14:textId="77777777" w:rsidTr="00BB0032">
        <w:trPr>
          <w:tblHeader/>
        </w:trPr>
        <w:tc>
          <w:tcPr>
            <w:tcW w:w="9558" w:type="dxa"/>
            <w:gridSpan w:val="11"/>
            <w:tcBorders>
              <w:top w:val="nil"/>
              <w:left w:val="nil"/>
              <w:right w:val="nil"/>
            </w:tcBorders>
          </w:tcPr>
          <w:p w14:paraId="46F547F9" w14:textId="77777777" w:rsidR="00134236" w:rsidRPr="00134236" w:rsidRDefault="00134236" w:rsidP="00134236">
            <w:pPr>
              <w:spacing w:after="0" w:line="240" w:lineRule="auto"/>
              <w:jc w:val="center"/>
              <w:rPr>
                <w:b/>
                <w:sz w:val="20"/>
                <w:szCs w:val="20"/>
              </w:rPr>
            </w:pPr>
            <w:r w:rsidRPr="00134236">
              <w:rPr>
                <w:b/>
                <w:sz w:val="20"/>
                <w:szCs w:val="20"/>
              </w:rPr>
              <w:lastRenderedPageBreak/>
              <w:t xml:space="preserve">Table 14: </w:t>
            </w:r>
            <w:r w:rsidRPr="00134236">
              <w:rPr>
                <w:rFonts w:cs="Times New Roman"/>
                <w:b/>
                <w:sz w:val="20"/>
                <w:szCs w:val="20"/>
              </w:rPr>
              <w:t>Wakefield Public Schools</w:t>
            </w:r>
          </w:p>
          <w:p w14:paraId="4AD7052E" w14:textId="77777777" w:rsidR="00134236" w:rsidRPr="00134236" w:rsidRDefault="00134236" w:rsidP="00134236">
            <w:pPr>
              <w:spacing w:after="0" w:line="240" w:lineRule="auto"/>
              <w:jc w:val="center"/>
              <w:rPr>
                <w:sz w:val="20"/>
                <w:szCs w:val="20"/>
              </w:rPr>
            </w:pPr>
            <w:r w:rsidRPr="00134236">
              <w:rPr>
                <w:b/>
                <w:sz w:val="20"/>
                <w:szCs w:val="20"/>
              </w:rPr>
              <w:t>Next-Generation MCAS ELA and Math Percent Meeting and Exceeding Expectations by School, 2017</w:t>
            </w:r>
          </w:p>
        </w:tc>
      </w:tr>
      <w:tr w:rsidR="00134236" w:rsidRPr="00134236" w14:paraId="7CD84487" w14:textId="77777777" w:rsidTr="00DF5AC6">
        <w:tc>
          <w:tcPr>
            <w:tcW w:w="2628" w:type="dxa"/>
            <w:tcBorders>
              <w:left w:val="single" w:sz="4" w:space="0" w:color="auto"/>
            </w:tcBorders>
            <w:shd w:val="clear" w:color="auto" w:fill="D9D9D9" w:themeFill="background1" w:themeFillShade="D9"/>
          </w:tcPr>
          <w:p w14:paraId="1DB7F25E" w14:textId="77777777" w:rsidR="00134236" w:rsidRPr="00134236" w:rsidRDefault="00134236" w:rsidP="00134236">
            <w:pPr>
              <w:spacing w:after="0" w:line="240" w:lineRule="auto"/>
            </w:pPr>
          </w:p>
        </w:tc>
        <w:tc>
          <w:tcPr>
            <w:tcW w:w="3465" w:type="dxa"/>
            <w:gridSpan w:val="5"/>
            <w:tcBorders>
              <w:right w:val="single" w:sz="18" w:space="0" w:color="auto"/>
            </w:tcBorders>
            <w:shd w:val="clear" w:color="auto" w:fill="D9D9D9" w:themeFill="background1" w:themeFillShade="D9"/>
          </w:tcPr>
          <w:p w14:paraId="34D9D112" w14:textId="77777777" w:rsidR="00134236" w:rsidRPr="00134236" w:rsidRDefault="00134236" w:rsidP="00134236">
            <w:pPr>
              <w:spacing w:after="0" w:line="240" w:lineRule="auto"/>
              <w:jc w:val="center"/>
              <w:rPr>
                <w:b/>
                <w:sz w:val="20"/>
                <w:szCs w:val="20"/>
              </w:rPr>
            </w:pPr>
            <w:r w:rsidRPr="00134236">
              <w:rPr>
                <w:b/>
                <w:sz w:val="20"/>
                <w:szCs w:val="20"/>
              </w:rPr>
              <w:t>ELA</w:t>
            </w:r>
          </w:p>
        </w:tc>
        <w:tc>
          <w:tcPr>
            <w:tcW w:w="3465" w:type="dxa"/>
            <w:gridSpan w:val="5"/>
            <w:tcBorders>
              <w:left w:val="single" w:sz="18" w:space="0" w:color="auto"/>
              <w:right w:val="single" w:sz="4" w:space="0" w:color="auto"/>
            </w:tcBorders>
            <w:shd w:val="clear" w:color="auto" w:fill="D9D9D9" w:themeFill="background1" w:themeFillShade="D9"/>
          </w:tcPr>
          <w:p w14:paraId="23367FF9" w14:textId="77777777" w:rsidR="00134236" w:rsidRPr="00134236" w:rsidRDefault="00134236" w:rsidP="00134236">
            <w:pPr>
              <w:spacing w:after="0" w:line="240" w:lineRule="auto"/>
              <w:jc w:val="center"/>
              <w:rPr>
                <w:b/>
                <w:sz w:val="20"/>
                <w:szCs w:val="20"/>
              </w:rPr>
            </w:pPr>
            <w:r w:rsidRPr="00134236">
              <w:rPr>
                <w:b/>
                <w:sz w:val="20"/>
                <w:szCs w:val="20"/>
              </w:rPr>
              <w:t>Math</w:t>
            </w:r>
          </w:p>
        </w:tc>
      </w:tr>
      <w:tr w:rsidR="00134236" w:rsidRPr="00134236" w14:paraId="6A7C63F3" w14:textId="77777777" w:rsidTr="00DF5AC6">
        <w:trPr>
          <w:cantSplit/>
          <w:trHeight w:val="890"/>
        </w:trPr>
        <w:tc>
          <w:tcPr>
            <w:tcW w:w="2628" w:type="dxa"/>
            <w:tcBorders>
              <w:left w:val="single" w:sz="4" w:space="0" w:color="auto"/>
            </w:tcBorders>
            <w:shd w:val="clear" w:color="auto" w:fill="D9D9D9" w:themeFill="background1" w:themeFillShade="D9"/>
          </w:tcPr>
          <w:p w14:paraId="0FC9DD6A" w14:textId="77777777" w:rsidR="00134236" w:rsidRPr="00E22258" w:rsidRDefault="00134236" w:rsidP="00E22258">
            <w:pPr>
              <w:spacing w:after="0" w:line="240" w:lineRule="auto"/>
              <w:rPr>
                <w:b/>
                <w:sz w:val="20"/>
                <w:szCs w:val="20"/>
              </w:rPr>
            </w:pPr>
            <w:r w:rsidRPr="00E22258">
              <w:rPr>
                <w:b/>
                <w:sz w:val="20"/>
                <w:szCs w:val="20"/>
              </w:rPr>
              <w:t>School</w:t>
            </w:r>
          </w:p>
        </w:tc>
        <w:tc>
          <w:tcPr>
            <w:tcW w:w="693" w:type="dxa"/>
            <w:shd w:val="clear" w:color="auto" w:fill="D9D9D9" w:themeFill="background1" w:themeFillShade="D9"/>
            <w:textDirection w:val="tbRl"/>
          </w:tcPr>
          <w:p w14:paraId="4E3FF46A" w14:textId="77777777" w:rsidR="00134236" w:rsidRPr="00134236" w:rsidRDefault="00134236" w:rsidP="00134236">
            <w:pPr>
              <w:spacing w:after="0" w:line="240" w:lineRule="auto"/>
              <w:ind w:left="113" w:right="113"/>
              <w:jc w:val="center"/>
              <w:rPr>
                <w:b/>
                <w:sz w:val="20"/>
                <w:szCs w:val="20"/>
              </w:rPr>
            </w:pPr>
            <w:r w:rsidRPr="00134236">
              <w:rPr>
                <w:b/>
                <w:sz w:val="20"/>
                <w:szCs w:val="20"/>
              </w:rPr>
              <w:t>All</w:t>
            </w:r>
          </w:p>
        </w:tc>
        <w:tc>
          <w:tcPr>
            <w:tcW w:w="693" w:type="dxa"/>
            <w:shd w:val="clear" w:color="auto" w:fill="D9D9D9" w:themeFill="background1" w:themeFillShade="D9"/>
            <w:textDirection w:val="tbRl"/>
          </w:tcPr>
          <w:p w14:paraId="0690563C" w14:textId="77777777" w:rsidR="00134236" w:rsidRPr="00134236" w:rsidRDefault="00134236" w:rsidP="00134236">
            <w:pPr>
              <w:spacing w:after="0" w:line="240" w:lineRule="auto"/>
              <w:ind w:left="113" w:right="113"/>
              <w:jc w:val="center"/>
              <w:rPr>
                <w:b/>
                <w:sz w:val="20"/>
                <w:szCs w:val="20"/>
              </w:rPr>
            </w:pPr>
            <w:r w:rsidRPr="00134236">
              <w:rPr>
                <w:b/>
                <w:sz w:val="20"/>
                <w:szCs w:val="20"/>
              </w:rPr>
              <w:t>High Needs</w:t>
            </w:r>
          </w:p>
        </w:tc>
        <w:tc>
          <w:tcPr>
            <w:tcW w:w="693" w:type="dxa"/>
            <w:shd w:val="clear" w:color="auto" w:fill="D9D9D9" w:themeFill="background1" w:themeFillShade="D9"/>
            <w:textDirection w:val="tbRl"/>
          </w:tcPr>
          <w:p w14:paraId="6A48F976" w14:textId="77777777" w:rsidR="00134236" w:rsidRPr="00134236" w:rsidRDefault="00134236" w:rsidP="00134236">
            <w:pPr>
              <w:spacing w:after="0" w:line="240" w:lineRule="auto"/>
              <w:ind w:left="113" w:right="113"/>
              <w:jc w:val="center"/>
              <w:rPr>
                <w:b/>
                <w:sz w:val="20"/>
                <w:szCs w:val="20"/>
              </w:rPr>
            </w:pPr>
            <w:r w:rsidRPr="00134236">
              <w:rPr>
                <w:rFonts w:cs="Times New Roman"/>
                <w:b/>
                <w:sz w:val="20"/>
                <w:szCs w:val="20"/>
              </w:rPr>
              <w:t>Econ. Dis.</w:t>
            </w:r>
          </w:p>
        </w:tc>
        <w:tc>
          <w:tcPr>
            <w:tcW w:w="693" w:type="dxa"/>
            <w:shd w:val="clear" w:color="auto" w:fill="D9D9D9" w:themeFill="background1" w:themeFillShade="D9"/>
            <w:textDirection w:val="tbRl"/>
          </w:tcPr>
          <w:p w14:paraId="0C971084" w14:textId="77777777" w:rsidR="00134236" w:rsidRPr="00134236" w:rsidRDefault="00134236" w:rsidP="00134236">
            <w:pPr>
              <w:spacing w:after="0" w:line="240" w:lineRule="auto"/>
              <w:ind w:left="113" w:right="113"/>
              <w:jc w:val="center"/>
              <w:rPr>
                <w:b/>
                <w:sz w:val="20"/>
                <w:szCs w:val="20"/>
              </w:rPr>
            </w:pPr>
            <w:r w:rsidRPr="00134236">
              <w:rPr>
                <w:b/>
                <w:sz w:val="20"/>
                <w:szCs w:val="20"/>
              </w:rPr>
              <w:t>SWD</w:t>
            </w:r>
          </w:p>
        </w:tc>
        <w:tc>
          <w:tcPr>
            <w:tcW w:w="693" w:type="dxa"/>
            <w:tcBorders>
              <w:right w:val="single" w:sz="18" w:space="0" w:color="auto"/>
            </w:tcBorders>
            <w:shd w:val="clear" w:color="auto" w:fill="D9D9D9" w:themeFill="background1" w:themeFillShade="D9"/>
            <w:textDirection w:val="tbRl"/>
          </w:tcPr>
          <w:p w14:paraId="1A6159F8" w14:textId="1C1BEDE9" w:rsidR="00134236" w:rsidRPr="00134236" w:rsidRDefault="00134236" w:rsidP="00134236">
            <w:pPr>
              <w:spacing w:after="0" w:line="240" w:lineRule="auto"/>
              <w:ind w:left="113" w:right="113"/>
              <w:jc w:val="center"/>
              <w:rPr>
                <w:b/>
                <w:sz w:val="20"/>
                <w:szCs w:val="20"/>
              </w:rPr>
            </w:pPr>
            <w:r w:rsidRPr="00134236">
              <w:rPr>
                <w:b/>
                <w:sz w:val="20"/>
                <w:szCs w:val="20"/>
              </w:rPr>
              <w:t>ELL</w:t>
            </w:r>
            <w:r w:rsidR="0078366D">
              <w:rPr>
                <w:b/>
                <w:sz w:val="20"/>
                <w:szCs w:val="20"/>
              </w:rPr>
              <w:t>s</w:t>
            </w:r>
          </w:p>
        </w:tc>
        <w:tc>
          <w:tcPr>
            <w:tcW w:w="693" w:type="dxa"/>
            <w:tcBorders>
              <w:left w:val="single" w:sz="18" w:space="0" w:color="auto"/>
            </w:tcBorders>
            <w:shd w:val="clear" w:color="auto" w:fill="D9D9D9" w:themeFill="background1" w:themeFillShade="D9"/>
            <w:textDirection w:val="tbRl"/>
          </w:tcPr>
          <w:p w14:paraId="23C5338C" w14:textId="77777777" w:rsidR="00134236" w:rsidRPr="00134236" w:rsidRDefault="00134236" w:rsidP="00134236">
            <w:pPr>
              <w:spacing w:after="0" w:line="240" w:lineRule="auto"/>
              <w:ind w:left="113" w:right="113"/>
              <w:jc w:val="center"/>
              <w:rPr>
                <w:b/>
                <w:sz w:val="20"/>
                <w:szCs w:val="20"/>
              </w:rPr>
            </w:pPr>
            <w:r w:rsidRPr="00134236">
              <w:rPr>
                <w:b/>
                <w:sz w:val="20"/>
                <w:szCs w:val="20"/>
              </w:rPr>
              <w:t>All</w:t>
            </w:r>
          </w:p>
        </w:tc>
        <w:tc>
          <w:tcPr>
            <w:tcW w:w="693" w:type="dxa"/>
            <w:shd w:val="clear" w:color="auto" w:fill="D9D9D9" w:themeFill="background1" w:themeFillShade="D9"/>
            <w:textDirection w:val="tbRl"/>
          </w:tcPr>
          <w:p w14:paraId="5F573B07" w14:textId="77777777" w:rsidR="00134236" w:rsidRPr="00134236" w:rsidRDefault="00134236" w:rsidP="00134236">
            <w:pPr>
              <w:spacing w:after="0" w:line="240" w:lineRule="auto"/>
              <w:ind w:left="113" w:right="113"/>
              <w:jc w:val="center"/>
              <w:rPr>
                <w:b/>
                <w:sz w:val="20"/>
                <w:szCs w:val="20"/>
              </w:rPr>
            </w:pPr>
            <w:r w:rsidRPr="00134236">
              <w:rPr>
                <w:b/>
                <w:sz w:val="20"/>
                <w:szCs w:val="20"/>
              </w:rPr>
              <w:t>High Needs</w:t>
            </w:r>
          </w:p>
        </w:tc>
        <w:tc>
          <w:tcPr>
            <w:tcW w:w="693" w:type="dxa"/>
            <w:shd w:val="clear" w:color="auto" w:fill="D9D9D9" w:themeFill="background1" w:themeFillShade="D9"/>
            <w:textDirection w:val="tbRl"/>
          </w:tcPr>
          <w:p w14:paraId="30806C16" w14:textId="77777777" w:rsidR="00134236" w:rsidRPr="00134236" w:rsidRDefault="00134236" w:rsidP="00134236">
            <w:pPr>
              <w:spacing w:after="0" w:line="240" w:lineRule="auto"/>
              <w:ind w:left="113" w:right="113"/>
              <w:jc w:val="center"/>
              <w:rPr>
                <w:b/>
                <w:sz w:val="20"/>
                <w:szCs w:val="20"/>
              </w:rPr>
            </w:pPr>
            <w:r w:rsidRPr="00134236">
              <w:rPr>
                <w:rFonts w:cs="Times New Roman"/>
                <w:b/>
                <w:sz w:val="20"/>
                <w:szCs w:val="20"/>
              </w:rPr>
              <w:t>Econ. Dis.</w:t>
            </w:r>
          </w:p>
        </w:tc>
        <w:tc>
          <w:tcPr>
            <w:tcW w:w="693" w:type="dxa"/>
            <w:shd w:val="clear" w:color="auto" w:fill="D9D9D9" w:themeFill="background1" w:themeFillShade="D9"/>
            <w:textDirection w:val="tbRl"/>
          </w:tcPr>
          <w:p w14:paraId="49BF5B16" w14:textId="77777777" w:rsidR="00134236" w:rsidRPr="00134236" w:rsidRDefault="00134236" w:rsidP="00134236">
            <w:pPr>
              <w:spacing w:after="0" w:line="240" w:lineRule="auto"/>
              <w:ind w:left="113" w:right="113"/>
              <w:jc w:val="center"/>
              <w:rPr>
                <w:b/>
                <w:sz w:val="20"/>
                <w:szCs w:val="20"/>
              </w:rPr>
            </w:pPr>
            <w:r w:rsidRPr="00134236">
              <w:rPr>
                <w:b/>
                <w:sz w:val="20"/>
                <w:szCs w:val="20"/>
              </w:rPr>
              <w:t>SWD</w:t>
            </w:r>
          </w:p>
        </w:tc>
        <w:tc>
          <w:tcPr>
            <w:tcW w:w="693" w:type="dxa"/>
            <w:tcBorders>
              <w:right w:val="single" w:sz="4" w:space="0" w:color="auto"/>
            </w:tcBorders>
            <w:shd w:val="clear" w:color="auto" w:fill="D9D9D9" w:themeFill="background1" w:themeFillShade="D9"/>
            <w:textDirection w:val="tbRl"/>
          </w:tcPr>
          <w:p w14:paraId="4D1645B1" w14:textId="50C7E6A7" w:rsidR="00134236" w:rsidRPr="00134236" w:rsidRDefault="00134236" w:rsidP="00134236">
            <w:pPr>
              <w:spacing w:after="0" w:line="240" w:lineRule="auto"/>
              <w:ind w:left="113" w:right="113"/>
              <w:jc w:val="center"/>
              <w:rPr>
                <w:b/>
                <w:sz w:val="20"/>
                <w:szCs w:val="20"/>
              </w:rPr>
            </w:pPr>
            <w:r w:rsidRPr="00134236">
              <w:rPr>
                <w:b/>
                <w:sz w:val="20"/>
                <w:szCs w:val="20"/>
              </w:rPr>
              <w:t>ELL</w:t>
            </w:r>
            <w:r w:rsidR="0078366D">
              <w:rPr>
                <w:b/>
                <w:sz w:val="20"/>
                <w:szCs w:val="20"/>
              </w:rPr>
              <w:t>s</w:t>
            </w:r>
          </w:p>
        </w:tc>
      </w:tr>
      <w:tr w:rsidR="00134236" w:rsidRPr="00134236" w14:paraId="2E7490A0" w14:textId="77777777" w:rsidTr="00DF5AC6">
        <w:tc>
          <w:tcPr>
            <w:tcW w:w="2628" w:type="dxa"/>
            <w:tcBorders>
              <w:left w:val="single" w:sz="4" w:space="0" w:color="auto"/>
            </w:tcBorders>
            <w:shd w:val="clear" w:color="auto" w:fill="auto"/>
          </w:tcPr>
          <w:p w14:paraId="41135A83" w14:textId="77777777" w:rsidR="00134236" w:rsidRPr="00134236" w:rsidRDefault="00134236" w:rsidP="00134236">
            <w:pPr>
              <w:spacing w:after="0" w:line="240" w:lineRule="auto"/>
              <w:rPr>
                <w:sz w:val="20"/>
                <w:szCs w:val="20"/>
              </w:rPr>
            </w:pPr>
            <w:r w:rsidRPr="00134236">
              <w:rPr>
                <w:sz w:val="20"/>
                <w:szCs w:val="20"/>
              </w:rPr>
              <w:t>Doyle ECC</w:t>
            </w:r>
          </w:p>
        </w:tc>
        <w:tc>
          <w:tcPr>
            <w:tcW w:w="693" w:type="dxa"/>
            <w:shd w:val="clear" w:color="auto" w:fill="auto"/>
          </w:tcPr>
          <w:p w14:paraId="1E842963" w14:textId="77777777" w:rsidR="00134236" w:rsidRPr="00134236" w:rsidRDefault="00134236" w:rsidP="00134236">
            <w:pPr>
              <w:spacing w:after="0" w:line="240" w:lineRule="auto"/>
              <w:jc w:val="center"/>
              <w:rPr>
                <w:sz w:val="20"/>
                <w:szCs w:val="20"/>
              </w:rPr>
            </w:pPr>
            <w:r w:rsidRPr="00134236">
              <w:rPr>
                <w:sz w:val="20"/>
                <w:szCs w:val="20"/>
              </w:rPr>
              <w:t>--</w:t>
            </w:r>
          </w:p>
        </w:tc>
        <w:tc>
          <w:tcPr>
            <w:tcW w:w="693" w:type="dxa"/>
            <w:shd w:val="clear" w:color="auto" w:fill="auto"/>
          </w:tcPr>
          <w:p w14:paraId="4F346D9E" w14:textId="77777777" w:rsidR="00134236" w:rsidRPr="00134236" w:rsidRDefault="00134236" w:rsidP="00134236">
            <w:pPr>
              <w:spacing w:after="0" w:line="240" w:lineRule="auto"/>
              <w:jc w:val="center"/>
              <w:rPr>
                <w:sz w:val="20"/>
                <w:szCs w:val="20"/>
              </w:rPr>
            </w:pPr>
            <w:r w:rsidRPr="00134236">
              <w:rPr>
                <w:sz w:val="20"/>
                <w:szCs w:val="20"/>
              </w:rPr>
              <w:t>--</w:t>
            </w:r>
          </w:p>
        </w:tc>
        <w:tc>
          <w:tcPr>
            <w:tcW w:w="693" w:type="dxa"/>
            <w:shd w:val="clear" w:color="auto" w:fill="auto"/>
          </w:tcPr>
          <w:p w14:paraId="295E1826" w14:textId="77777777" w:rsidR="00134236" w:rsidRPr="00134236" w:rsidRDefault="00134236" w:rsidP="00134236">
            <w:pPr>
              <w:spacing w:after="0" w:line="240" w:lineRule="auto"/>
              <w:jc w:val="center"/>
              <w:rPr>
                <w:sz w:val="20"/>
                <w:szCs w:val="20"/>
              </w:rPr>
            </w:pPr>
            <w:r w:rsidRPr="00134236">
              <w:rPr>
                <w:sz w:val="20"/>
                <w:szCs w:val="20"/>
              </w:rPr>
              <w:t>--</w:t>
            </w:r>
          </w:p>
        </w:tc>
        <w:tc>
          <w:tcPr>
            <w:tcW w:w="693" w:type="dxa"/>
            <w:shd w:val="clear" w:color="auto" w:fill="auto"/>
          </w:tcPr>
          <w:p w14:paraId="19D123CD" w14:textId="77777777" w:rsidR="00134236" w:rsidRPr="00134236" w:rsidRDefault="00134236" w:rsidP="00134236">
            <w:pPr>
              <w:spacing w:after="0" w:line="240" w:lineRule="auto"/>
              <w:jc w:val="center"/>
              <w:rPr>
                <w:sz w:val="20"/>
                <w:szCs w:val="20"/>
              </w:rPr>
            </w:pPr>
            <w:r w:rsidRPr="00134236">
              <w:rPr>
                <w:sz w:val="20"/>
                <w:szCs w:val="20"/>
              </w:rPr>
              <w:t>--</w:t>
            </w:r>
          </w:p>
        </w:tc>
        <w:tc>
          <w:tcPr>
            <w:tcW w:w="693" w:type="dxa"/>
            <w:tcBorders>
              <w:right w:val="single" w:sz="18" w:space="0" w:color="auto"/>
            </w:tcBorders>
            <w:shd w:val="clear" w:color="auto" w:fill="auto"/>
          </w:tcPr>
          <w:p w14:paraId="07573995" w14:textId="77777777" w:rsidR="00134236" w:rsidRPr="00134236" w:rsidRDefault="00134236" w:rsidP="00134236">
            <w:pPr>
              <w:spacing w:after="0" w:line="240" w:lineRule="auto"/>
              <w:jc w:val="center"/>
              <w:rPr>
                <w:sz w:val="20"/>
                <w:szCs w:val="20"/>
              </w:rPr>
            </w:pPr>
            <w:r w:rsidRPr="00134236">
              <w:rPr>
                <w:sz w:val="20"/>
                <w:szCs w:val="20"/>
              </w:rPr>
              <w:t>--</w:t>
            </w:r>
          </w:p>
        </w:tc>
        <w:tc>
          <w:tcPr>
            <w:tcW w:w="693" w:type="dxa"/>
            <w:tcBorders>
              <w:left w:val="single" w:sz="18" w:space="0" w:color="auto"/>
            </w:tcBorders>
            <w:shd w:val="clear" w:color="auto" w:fill="auto"/>
          </w:tcPr>
          <w:p w14:paraId="3848AEE5" w14:textId="77777777" w:rsidR="00134236" w:rsidRPr="00134236" w:rsidRDefault="00134236" w:rsidP="00134236">
            <w:pPr>
              <w:spacing w:after="0" w:line="240" w:lineRule="auto"/>
              <w:jc w:val="center"/>
              <w:rPr>
                <w:sz w:val="20"/>
                <w:szCs w:val="20"/>
              </w:rPr>
            </w:pPr>
            <w:r w:rsidRPr="00134236">
              <w:rPr>
                <w:sz w:val="20"/>
                <w:szCs w:val="20"/>
              </w:rPr>
              <w:t>--</w:t>
            </w:r>
          </w:p>
        </w:tc>
        <w:tc>
          <w:tcPr>
            <w:tcW w:w="693" w:type="dxa"/>
            <w:shd w:val="clear" w:color="auto" w:fill="auto"/>
          </w:tcPr>
          <w:p w14:paraId="576A4FA5" w14:textId="77777777" w:rsidR="00134236" w:rsidRPr="00134236" w:rsidRDefault="00134236" w:rsidP="00134236">
            <w:pPr>
              <w:spacing w:after="0" w:line="240" w:lineRule="auto"/>
              <w:jc w:val="center"/>
              <w:rPr>
                <w:sz w:val="20"/>
                <w:szCs w:val="20"/>
              </w:rPr>
            </w:pPr>
            <w:r w:rsidRPr="00134236">
              <w:rPr>
                <w:sz w:val="20"/>
                <w:szCs w:val="20"/>
              </w:rPr>
              <w:t>--</w:t>
            </w:r>
          </w:p>
        </w:tc>
        <w:tc>
          <w:tcPr>
            <w:tcW w:w="693" w:type="dxa"/>
            <w:shd w:val="clear" w:color="auto" w:fill="auto"/>
          </w:tcPr>
          <w:p w14:paraId="247E5F95" w14:textId="77777777" w:rsidR="00134236" w:rsidRPr="00134236" w:rsidRDefault="00134236" w:rsidP="00134236">
            <w:pPr>
              <w:spacing w:after="0" w:line="240" w:lineRule="auto"/>
              <w:jc w:val="center"/>
              <w:rPr>
                <w:sz w:val="20"/>
                <w:szCs w:val="20"/>
              </w:rPr>
            </w:pPr>
            <w:r w:rsidRPr="00134236">
              <w:rPr>
                <w:sz w:val="20"/>
                <w:szCs w:val="20"/>
              </w:rPr>
              <w:t>--</w:t>
            </w:r>
          </w:p>
        </w:tc>
        <w:tc>
          <w:tcPr>
            <w:tcW w:w="693" w:type="dxa"/>
            <w:shd w:val="clear" w:color="auto" w:fill="auto"/>
          </w:tcPr>
          <w:p w14:paraId="1F25AD86" w14:textId="77777777" w:rsidR="00134236" w:rsidRPr="00134236" w:rsidRDefault="00134236" w:rsidP="00134236">
            <w:pPr>
              <w:spacing w:after="0" w:line="240" w:lineRule="auto"/>
              <w:jc w:val="center"/>
              <w:rPr>
                <w:sz w:val="20"/>
                <w:szCs w:val="20"/>
              </w:rPr>
            </w:pPr>
            <w:r w:rsidRPr="00134236">
              <w:rPr>
                <w:sz w:val="20"/>
                <w:szCs w:val="20"/>
              </w:rPr>
              <w:t>--</w:t>
            </w:r>
          </w:p>
        </w:tc>
        <w:tc>
          <w:tcPr>
            <w:tcW w:w="693" w:type="dxa"/>
            <w:tcBorders>
              <w:right w:val="single" w:sz="4" w:space="0" w:color="auto"/>
            </w:tcBorders>
            <w:shd w:val="clear" w:color="auto" w:fill="auto"/>
          </w:tcPr>
          <w:p w14:paraId="037EB1B8" w14:textId="77777777" w:rsidR="00134236" w:rsidRPr="00134236" w:rsidRDefault="00134236" w:rsidP="00134236">
            <w:pPr>
              <w:spacing w:after="0" w:line="240" w:lineRule="auto"/>
              <w:jc w:val="center"/>
              <w:rPr>
                <w:sz w:val="20"/>
                <w:szCs w:val="20"/>
              </w:rPr>
            </w:pPr>
            <w:r w:rsidRPr="00134236">
              <w:rPr>
                <w:sz w:val="20"/>
                <w:szCs w:val="20"/>
              </w:rPr>
              <w:t>--</w:t>
            </w:r>
          </w:p>
        </w:tc>
      </w:tr>
      <w:tr w:rsidR="00134236" w:rsidRPr="00134236" w14:paraId="61635FE6" w14:textId="77777777" w:rsidTr="00DF5AC6">
        <w:tc>
          <w:tcPr>
            <w:tcW w:w="2628" w:type="dxa"/>
            <w:tcBorders>
              <w:left w:val="single" w:sz="4" w:space="0" w:color="auto"/>
            </w:tcBorders>
            <w:shd w:val="clear" w:color="auto" w:fill="D9D9D9" w:themeFill="background1" w:themeFillShade="D9"/>
          </w:tcPr>
          <w:p w14:paraId="48DD071E" w14:textId="77777777" w:rsidR="00134236" w:rsidRPr="00134236" w:rsidRDefault="00134236" w:rsidP="00134236">
            <w:pPr>
              <w:spacing w:after="0" w:line="240" w:lineRule="auto"/>
              <w:rPr>
                <w:sz w:val="20"/>
                <w:szCs w:val="20"/>
              </w:rPr>
            </w:pPr>
            <w:r w:rsidRPr="00134236">
              <w:rPr>
                <w:sz w:val="20"/>
                <w:szCs w:val="20"/>
              </w:rPr>
              <w:t>Dolbeare</w:t>
            </w:r>
          </w:p>
        </w:tc>
        <w:tc>
          <w:tcPr>
            <w:tcW w:w="693" w:type="dxa"/>
            <w:shd w:val="clear" w:color="auto" w:fill="D9D9D9" w:themeFill="background1" w:themeFillShade="D9"/>
          </w:tcPr>
          <w:p w14:paraId="6266DE31" w14:textId="77777777" w:rsidR="00134236" w:rsidRPr="00134236" w:rsidRDefault="00134236" w:rsidP="00134236">
            <w:pPr>
              <w:spacing w:after="0" w:line="240" w:lineRule="auto"/>
              <w:jc w:val="center"/>
              <w:rPr>
                <w:sz w:val="20"/>
                <w:szCs w:val="20"/>
              </w:rPr>
            </w:pPr>
            <w:r w:rsidRPr="00134236">
              <w:rPr>
                <w:sz w:val="20"/>
                <w:szCs w:val="20"/>
              </w:rPr>
              <w:t>48%</w:t>
            </w:r>
          </w:p>
        </w:tc>
        <w:tc>
          <w:tcPr>
            <w:tcW w:w="693" w:type="dxa"/>
            <w:shd w:val="clear" w:color="auto" w:fill="D9D9D9" w:themeFill="background1" w:themeFillShade="D9"/>
          </w:tcPr>
          <w:p w14:paraId="1F66E4E8" w14:textId="77777777" w:rsidR="00134236" w:rsidRPr="00134236" w:rsidRDefault="00134236" w:rsidP="00134236">
            <w:pPr>
              <w:spacing w:after="0" w:line="240" w:lineRule="auto"/>
              <w:jc w:val="center"/>
              <w:rPr>
                <w:sz w:val="20"/>
                <w:szCs w:val="20"/>
              </w:rPr>
            </w:pPr>
            <w:r w:rsidRPr="00134236">
              <w:rPr>
                <w:sz w:val="20"/>
                <w:szCs w:val="20"/>
              </w:rPr>
              <w:t>19%</w:t>
            </w:r>
          </w:p>
        </w:tc>
        <w:tc>
          <w:tcPr>
            <w:tcW w:w="693" w:type="dxa"/>
            <w:shd w:val="clear" w:color="auto" w:fill="D9D9D9" w:themeFill="background1" w:themeFillShade="D9"/>
          </w:tcPr>
          <w:p w14:paraId="4968495C" w14:textId="77777777" w:rsidR="00134236" w:rsidRPr="00134236" w:rsidRDefault="00134236" w:rsidP="00134236">
            <w:pPr>
              <w:spacing w:after="0" w:line="240" w:lineRule="auto"/>
              <w:jc w:val="center"/>
              <w:rPr>
                <w:sz w:val="20"/>
                <w:szCs w:val="20"/>
              </w:rPr>
            </w:pPr>
            <w:r w:rsidRPr="00134236">
              <w:rPr>
                <w:sz w:val="20"/>
                <w:szCs w:val="20"/>
              </w:rPr>
              <w:t>29%</w:t>
            </w:r>
          </w:p>
        </w:tc>
        <w:tc>
          <w:tcPr>
            <w:tcW w:w="693" w:type="dxa"/>
            <w:shd w:val="clear" w:color="auto" w:fill="D9D9D9" w:themeFill="background1" w:themeFillShade="D9"/>
          </w:tcPr>
          <w:p w14:paraId="40D32749" w14:textId="77777777" w:rsidR="00134236" w:rsidRPr="00134236" w:rsidRDefault="00134236" w:rsidP="00134236">
            <w:pPr>
              <w:spacing w:after="0" w:line="240" w:lineRule="auto"/>
              <w:jc w:val="center"/>
              <w:rPr>
                <w:sz w:val="20"/>
                <w:szCs w:val="20"/>
              </w:rPr>
            </w:pPr>
            <w:r w:rsidRPr="00134236">
              <w:rPr>
                <w:sz w:val="20"/>
                <w:szCs w:val="20"/>
              </w:rPr>
              <w:t>6%</w:t>
            </w:r>
          </w:p>
        </w:tc>
        <w:tc>
          <w:tcPr>
            <w:tcW w:w="693" w:type="dxa"/>
            <w:tcBorders>
              <w:right w:val="single" w:sz="18" w:space="0" w:color="auto"/>
            </w:tcBorders>
            <w:shd w:val="clear" w:color="auto" w:fill="D9D9D9" w:themeFill="background1" w:themeFillShade="D9"/>
          </w:tcPr>
          <w:p w14:paraId="7F9705B0" w14:textId="77777777" w:rsidR="00134236" w:rsidRPr="00134236" w:rsidRDefault="00134236" w:rsidP="00134236">
            <w:pPr>
              <w:spacing w:after="0" w:line="240" w:lineRule="auto"/>
              <w:jc w:val="center"/>
              <w:rPr>
                <w:sz w:val="20"/>
                <w:szCs w:val="20"/>
              </w:rPr>
            </w:pPr>
            <w:r w:rsidRPr="00134236">
              <w:rPr>
                <w:sz w:val="20"/>
                <w:szCs w:val="20"/>
              </w:rPr>
              <w:t>--</w:t>
            </w:r>
          </w:p>
        </w:tc>
        <w:tc>
          <w:tcPr>
            <w:tcW w:w="693" w:type="dxa"/>
            <w:tcBorders>
              <w:left w:val="single" w:sz="18" w:space="0" w:color="auto"/>
            </w:tcBorders>
            <w:shd w:val="clear" w:color="auto" w:fill="D9D9D9" w:themeFill="background1" w:themeFillShade="D9"/>
          </w:tcPr>
          <w:p w14:paraId="5FC23FE6" w14:textId="77777777" w:rsidR="00134236" w:rsidRPr="00134236" w:rsidRDefault="00134236" w:rsidP="00134236">
            <w:pPr>
              <w:spacing w:after="0" w:line="240" w:lineRule="auto"/>
              <w:jc w:val="center"/>
              <w:rPr>
                <w:sz w:val="20"/>
                <w:szCs w:val="20"/>
              </w:rPr>
            </w:pPr>
            <w:r w:rsidRPr="00134236">
              <w:rPr>
                <w:sz w:val="20"/>
                <w:szCs w:val="20"/>
              </w:rPr>
              <w:t>55%</w:t>
            </w:r>
          </w:p>
        </w:tc>
        <w:tc>
          <w:tcPr>
            <w:tcW w:w="693" w:type="dxa"/>
            <w:shd w:val="clear" w:color="auto" w:fill="D9D9D9" w:themeFill="background1" w:themeFillShade="D9"/>
          </w:tcPr>
          <w:p w14:paraId="3A1A4A46" w14:textId="77777777" w:rsidR="00134236" w:rsidRPr="00134236" w:rsidRDefault="00134236" w:rsidP="00134236">
            <w:pPr>
              <w:spacing w:after="0" w:line="240" w:lineRule="auto"/>
              <w:jc w:val="center"/>
              <w:rPr>
                <w:sz w:val="20"/>
                <w:szCs w:val="20"/>
              </w:rPr>
            </w:pPr>
            <w:r w:rsidRPr="00134236">
              <w:rPr>
                <w:sz w:val="20"/>
                <w:szCs w:val="20"/>
              </w:rPr>
              <w:t>24%</w:t>
            </w:r>
          </w:p>
        </w:tc>
        <w:tc>
          <w:tcPr>
            <w:tcW w:w="693" w:type="dxa"/>
            <w:shd w:val="clear" w:color="auto" w:fill="D9D9D9" w:themeFill="background1" w:themeFillShade="D9"/>
          </w:tcPr>
          <w:p w14:paraId="1DA0329A" w14:textId="77777777" w:rsidR="00134236" w:rsidRPr="00134236" w:rsidRDefault="00134236" w:rsidP="00134236">
            <w:pPr>
              <w:spacing w:after="0" w:line="240" w:lineRule="auto"/>
              <w:jc w:val="center"/>
              <w:rPr>
                <w:sz w:val="20"/>
                <w:szCs w:val="20"/>
              </w:rPr>
            </w:pPr>
            <w:r w:rsidRPr="00134236">
              <w:rPr>
                <w:sz w:val="20"/>
                <w:szCs w:val="20"/>
              </w:rPr>
              <w:t>39%</w:t>
            </w:r>
          </w:p>
        </w:tc>
        <w:tc>
          <w:tcPr>
            <w:tcW w:w="693" w:type="dxa"/>
            <w:shd w:val="clear" w:color="auto" w:fill="D9D9D9" w:themeFill="background1" w:themeFillShade="D9"/>
          </w:tcPr>
          <w:p w14:paraId="25C20940" w14:textId="77777777" w:rsidR="00134236" w:rsidRPr="00134236" w:rsidRDefault="00134236" w:rsidP="00134236">
            <w:pPr>
              <w:spacing w:after="0" w:line="240" w:lineRule="auto"/>
              <w:jc w:val="center"/>
              <w:rPr>
                <w:sz w:val="20"/>
                <w:szCs w:val="20"/>
              </w:rPr>
            </w:pPr>
            <w:r w:rsidRPr="00134236">
              <w:rPr>
                <w:sz w:val="20"/>
                <w:szCs w:val="20"/>
              </w:rPr>
              <w:t>9%</w:t>
            </w:r>
          </w:p>
        </w:tc>
        <w:tc>
          <w:tcPr>
            <w:tcW w:w="693" w:type="dxa"/>
            <w:tcBorders>
              <w:right w:val="single" w:sz="4" w:space="0" w:color="auto"/>
            </w:tcBorders>
            <w:shd w:val="clear" w:color="auto" w:fill="D9D9D9" w:themeFill="background1" w:themeFillShade="D9"/>
          </w:tcPr>
          <w:p w14:paraId="1FE9A4C8" w14:textId="77777777" w:rsidR="00134236" w:rsidRPr="00134236" w:rsidRDefault="00134236" w:rsidP="00134236">
            <w:pPr>
              <w:spacing w:after="0" w:line="240" w:lineRule="auto"/>
              <w:jc w:val="center"/>
              <w:rPr>
                <w:sz w:val="20"/>
                <w:szCs w:val="20"/>
              </w:rPr>
            </w:pPr>
            <w:r w:rsidRPr="00134236">
              <w:rPr>
                <w:sz w:val="20"/>
                <w:szCs w:val="20"/>
              </w:rPr>
              <w:t>--</w:t>
            </w:r>
          </w:p>
        </w:tc>
      </w:tr>
      <w:tr w:rsidR="00134236" w:rsidRPr="00134236" w14:paraId="6635E237" w14:textId="77777777" w:rsidTr="00DF5AC6">
        <w:tc>
          <w:tcPr>
            <w:tcW w:w="2628" w:type="dxa"/>
            <w:tcBorders>
              <w:left w:val="single" w:sz="4" w:space="0" w:color="auto"/>
            </w:tcBorders>
            <w:shd w:val="clear" w:color="auto" w:fill="auto"/>
          </w:tcPr>
          <w:p w14:paraId="3C62F331" w14:textId="77777777" w:rsidR="00134236" w:rsidRPr="00134236" w:rsidRDefault="00134236" w:rsidP="00134236">
            <w:pPr>
              <w:spacing w:after="0" w:line="240" w:lineRule="auto"/>
              <w:rPr>
                <w:sz w:val="20"/>
                <w:szCs w:val="20"/>
              </w:rPr>
            </w:pPr>
            <w:r w:rsidRPr="00134236">
              <w:rPr>
                <w:sz w:val="20"/>
                <w:szCs w:val="20"/>
              </w:rPr>
              <w:t>Woodville</w:t>
            </w:r>
          </w:p>
        </w:tc>
        <w:tc>
          <w:tcPr>
            <w:tcW w:w="693" w:type="dxa"/>
            <w:shd w:val="clear" w:color="auto" w:fill="auto"/>
          </w:tcPr>
          <w:p w14:paraId="3B186336" w14:textId="77777777" w:rsidR="00134236" w:rsidRPr="00134236" w:rsidRDefault="00134236" w:rsidP="00134236">
            <w:pPr>
              <w:spacing w:after="0" w:line="240" w:lineRule="auto"/>
              <w:jc w:val="center"/>
              <w:rPr>
                <w:sz w:val="20"/>
                <w:szCs w:val="20"/>
              </w:rPr>
            </w:pPr>
            <w:r w:rsidRPr="00134236">
              <w:rPr>
                <w:sz w:val="20"/>
                <w:szCs w:val="20"/>
              </w:rPr>
              <w:t>52%</w:t>
            </w:r>
          </w:p>
        </w:tc>
        <w:tc>
          <w:tcPr>
            <w:tcW w:w="693" w:type="dxa"/>
            <w:shd w:val="clear" w:color="auto" w:fill="auto"/>
          </w:tcPr>
          <w:p w14:paraId="31A2E23D" w14:textId="77777777" w:rsidR="00134236" w:rsidRPr="00134236" w:rsidRDefault="00134236" w:rsidP="00134236">
            <w:pPr>
              <w:spacing w:after="0" w:line="240" w:lineRule="auto"/>
              <w:jc w:val="center"/>
              <w:rPr>
                <w:sz w:val="20"/>
                <w:szCs w:val="20"/>
              </w:rPr>
            </w:pPr>
            <w:r w:rsidRPr="00134236">
              <w:rPr>
                <w:sz w:val="20"/>
                <w:szCs w:val="20"/>
              </w:rPr>
              <w:t>28%</w:t>
            </w:r>
          </w:p>
        </w:tc>
        <w:tc>
          <w:tcPr>
            <w:tcW w:w="693" w:type="dxa"/>
            <w:shd w:val="clear" w:color="auto" w:fill="auto"/>
          </w:tcPr>
          <w:p w14:paraId="50CE0CE9" w14:textId="77777777" w:rsidR="00134236" w:rsidRPr="00134236" w:rsidRDefault="00134236" w:rsidP="00134236">
            <w:pPr>
              <w:spacing w:after="0" w:line="240" w:lineRule="auto"/>
              <w:jc w:val="center"/>
              <w:rPr>
                <w:sz w:val="20"/>
                <w:szCs w:val="20"/>
              </w:rPr>
            </w:pPr>
            <w:r w:rsidRPr="00134236">
              <w:rPr>
                <w:sz w:val="20"/>
                <w:szCs w:val="20"/>
              </w:rPr>
              <w:t>35%</w:t>
            </w:r>
          </w:p>
        </w:tc>
        <w:tc>
          <w:tcPr>
            <w:tcW w:w="693" w:type="dxa"/>
            <w:shd w:val="clear" w:color="auto" w:fill="auto"/>
          </w:tcPr>
          <w:p w14:paraId="0BD21CD1" w14:textId="77777777" w:rsidR="00134236" w:rsidRPr="00134236" w:rsidRDefault="00134236" w:rsidP="00134236">
            <w:pPr>
              <w:spacing w:after="0" w:line="240" w:lineRule="auto"/>
              <w:jc w:val="center"/>
              <w:rPr>
                <w:sz w:val="20"/>
                <w:szCs w:val="20"/>
              </w:rPr>
            </w:pPr>
            <w:r w:rsidRPr="00134236">
              <w:rPr>
                <w:sz w:val="20"/>
                <w:szCs w:val="20"/>
              </w:rPr>
              <w:t>15%</w:t>
            </w:r>
          </w:p>
        </w:tc>
        <w:tc>
          <w:tcPr>
            <w:tcW w:w="693" w:type="dxa"/>
            <w:tcBorders>
              <w:right w:val="single" w:sz="18" w:space="0" w:color="auto"/>
            </w:tcBorders>
            <w:shd w:val="clear" w:color="auto" w:fill="auto"/>
          </w:tcPr>
          <w:p w14:paraId="16A82D0F" w14:textId="77777777" w:rsidR="00134236" w:rsidRPr="00134236" w:rsidRDefault="00134236" w:rsidP="00134236">
            <w:pPr>
              <w:spacing w:after="0" w:line="240" w:lineRule="auto"/>
              <w:jc w:val="center"/>
              <w:rPr>
                <w:sz w:val="20"/>
                <w:szCs w:val="20"/>
              </w:rPr>
            </w:pPr>
            <w:r w:rsidRPr="00134236">
              <w:rPr>
                <w:sz w:val="20"/>
                <w:szCs w:val="20"/>
              </w:rPr>
              <w:t>33%</w:t>
            </w:r>
          </w:p>
        </w:tc>
        <w:tc>
          <w:tcPr>
            <w:tcW w:w="693" w:type="dxa"/>
            <w:tcBorders>
              <w:left w:val="single" w:sz="18" w:space="0" w:color="auto"/>
            </w:tcBorders>
            <w:shd w:val="clear" w:color="auto" w:fill="auto"/>
          </w:tcPr>
          <w:p w14:paraId="4CD55597" w14:textId="77777777" w:rsidR="00134236" w:rsidRPr="00134236" w:rsidRDefault="00134236" w:rsidP="00134236">
            <w:pPr>
              <w:spacing w:after="0" w:line="240" w:lineRule="auto"/>
              <w:jc w:val="center"/>
              <w:rPr>
                <w:sz w:val="20"/>
                <w:szCs w:val="20"/>
              </w:rPr>
            </w:pPr>
            <w:r w:rsidRPr="00134236">
              <w:rPr>
                <w:sz w:val="20"/>
                <w:szCs w:val="20"/>
              </w:rPr>
              <w:t>49%</w:t>
            </w:r>
          </w:p>
        </w:tc>
        <w:tc>
          <w:tcPr>
            <w:tcW w:w="693" w:type="dxa"/>
            <w:shd w:val="clear" w:color="auto" w:fill="auto"/>
          </w:tcPr>
          <w:p w14:paraId="2F416416" w14:textId="77777777" w:rsidR="00134236" w:rsidRPr="00134236" w:rsidRDefault="00134236" w:rsidP="00134236">
            <w:pPr>
              <w:spacing w:after="0" w:line="240" w:lineRule="auto"/>
              <w:jc w:val="center"/>
              <w:rPr>
                <w:sz w:val="20"/>
                <w:szCs w:val="20"/>
              </w:rPr>
            </w:pPr>
            <w:r w:rsidRPr="00134236">
              <w:rPr>
                <w:sz w:val="20"/>
                <w:szCs w:val="20"/>
              </w:rPr>
              <w:t>32%</w:t>
            </w:r>
          </w:p>
        </w:tc>
        <w:tc>
          <w:tcPr>
            <w:tcW w:w="693" w:type="dxa"/>
            <w:shd w:val="clear" w:color="auto" w:fill="auto"/>
          </w:tcPr>
          <w:p w14:paraId="7AA97ED9" w14:textId="77777777" w:rsidR="00134236" w:rsidRPr="00134236" w:rsidRDefault="00134236" w:rsidP="00134236">
            <w:pPr>
              <w:spacing w:after="0" w:line="240" w:lineRule="auto"/>
              <w:jc w:val="center"/>
              <w:rPr>
                <w:sz w:val="20"/>
                <w:szCs w:val="20"/>
              </w:rPr>
            </w:pPr>
            <w:r w:rsidRPr="00134236">
              <w:rPr>
                <w:sz w:val="20"/>
                <w:szCs w:val="20"/>
              </w:rPr>
              <w:t>34%</w:t>
            </w:r>
          </w:p>
        </w:tc>
        <w:tc>
          <w:tcPr>
            <w:tcW w:w="693" w:type="dxa"/>
            <w:shd w:val="clear" w:color="auto" w:fill="auto"/>
          </w:tcPr>
          <w:p w14:paraId="53744963" w14:textId="77777777" w:rsidR="00134236" w:rsidRPr="00134236" w:rsidRDefault="00134236" w:rsidP="00134236">
            <w:pPr>
              <w:spacing w:after="0" w:line="240" w:lineRule="auto"/>
              <w:jc w:val="center"/>
              <w:rPr>
                <w:sz w:val="20"/>
                <w:szCs w:val="20"/>
              </w:rPr>
            </w:pPr>
            <w:r w:rsidRPr="00134236">
              <w:rPr>
                <w:sz w:val="20"/>
                <w:szCs w:val="20"/>
              </w:rPr>
              <w:t>21%</w:t>
            </w:r>
          </w:p>
        </w:tc>
        <w:tc>
          <w:tcPr>
            <w:tcW w:w="693" w:type="dxa"/>
            <w:tcBorders>
              <w:right w:val="single" w:sz="4" w:space="0" w:color="auto"/>
            </w:tcBorders>
            <w:shd w:val="clear" w:color="auto" w:fill="auto"/>
          </w:tcPr>
          <w:p w14:paraId="2F302CDD" w14:textId="77777777" w:rsidR="00134236" w:rsidRPr="00134236" w:rsidRDefault="00134236" w:rsidP="00134236">
            <w:pPr>
              <w:spacing w:after="0" w:line="240" w:lineRule="auto"/>
              <w:jc w:val="center"/>
              <w:rPr>
                <w:sz w:val="20"/>
                <w:szCs w:val="20"/>
              </w:rPr>
            </w:pPr>
            <w:r w:rsidRPr="00134236">
              <w:rPr>
                <w:sz w:val="20"/>
                <w:szCs w:val="20"/>
              </w:rPr>
              <w:t>33%</w:t>
            </w:r>
          </w:p>
        </w:tc>
      </w:tr>
      <w:tr w:rsidR="00134236" w:rsidRPr="00134236" w14:paraId="45CC799E" w14:textId="77777777" w:rsidTr="00DF5AC6">
        <w:tc>
          <w:tcPr>
            <w:tcW w:w="2628" w:type="dxa"/>
            <w:tcBorders>
              <w:left w:val="single" w:sz="4" w:space="0" w:color="auto"/>
            </w:tcBorders>
            <w:shd w:val="clear" w:color="auto" w:fill="D9D9D9" w:themeFill="background1" w:themeFillShade="D9"/>
          </w:tcPr>
          <w:p w14:paraId="3C344035" w14:textId="77777777" w:rsidR="00134236" w:rsidRPr="00134236" w:rsidRDefault="00134236" w:rsidP="00134236">
            <w:pPr>
              <w:spacing w:after="0" w:line="240" w:lineRule="auto"/>
              <w:rPr>
                <w:sz w:val="20"/>
                <w:szCs w:val="20"/>
              </w:rPr>
            </w:pPr>
            <w:r w:rsidRPr="00134236">
              <w:rPr>
                <w:sz w:val="20"/>
                <w:szCs w:val="20"/>
              </w:rPr>
              <w:t>Greenwood</w:t>
            </w:r>
          </w:p>
        </w:tc>
        <w:tc>
          <w:tcPr>
            <w:tcW w:w="693" w:type="dxa"/>
            <w:shd w:val="clear" w:color="auto" w:fill="D9D9D9" w:themeFill="background1" w:themeFillShade="D9"/>
          </w:tcPr>
          <w:p w14:paraId="3B8FFE22" w14:textId="77777777" w:rsidR="00134236" w:rsidRPr="00134236" w:rsidRDefault="00134236" w:rsidP="00134236">
            <w:pPr>
              <w:spacing w:after="0" w:line="240" w:lineRule="auto"/>
              <w:jc w:val="center"/>
              <w:rPr>
                <w:sz w:val="20"/>
                <w:szCs w:val="20"/>
              </w:rPr>
            </w:pPr>
            <w:r w:rsidRPr="00134236">
              <w:rPr>
                <w:sz w:val="20"/>
                <w:szCs w:val="20"/>
              </w:rPr>
              <w:t>62%</w:t>
            </w:r>
          </w:p>
        </w:tc>
        <w:tc>
          <w:tcPr>
            <w:tcW w:w="693" w:type="dxa"/>
            <w:shd w:val="clear" w:color="auto" w:fill="D9D9D9" w:themeFill="background1" w:themeFillShade="D9"/>
          </w:tcPr>
          <w:p w14:paraId="1E151FC4" w14:textId="77777777" w:rsidR="00134236" w:rsidRPr="00134236" w:rsidRDefault="00134236" w:rsidP="00134236">
            <w:pPr>
              <w:spacing w:after="0" w:line="240" w:lineRule="auto"/>
              <w:jc w:val="center"/>
              <w:rPr>
                <w:sz w:val="20"/>
                <w:szCs w:val="20"/>
              </w:rPr>
            </w:pPr>
            <w:r w:rsidRPr="00134236">
              <w:rPr>
                <w:sz w:val="20"/>
                <w:szCs w:val="20"/>
              </w:rPr>
              <w:t>37%</w:t>
            </w:r>
          </w:p>
        </w:tc>
        <w:tc>
          <w:tcPr>
            <w:tcW w:w="693" w:type="dxa"/>
            <w:shd w:val="clear" w:color="auto" w:fill="D9D9D9" w:themeFill="background1" w:themeFillShade="D9"/>
          </w:tcPr>
          <w:p w14:paraId="2B706BA2" w14:textId="77777777" w:rsidR="00134236" w:rsidRPr="00134236" w:rsidRDefault="00134236" w:rsidP="00134236">
            <w:pPr>
              <w:spacing w:after="0" w:line="240" w:lineRule="auto"/>
              <w:jc w:val="center"/>
              <w:rPr>
                <w:sz w:val="20"/>
                <w:szCs w:val="20"/>
              </w:rPr>
            </w:pPr>
            <w:r w:rsidRPr="00134236">
              <w:rPr>
                <w:sz w:val="20"/>
                <w:szCs w:val="20"/>
              </w:rPr>
              <w:t>50%</w:t>
            </w:r>
          </w:p>
        </w:tc>
        <w:tc>
          <w:tcPr>
            <w:tcW w:w="693" w:type="dxa"/>
            <w:shd w:val="clear" w:color="auto" w:fill="D9D9D9" w:themeFill="background1" w:themeFillShade="D9"/>
          </w:tcPr>
          <w:p w14:paraId="12DDFFFE" w14:textId="77777777" w:rsidR="00134236" w:rsidRPr="00134236" w:rsidRDefault="00134236" w:rsidP="00134236">
            <w:pPr>
              <w:spacing w:after="0" w:line="240" w:lineRule="auto"/>
              <w:jc w:val="center"/>
              <w:rPr>
                <w:sz w:val="20"/>
                <w:szCs w:val="20"/>
              </w:rPr>
            </w:pPr>
            <w:r w:rsidRPr="00134236">
              <w:rPr>
                <w:sz w:val="20"/>
                <w:szCs w:val="20"/>
              </w:rPr>
              <w:t>32%</w:t>
            </w:r>
          </w:p>
        </w:tc>
        <w:tc>
          <w:tcPr>
            <w:tcW w:w="693" w:type="dxa"/>
            <w:tcBorders>
              <w:right w:val="single" w:sz="18" w:space="0" w:color="auto"/>
            </w:tcBorders>
            <w:shd w:val="clear" w:color="auto" w:fill="D9D9D9" w:themeFill="background1" w:themeFillShade="D9"/>
          </w:tcPr>
          <w:p w14:paraId="69B27A74" w14:textId="77777777" w:rsidR="00134236" w:rsidRPr="00134236" w:rsidRDefault="00134236" w:rsidP="00134236">
            <w:pPr>
              <w:spacing w:after="0" w:line="240" w:lineRule="auto"/>
              <w:jc w:val="center"/>
              <w:rPr>
                <w:sz w:val="20"/>
                <w:szCs w:val="20"/>
              </w:rPr>
            </w:pPr>
            <w:r w:rsidRPr="00134236">
              <w:rPr>
                <w:sz w:val="20"/>
                <w:szCs w:val="20"/>
              </w:rPr>
              <w:t>--</w:t>
            </w:r>
          </w:p>
        </w:tc>
        <w:tc>
          <w:tcPr>
            <w:tcW w:w="693" w:type="dxa"/>
            <w:tcBorders>
              <w:left w:val="single" w:sz="18" w:space="0" w:color="auto"/>
            </w:tcBorders>
            <w:shd w:val="clear" w:color="auto" w:fill="D9D9D9" w:themeFill="background1" w:themeFillShade="D9"/>
          </w:tcPr>
          <w:p w14:paraId="7F10A368" w14:textId="77777777" w:rsidR="00134236" w:rsidRPr="00134236" w:rsidRDefault="00134236" w:rsidP="00134236">
            <w:pPr>
              <w:spacing w:after="0" w:line="240" w:lineRule="auto"/>
              <w:jc w:val="center"/>
              <w:rPr>
                <w:sz w:val="20"/>
                <w:szCs w:val="20"/>
              </w:rPr>
            </w:pPr>
            <w:r w:rsidRPr="00134236">
              <w:rPr>
                <w:sz w:val="20"/>
                <w:szCs w:val="20"/>
              </w:rPr>
              <w:t>64%</w:t>
            </w:r>
          </w:p>
        </w:tc>
        <w:tc>
          <w:tcPr>
            <w:tcW w:w="693" w:type="dxa"/>
            <w:shd w:val="clear" w:color="auto" w:fill="D9D9D9" w:themeFill="background1" w:themeFillShade="D9"/>
          </w:tcPr>
          <w:p w14:paraId="3C59C2DE" w14:textId="77777777" w:rsidR="00134236" w:rsidRPr="00134236" w:rsidRDefault="00134236" w:rsidP="00134236">
            <w:pPr>
              <w:spacing w:after="0" w:line="240" w:lineRule="auto"/>
              <w:jc w:val="center"/>
              <w:rPr>
                <w:sz w:val="20"/>
                <w:szCs w:val="20"/>
              </w:rPr>
            </w:pPr>
            <w:r w:rsidRPr="00134236">
              <w:rPr>
                <w:sz w:val="20"/>
                <w:szCs w:val="20"/>
              </w:rPr>
              <w:t>30%</w:t>
            </w:r>
          </w:p>
        </w:tc>
        <w:tc>
          <w:tcPr>
            <w:tcW w:w="693" w:type="dxa"/>
            <w:shd w:val="clear" w:color="auto" w:fill="D9D9D9" w:themeFill="background1" w:themeFillShade="D9"/>
          </w:tcPr>
          <w:p w14:paraId="5A95A2AD" w14:textId="77777777" w:rsidR="00134236" w:rsidRPr="00134236" w:rsidRDefault="00134236" w:rsidP="00134236">
            <w:pPr>
              <w:spacing w:after="0" w:line="240" w:lineRule="auto"/>
              <w:jc w:val="center"/>
              <w:rPr>
                <w:sz w:val="20"/>
                <w:szCs w:val="20"/>
              </w:rPr>
            </w:pPr>
            <w:r w:rsidRPr="00134236">
              <w:rPr>
                <w:sz w:val="20"/>
                <w:szCs w:val="20"/>
              </w:rPr>
              <w:t>20%</w:t>
            </w:r>
          </w:p>
        </w:tc>
        <w:tc>
          <w:tcPr>
            <w:tcW w:w="693" w:type="dxa"/>
            <w:shd w:val="clear" w:color="auto" w:fill="D9D9D9" w:themeFill="background1" w:themeFillShade="D9"/>
          </w:tcPr>
          <w:p w14:paraId="398EB37F" w14:textId="77777777" w:rsidR="00134236" w:rsidRPr="00134236" w:rsidRDefault="00134236" w:rsidP="00134236">
            <w:pPr>
              <w:spacing w:after="0" w:line="240" w:lineRule="auto"/>
              <w:jc w:val="center"/>
              <w:rPr>
                <w:sz w:val="20"/>
                <w:szCs w:val="20"/>
              </w:rPr>
            </w:pPr>
            <w:r w:rsidRPr="00134236">
              <w:rPr>
                <w:sz w:val="20"/>
                <w:szCs w:val="20"/>
              </w:rPr>
              <w:t>32%</w:t>
            </w:r>
          </w:p>
        </w:tc>
        <w:tc>
          <w:tcPr>
            <w:tcW w:w="693" w:type="dxa"/>
            <w:tcBorders>
              <w:right w:val="single" w:sz="4" w:space="0" w:color="auto"/>
            </w:tcBorders>
            <w:shd w:val="clear" w:color="auto" w:fill="D9D9D9" w:themeFill="background1" w:themeFillShade="D9"/>
          </w:tcPr>
          <w:p w14:paraId="3288D126" w14:textId="77777777" w:rsidR="00134236" w:rsidRPr="00134236" w:rsidRDefault="00134236" w:rsidP="00134236">
            <w:pPr>
              <w:spacing w:after="0" w:line="240" w:lineRule="auto"/>
              <w:jc w:val="center"/>
              <w:rPr>
                <w:sz w:val="20"/>
                <w:szCs w:val="20"/>
              </w:rPr>
            </w:pPr>
            <w:r w:rsidRPr="00134236">
              <w:rPr>
                <w:sz w:val="20"/>
                <w:szCs w:val="20"/>
              </w:rPr>
              <w:t>--</w:t>
            </w:r>
          </w:p>
        </w:tc>
      </w:tr>
      <w:tr w:rsidR="00134236" w:rsidRPr="00134236" w14:paraId="2CFB37D1" w14:textId="77777777" w:rsidTr="00DF5AC6">
        <w:tc>
          <w:tcPr>
            <w:tcW w:w="2628" w:type="dxa"/>
            <w:tcBorders>
              <w:left w:val="single" w:sz="4" w:space="0" w:color="auto"/>
            </w:tcBorders>
            <w:shd w:val="clear" w:color="auto" w:fill="auto"/>
          </w:tcPr>
          <w:p w14:paraId="506281EE" w14:textId="77777777" w:rsidR="00134236" w:rsidRPr="00134236" w:rsidRDefault="00134236" w:rsidP="00134236">
            <w:pPr>
              <w:spacing w:after="0" w:line="240" w:lineRule="auto"/>
              <w:rPr>
                <w:sz w:val="20"/>
                <w:szCs w:val="20"/>
              </w:rPr>
            </w:pPr>
            <w:r w:rsidRPr="00134236">
              <w:rPr>
                <w:sz w:val="20"/>
                <w:szCs w:val="20"/>
              </w:rPr>
              <w:t>Walton</w:t>
            </w:r>
          </w:p>
        </w:tc>
        <w:tc>
          <w:tcPr>
            <w:tcW w:w="693" w:type="dxa"/>
            <w:shd w:val="clear" w:color="auto" w:fill="auto"/>
          </w:tcPr>
          <w:p w14:paraId="6E1F7800" w14:textId="77777777" w:rsidR="00134236" w:rsidRPr="00134236" w:rsidRDefault="00134236" w:rsidP="00134236">
            <w:pPr>
              <w:spacing w:after="0" w:line="240" w:lineRule="auto"/>
              <w:jc w:val="center"/>
              <w:rPr>
                <w:sz w:val="20"/>
                <w:szCs w:val="20"/>
              </w:rPr>
            </w:pPr>
            <w:r w:rsidRPr="00134236">
              <w:rPr>
                <w:sz w:val="20"/>
                <w:szCs w:val="20"/>
              </w:rPr>
              <w:t>61%</w:t>
            </w:r>
          </w:p>
        </w:tc>
        <w:tc>
          <w:tcPr>
            <w:tcW w:w="693" w:type="dxa"/>
            <w:shd w:val="clear" w:color="auto" w:fill="auto"/>
          </w:tcPr>
          <w:p w14:paraId="484B9175" w14:textId="77777777" w:rsidR="00134236" w:rsidRPr="00134236" w:rsidRDefault="00134236" w:rsidP="00134236">
            <w:pPr>
              <w:spacing w:after="0" w:line="240" w:lineRule="auto"/>
              <w:jc w:val="center"/>
              <w:rPr>
                <w:sz w:val="20"/>
                <w:szCs w:val="20"/>
              </w:rPr>
            </w:pPr>
            <w:r w:rsidRPr="00134236">
              <w:rPr>
                <w:sz w:val="20"/>
                <w:szCs w:val="20"/>
              </w:rPr>
              <w:t>33%</w:t>
            </w:r>
          </w:p>
        </w:tc>
        <w:tc>
          <w:tcPr>
            <w:tcW w:w="693" w:type="dxa"/>
            <w:shd w:val="clear" w:color="auto" w:fill="auto"/>
          </w:tcPr>
          <w:p w14:paraId="16182048" w14:textId="77777777" w:rsidR="00134236" w:rsidRPr="00134236" w:rsidRDefault="00134236" w:rsidP="00134236">
            <w:pPr>
              <w:spacing w:after="0" w:line="240" w:lineRule="auto"/>
              <w:jc w:val="center"/>
              <w:rPr>
                <w:sz w:val="20"/>
                <w:szCs w:val="20"/>
              </w:rPr>
            </w:pPr>
            <w:r w:rsidRPr="00134236">
              <w:rPr>
                <w:sz w:val="20"/>
                <w:szCs w:val="20"/>
              </w:rPr>
              <w:t>--</w:t>
            </w:r>
          </w:p>
        </w:tc>
        <w:tc>
          <w:tcPr>
            <w:tcW w:w="693" w:type="dxa"/>
            <w:shd w:val="clear" w:color="auto" w:fill="auto"/>
          </w:tcPr>
          <w:p w14:paraId="369B176A" w14:textId="77777777" w:rsidR="00134236" w:rsidRPr="00134236" w:rsidRDefault="00134236" w:rsidP="00134236">
            <w:pPr>
              <w:spacing w:after="0" w:line="240" w:lineRule="auto"/>
              <w:jc w:val="center"/>
              <w:rPr>
                <w:sz w:val="20"/>
                <w:szCs w:val="20"/>
              </w:rPr>
            </w:pPr>
            <w:r w:rsidRPr="00134236">
              <w:rPr>
                <w:sz w:val="20"/>
                <w:szCs w:val="20"/>
              </w:rPr>
              <w:t>36%</w:t>
            </w:r>
          </w:p>
        </w:tc>
        <w:tc>
          <w:tcPr>
            <w:tcW w:w="693" w:type="dxa"/>
            <w:tcBorders>
              <w:right w:val="single" w:sz="18" w:space="0" w:color="auto"/>
            </w:tcBorders>
            <w:shd w:val="clear" w:color="auto" w:fill="auto"/>
          </w:tcPr>
          <w:p w14:paraId="76DE0C41" w14:textId="77777777" w:rsidR="00134236" w:rsidRPr="00134236" w:rsidRDefault="00134236" w:rsidP="00134236">
            <w:pPr>
              <w:spacing w:after="0" w:line="240" w:lineRule="auto"/>
              <w:jc w:val="center"/>
              <w:rPr>
                <w:sz w:val="20"/>
                <w:szCs w:val="20"/>
              </w:rPr>
            </w:pPr>
            <w:r w:rsidRPr="00134236">
              <w:rPr>
                <w:sz w:val="20"/>
                <w:szCs w:val="20"/>
              </w:rPr>
              <w:t>--</w:t>
            </w:r>
          </w:p>
        </w:tc>
        <w:tc>
          <w:tcPr>
            <w:tcW w:w="693" w:type="dxa"/>
            <w:tcBorders>
              <w:left w:val="single" w:sz="18" w:space="0" w:color="auto"/>
            </w:tcBorders>
            <w:shd w:val="clear" w:color="auto" w:fill="auto"/>
          </w:tcPr>
          <w:p w14:paraId="3F891625" w14:textId="77777777" w:rsidR="00134236" w:rsidRPr="00134236" w:rsidRDefault="00134236" w:rsidP="00134236">
            <w:pPr>
              <w:spacing w:after="0" w:line="240" w:lineRule="auto"/>
              <w:jc w:val="center"/>
              <w:rPr>
                <w:sz w:val="20"/>
                <w:szCs w:val="20"/>
              </w:rPr>
            </w:pPr>
            <w:r w:rsidRPr="00134236">
              <w:rPr>
                <w:sz w:val="20"/>
                <w:szCs w:val="20"/>
              </w:rPr>
              <w:t>64%</w:t>
            </w:r>
          </w:p>
        </w:tc>
        <w:tc>
          <w:tcPr>
            <w:tcW w:w="693" w:type="dxa"/>
            <w:shd w:val="clear" w:color="auto" w:fill="auto"/>
          </w:tcPr>
          <w:p w14:paraId="09235F17" w14:textId="77777777" w:rsidR="00134236" w:rsidRPr="00134236" w:rsidRDefault="00134236" w:rsidP="00134236">
            <w:pPr>
              <w:spacing w:after="0" w:line="240" w:lineRule="auto"/>
              <w:jc w:val="center"/>
              <w:rPr>
                <w:sz w:val="20"/>
                <w:szCs w:val="20"/>
              </w:rPr>
            </w:pPr>
            <w:r w:rsidRPr="00134236">
              <w:rPr>
                <w:sz w:val="20"/>
                <w:szCs w:val="20"/>
              </w:rPr>
              <w:t>28%</w:t>
            </w:r>
          </w:p>
        </w:tc>
        <w:tc>
          <w:tcPr>
            <w:tcW w:w="693" w:type="dxa"/>
            <w:shd w:val="clear" w:color="auto" w:fill="auto"/>
          </w:tcPr>
          <w:p w14:paraId="2D039A12" w14:textId="77777777" w:rsidR="00134236" w:rsidRPr="00134236" w:rsidRDefault="00134236" w:rsidP="00134236">
            <w:pPr>
              <w:spacing w:after="0" w:line="240" w:lineRule="auto"/>
              <w:jc w:val="center"/>
              <w:rPr>
                <w:sz w:val="20"/>
                <w:szCs w:val="20"/>
              </w:rPr>
            </w:pPr>
            <w:r w:rsidRPr="00134236">
              <w:rPr>
                <w:sz w:val="20"/>
                <w:szCs w:val="20"/>
              </w:rPr>
              <w:t>--</w:t>
            </w:r>
          </w:p>
        </w:tc>
        <w:tc>
          <w:tcPr>
            <w:tcW w:w="693" w:type="dxa"/>
            <w:shd w:val="clear" w:color="auto" w:fill="auto"/>
          </w:tcPr>
          <w:p w14:paraId="7E3A7E86" w14:textId="77777777" w:rsidR="00134236" w:rsidRPr="00134236" w:rsidRDefault="00134236" w:rsidP="00134236">
            <w:pPr>
              <w:spacing w:after="0" w:line="240" w:lineRule="auto"/>
              <w:jc w:val="center"/>
              <w:rPr>
                <w:sz w:val="20"/>
                <w:szCs w:val="20"/>
              </w:rPr>
            </w:pPr>
            <w:r w:rsidRPr="00134236">
              <w:rPr>
                <w:sz w:val="20"/>
                <w:szCs w:val="20"/>
              </w:rPr>
              <w:t>27%</w:t>
            </w:r>
          </w:p>
        </w:tc>
        <w:tc>
          <w:tcPr>
            <w:tcW w:w="693" w:type="dxa"/>
            <w:tcBorders>
              <w:right w:val="single" w:sz="4" w:space="0" w:color="auto"/>
            </w:tcBorders>
            <w:shd w:val="clear" w:color="auto" w:fill="auto"/>
          </w:tcPr>
          <w:p w14:paraId="2514E0A7" w14:textId="77777777" w:rsidR="00134236" w:rsidRPr="00134236" w:rsidRDefault="00134236" w:rsidP="00134236">
            <w:pPr>
              <w:spacing w:after="0" w:line="240" w:lineRule="auto"/>
              <w:jc w:val="center"/>
              <w:rPr>
                <w:sz w:val="20"/>
                <w:szCs w:val="20"/>
              </w:rPr>
            </w:pPr>
            <w:r w:rsidRPr="00134236">
              <w:rPr>
                <w:sz w:val="20"/>
                <w:szCs w:val="20"/>
              </w:rPr>
              <w:t>--</w:t>
            </w:r>
          </w:p>
        </w:tc>
      </w:tr>
      <w:tr w:rsidR="00134236" w:rsidRPr="00134236" w14:paraId="7603EAFB" w14:textId="77777777" w:rsidTr="00DF5AC6">
        <w:tc>
          <w:tcPr>
            <w:tcW w:w="2628" w:type="dxa"/>
            <w:tcBorders>
              <w:left w:val="single" w:sz="4" w:space="0" w:color="auto"/>
            </w:tcBorders>
            <w:shd w:val="clear" w:color="auto" w:fill="D9D9D9" w:themeFill="background1" w:themeFillShade="D9"/>
          </w:tcPr>
          <w:p w14:paraId="3C991BE7" w14:textId="5904E34A" w:rsidR="00134236" w:rsidRPr="00134236" w:rsidRDefault="00134236" w:rsidP="0078366D">
            <w:pPr>
              <w:spacing w:after="0" w:line="240" w:lineRule="auto"/>
              <w:rPr>
                <w:sz w:val="20"/>
                <w:szCs w:val="20"/>
              </w:rPr>
            </w:pPr>
            <w:r w:rsidRPr="00134236">
              <w:rPr>
                <w:sz w:val="20"/>
                <w:szCs w:val="20"/>
              </w:rPr>
              <w:t xml:space="preserve">Galvin </w:t>
            </w:r>
            <w:r w:rsidR="0078366D" w:rsidRPr="00134236">
              <w:rPr>
                <w:sz w:val="20"/>
                <w:szCs w:val="20"/>
              </w:rPr>
              <w:t>M</w:t>
            </w:r>
            <w:r w:rsidR="0078366D">
              <w:rPr>
                <w:sz w:val="20"/>
                <w:szCs w:val="20"/>
              </w:rPr>
              <w:t>iddle</w:t>
            </w:r>
          </w:p>
        </w:tc>
        <w:tc>
          <w:tcPr>
            <w:tcW w:w="693" w:type="dxa"/>
            <w:shd w:val="clear" w:color="auto" w:fill="D9D9D9" w:themeFill="background1" w:themeFillShade="D9"/>
          </w:tcPr>
          <w:p w14:paraId="58D031A0" w14:textId="77777777" w:rsidR="00134236" w:rsidRPr="00134236" w:rsidRDefault="00134236" w:rsidP="00134236">
            <w:pPr>
              <w:spacing w:after="0" w:line="240" w:lineRule="auto"/>
              <w:jc w:val="center"/>
              <w:rPr>
                <w:sz w:val="20"/>
                <w:szCs w:val="20"/>
              </w:rPr>
            </w:pPr>
            <w:r w:rsidRPr="00134236">
              <w:rPr>
                <w:sz w:val="20"/>
                <w:szCs w:val="20"/>
              </w:rPr>
              <w:t>49%</w:t>
            </w:r>
          </w:p>
        </w:tc>
        <w:tc>
          <w:tcPr>
            <w:tcW w:w="693" w:type="dxa"/>
            <w:shd w:val="clear" w:color="auto" w:fill="D9D9D9" w:themeFill="background1" w:themeFillShade="D9"/>
          </w:tcPr>
          <w:p w14:paraId="460CB69E" w14:textId="77777777" w:rsidR="00134236" w:rsidRPr="00134236" w:rsidRDefault="00134236" w:rsidP="00134236">
            <w:pPr>
              <w:spacing w:after="0" w:line="240" w:lineRule="auto"/>
              <w:jc w:val="center"/>
              <w:rPr>
                <w:sz w:val="20"/>
                <w:szCs w:val="20"/>
              </w:rPr>
            </w:pPr>
            <w:r w:rsidRPr="00134236">
              <w:rPr>
                <w:sz w:val="20"/>
                <w:szCs w:val="20"/>
              </w:rPr>
              <w:t>21%</w:t>
            </w:r>
          </w:p>
        </w:tc>
        <w:tc>
          <w:tcPr>
            <w:tcW w:w="693" w:type="dxa"/>
            <w:shd w:val="clear" w:color="auto" w:fill="D9D9D9" w:themeFill="background1" w:themeFillShade="D9"/>
          </w:tcPr>
          <w:p w14:paraId="70C6B006" w14:textId="77777777" w:rsidR="00134236" w:rsidRPr="00134236" w:rsidRDefault="00134236" w:rsidP="00134236">
            <w:pPr>
              <w:spacing w:after="0" w:line="240" w:lineRule="auto"/>
              <w:jc w:val="center"/>
              <w:rPr>
                <w:sz w:val="20"/>
                <w:szCs w:val="20"/>
              </w:rPr>
            </w:pPr>
            <w:r w:rsidRPr="00134236">
              <w:rPr>
                <w:sz w:val="20"/>
                <w:szCs w:val="20"/>
              </w:rPr>
              <w:t>30%</w:t>
            </w:r>
          </w:p>
        </w:tc>
        <w:tc>
          <w:tcPr>
            <w:tcW w:w="693" w:type="dxa"/>
            <w:shd w:val="clear" w:color="auto" w:fill="D9D9D9" w:themeFill="background1" w:themeFillShade="D9"/>
          </w:tcPr>
          <w:p w14:paraId="115BD436" w14:textId="77777777" w:rsidR="00134236" w:rsidRPr="00134236" w:rsidRDefault="00134236" w:rsidP="00134236">
            <w:pPr>
              <w:spacing w:after="0" w:line="240" w:lineRule="auto"/>
              <w:jc w:val="center"/>
              <w:rPr>
                <w:sz w:val="20"/>
                <w:szCs w:val="20"/>
              </w:rPr>
            </w:pPr>
            <w:r w:rsidRPr="00134236">
              <w:rPr>
                <w:sz w:val="20"/>
                <w:szCs w:val="20"/>
              </w:rPr>
              <w:t>10%</w:t>
            </w:r>
          </w:p>
        </w:tc>
        <w:tc>
          <w:tcPr>
            <w:tcW w:w="693" w:type="dxa"/>
            <w:tcBorders>
              <w:right w:val="single" w:sz="18" w:space="0" w:color="auto"/>
            </w:tcBorders>
            <w:shd w:val="clear" w:color="auto" w:fill="D9D9D9" w:themeFill="background1" w:themeFillShade="D9"/>
          </w:tcPr>
          <w:p w14:paraId="0AE8E32D" w14:textId="77777777" w:rsidR="00134236" w:rsidRPr="00134236" w:rsidRDefault="00134236" w:rsidP="00134236">
            <w:pPr>
              <w:spacing w:after="0" w:line="240" w:lineRule="auto"/>
              <w:jc w:val="center"/>
              <w:rPr>
                <w:sz w:val="20"/>
                <w:szCs w:val="20"/>
              </w:rPr>
            </w:pPr>
            <w:r w:rsidRPr="00134236">
              <w:rPr>
                <w:sz w:val="20"/>
                <w:szCs w:val="20"/>
              </w:rPr>
              <w:t>6%</w:t>
            </w:r>
          </w:p>
        </w:tc>
        <w:tc>
          <w:tcPr>
            <w:tcW w:w="693" w:type="dxa"/>
            <w:tcBorders>
              <w:left w:val="single" w:sz="18" w:space="0" w:color="auto"/>
            </w:tcBorders>
            <w:shd w:val="clear" w:color="auto" w:fill="D9D9D9" w:themeFill="background1" w:themeFillShade="D9"/>
          </w:tcPr>
          <w:p w14:paraId="235FFABC" w14:textId="77777777" w:rsidR="00134236" w:rsidRPr="00134236" w:rsidRDefault="00134236" w:rsidP="00134236">
            <w:pPr>
              <w:spacing w:after="0" w:line="240" w:lineRule="auto"/>
              <w:jc w:val="center"/>
              <w:rPr>
                <w:sz w:val="20"/>
                <w:szCs w:val="20"/>
              </w:rPr>
            </w:pPr>
            <w:r w:rsidRPr="00134236">
              <w:rPr>
                <w:sz w:val="20"/>
                <w:szCs w:val="20"/>
              </w:rPr>
              <w:t>50%</w:t>
            </w:r>
          </w:p>
        </w:tc>
        <w:tc>
          <w:tcPr>
            <w:tcW w:w="693" w:type="dxa"/>
            <w:shd w:val="clear" w:color="auto" w:fill="D9D9D9" w:themeFill="background1" w:themeFillShade="D9"/>
          </w:tcPr>
          <w:p w14:paraId="3422B96B" w14:textId="77777777" w:rsidR="00134236" w:rsidRPr="00134236" w:rsidRDefault="00134236" w:rsidP="00134236">
            <w:pPr>
              <w:spacing w:after="0" w:line="240" w:lineRule="auto"/>
              <w:jc w:val="center"/>
              <w:rPr>
                <w:sz w:val="20"/>
                <w:szCs w:val="20"/>
              </w:rPr>
            </w:pPr>
            <w:r w:rsidRPr="00134236">
              <w:rPr>
                <w:sz w:val="20"/>
                <w:szCs w:val="20"/>
              </w:rPr>
              <w:t>20%</w:t>
            </w:r>
          </w:p>
        </w:tc>
        <w:tc>
          <w:tcPr>
            <w:tcW w:w="693" w:type="dxa"/>
            <w:shd w:val="clear" w:color="auto" w:fill="D9D9D9" w:themeFill="background1" w:themeFillShade="D9"/>
          </w:tcPr>
          <w:p w14:paraId="332FFD69" w14:textId="77777777" w:rsidR="00134236" w:rsidRPr="00134236" w:rsidRDefault="00134236" w:rsidP="00134236">
            <w:pPr>
              <w:spacing w:after="0" w:line="240" w:lineRule="auto"/>
              <w:jc w:val="center"/>
              <w:rPr>
                <w:sz w:val="20"/>
                <w:szCs w:val="20"/>
              </w:rPr>
            </w:pPr>
            <w:r w:rsidRPr="00134236">
              <w:rPr>
                <w:sz w:val="20"/>
                <w:szCs w:val="20"/>
              </w:rPr>
              <w:t>28%</w:t>
            </w:r>
          </w:p>
        </w:tc>
        <w:tc>
          <w:tcPr>
            <w:tcW w:w="693" w:type="dxa"/>
            <w:shd w:val="clear" w:color="auto" w:fill="D9D9D9" w:themeFill="background1" w:themeFillShade="D9"/>
          </w:tcPr>
          <w:p w14:paraId="5319802E" w14:textId="77777777" w:rsidR="00134236" w:rsidRPr="00134236" w:rsidRDefault="00134236" w:rsidP="00134236">
            <w:pPr>
              <w:spacing w:after="0" w:line="240" w:lineRule="auto"/>
              <w:jc w:val="center"/>
              <w:rPr>
                <w:sz w:val="20"/>
                <w:szCs w:val="20"/>
              </w:rPr>
            </w:pPr>
            <w:r w:rsidRPr="00134236">
              <w:rPr>
                <w:sz w:val="20"/>
                <w:szCs w:val="20"/>
              </w:rPr>
              <w:t>10%</w:t>
            </w:r>
          </w:p>
        </w:tc>
        <w:tc>
          <w:tcPr>
            <w:tcW w:w="693" w:type="dxa"/>
            <w:tcBorders>
              <w:right w:val="single" w:sz="4" w:space="0" w:color="auto"/>
            </w:tcBorders>
            <w:shd w:val="clear" w:color="auto" w:fill="D9D9D9" w:themeFill="background1" w:themeFillShade="D9"/>
          </w:tcPr>
          <w:p w14:paraId="14575927" w14:textId="77777777" w:rsidR="00134236" w:rsidRPr="00134236" w:rsidRDefault="00134236" w:rsidP="00134236">
            <w:pPr>
              <w:spacing w:after="0" w:line="240" w:lineRule="auto"/>
              <w:jc w:val="center"/>
              <w:rPr>
                <w:sz w:val="20"/>
                <w:szCs w:val="20"/>
              </w:rPr>
            </w:pPr>
            <w:r w:rsidRPr="00134236">
              <w:rPr>
                <w:sz w:val="20"/>
                <w:szCs w:val="20"/>
              </w:rPr>
              <w:t>12%</w:t>
            </w:r>
          </w:p>
        </w:tc>
      </w:tr>
      <w:tr w:rsidR="00134236" w:rsidRPr="00134236" w14:paraId="5AAAC311" w14:textId="77777777" w:rsidTr="00DF5AC6">
        <w:tc>
          <w:tcPr>
            <w:tcW w:w="2628" w:type="dxa"/>
            <w:tcBorders>
              <w:left w:val="single" w:sz="4" w:space="0" w:color="auto"/>
            </w:tcBorders>
            <w:shd w:val="clear" w:color="auto" w:fill="auto"/>
          </w:tcPr>
          <w:p w14:paraId="0F5A99C5" w14:textId="77777777" w:rsidR="00134236" w:rsidRPr="00134236" w:rsidRDefault="00134236" w:rsidP="00134236">
            <w:pPr>
              <w:spacing w:after="0" w:line="240" w:lineRule="auto"/>
            </w:pPr>
            <w:r w:rsidRPr="00134236">
              <w:rPr>
                <w:rFonts w:ascii="Calibri" w:hAnsi="Calibri"/>
                <w:sz w:val="20"/>
                <w:szCs w:val="20"/>
              </w:rPr>
              <w:t>District</w:t>
            </w:r>
          </w:p>
        </w:tc>
        <w:tc>
          <w:tcPr>
            <w:tcW w:w="693" w:type="dxa"/>
            <w:shd w:val="clear" w:color="auto" w:fill="auto"/>
          </w:tcPr>
          <w:p w14:paraId="21C9D457"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50%</w:t>
            </w:r>
          </w:p>
        </w:tc>
        <w:tc>
          <w:tcPr>
            <w:tcW w:w="693" w:type="dxa"/>
            <w:shd w:val="clear" w:color="auto" w:fill="auto"/>
          </w:tcPr>
          <w:p w14:paraId="56E3C2CE"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23%</w:t>
            </w:r>
          </w:p>
        </w:tc>
        <w:tc>
          <w:tcPr>
            <w:tcW w:w="693" w:type="dxa"/>
            <w:shd w:val="clear" w:color="auto" w:fill="auto"/>
          </w:tcPr>
          <w:p w14:paraId="7AB53153"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32%</w:t>
            </w:r>
          </w:p>
        </w:tc>
        <w:tc>
          <w:tcPr>
            <w:tcW w:w="693" w:type="dxa"/>
            <w:shd w:val="clear" w:color="auto" w:fill="auto"/>
          </w:tcPr>
          <w:p w14:paraId="14322ADA"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13%</w:t>
            </w:r>
          </w:p>
        </w:tc>
        <w:tc>
          <w:tcPr>
            <w:tcW w:w="693" w:type="dxa"/>
            <w:tcBorders>
              <w:right w:val="single" w:sz="18" w:space="0" w:color="auto"/>
            </w:tcBorders>
            <w:shd w:val="clear" w:color="auto" w:fill="auto"/>
          </w:tcPr>
          <w:p w14:paraId="63A29DAC"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19%</w:t>
            </w:r>
          </w:p>
        </w:tc>
        <w:tc>
          <w:tcPr>
            <w:tcW w:w="693" w:type="dxa"/>
            <w:tcBorders>
              <w:left w:val="single" w:sz="18" w:space="0" w:color="auto"/>
            </w:tcBorders>
            <w:shd w:val="clear" w:color="auto" w:fill="auto"/>
          </w:tcPr>
          <w:p w14:paraId="7087BD54"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52%</w:t>
            </w:r>
          </w:p>
        </w:tc>
        <w:tc>
          <w:tcPr>
            <w:tcW w:w="693" w:type="dxa"/>
            <w:shd w:val="clear" w:color="auto" w:fill="auto"/>
          </w:tcPr>
          <w:p w14:paraId="2277244C"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23%</w:t>
            </w:r>
          </w:p>
        </w:tc>
        <w:tc>
          <w:tcPr>
            <w:tcW w:w="693" w:type="dxa"/>
            <w:shd w:val="clear" w:color="auto" w:fill="auto"/>
          </w:tcPr>
          <w:p w14:paraId="4FB836EC"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30%</w:t>
            </w:r>
          </w:p>
        </w:tc>
        <w:tc>
          <w:tcPr>
            <w:tcW w:w="693" w:type="dxa"/>
            <w:shd w:val="clear" w:color="auto" w:fill="auto"/>
          </w:tcPr>
          <w:p w14:paraId="691FE83A"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13%</w:t>
            </w:r>
          </w:p>
        </w:tc>
        <w:tc>
          <w:tcPr>
            <w:tcW w:w="693" w:type="dxa"/>
            <w:tcBorders>
              <w:right w:val="single" w:sz="4" w:space="0" w:color="auto"/>
            </w:tcBorders>
            <w:shd w:val="clear" w:color="auto" w:fill="auto"/>
          </w:tcPr>
          <w:p w14:paraId="081CF9E0"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25%</w:t>
            </w:r>
          </w:p>
        </w:tc>
      </w:tr>
    </w:tbl>
    <w:p w14:paraId="640A41F5" w14:textId="77777777" w:rsidR="00134236" w:rsidRPr="00134236" w:rsidRDefault="00134236" w:rsidP="00134236">
      <w:pPr>
        <w:spacing w:after="0" w:line="240" w:lineRule="auto"/>
      </w:pPr>
    </w:p>
    <w:p w14:paraId="78914B96" w14:textId="77777777" w:rsidR="00134236" w:rsidRPr="00134236" w:rsidRDefault="00134236" w:rsidP="00134236">
      <w:pPr>
        <w:spacing w:after="0" w:line="240" w:lineRule="auto"/>
      </w:pPr>
    </w:p>
    <w:p w14:paraId="790DB5CC" w14:textId="633AC08F" w:rsidR="00134236" w:rsidRPr="00134236" w:rsidRDefault="00134236" w:rsidP="00134236">
      <w:pPr>
        <w:spacing w:after="0" w:line="240" w:lineRule="auto"/>
        <w:rPr>
          <w:b/>
        </w:rPr>
      </w:pPr>
      <w:r w:rsidRPr="00134236">
        <w:rPr>
          <w:b/>
        </w:rPr>
        <w:t>Between 2014 and 2017, ELA proficiency at Wakefield Memorial High did not improve for all students and improved by 5 and 12 percentage points for high needs students and students with disabilities</w:t>
      </w:r>
      <w:r w:rsidR="00F62CFC">
        <w:rPr>
          <w:b/>
        </w:rPr>
        <w:t>, respectively</w:t>
      </w:r>
      <w:r w:rsidRPr="00134236">
        <w:rPr>
          <w:b/>
        </w:rPr>
        <w:t>.</w:t>
      </w:r>
    </w:p>
    <w:p w14:paraId="1E043A23" w14:textId="77777777" w:rsidR="00134236" w:rsidRPr="00134236" w:rsidRDefault="00134236" w:rsidP="00134236">
      <w:pPr>
        <w:spacing w:after="0" w:line="240" w:lineRule="auto"/>
      </w:pPr>
    </w:p>
    <w:p w14:paraId="23372144" w14:textId="2B908279" w:rsidR="00134236" w:rsidRDefault="00134236" w:rsidP="00134236">
      <w:pPr>
        <w:spacing w:after="0" w:line="240" w:lineRule="auto"/>
        <w:rPr>
          <w:b/>
        </w:rPr>
      </w:pPr>
      <w:r w:rsidRPr="00134236">
        <w:rPr>
          <w:b/>
        </w:rPr>
        <w:t xml:space="preserve">Between 2014 and 2017, math proficiency at Wakefield Memorial High improved by </w:t>
      </w:r>
      <w:r w:rsidR="0078366D">
        <w:rPr>
          <w:b/>
        </w:rPr>
        <w:t>1</w:t>
      </w:r>
      <w:r w:rsidR="0078366D" w:rsidRPr="00134236">
        <w:rPr>
          <w:b/>
        </w:rPr>
        <w:t xml:space="preserve"> </w:t>
      </w:r>
      <w:r w:rsidRPr="00134236">
        <w:rPr>
          <w:b/>
        </w:rPr>
        <w:t>percentage point for all students and high needs students and improved by 3 percentage points for students with disabilities.</w:t>
      </w:r>
    </w:p>
    <w:p w14:paraId="74A989DE" w14:textId="3BBCD0C3" w:rsidR="00C329BB" w:rsidRDefault="00C329BB" w:rsidP="00134236">
      <w:pPr>
        <w:spacing w:after="0" w:line="240" w:lineRule="auto"/>
        <w:rPr>
          <w:b/>
        </w:rPr>
      </w:pPr>
    </w:p>
    <w:tbl>
      <w:tblPr>
        <w:tblStyle w:val="TableGrid5"/>
        <w:tblW w:w="9558" w:type="dxa"/>
        <w:tblBorders>
          <w:top w:val="none" w:sz="0" w:space="0" w:color="auto"/>
          <w:left w:val="none" w:sz="0" w:space="0" w:color="auto"/>
          <w:right w:val="none" w:sz="0" w:space="0" w:color="auto"/>
        </w:tblBorders>
        <w:tblLayout w:type="fixed"/>
        <w:tblLook w:val="04A0" w:firstRow="1" w:lastRow="0" w:firstColumn="1" w:lastColumn="0" w:noHBand="0" w:noVBand="1"/>
        <w:tblCaption w:val="Table 15: Wakefield Public Schools"/>
        <w:tblDescription w:val="MCAS ELA and Math Percent Scoring Proficient or Advanced in Grade 10, 2014–2017"/>
      </w:tblPr>
      <w:tblGrid>
        <w:gridCol w:w="2268"/>
        <w:gridCol w:w="630"/>
        <w:gridCol w:w="630"/>
        <w:gridCol w:w="720"/>
        <w:gridCol w:w="720"/>
        <w:gridCol w:w="900"/>
        <w:gridCol w:w="697"/>
        <w:gridCol w:w="698"/>
        <w:gridCol w:w="697"/>
        <w:gridCol w:w="698"/>
        <w:gridCol w:w="900"/>
      </w:tblGrid>
      <w:tr w:rsidR="00134236" w:rsidRPr="00134236" w14:paraId="4554DCDF" w14:textId="77777777" w:rsidTr="00BB0032">
        <w:trPr>
          <w:tblHeader/>
        </w:trPr>
        <w:tc>
          <w:tcPr>
            <w:tcW w:w="9558" w:type="dxa"/>
            <w:gridSpan w:val="11"/>
            <w:shd w:val="clear" w:color="auto" w:fill="auto"/>
          </w:tcPr>
          <w:p w14:paraId="526681EC" w14:textId="77777777" w:rsidR="00134236" w:rsidRPr="00134236" w:rsidRDefault="00134236" w:rsidP="00134236">
            <w:pPr>
              <w:spacing w:after="0" w:line="240" w:lineRule="auto"/>
              <w:jc w:val="center"/>
              <w:rPr>
                <w:b/>
                <w:sz w:val="20"/>
                <w:szCs w:val="20"/>
              </w:rPr>
            </w:pPr>
            <w:r w:rsidRPr="00134236">
              <w:rPr>
                <w:b/>
                <w:sz w:val="20"/>
                <w:szCs w:val="20"/>
              </w:rPr>
              <w:t xml:space="preserve">Table 15: </w:t>
            </w:r>
            <w:r w:rsidRPr="00134236">
              <w:rPr>
                <w:rFonts w:cs="Times New Roman"/>
                <w:b/>
                <w:sz w:val="20"/>
                <w:szCs w:val="20"/>
              </w:rPr>
              <w:t>Wakefield Public Schools</w:t>
            </w:r>
          </w:p>
          <w:p w14:paraId="4193273B" w14:textId="61EA27B5" w:rsidR="00134236" w:rsidRPr="00134236" w:rsidRDefault="00134236" w:rsidP="0078366D">
            <w:pPr>
              <w:spacing w:after="0" w:line="240" w:lineRule="auto"/>
              <w:jc w:val="center"/>
              <w:rPr>
                <w:b/>
                <w:sz w:val="20"/>
                <w:szCs w:val="20"/>
              </w:rPr>
            </w:pPr>
            <w:r w:rsidRPr="00134236">
              <w:rPr>
                <w:b/>
                <w:sz w:val="20"/>
                <w:szCs w:val="20"/>
              </w:rPr>
              <w:t>MCAS ELA and Math Percent Scoring Proficient or Advanced in Grade 10, 2014</w:t>
            </w:r>
            <w:r w:rsidR="0078366D">
              <w:rPr>
                <w:b/>
                <w:sz w:val="20"/>
                <w:szCs w:val="20"/>
              </w:rPr>
              <w:t>–</w:t>
            </w:r>
            <w:r w:rsidRPr="00134236">
              <w:rPr>
                <w:b/>
                <w:sz w:val="20"/>
                <w:szCs w:val="20"/>
              </w:rPr>
              <w:t>2017</w:t>
            </w:r>
          </w:p>
        </w:tc>
      </w:tr>
      <w:tr w:rsidR="00134236" w:rsidRPr="00134236" w14:paraId="500308CC" w14:textId="77777777" w:rsidTr="00DF5AC6">
        <w:trPr>
          <w:trHeight w:val="233"/>
        </w:trPr>
        <w:tc>
          <w:tcPr>
            <w:tcW w:w="2268" w:type="dxa"/>
            <w:tcBorders>
              <w:top w:val="single" w:sz="4" w:space="0" w:color="auto"/>
              <w:left w:val="single" w:sz="4" w:space="0" w:color="auto"/>
            </w:tcBorders>
            <w:shd w:val="clear" w:color="auto" w:fill="D9D9D9" w:themeFill="background1" w:themeFillShade="D9"/>
          </w:tcPr>
          <w:p w14:paraId="63AA3A11" w14:textId="77777777" w:rsidR="00134236" w:rsidRPr="00134236" w:rsidRDefault="00134236" w:rsidP="00134236">
            <w:pPr>
              <w:spacing w:after="0" w:line="240" w:lineRule="auto"/>
              <w:rPr>
                <w:rFonts w:ascii="Calibri" w:hAnsi="Calibri"/>
                <w:b/>
                <w:sz w:val="20"/>
                <w:szCs w:val="20"/>
              </w:rPr>
            </w:pPr>
          </w:p>
        </w:tc>
        <w:tc>
          <w:tcPr>
            <w:tcW w:w="3600" w:type="dxa"/>
            <w:gridSpan w:val="5"/>
            <w:tcBorders>
              <w:right w:val="single" w:sz="18" w:space="0" w:color="auto"/>
            </w:tcBorders>
            <w:shd w:val="clear" w:color="auto" w:fill="D9D9D9" w:themeFill="background1" w:themeFillShade="D9"/>
          </w:tcPr>
          <w:p w14:paraId="14827CF7" w14:textId="77777777" w:rsidR="00134236" w:rsidRPr="00134236" w:rsidRDefault="00134236" w:rsidP="00134236">
            <w:pPr>
              <w:spacing w:after="0" w:line="240" w:lineRule="auto"/>
              <w:jc w:val="center"/>
              <w:rPr>
                <w:b/>
                <w:sz w:val="20"/>
                <w:szCs w:val="20"/>
              </w:rPr>
            </w:pPr>
            <w:r w:rsidRPr="00134236">
              <w:rPr>
                <w:b/>
                <w:sz w:val="20"/>
                <w:szCs w:val="20"/>
              </w:rPr>
              <w:t>ELA</w:t>
            </w:r>
          </w:p>
        </w:tc>
        <w:tc>
          <w:tcPr>
            <w:tcW w:w="3690" w:type="dxa"/>
            <w:gridSpan w:val="5"/>
            <w:tcBorders>
              <w:top w:val="single" w:sz="4" w:space="0" w:color="auto"/>
              <w:left w:val="single" w:sz="18" w:space="0" w:color="auto"/>
              <w:right w:val="single" w:sz="4" w:space="0" w:color="auto"/>
            </w:tcBorders>
            <w:shd w:val="clear" w:color="auto" w:fill="D9D9D9" w:themeFill="background1" w:themeFillShade="D9"/>
          </w:tcPr>
          <w:p w14:paraId="6D00BA96" w14:textId="77777777" w:rsidR="00134236" w:rsidRPr="00134236" w:rsidRDefault="00134236" w:rsidP="00134236">
            <w:pPr>
              <w:spacing w:after="0" w:line="240" w:lineRule="auto"/>
              <w:jc w:val="center"/>
              <w:rPr>
                <w:b/>
                <w:sz w:val="20"/>
                <w:szCs w:val="20"/>
              </w:rPr>
            </w:pPr>
            <w:r w:rsidRPr="00134236">
              <w:rPr>
                <w:b/>
                <w:sz w:val="20"/>
                <w:szCs w:val="20"/>
              </w:rPr>
              <w:t>Math</w:t>
            </w:r>
          </w:p>
        </w:tc>
      </w:tr>
      <w:tr w:rsidR="00134236" w:rsidRPr="00134236" w14:paraId="105EEC51" w14:textId="77777777" w:rsidTr="00DF5AC6">
        <w:trPr>
          <w:trHeight w:val="233"/>
        </w:trPr>
        <w:tc>
          <w:tcPr>
            <w:tcW w:w="2268" w:type="dxa"/>
            <w:tcBorders>
              <w:top w:val="single" w:sz="4" w:space="0" w:color="auto"/>
              <w:left w:val="single" w:sz="4" w:space="0" w:color="auto"/>
            </w:tcBorders>
            <w:shd w:val="clear" w:color="auto" w:fill="D9D9D9" w:themeFill="background1" w:themeFillShade="D9"/>
          </w:tcPr>
          <w:p w14:paraId="1F756123" w14:textId="77777777" w:rsidR="00134236" w:rsidRPr="00134236" w:rsidRDefault="00134236" w:rsidP="00E22258">
            <w:pPr>
              <w:spacing w:after="0" w:line="240" w:lineRule="auto"/>
              <w:rPr>
                <w:rFonts w:ascii="Calibri" w:hAnsi="Calibri"/>
                <w:b/>
                <w:sz w:val="20"/>
                <w:szCs w:val="20"/>
              </w:rPr>
            </w:pPr>
            <w:r w:rsidRPr="00134236">
              <w:rPr>
                <w:rFonts w:ascii="Calibri" w:hAnsi="Calibri"/>
                <w:b/>
                <w:sz w:val="20"/>
                <w:szCs w:val="20"/>
              </w:rPr>
              <w:t>School</w:t>
            </w:r>
          </w:p>
        </w:tc>
        <w:tc>
          <w:tcPr>
            <w:tcW w:w="630" w:type="dxa"/>
            <w:shd w:val="clear" w:color="auto" w:fill="D9D9D9" w:themeFill="background1" w:themeFillShade="D9"/>
          </w:tcPr>
          <w:p w14:paraId="751C4C2F" w14:textId="77777777" w:rsidR="00134236" w:rsidRPr="00134236" w:rsidRDefault="00134236" w:rsidP="00134236">
            <w:pPr>
              <w:spacing w:after="0" w:line="240" w:lineRule="auto"/>
              <w:jc w:val="center"/>
              <w:rPr>
                <w:b/>
                <w:sz w:val="20"/>
                <w:szCs w:val="20"/>
              </w:rPr>
            </w:pPr>
            <w:r w:rsidRPr="00134236">
              <w:rPr>
                <w:b/>
                <w:sz w:val="20"/>
                <w:szCs w:val="20"/>
              </w:rPr>
              <w:t>2014</w:t>
            </w:r>
          </w:p>
        </w:tc>
        <w:tc>
          <w:tcPr>
            <w:tcW w:w="630" w:type="dxa"/>
            <w:shd w:val="clear" w:color="auto" w:fill="D9D9D9" w:themeFill="background1" w:themeFillShade="D9"/>
          </w:tcPr>
          <w:p w14:paraId="59A3AA6C" w14:textId="77777777" w:rsidR="00134236" w:rsidRPr="00134236" w:rsidRDefault="00134236" w:rsidP="00134236">
            <w:pPr>
              <w:spacing w:after="0" w:line="240" w:lineRule="auto"/>
              <w:jc w:val="center"/>
              <w:rPr>
                <w:b/>
                <w:sz w:val="20"/>
                <w:szCs w:val="20"/>
              </w:rPr>
            </w:pPr>
            <w:r w:rsidRPr="00134236">
              <w:rPr>
                <w:b/>
                <w:sz w:val="20"/>
                <w:szCs w:val="20"/>
              </w:rPr>
              <w:t>2015</w:t>
            </w:r>
          </w:p>
        </w:tc>
        <w:tc>
          <w:tcPr>
            <w:tcW w:w="720" w:type="dxa"/>
            <w:shd w:val="clear" w:color="auto" w:fill="D9D9D9" w:themeFill="background1" w:themeFillShade="D9"/>
          </w:tcPr>
          <w:p w14:paraId="76CDDB1B" w14:textId="77777777" w:rsidR="00134236" w:rsidRPr="00134236" w:rsidRDefault="00134236" w:rsidP="00134236">
            <w:pPr>
              <w:spacing w:after="0" w:line="240" w:lineRule="auto"/>
              <w:jc w:val="center"/>
              <w:rPr>
                <w:b/>
                <w:sz w:val="20"/>
                <w:szCs w:val="20"/>
              </w:rPr>
            </w:pPr>
            <w:r w:rsidRPr="00134236">
              <w:rPr>
                <w:b/>
                <w:sz w:val="20"/>
                <w:szCs w:val="20"/>
              </w:rPr>
              <w:t>2016</w:t>
            </w:r>
          </w:p>
        </w:tc>
        <w:tc>
          <w:tcPr>
            <w:tcW w:w="720" w:type="dxa"/>
            <w:shd w:val="clear" w:color="auto" w:fill="D9D9D9" w:themeFill="background1" w:themeFillShade="D9"/>
          </w:tcPr>
          <w:p w14:paraId="525B8DE6" w14:textId="77777777" w:rsidR="00134236" w:rsidRPr="00134236" w:rsidRDefault="00134236" w:rsidP="00134236">
            <w:pPr>
              <w:spacing w:after="0" w:line="240" w:lineRule="auto"/>
              <w:jc w:val="center"/>
              <w:rPr>
                <w:b/>
                <w:sz w:val="20"/>
                <w:szCs w:val="20"/>
              </w:rPr>
            </w:pPr>
            <w:r w:rsidRPr="00134236">
              <w:rPr>
                <w:b/>
                <w:sz w:val="20"/>
                <w:szCs w:val="20"/>
              </w:rPr>
              <w:t>2017</w:t>
            </w:r>
          </w:p>
        </w:tc>
        <w:tc>
          <w:tcPr>
            <w:tcW w:w="900" w:type="dxa"/>
            <w:tcBorders>
              <w:right w:val="single" w:sz="18" w:space="0" w:color="auto"/>
            </w:tcBorders>
            <w:shd w:val="clear" w:color="auto" w:fill="D9D9D9" w:themeFill="background1" w:themeFillShade="D9"/>
          </w:tcPr>
          <w:p w14:paraId="1D5F8A65" w14:textId="77777777" w:rsidR="00134236" w:rsidRPr="00134236" w:rsidRDefault="00134236" w:rsidP="00134236">
            <w:pPr>
              <w:spacing w:after="0" w:line="240" w:lineRule="auto"/>
              <w:jc w:val="center"/>
              <w:rPr>
                <w:b/>
                <w:sz w:val="20"/>
                <w:szCs w:val="20"/>
              </w:rPr>
            </w:pPr>
            <w:r w:rsidRPr="00134236">
              <w:rPr>
                <w:b/>
                <w:sz w:val="20"/>
                <w:szCs w:val="20"/>
              </w:rPr>
              <w:t>4-yr Change</w:t>
            </w:r>
          </w:p>
        </w:tc>
        <w:tc>
          <w:tcPr>
            <w:tcW w:w="697" w:type="dxa"/>
            <w:tcBorders>
              <w:top w:val="single" w:sz="4" w:space="0" w:color="auto"/>
              <w:left w:val="single" w:sz="18" w:space="0" w:color="auto"/>
            </w:tcBorders>
            <w:shd w:val="clear" w:color="auto" w:fill="D9D9D9" w:themeFill="background1" w:themeFillShade="D9"/>
          </w:tcPr>
          <w:p w14:paraId="754D165C" w14:textId="77777777" w:rsidR="00134236" w:rsidRPr="00134236" w:rsidRDefault="00134236" w:rsidP="00134236">
            <w:pPr>
              <w:spacing w:after="0" w:line="240" w:lineRule="auto"/>
              <w:jc w:val="center"/>
              <w:rPr>
                <w:b/>
                <w:sz w:val="20"/>
                <w:szCs w:val="20"/>
              </w:rPr>
            </w:pPr>
            <w:r w:rsidRPr="00134236">
              <w:rPr>
                <w:b/>
                <w:sz w:val="20"/>
                <w:szCs w:val="20"/>
              </w:rPr>
              <w:t>2014</w:t>
            </w:r>
          </w:p>
        </w:tc>
        <w:tc>
          <w:tcPr>
            <w:tcW w:w="698" w:type="dxa"/>
            <w:shd w:val="clear" w:color="auto" w:fill="D9D9D9" w:themeFill="background1" w:themeFillShade="D9"/>
          </w:tcPr>
          <w:p w14:paraId="295FC72D" w14:textId="77777777" w:rsidR="00134236" w:rsidRPr="00134236" w:rsidRDefault="00134236" w:rsidP="00134236">
            <w:pPr>
              <w:spacing w:after="0" w:line="240" w:lineRule="auto"/>
              <w:jc w:val="center"/>
              <w:rPr>
                <w:b/>
                <w:sz w:val="20"/>
                <w:szCs w:val="20"/>
              </w:rPr>
            </w:pPr>
            <w:r w:rsidRPr="00134236">
              <w:rPr>
                <w:b/>
                <w:sz w:val="20"/>
                <w:szCs w:val="20"/>
              </w:rPr>
              <w:t>2015</w:t>
            </w:r>
          </w:p>
        </w:tc>
        <w:tc>
          <w:tcPr>
            <w:tcW w:w="697" w:type="dxa"/>
            <w:shd w:val="clear" w:color="auto" w:fill="D9D9D9" w:themeFill="background1" w:themeFillShade="D9"/>
          </w:tcPr>
          <w:p w14:paraId="5A68D7A5" w14:textId="77777777" w:rsidR="00134236" w:rsidRPr="00134236" w:rsidRDefault="00134236" w:rsidP="00134236">
            <w:pPr>
              <w:spacing w:after="0" w:line="240" w:lineRule="auto"/>
              <w:jc w:val="center"/>
              <w:rPr>
                <w:b/>
                <w:sz w:val="20"/>
                <w:szCs w:val="20"/>
              </w:rPr>
            </w:pPr>
            <w:r w:rsidRPr="00134236">
              <w:rPr>
                <w:b/>
                <w:sz w:val="20"/>
                <w:szCs w:val="20"/>
              </w:rPr>
              <w:t>2016</w:t>
            </w:r>
          </w:p>
        </w:tc>
        <w:tc>
          <w:tcPr>
            <w:tcW w:w="698" w:type="dxa"/>
            <w:shd w:val="clear" w:color="auto" w:fill="D9D9D9" w:themeFill="background1" w:themeFillShade="D9"/>
          </w:tcPr>
          <w:p w14:paraId="0325CE08" w14:textId="77777777" w:rsidR="00134236" w:rsidRPr="00134236" w:rsidRDefault="00134236" w:rsidP="00134236">
            <w:pPr>
              <w:spacing w:after="0" w:line="240" w:lineRule="auto"/>
              <w:jc w:val="center"/>
              <w:rPr>
                <w:b/>
                <w:sz w:val="20"/>
                <w:szCs w:val="20"/>
              </w:rPr>
            </w:pPr>
            <w:r w:rsidRPr="00134236">
              <w:rPr>
                <w:b/>
                <w:sz w:val="20"/>
                <w:szCs w:val="20"/>
              </w:rPr>
              <w:t>2017</w:t>
            </w:r>
          </w:p>
        </w:tc>
        <w:tc>
          <w:tcPr>
            <w:tcW w:w="900" w:type="dxa"/>
            <w:tcBorders>
              <w:top w:val="single" w:sz="4" w:space="0" w:color="auto"/>
              <w:right w:val="single" w:sz="4" w:space="0" w:color="auto"/>
            </w:tcBorders>
            <w:shd w:val="clear" w:color="auto" w:fill="D9D9D9" w:themeFill="background1" w:themeFillShade="D9"/>
          </w:tcPr>
          <w:p w14:paraId="5C5DAA66" w14:textId="77777777" w:rsidR="00134236" w:rsidRPr="00134236" w:rsidRDefault="00134236" w:rsidP="00134236">
            <w:pPr>
              <w:spacing w:after="0" w:line="240" w:lineRule="auto"/>
              <w:jc w:val="center"/>
              <w:rPr>
                <w:b/>
                <w:sz w:val="20"/>
                <w:szCs w:val="20"/>
              </w:rPr>
            </w:pPr>
            <w:r w:rsidRPr="00134236">
              <w:rPr>
                <w:b/>
                <w:sz w:val="20"/>
                <w:szCs w:val="20"/>
              </w:rPr>
              <w:t>4-yr Change</w:t>
            </w:r>
          </w:p>
        </w:tc>
      </w:tr>
      <w:tr w:rsidR="00134236" w:rsidRPr="00134236" w14:paraId="5E070CD9" w14:textId="77777777" w:rsidTr="00DF5AC6">
        <w:tc>
          <w:tcPr>
            <w:tcW w:w="2268" w:type="dxa"/>
            <w:tcBorders>
              <w:top w:val="single" w:sz="4" w:space="0" w:color="auto"/>
              <w:left w:val="single" w:sz="4" w:space="0" w:color="auto"/>
            </w:tcBorders>
            <w:shd w:val="clear" w:color="auto" w:fill="D9D9D9" w:themeFill="background1" w:themeFillShade="D9"/>
          </w:tcPr>
          <w:p w14:paraId="249CA111" w14:textId="77777777" w:rsidR="00134236" w:rsidRPr="00E22258" w:rsidRDefault="00134236" w:rsidP="00134236">
            <w:pPr>
              <w:spacing w:after="0" w:line="240" w:lineRule="auto"/>
              <w:rPr>
                <w:rFonts w:ascii="Calibri" w:hAnsi="Calibri"/>
                <w:sz w:val="20"/>
                <w:szCs w:val="20"/>
              </w:rPr>
            </w:pPr>
            <w:r w:rsidRPr="00E22258">
              <w:rPr>
                <w:rFonts w:ascii="Calibri" w:hAnsi="Calibri"/>
                <w:sz w:val="20"/>
                <w:szCs w:val="20"/>
              </w:rPr>
              <w:t>Wakefield Memorial High</w:t>
            </w:r>
          </w:p>
        </w:tc>
        <w:tc>
          <w:tcPr>
            <w:tcW w:w="630" w:type="dxa"/>
            <w:shd w:val="clear" w:color="auto" w:fill="D9D9D9" w:themeFill="background1" w:themeFillShade="D9"/>
          </w:tcPr>
          <w:p w14:paraId="27DBC126"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97%</w:t>
            </w:r>
          </w:p>
        </w:tc>
        <w:tc>
          <w:tcPr>
            <w:tcW w:w="630" w:type="dxa"/>
            <w:shd w:val="clear" w:color="auto" w:fill="D9D9D9" w:themeFill="background1" w:themeFillShade="D9"/>
          </w:tcPr>
          <w:p w14:paraId="348D9C95"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96%</w:t>
            </w:r>
          </w:p>
        </w:tc>
        <w:tc>
          <w:tcPr>
            <w:tcW w:w="720" w:type="dxa"/>
            <w:shd w:val="clear" w:color="auto" w:fill="D9D9D9" w:themeFill="background1" w:themeFillShade="D9"/>
          </w:tcPr>
          <w:p w14:paraId="37BCC86F"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95%</w:t>
            </w:r>
          </w:p>
        </w:tc>
        <w:tc>
          <w:tcPr>
            <w:tcW w:w="720" w:type="dxa"/>
            <w:shd w:val="clear" w:color="auto" w:fill="D9D9D9" w:themeFill="background1" w:themeFillShade="D9"/>
          </w:tcPr>
          <w:p w14:paraId="60622F07"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97%</w:t>
            </w:r>
          </w:p>
        </w:tc>
        <w:tc>
          <w:tcPr>
            <w:tcW w:w="900" w:type="dxa"/>
            <w:tcBorders>
              <w:right w:val="single" w:sz="18" w:space="0" w:color="auto"/>
            </w:tcBorders>
            <w:shd w:val="clear" w:color="auto" w:fill="D9D9D9" w:themeFill="background1" w:themeFillShade="D9"/>
          </w:tcPr>
          <w:p w14:paraId="31B2FE2E"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0</w:t>
            </w:r>
          </w:p>
        </w:tc>
        <w:tc>
          <w:tcPr>
            <w:tcW w:w="697" w:type="dxa"/>
            <w:tcBorders>
              <w:top w:val="single" w:sz="4" w:space="0" w:color="auto"/>
              <w:left w:val="single" w:sz="18" w:space="0" w:color="auto"/>
            </w:tcBorders>
            <w:shd w:val="clear" w:color="auto" w:fill="D9D9D9" w:themeFill="background1" w:themeFillShade="D9"/>
          </w:tcPr>
          <w:p w14:paraId="3ACDEDFF"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90%</w:t>
            </w:r>
          </w:p>
        </w:tc>
        <w:tc>
          <w:tcPr>
            <w:tcW w:w="698" w:type="dxa"/>
            <w:shd w:val="clear" w:color="auto" w:fill="D9D9D9" w:themeFill="background1" w:themeFillShade="D9"/>
          </w:tcPr>
          <w:p w14:paraId="09302DD3"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87%</w:t>
            </w:r>
          </w:p>
        </w:tc>
        <w:tc>
          <w:tcPr>
            <w:tcW w:w="697" w:type="dxa"/>
            <w:shd w:val="clear" w:color="auto" w:fill="D9D9D9" w:themeFill="background1" w:themeFillShade="D9"/>
          </w:tcPr>
          <w:p w14:paraId="185AB77E"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84%</w:t>
            </w:r>
          </w:p>
        </w:tc>
        <w:tc>
          <w:tcPr>
            <w:tcW w:w="698" w:type="dxa"/>
            <w:shd w:val="clear" w:color="auto" w:fill="D9D9D9" w:themeFill="background1" w:themeFillShade="D9"/>
          </w:tcPr>
          <w:p w14:paraId="6B3E2D52"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91%</w:t>
            </w:r>
          </w:p>
        </w:tc>
        <w:tc>
          <w:tcPr>
            <w:tcW w:w="900" w:type="dxa"/>
            <w:tcBorders>
              <w:top w:val="single" w:sz="4" w:space="0" w:color="auto"/>
              <w:right w:val="single" w:sz="4" w:space="0" w:color="auto"/>
            </w:tcBorders>
            <w:shd w:val="clear" w:color="auto" w:fill="D9D9D9" w:themeFill="background1" w:themeFillShade="D9"/>
          </w:tcPr>
          <w:p w14:paraId="4B5D86BE"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1</w:t>
            </w:r>
          </w:p>
        </w:tc>
      </w:tr>
      <w:tr w:rsidR="00134236" w:rsidRPr="00134236" w14:paraId="6A535AAA" w14:textId="77777777" w:rsidTr="00DF5AC6">
        <w:tc>
          <w:tcPr>
            <w:tcW w:w="2268" w:type="dxa"/>
            <w:tcBorders>
              <w:top w:val="single" w:sz="4" w:space="0" w:color="auto"/>
              <w:left w:val="single" w:sz="4" w:space="0" w:color="auto"/>
            </w:tcBorders>
          </w:tcPr>
          <w:p w14:paraId="4F84DB44" w14:textId="77777777" w:rsidR="00134236" w:rsidRPr="00134236" w:rsidRDefault="00134236" w:rsidP="00134236">
            <w:pPr>
              <w:spacing w:after="0" w:line="240" w:lineRule="auto"/>
              <w:rPr>
                <w:rFonts w:ascii="Calibri" w:hAnsi="Calibri"/>
                <w:sz w:val="20"/>
                <w:szCs w:val="20"/>
              </w:rPr>
            </w:pPr>
            <w:r w:rsidRPr="00134236">
              <w:rPr>
                <w:rFonts w:ascii="Calibri" w:hAnsi="Calibri"/>
                <w:sz w:val="20"/>
                <w:szCs w:val="20"/>
              </w:rPr>
              <w:t>High Needs</w:t>
            </w:r>
          </w:p>
        </w:tc>
        <w:tc>
          <w:tcPr>
            <w:tcW w:w="630" w:type="dxa"/>
          </w:tcPr>
          <w:p w14:paraId="36DC91E6"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86%</w:t>
            </w:r>
          </w:p>
        </w:tc>
        <w:tc>
          <w:tcPr>
            <w:tcW w:w="630" w:type="dxa"/>
          </w:tcPr>
          <w:p w14:paraId="46D6085C"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81%</w:t>
            </w:r>
          </w:p>
        </w:tc>
        <w:tc>
          <w:tcPr>
            <w:tcW w:w="720" w:type="dxa"/>
          </w:tcPr>
          <w:p w14:paraId="1C0B892A"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80%</w:t>
            </w:r>
          </w:p>
        </w:tc>
        <w:tc>
          <w:tcPr>
            <w:tcW w:w="720" w:type="dxa"/>
          </w:tcPr>
          <w:p w14:paraId="0199DEA3"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91%</w:t>
            </w:r>
          </w:p>
        </w:tc>
        <w:tc>
          <w:tcPr>
            <w:tcW w:w="900" w:type="dxa"/>
            <w:tcBorders>
              <w:right w:val="single" w:sz="18" w:space="0" w:color="auto"/>
            </w:tcBorders>
          </w:tcPr>
          <w:p w14:paraId="06FEC68B"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5</w:t>
            </w:r>
          </w:p>
        </w:tc>
        <w:tc>
          <w:tcPr>
            <w:tcW w:w="697" w:type="dxa"/>
            <w:tcBorders>
              <w:top w:val="single" w:sz="4" w:space="0" w:color="auto"/>
              <w:left w:val="single" w:sz="18" w:space="0" w:color="auto"/>
            </w:tcBorders>
          </w:tcPr>
          <w:p w14:paraId="7713863B"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73%</w:t>
            </w:r>
          </w:p>
        </w:tc>
        <w:tc>
          <w:tcPr>
            <w:tcW w:w="698" w:type="dxa"/>
          </w:tcPr>
          <w:p w14:paraId="43117291"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53%</w:t>
            </w:r>
          </w:p>
        </w:tc>
        <w:tc>
          <w:tcPr>
            <w:tcW w:w="697" w:type="dxa"/>
          </w:tcPr>
          <w:p w14:paraId="0F6500EA"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52%</w:t>
            </w:r>
          </w:p>
        </w:tc>
        <w:tc>
          <w:tcPr>
            <w:tcW w:w="698" w:type="dxa"/>
          </w:tcPr>
          <w:p w14:paraId="30E0DB7D"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74%</w:t>
            </w:r>
          </w:p>
        </w:tc>
        <w:tc>
          <w:tcPr>
            <w:tcW w:w="900" w:type="dxa"/>
            <w:tcBorders>
              <w:top w:val="single" w:sz="4" w:space="0" w:color="auto"/>
              <w:right w:val="single" w:sz="4" w:space="0" w:color="auto"/>
            </w:tcBorders>
          </w:tcPr>
          <w:p w14:paraId="3D511304"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1</w:t>
            </w:r>
          </w:p>
        </w:tc>
      </w:tr>
      <w:tr w:rsidR="00134236" w:rsidRPr="00134236" w14:paraId="3B3E826A" w14:textId="77777777" w:rsidTr="00DF5AC6">
        <w:tc>
          <w:tcPr>
            <w:tcW w:w="2268" w:type="dxa"/>
            <w:tcBorders>
              <w:top w:val="single" w:sz="4" w:space="0" w:color="auto"/>
              <w:left w:val="single" w:sz="4" w:space="0" w:color="auto"/>
            </w:tcBorders>
          </w:tcPr>
          <w:p w14:paraId="1ACA2046" w14:textId="77777777" w:rsidR="00134236" w:rsidRPr="00134236" w:rsidRDefault="00134236" w:rsidP="00134236">
            <w:pPr>
              <w:spacing w:after="0" w:line="240" w:lineRule="auto"/>
              <w:rPr>
                <w:rFonts w:ascii="Calibri" w:hAnsi="Calibri"/>
                <w:sz w:val="20"/>
                <w:szCs w:val="20"/>
              </w:rPr>
            </w:pPr>
            <w:r w:rsidRPr="00134236">
              <w:rPr>
                <w:rFonts w:ascii="Calibri" w:hAnsi="Calibri"/>
                <w:sz w:val="20"/>
                <w:szCs w:val="20"/>
              </w:rPr>
              <w:t>Econ. Dis.</w:t>
            </w:r>
          </w:p>
        </w:tc>
        <w:tc>
          <w:tcPr>
            <w:tcW w:w="630" w:type="dxa"/>
          </w:tcPr>
          <w:p w14:paraId="5744E236"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630" w:type="dxa"/>
          </w:tcPr>
          <w:p w14:paraId="08A72815"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86%</w:t>
            </w:r>
          </w:p>
        </w:tc>
        <w:tc>
          <w:tcPr>
            <w:tcW w:w="720" w:type="dxa"/>
          </w:tcPr>
          <w:p w14:paraId="0FB967C7"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87%</w:t>
            </w:r>
          </w:p>
        </w:tc>
        <w:tc>
          <w:tcPr>
            <w:tcW w:w="720" w:type="dxa"/>
          </w:tcPr>
          <w:p w14:paraId="56CEEEF8"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91%</w:t>
            </w:r>
          </w:p>
        </w:tc>
        <w:tc>
          <w:tcPr>
            <w:tcW w:w="900" w:type="dxa"/>
            <w:tcBorders>
              <w:right w:val="single" w:sz="18" w:space="0" w:color="auto"/>
            </w:tcBorders>
          </w:tcPr>
          <w:p w14:paraId="5BB28A57"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697" w:type="dxa"/>
            <w:tcBorders>
              <w:top w:val="single" w:sz="4" w:space="0" w:color="auto"/>
              <w:left w:val="single" w:sz="18" w:space="0" w:color="auto"/>
            </w:tcBorders>
          </w:tcPr>
          <w:p w14:paraId="6B721B2C"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698" w:type="dxa"/>
          </w:tcPr>
          <w:p w14:paraId="13895296"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62%</w:t>
            </w:r>
          </w:p>
        </w:tc>
        <w:tc>
          <w:tcPr>
            <w:tcW w:w="697" w:type="dxa"/>
          </w:tcPr>
          <w:p w14:paraId="1631F1AD"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70%</w:t>
            </w:r>
          </w:p>
        </w:tc>
        <w:tc>
          <w:tcPr>
            <w:tcW w:w="698" w:type="dxa"/>
          </w:tcPr>
          <w:p w14:paraId="151141A2"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82%</w:t>
            </w:r>
          </w:p>
        </w:tc>
        <w:tc>
          <w:tcPr>
            <w:tcW w:w="900" w:type="dxa"/>
            <w:tcBorders>
              <w:top w:val="single" w:sz="4" w:space="0" w:color="auto"/>
              <w:right w:val="single" w:sz="4" w:space="0" w:color="auto"/>
            </w:tcBorders>
          </w:tcPr>
          <w:p w14:paraId="520F97C7"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r>
      <w:tr w:rsidR="00134236" w:rsidRPr="00134236" w14:paraId="6B83D4DE" w14:textId="77777777" w:rsidTr="00DF5AC6">
        <w:tc>
          <w:tcPr>
            <w:tcW w:w="2268" w:type="dxa"/>
            <w:tcBorders>
              <w:top w:val="single" w:sz="4" w:space="0" w:color="auto"/>
              <w:left w:val="single" w:sz="4" w:space="0" w:color="auto"/>
            </w:tcBorders>
          </w:tcPr>
          <w:p w14:paraId="681DDD2B" w14:textId="77777777" w:rsidR="00134236" w:rsidRPr="00134236" w:rsidRDefault="00134236" w:rsidP="00134236">
            <w:pPr>
              <w:spacing w:after="0" w:line="240" w:lineRule="auto"/>
              <w:rPr>
                <w:rFonts w:ascii="Calibri" w:hAnsi="Calibri"/>
                <w:sz w:val="20"/>
                <w:szCs w:val="20"/>
              </w:rPr>
            </w:pPr>
            <w:r w:rsidRPr="00134236">
              <w:rPr>
                <w:rFonts w:ascii="Calibri" w:hAnsi="Calibri"/>
                <w:sz w:val="20"/>
                <w:szCs w:val="20"/>
              </w:rPr>
              <w:t>ELLs</w:t>
            </w:r>
          </w:p>
        </w:tc>
        <w:tc>
          <w:tcPr>
            <w:tcW w:w="630" w:type="dxa"/>
          </w:tcPr>
          <w:p w14:paraId="5CBAB175"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630" w:type="dxa"/>
          </w:tcPr>
          <w:p w14:paraId="0136B27E"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720" w:type="dxa"/>
          </w:tcPr>
          <w:p w14:paraId="2A6A4F36"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720" w:type="dxa"/>
          </w:tcPr>
          <w:p w14:paraId="4B6D9060"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900" w:type="dxa"/>
            <w:tcBorders>
              <w:right w:val="single" w:sz="18" w:space="0" w:color="auto"/>
            </w:tcBorders>
          </w:tcPr>
          <w:p w14:paraId="45489C56"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697" w:type="dxa"/>
            <w:tcBorders>
              <w:top w:val="single" w:sz="4" w:space="0" w:color="auto"/>
              <w:left w:val="single" w:sz="18" w:space="0" w:color="auto"/>
            </w:tcBorders>
          </w:tcPr>
          <w:p w14:paraId="0DA26F27"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698" w:type="dxa"/>
          </w:tcPr>
          <w:p w14:paraId="2B8EF1D4"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697" w:type="dxa"/>
          </w:tcPr>
          <w:p w14:paraId="25E01082"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698" w:type="dxa"/>
          </w:tcPr>
          <w:p w14:paraId="1FE61170"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900" w:type="dxa"/>
            <w:tcBorders>
              <w:top w:val="single" w:sz="4" w:space="0" w:color="auto"/>
              <w:right w:val="single" w:sz="4" w:space="0" w:color="auto"/>
            </w:tcBorders>
          </w:tcPr>
          <w:p w14:paraId="5837B0BB"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r>
      <w:tr w:rsidR="00134236" w:rsidRPr="00134236" w14:paraId="609C2944" w14:textId="77777777" w:rsidTr="00DF5AC6">
        <w:tc>
          <w:tcPr>
            <w:tcW w:w="2268" w:type="dxa"/>
            <w:tcBorders>
              <w:top w:val="single" w:sz="4" w:space="0" w:color="auto"/>
              <w:left w:val="single" w:sz="4" w:space="0" w:color="auto"/>
              <w:bottom w:val="single" w:sz="4" w:space="0" w:color="auto"/>
            </w:tcBorders>
          </w:tcPr>
          <w:p w14:paraId="3B8A27CF" w14:textId="77777777" w:rsidR="00134236" w:rsidRPr="00134236" w:rsidRDefault="00134236" w:rsidP="00134236">
            <w:pPr>
              <w:spacing w:after="0" w:line="240" w:lineRule="auto"/>
              <w:rPr>
                <w:rFonts w:ascii="Calibri" w:hAnsi="Calibri"/>
                <w:sz w:val="20"/>
                <w:szCs w:val="20"/>
              </w:rPr>
            </w:pPr>
            <w:r w:rsidRPr="00134236">
              <w:rPr>
                <w:rFonts w:ascii="Calibri" w:hAnsi="Calibri"/>
                <w:sz w:val="20"/>
                <w:szCs w:val="20"/>
              </w:rPr>
              <w:t>SWD</w:t>
            </w:r>
          </w:p>
        </w:tc>
        <w:tc>
          <w:tcPr>
            <w:tcW w:w="630" w:type="dxa"/>
          </w:tcPr>
          <w:p w14:paraId="3E25FE0D"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73%</w:t>
            </w:r>
          </w:p>
        </w:tc>
        <w:tc>
          <w:tcPr>
            <w:tcW w:w="630" w:type="dxa"/>
          </w:tcPr>
          <w:p w14:paraId="529007FF"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72%</w:t>
            </w:r>
          </w:p>
        </w:tc>
        <w:tc>
          <w:tcPr>
            <w:tcW w:w="720" w:type="dxa"/>
          </w:tcPr>
          <w:p w14:paraId="7A8FA237"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66%</w:t>
            </w:r>
          </w:p>
        </w:tc>
        <w:tc>
          <w:tcPr>
            <w:tcW w:w="720" w:type="dxa"/>
          </w:tcPr>
          <w:p w14:paraId="734F1D5A"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85%</w:t>
            </w:r>
          </w:p>
        </w:tc>
        <w:tc>
          <w:tcPr>
            <w:tcW w:w="900" w:type="dxa"/>
            <w:tcBorders>
              <w:right w:val="single" w:sz="18" w:space="0" w:color="auto"/>
            </w:tcBorders>
          </w:tcPr>
          <w:p w14:paraId="3D25EBD3"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12</w:t>
            </w:r>
          </w:p>
        </w:tc>
        <w:tc>
          <w:tcPr>
            <w:tcW w:w="697" w:type="dxa"/>
            <w:tcBorders>
              <w:top w:val="single" w:sz="4" w:space="0" w:color="auto"/>
              <w:left w:val="single" w:sz="18" w:space="0" w:color="auto"/>
              <w:bottom w:val="single" w:sz="4" w:space="0" w:color="auto"/>
            </w:tcBorders>
          </w:tcPr>
          <w:p w14:paraId="72D4C74E"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55%</w:t>
            </w:r>
          </w:p>
        </w:tc>
        <w:tc>
          <w:tcPr>
            <w:tcW w:w="698" w:type="dxa"/>
          </w:tcPr>
          <w:p w14:paraId="67EEEA61"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32%</w:t>
            </w:r>
          </w:p>
        </w:tc>
        <w:tc>
          <w:tcPr>
            <w:tcW w:w="697" w:type="dxa"/>
          </w:tcPr>
          <w:p w14:paraId="53A26C92"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33%</w:t>
            </w:r>
          </w:p>
        </w:tc>
        <w:tc>
          <w:tcPr>
            <w:tcW w:w="698" w:type="dxa"/>
          </w:tcPr>
          <w:p w14:paraId="192BF502"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58%</w:t>
            </w:r>
          </w:p>
        </w:tc>
        <w:tc>
          <w:tcPr>
            <w:tcW w:w="900" w:type="dxa"/>
            <w:tcBorders>
              <w:top w:val="single" w:sz="4" w:space="0" w:color="auto"/>
              <w:bottom w:val="single" w:sz="4" w:space="0" w:color="auto"/>
              <w:right w:val="single" w:sz="4" w:space="0" w:color="auto"/>
            </w:tcBorders>
          </w:tcPr>
          <w:p w14:paraId="46630AA5"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3</w:t>
            </w:r>
          </w:p>
        </w:tc>
      </w:tr>
    </w:tbl>
    <w:p w14:paraId="61E800EC" w14:textId="77777777" w:rsidR="00134236" w:rsidRPr="00134236" w:rsidRDefault="00134236" w:rsidP="00134236">
      <w:pPr>
        <w:spacing w:after="0" w:line="240" w:lineRule="auto"/>
      </w:pPr>
    </w:p>
    <w:p w14:paraId="1C785B2B" w14:textId="77777777" w:rsidR="00134236" w:rsidRPr="00134236" w:rsidRDefault="00134236" w:rsidP="00134236">
      <w:pPr>
        <w:spacing w:after="0" w:line="240" w:lineRule="auto"/>
      </w:pPr>
    </w:p>
    <w:p w14:paraId="504E36A5" w14:textId="43EEA29A" w:rsidR="00134236" w:rsidRPr="00134236" w:rsidRDefault="0078366D" w:rsidP="00134236">
      <w:pPr>
        <w:spacing w:after="0" w:line="240" w:lineRule="auto"/>
        <w:rPr>
          <w:b/>
        </w:rPr>
      </w:pPr>
      <w:r>
        <w:rPr>
          <w:b/>
        </w:rPr>
        <w:t>B</w:t>
      </w:r>
      <w:r w:rsidRPr="00134236">
        <w:rPr>
          <w:b/>
        </w:rPr>
        <w:t>etween 2014 and 2017</w:t>
      </w:r>
      <w:r>
        <w:rPr>
          <w:b/>
        </w:rPr>
        <w:t>,</w:t>
      </w:r>
      <w:r w:rsidRPr="00134236">
        <w:rPr>
          <w:b/>
        </w:rPr>
        <w:t xml:space="preserve"> </w:t>
      </w:r>
      <w:r>
        <w:rPr>
          <w:b/>
        </w:rPr>
        <w:t>i</w:t>
      </w:r>
      <w:r w:rsidRPr="00134236">
        <w:rPr>
          <w:b/>
        </w:rPr>
        <w:t xml:space="preserve">n </w:t>
      </w:r>
      <w:r w:rsidR="00134236" w:rsidRPr="00134236">
        <w:rPr>
          <w:b/>
        </w:rPr>
        <w:t xml:space="preserve">science, the percentage of students scoring proficient or advanced on the MCAS </w:t>
      </w:r>
      <w:r>
        <w:rPr>
          <w:b/>
        </w:rPr>
        <w:t xml:space="preserve">assessment </w:t>
      </w:r>
      <w:r w:rsidR="00134236" w:rsidRPr="00134236">
        <w:rPr>
          <w:b/>
        </w:rPr>
        <w:t>declined by 15 percentage points at Galvin Middle and declined by 3 percentage points at Wakefield Memorial High.</w:t>
      </w:r>
    </w:p>
    <w:p w14:paraId="6393305B" w14:textId="34E0C28A" w:rsidR="00134236" w:rsidRPr="00134236" w:rsidRDefault="00134236" w:rsidP="00FC58CB">
      <w:pPr>
        <w:numPr>
          <w:ilvl w:val="0"/>
          <w:numId w:val="26"/>
        </w:numPr>
        <w:spacing w:after="0" w:line="240" w:lineRule="auto"/>
        <w:contextualSpacing/>
      </w:pPr>
      <w:r w:rsidRPr="00134236">
        <w:t>Science proficiency for high needs students declined by 2 percentage points at Galvin Middle and improved by 4 percentage points at Wakefield Memorial High.</w:t>
      </w:r>
    </w:p>
    <w:p w14:paraId="0D256EFC" w14:textId="7A770BDB" w:rsidR="00134236" w:rsidRDefault="00134236" w:rsidP="00FC58CB">
      <w:pPr>
        <w:numPr>
          <w:ilvl w:val="0"/>
          <w:numId w:val="26"/>
        </w:numPr>
        <w:spacing w:after="0" w:line="240" w:lineRule="auto"/>
        <w:contextualSpacing/>
      </w:pPr>
      <w:r w:rsidRPr="00134236">
        <w:t xml:space="preserve">Science proficiency for students with disabilities declined by 5 percentage points </w:t>
      </w:r>
      <w:r w:rsidR="00417D24">
        <w:t>at</w:t>
      </w:r>
      <w:r w:rsidR="00417D24" w:rsidRPr="00134236">
        <w:t xml:space="preserve"> </w:t>
      </w:r>
      <w:r w:rsidRPr="00134236">
        <w:t>Galvin Middle, and improved by 25 percentage points at Wakefield Memorial High.</w:t>
      </w:r>
    </w:p>
    <w:p w14:paraId="2831ECBB" w14:textId="04130121" w:rsidR="0078366D" w:rsidRPr="00134236" w:rsidRDefault="0078366D" w:rsidP="00FC58CB">
      <w:pPr>
        <w:numPr>
          <w:ilvl w:val="0"/>
          <w:numId w:val="26"/>
        </w:numPr>
        <w:spacing w:after="0" w:line="240" w:lineRule="auto"/>
        <w:contextualSpacing/>
      </w:pPr>
      <w:r>
        <w:t>I</w:t>
      </w:r>
      <w:r w:rsidRPr="00134236">
        <w:t>n 2017</w:t>
      </w:r>
      <w:r>
        <w:t>,</w:t>
      </w:r>
      <w:r w:rsidRPr="00134236">
        <w:t xml:space="preserve"> </w:t>
      </w:r>
      <w:r>
        <w:t>s</w:t>
      </w:r>
      <w:r w:rsidRPr="00134236">
        <w:t xml:space="preserve">cience proficiency for economically disadvantaged students was 31 percent </w:t>
      </w:r>
      <w:r w:rsidR="00F62CFC">
        <w:t xml:space="preserve">at </w:t>
      </w:r>
      <w:r w:rsidRPr="00134236">
        <w:t>Galvin Middle and 68 percent at Wakefield Memorial High.</w:t>
      </w:r>
    </w:p>
    <w:p w14:paraId="55BE6B26" w14:textId="1DC96CE4" w:rsidR="0078366D" w:rsidRDefault="0078366D" w:rsidP="0078366D">
      <w:pPr>
        <w:spacing w:after="0" w:line="240" w:lineRule="auto"/>
        <w:ind w:left="360"/>
        <w:contextualSpacing/>
      </w:pPr>
    </w:p>
    <w:p w14:paraId="5363343A" w14:textId="77777777" w:rsidR="00F76BEE" w:rsidRPr="00134236" w:rsidRDefault="00F76BEE" w:rsidP="0078366D">
      <w:pPr>
        <w:spacing w:after="0" w:line="240" w:lineRule="auto"/>
        <w:ind w:left="360"/>
        <w:contextualSpacing/>
      </w:pPr>
    </w:p>
    <w:p w14:paraId="701F80A7" w14:textId="77777777" w:rsidR="00134236" w:rsidRPr="00134236" w:rsidRDefault="00134236" w:rsidP="00134236">
      <w:pPr>
        <w:spacing w:after="0" w:line="240" w:lineRule="auto"/>
      </w:pPr>
    </w:p>
    <w:tbl>
      <w:tblPr>
        <w:tblStyle w:val="TableGrid5"/>
        <w:tblW w:w="0" w:type="auto"/>
        <w:tblLayout w:type="fixed"/>
        <w:tblLook w:val="00A0" w:firstRow="1" w:lastRow="0" w:firstColumn="1" w:lastColumn="0" w:noHBand="0" w:noVBand="0"/>
        <w:tblCaption w:val="Table 16 Wakefield Public Schools"/>
        <w:tblDescription w:val="MCAS Science Percent Scoring Proficient or Advanced in Science by School and Subgroup, 2014–2017"/>
      </w:tblPr>
      <w:tblGrid>
        <w:gridCol w:w="4248"/>
        <w:gridCol w:w="900"/>
        <w:gridCol w:w="885"/>
        <w:gridCol w:w="1005"/>
        <w:gridCol w:w="810"/>
        <w:gridCol w:w="810"/>
        <w:gridCol w:w="918"/>
      </w:tblGrid>
      <w:tr w:rsidR="00134236" w:rsidRPr="00134236" w14:paraId="180321D8" w14:textId="77777777" w:rsidTr="00BB0032">
        <w:trPr>
          <w:trHeight w:val="288"/>
          <w:tblHeader/>
        </w:trPr>
        <w:tc>
          <w:tcPr>
            <w:tcW w:w="9576" w:type="dxa"/>
            <w:gridSpan w:val="7"/>
            <w:tcBorders>
              <w:top w:val="nil"/>
              <w:left w:val="nil"/>
              <w:right w:val="nil"/>
            </w:tcBorders>
            <w:shd w:val="clear" w:color="auto" w:fill="auto"/>
          </w:tcPr>
          <w:p w14:paraId="03976EF9" w14:textId="77777777" w:rsidR="00134236" w:rsidRPr="00134236" w:rsidRDefault="00134236" w:rsidP="00134236">
            <w:pPr>
              <w:spacing w:after="0" w:line="240" w:lineRule="auto"/>
              <w:jc w:val="center"/>
              <w:rPr>
                <w:b/>
                <w:sz w:val="20"/>
                <w:szCs w:val="20"/>
              </w:rPr>
            </w:pPr>
            <w:r w:rsidRPr="00134236">
              <w:rPr>
                <w:b/>
                <w:sz w:val="20"/>
                <w:szCs w:val="20"/>
              </w:rPr>
              <w:lastRenderedPageBreak/>
              <w:t>Table 16</w:t>
            </w:r>
            <w:r w:rsidRPr="00134236">
              <w:rPr>
                <w:rFonts w:cs="Times New Roman"/>
                <w:b/>
                <w:sz w:val="20"/>
                <w:szCs w:val="20"/>
              </w:rPr>
              <w:t xml:space="preserve"> Wakefield Public Schools</w:t>
            </w:r>
          </w:p>
          <w:p w14:paraId="6388F3F0" w14:textId="681F096E" w:rsidR="00134236" w:rsidRPr="00134236" w:rsidRDefault="00134236" w:rsidP="00282F1F">
            <w:pPr>
              <w:spacing w:after="0" w:line="240" w:lineRule="auto"/>
              <w:jc w:val="center"/>
              <w:rPr>
                <w:sz w:val="20"/>
                <w:szCs w:val="20"/>
              </w:rPr>
            </w:pPr>
            <w:r w:rsidRPr="00134236">
              <w:rPr>
                <w:b/>
                <w:sz w:val="20"/>
                <w:szCs w:val="20"/>
              </w:rPr>
              <w:t>MCAS Science Percent Scoring Proficient or Advanced in Science by School and Subgroup, 2014</w:t>
            </w:r>
            <w:r w:rsidR="008639B8" w:rsidRPr="00134236">
              <w:rPr>
                <w:b/>
                <w:sz w:val="20"/>
                <w:szCs w:val="20"/>
              </w:rPr>
              <w:t>–</w:t>
            </w:r>
            <w:r w:rsidRPr="00134236">
              <w:rPr>
                <w:b/>
                <w:sz w:val="20"/>
                <w:szCs w:val="20"/>
              </w:rPr>
              <w:t>2017</w:t>
            </w:r>
          </w:p>
        </w:tc>
      </w:tr>
      <w:tr w:rsidR="00134236" w:rsidRPr="00134236" w14:paraId="55DC37B6" w14:textId="77777777" w:rsidTr="00DF5AC6">
        <w:trPr>
          <w:trHeight w:val="288"/>
        </w:trPr>
        <w:tc>
          <w:tcPr>
            <w:tcW w:w="4248" w:type="dxa"/>
            <w:shd w:val="clear" w:color="auto" w:fill="D9D9D9" w:themeFill="background1" w:themeFillShade="D9"/>
          </w:tcPr>
          <w:p w14:paraId="4B362546" w14:textId="77777777" w:rsidR="00134236" w:rsidRPr="00134236" w:rsidRDefault="00134236" w:rsidP="00E22258">
            <w:pPr>
              <w:spacing w:after="0" w:line="240" w:lineRule="auto"/>
              <w:rPr>
                <w:b/>
                <w:sz w:val="20"/>
                <w:szCs w:val="20"/>
              </w:rPr>
            </w:pPr>
            <w:r w:rsidRPr="00134236">
              <w:rPr>
                <w:b/>
                <w:sz w:val="20"/>
                <w:szCs w:val="20"/>
              </w:rPr>
              <w:t>School</w:t>
            </w:r>
          </w:p>
        </w:tc>
        <w:tc>
          <w:tcPr>
            <w:tcW w:w="900" w:type="dxa"/>
            <w:shd w:val="clear" w:color="auto" w:fill="D9D9D9" w:themeFill="background1" w:themeFillShade="D9"/>
          </w:tcPr>
          <w:p w14:paraId="7740C50B" w14:textId="77777777" w:rsidR="00134236" w:rsidRPr="00134236" w:rsidRDefault="00134236" w:rsidP="00134236">
            <w:pPr>
              <w:spacing w:after="0" w:line="240" w:lineRule="auto"/>
              <w:jc w:val="center"/>
              <w:rPr>
                <w:b/>
                <w:sz w:val="20"/>
                <w:szCs w:val="20"/>
              </w:rPr>
            </w:pPr>
            <w:r w:rsidRPr="00134236">
              <w:rPr>
                <w:b/>
                <w:sz w:val="20"/>
                <w:szCs w:val="20"/>
              </w:rPr>
              <w:t>N (2017)</w:t>
            </w:r>
          </w:p>
        </w:tc>
        <w:tc>
          <w:tcPr>
            <w:tcW w:w="885" w:type="dxa"/>
            <w:shd w:val="clear" w:color="auto" w:fill="D9D9D9" w:themeFill="background1" w:themeFillShade="D9"/>
          </w:tcPr>
          <w:p w14:paraId="0AD4364E" w14:textId="77777777" w:rsidR="00134236" w:rsidRPr="00134236" w:rsidRDefault="00134236" w:rsidP="00134236">
            <w:pPr>
              <w:spacing w:after="0" w:line="240" w:lineRule="auto"/>
              <w:jc w:val="center"/>
              <w:rPr>
                <w:b/>
                <w:sz w:val="20"/>
                <w:szCs w:val="20"/>
              </w:rPr>
            </w:pPr>
            <w:r w:rsidRPr="00134236">
              <w:rPr>
                <w:b/>
                <w:sz w:val="20"/>
                <w:szCs w:val="20"/>
              </w:rPr>
              <w:t>2014</w:t>
            </w:r>
          </w:p>
        </w:tc>
        <w:tc>
          <w:tcPr>
            <w:tcW w:w="1005" w:type="dxa"/>
            <w:shd w:val="clear" w:color="auto" w:fill="D9D9D9" w:themeFill="background1" w:themeFillShade="D9"/>
          </w:tcPr>
          <w:p w14:paraId="0A33F2D4" w14:textId="77777777" w:rsidR="00134236" w:rsidRPr="00134236" w:rsidRDefault="00134236" w:rsidP="00134236">
            <w:pPr>
              <w:spacing w:after="0" w:line="240" w:lineRule="auto"/>
              <w:jc w:val="center"/>
              <w:rPr>
                <w:b/>
                <w:sz w:val="20"/>
                <w:szCs w:val="20"/>
              </w:rPr>
            </w:pPr>
            <w:r w:rsidRPr="00134236">
              <w:rPr>
                <w:b/>
                <w:sz w:val="20"/>
                <w:szCs w:val="20"/>
              </w:rPr>
              <w:t>2015</w:t>
            </w:r>
          </w:p>
        </w:tc>
        <w:tc>
          <w:tcPr>
            <w:tcW w:w="810" w:type="dxa"/>
            <w:shd w:val="clear" w:color="auto" w:fill="D9D9D9" w:themeFill="background1" w:themeFillShade="D9"/>
          </w:tcPr>
          <w:p w14:paraId="05F7741A" w14:textId="77777777" w:rsidR="00134236" w:rsidRPr="00134236" w:rsidRDefault="00134236" w:rsidP="00134236">
            <w:pPr>
              <w:spacing w:after="0" w:line="240" w:lineRule="auto"/>
              <w:jc w:val="center"/>
              <w:rPr>
                <w:b/>
                <w:sz w:val="20"/>
                <w:szCs w:val="20"/>
              </w:rPr>
            </w:pPr>
            <w:r w:rsidRPr="00134236">
              <w:rPr>
                <w:b/>
                <w:sz w:val="20"/>
                <w:szCs w:val="20"/>
              </w:rPr>
              <w:t>2016</w:t>
            </w:r>
          </w:p>
        </w:tc>
        <w:tc>
          <w:tcPr>
            <w:tcW w:w="810" w:type="dxa"/>
            <w:shd w:val="clear" w:color="auto" w:fill="D9D9D9" w:themeFill="background1" w:themeFillShade="D9"/>
          </w:tcPr>
          <w:p w14:paraId="012DCF0F" w14:textId="77777777" w:rsidR="00134236" w:rsidRPr="00134236" w:rsidRDefault="00134236" w:rsidP="00134236">
            <w:pPr>
              <w:spacing w:after="0" w:line="240" w:lineRule="auto"/>
              <w:jc w:val="center"/>
              <w:rPr>
                <w:b/>
                <w:sz w:val="20"/>
                <w:szCs w:val="20"/>
              </w:rPr>
            </w:pPr>
            <w:r w:rsidRPr="00134236">
              <w:rPr>
                <w:b/>
                <w:sz w:val="20"/>
                <w:szCs w:val="20"/>
              </w:rPr>
              <w:t>2017</w:t>
            </w:r>
          </w:p>
        </w:tc>
        <w:tc>
          <w:tcPr>
            <w:tcW w:w="918" w:type="dxa"/>
            <w:shd w:val="clear" w:color="auto" w:fill="D9D9D9" w:themeFill="background1" w:themeFillShade="D9"/>
          </w:tcPr>
          <w:p w14:paraId="556D1C1C" w14:textId="77777777" w:rsidR="00134236" w:rsidRPr="00134236" w:rsidRDefault="00134236" w:rsidP="00134236">
            <w:pPr>
              <w:spacing w:after="0" w:line="240" w:lineRule="auto"/>
              <w:jc w:val="center"/>
              <w:rPr>
                <w:b/>
                <w:sz w:val="20"/>
                <w:szCs w:val="20"/>
              </w:rPr>
            </w:pPr>
            <w:r w:rsidRPr="00134236">
              <w:rPr>
                <w:b/>
                <w:sz w:val="20"/>
                <w:szCs w:val="20"/>
              </w:rPr>
              <w:t>4-yr Change</w:t>
            </w:r>
          </w:p>
        </w:tc>
      </w:tr>
      <w:tr w:rsidR="00134236" w:rsidRPr="00134236" w14:paraId="01BC7952" w14:textId="77777777" w:rsidTr="00DF5AC6">
        <w:trPr>
          <w:trHeight w:val="288"/>
        </w:trPr>
        <w:tc>
          <w:tcPr>
            <w:tcW w:w="4248" w:type="dxa"/>
            <w:shd w:val="clear" w:color="auto" w:fill="D9D9D9" w:themeFill="background1" w:themeFillShade="D9"/>
          </w:tcPr>
          <w:p w14:paraId="7C5228BD" w14:textId="77777777" w:rsidR="00134236" w:rsidRPr="00134236" w:rsidRDefault="00134236" w:rsidP="00134236">
            <w:pPr>
              <w:spacing w:after="0" w:line="240" w:lineRule="auto"/>
              <w:rPr>
                <w:sz w:val="20"/>
                <w:szCs w:val="20"/>
              </w:rPr>
            </w:pPr>
            <w:r w:rsidRPr="00134236">
              <w:rPr>
                <w:sz w:val="20"/>
                <w:szCs w:val="20"/>
              </w:rPr>
              <w:t>Doyle ECC</w:t>
            </w:r>
          </w:p>
        </w:tc>
        <w:tc>
          <w:tcPr>
            <w:tcW w:w="900" w:type="dxa"/>
            <w:shd w:val="clear" w:color="auto" w:fill="D9D9D9" w:themeFill="background1" w:themeFillShade="D9"/>
          </w:tcPr>
          <w:p w14:paraId="76F1E2E0" w14:textId="77777777" w:rsidR="00134236" w:rsidRPr="00134236" w:rsidRDefault="00134236" w:rsidP="00134236">
            <w:pPr>
              <w:spacing w:after="0" w:line="240" w:lineRule="auto"/>
              <w:jc w:val="center"/>
              <w:rPr>
                <w:sz w:val="20"/>
                <w:szCs w:val="20"/>
              </w:rPr>
            </w:pPr>
            <w:r w:rsidRPr="00134236">
              <w:rPr>
                <w:sz w:val="20"/>
                <w:szCs w:val="20"/>
              </w:rPr>
              <w:t>--</w:t>
            </w:r>
          </w:p>
        </w:tc>
        <w:tc>
          <w:tcPr>
            <w:tcW w:w="885" w:type="dxa"/>
            <w:shd w:val="clear" w:color="auto" w:fill="D9D9D9" w:themeFill="background1" w:themeFillShade="D9"/>
          </w:tcPr>
          <w:p w14:paraId="3899B445" w14:textId="77777777" w:rsidR="00134236" w:rsidRPr="00134236" w:rsidRDefault="00134236" w:rsidP="00134236">
            <w:pPr>
              <w:spacing w:after="0" w:line="240" w:lineRule="auto"/>
              <w:jc w:val="center"/>
              <w:rPr>
                <w:sz w:val="20"/>
                <w:szCs w:val="20"/>
              </w:rPr>
            </w:pPr>
            <w:r w:rsidRPr="00134236">
              <w:rPr>
                <w:sz w:val="20"/>
                <w:szCs w:val="20"/>
              </w:rPr>
              <w:t>--</w:t>
            </w:r>
          </w:p>
        </w:tc>
        <w:tc>
          <w:tcPr>
            <w:tcW w:w="1005" w:type="dxa"/>
            <w:shd w:val="clear" w:color="auto" w:fill="D9D9D9" w:themeFill="background1" w:themeFillShade="D9"/>
          </w:tcPr>
          <w:p w14:paraId="7BA58F82" w14:textId="77777777" w:rsidR="00134236" w:rsidRPr="00134236" w:rsidRDefault="00134236" w:rsidP="00134236">
            <w:pPr>
              <w:spacing w:after="0" w:line="240" w:lineRule="auto"/>
              <w:jc w:val="center"/>
              <w:rPr>
                <w:sz w:val="20"/>
                <w:szCs w:val="20"/>
              </w:rPr>
            </w:pPr>
            <w:r w:rsidRPr="00134236">
              <w:rPr>
                <w:sz w:val="20"/>
                <w:szCs w:val="20"/>
              </w:rPr>
              <w:t>--</w:t>
            </w:r>
          </w:p>
        </w:tc>
        <w:tc>
          <w:tcPr>
            <w:tcW w:w="810" w:type="dxa"/>
            <w:shd w:val="clear" w:color="auto" w:fill="D9D9D9" w:themeFill="background1" w:themeFillShade="D9"/>
          </w:tcPr>
          <w:p w14:paraId="197F6344" w14:textId="77777777" w:rsidR="00134236" w:rsidRPr="00134236" w:rsidRDefault="00134236" w:rsidP="00134236">
            <w:pPr>
              <w:spacing w:after="0" w:line="240" w:lineRule="auto"/>
              <w:jc w:val="center"/>
              <w:rPr>
                <w:sz w:val="20"/>
                <w:szCs w:val="20"/>
              </w:rPr>
            </w:pPr>
            <w:r w:rsidRPr="00134236">
              <w:rPr>
                <w:sz w:val="20"/>
                <w:szCs w:val="20"/>
              </w:rPr>
              <w:t>--</w:t>
            </w:r>
          </w:p>
        </w:tc>
        <w:tc>
          <w:tcPr>
            <w:tcW w:w="810" w:type="dxa"/>
            <w:shd w:val="clear" w:color="auto" w:fill="D9D9D9" w:themeFill="background1" w:themeFillShade="D9"/>
          </w:tcPr>
          <w:p w14:paraId="470FF70D" w14:textId="77777777" w:rsidR="00134236" w:rsidRPr="00134236" w:rsidRDefault="00134236" w:rsidP="00134236">
            <w:pPr>
              <w:spacing w:after="0" w:line="240" w:lineRule="auto"/>
              <w:jc w:val="center"/>
              <w:rPr>
                <w:sz w:val="20"/>
                <w:szCs w:val="20"/>
              </w:rPr>
            </w:pPr>
            <w:r w:rsidRPr="00134236">
              <w:rPr>
                <w:sz w:val="20"/>
                <w:szCs w:val="20"/>
              </w:rPr>
              <w:t>--</w:t>
            </w:r>
          </w:p>
        </w:tc>
        <w:tc>
          <w:tcPr>
            <w:tcW w:w="918" w:type="dxa"/>
            <w:shd w:val="clear" w:color="auto" w:fill="D9D9D9" w:themeFill="background1" w:themeFillShade="D9"/>
          </w:tcPr>
          <w:p w14:paraId="4A859546" w14:textId="77777777" w:rsidR="00134236" w:rsidRPr="00134236" w:rsidRDefault="00134236" w:rsidP="00134236">
            <w:pPr>
              <w:spacing w:after="0" w:line="240" w:lineRule="auto"/>
              <w:jc w:val="center"/>
              <w:rPr>
                <w:sz w:val="20"/>
                <w:szCs w:val="20"/>
              </w:rPr>
            </w:pPr>
            <w:r w:rsidRPr="00134236">
              <w:rPr>
                <w:sz w:val="20"/>
                <w:szCs w:val="20"/>
              </w:rPr>
              <w:t>--</w:t>
            </w:r>
          </w:p>
        </w:tc>
      </w:tr>
      <w:tr w:rsidR="00134236" w:rsidRPr="00134236" w14:paraId="646144A2" w14:textId="77777777" w:rsidTr="00DF5AC6">
        <w:trPr>
          <w:trHeight w:val="288"/>
        </w:trPr>
        <w:tc>
          <w:tcPr>
            <w:tcW w:w="4248" w:type="dxa"/>
            <w:shd w:val="clear" w:color="auto" w:fill="D9D9D9" w:themeFill="background1" w:themeFillShade="D9"/>
          </w:tcPr>
          <w:p w14:paraId="3686FEEE" w14:textId="77777777" w:rsidR="00134236" w:rsidRPr="00134236" w:rsidRDefault="00134236" w:rsidP="00134236">
            <w:pPr>
              <w:spacing w:after="0" w:line="240" w:lineRule="auto"/>
              <w:rPr>
                <w:sz w:val="20"/>
                <w:szCs w:val="20"/>
              </w:rPr>
            </w:pPr>
            <w:r w:rsidRPr="00134236">
              <w:rPr>
                <w:sz w:val="20"/>
                <w:szCs w:val="20"/>
              </w:rPr>
              <w:t>Dolbeare</w:t>
            </w:r>
          </w:p>
        </w:tc>
        <w:tc>
          <w:tcPr>
            <w:tcW w:w="900" w:type="dxa"/>
            <w:shd w:val="clear" w:color="auto" w:fill="D9D9D9" w:themeFill="background1" w:themeFillShade="D9"/>
          </w:tcPr>
          <w:p w14:paraId="73EEB685" w14:textId="77777777" w:rsidR="00134236" w:rsidRPr="00134236" w:rsidRDefault="00134236" w:rsidP="00134236">
            <w:pPr>
              <w:spacing w:after="0" w:line="240" w:lineRule="auto"/>
              <w:jc w:val="center"/>
              <w:rPr>
                <w:sz w:val="20"/>
                <w:szCs w:val="20"/>
              </w:rPr>
            </w:pPr>
            <w:r w:rsidRPr="00134236">
              <w:rPr>
                <w:sz w:val="20"/>
                <w:szCs w:val="20"/>
              </w:rPr>
              <w:t>--</w:t>
            </w:r>
          </w:p>
        </w:tc>
        <w:tc>
          <w:tcPr>
            <w:tcW w:w="885" w:type="dxa"/>
            <w:shd w:val="clear" w:color="auto" w:fill="D9D9D9" w:themeFill="background1" w:themeFillShade="D9"/>
          </w:tcPr>
          <w:p w14:paraId="27DCF6CB" w14:textId="77777777" w:rsidR="00134236" w:rsidRPr="00134236" w:rsidRDefault="00134236" w:rsidP="00134236">
            <w:pPr>
              <w:spacing w:after="0" w:line="240" w:lineRule="auto"/>
              <w:jc w:val="center"/>
              <w:rPr>
                <w:sz w:val="20"/>
                <w:szCs w:val="20"/>
              </w:rPr>
            </w:pPr>
            <w:r w:rsidRPr="00134236">
              <w:rPr>
                <w:sz w:val="20"/>
                <w:szCs w:val="20"/>
              </w:rPr>
              <w:t>--</w:t>
            </w:r>
          </w:p>
        </w:tc>
        <w:tc>
          <w:tcPr>
            <w:tcW w:w="1005" w:type="dxa"/>
            <w:shd w:val="clear" w:color="auto" w:fill="D9D9D9" w:themeFill="background1" w:themeFillShade="D9"/>
          </w:tcPr>
          <w:p w14:paraId="62F48191" w14:textId="77777777" w:rsidR="00134236" w:rsidRPr="00134236" w:rsidRDefault="00134236" w:rsidP="00134236">
            <w:pPr>
              <w:spacing w:after="0" w:line="240" w:lineRule="auto"/>
              <w:jc w:val="center"/>
              <w:rPr>
                <w:sz w:val="20"/>
                <w:szCs w:val="20"/>
              </w:rPr>
            </w:pPr>
            <w:r w:rsidRPr="00134236">
              <w:rPr>
                <w:sz w:val="20"/>
                <w:szCs w:val="20"/>
              </w:rPr>
              <w:t>--</w:t>
            </w:r>
          </w:p>
        </w:tc>
        <w:tc>
          <w:tcPr>
            <w:tcW w:w="810" w:type="dxa"/>
            <w:shd w:val="clear" w:color="auto" w:fill="D9D9D9" w:themeFill="background1" w:themeFillShade="D9"/>
          </w:tcPr>
          <w:p w14:paraId="591B7DE0" w14:textId="77777777" w:rsidR="00134236" w:rsidRPr="00134236" w:rsidRDefault="00134236" w:rsidP="00134236">
            <w:pPr>
              <w:spacing w:after="0" w:line="240" w:lineRule="auto"/>
              <w:jc w:val="center"/>
              <w:rPr>
                <w:sz w:val="20"/>
                <w:szCs w:val="20"/>
              </w:rPr>
            </w:pPr>
            <w:r w:rsidRPr="00134236">
              <w:rPr>
                <w:sz w:val="20"/>
                <w:szCs w:val="20"/>
              </w:rPr>
              <w:t>--</w:t>
            </w:r>
          </w:p>
        </w:tc>
        <w:tc>
          <w:tcPr>
            <w:tcW w:w="810" w:type="dxa"/>
            <w:shd w:val="clear" w:color="auto" w:fill="D9D9D9" w:themeFill="background1" w:themeFillShade="D9"/>
          </w:tcPr>
          <w:p w14:paraId="0EB8F14A" w14:textId="77777777" w:rsidR="00134236" w:rsidRPr="00134236" w:rsidRDefault="00134236" w:rsidP="00134236">
            <w:pPr>
              <w:spacing w:after="0" w:line="240" w:lineRule="auto"/>
              <w:jc w:val="center"/>
              <w:rPr>
                <w:sz w:val="20"/>
                <w:szCs w:val="20"/>
              </w:rPr>
            </w:pPr>
            <w:r w:rsidRPr="00134236">
              <w:rPr>
                <w:sz w:val="20"/>
                <w:szCs w:val="20"/>
              </w:rPr>
              <w:t>--</w:t>
            </w:r>
          </w:p>
        </w:tc>
        <w:tc>
          <w:tcPr>
            <w:tcW w:w="918" w:type="dxa"/>
            <w:shd w:val="clear" w:color="auto" w:fill="D9D9D9" w:themeFill="background1" w:themeFillShade="D9"/>
          </w:tcPr>
          <w:p w14:paraId="680D6179" w14:textId="77777777" w:rsidR="00134236" w:rsidRPr="00134236" w:rsidRDefault="00134236" w:rsidP="00134236">
            <w:pPr>
              <w:spacing w:after="0" w:line="240" w:lineRule="auto"/>
              <w:jc w:val="center"/>
              <w:rPr>
                <w:sz w:val="20"/>
                <w:szCs w:val="20"/>
              </w:rPr>
            </w:pPr>
            <w:r w:rsidRPr="00134236">
              <w:rPr>
                <w:sz w:val="20"/>
                <w:szCs w:val="20"/>
              </w:rPr>
              <w:t>--</w:t>
            </w:r>
          </w:p>
        </w:tc>
      </w:tr>
      <w:tr w:rsidR="00134236" w:rsidRPr="00134236" w14:paraId="063FB710" w14:textId="77777777" w:rsidTr="00DF5AC6">
        <w:trPr>
          <w:trHeight w:val="288"/>
        </w:trPr>
        <w:tc>
          <w:tcPr>
            <w:tcW w:w="4248" w:type="dxa"/>
            <w:shd w:val="clear" w:color="auto" w:fill="D9D9D9" w:themeFill="background1" w:themeFillShade="D9"/>
          </w:tcPr>
          <w:p w14:paraId="0292E75A" w14:textId="77777777" w:rsidR="00134236" w:rsidRPr="00134236" w:rsidRDefault="00134236" w:rsidP="00134236">
            <w:pPr>
              <w:spacing w:after="0" w:line="240" w:lineRule="auto"/>
              <w:rPr>
                <w:sz w:val="20"/>
                <w:szCs w:val="20"/>
              </w:rPr>
            </w:pPr>
            <w:r w:rsidRPr="00134236">
              <w:rPr>
                <w:sz w:val="20"/>
                <w:szCs w:val="20"/>
              </w:rPr>
              <w:t>Woodville</w:t>
            </w:r>
          </w:p>
        </w:tc>
        <w:tc>
          <w:tcPr>
            <w:tcW w:w="900" w:type="dxa"/>
            <w:shd w:val="clear" w:color="auto" w:fill="D9D9D9" w:themeFill="background1" w:themeFillShade="D9"/>
          </w:tcPr>
          <w:p w14:paraId="58C21BC5" w14:textId="77777777" w:rsidR="00134236" w:rsidRPr="00134236" w:rsidRDefault="00134236" w:rsidP="00134236">
            <w:pPr>
              <w:spacing w:after="0" w:line="240" w:lineRule="auto"/>
              <w:jc w:val="center"/>
              <w:rPr>
                <w:sz w:val="20"/>
                <w:szCs w:val="20"/>
              </w:rPr>
            </w:pPr>
            <w:r w:rsidRPr="00134236">
              <w:rPr>
                <w:sz w:val="20"/>
                <w:szCs w:val="20"/>
              </w:rPr>
              <w:t>--</w:t>
            </w:r>
          </w:p>
        </w:tc>
        <w:tc>
          <w:tcPr>
            <w:tcW w:w="885" w:type="dxa"/>
            <w:shd w:val="clear" w:color="auto" w:fill="D9D9D9" w:themeFill="background1" w:themeFillShade="D9"/>
          </w:tcPr>
          <w:p w14:paraId="29B037A0" w14:textId="77777777" w:rsidR="00134236" w:rsidRPr="00134236" w:rsidRDefault="00134236" w:rsidP="00134236">
            <w:pPr>
              <w:spacing w:after="0" w:line="240" w:lineRule="auto"/>
              <w:jc w:val="center"/>
              <w:rPr>
                <w:sz w:val="20"/>
                <w:szCs w:val="20"/>
              </w:rPr>
            </w:pPr>
            <w:r w:rsidRPr="00134236">
              <w:rPr>
                <w:sz w:val="20"/>
                <w:szCs w:val="20"/>
              </w:rPr>
              <w:t>--</w:t>
            </w:r>
          </w:p>
        </w:tc>
        <w:tc>
          <w:tcPr>
            <w:tcW w:w="1005" w:type="dxa"/>
            <w:shd w:val="clear" w:color="auto" w:fill="D9D9D9" w:themeFill="background1" w:themeFillShade="D9"/>
          </w:tcPr>
          <w:p w14:paraId="6852C48C" w14:textId="77777777" w:rsidR="00134236" w:rsidRPr="00134236" w:rsidRDefault="00134236" w:rsidP="00134236">
            <w:pPr>
              <w:spacing w:after="0" w:line="240" w:lineRule="auto"/>
              <w:jc w:val="center"/>
              <w:rPr>
                <w:sz w:val="20"/>
                <w:szCs w:val="20"/>
              </w:rPr>
            </w:pPr>
            <w:r w:rsidRPr="00134236">
              <w:rPr>
                <w:sz w:val="20"/>
                <w:szCs w:val="20"/>
              </w:rPr>
              <w:t>--</w:t>
            </w:r>
          </w:p>
        </w:tc>
        <w:tc>
          <w:tcPr>
            <w:tcW w:w="810" w:type="dxa"/>
            <w:shd w:val="clear" w:color="auto" w:fill="D9D9D9" w:themeFill="background1" w:themeFillShade="D9"/>
          </w:tcPr>
          <w:p w14:paraId="4A4B1D61" w14:textId="77777777" w:rsidR="00134236" w:rsidRPr="00134236" w:rsidRDefault="00134236" w:rsidP="00134236">
            <w:pPr>
              <w:spacing w:after="0" w:line="240" w:lineRule="auto"/>
              <w:jc w:val="center"/>
              <w:rPr>
                <w:sz w:val="20"/>
                <w:szCs w:val="20"/>
              </w:rPr>
            </w:pPr>
            <w:r w:rsidRPr="00134236">
              <w:rPr>
                <w:sz w:val="20"/>
                <w:szCs w:val="20"/>
              </w:rPr>
              <w:t>--</w:t>
            </w:r>
          </w:p>
        </w:tc>
        <w:tc>
          <w:tcPr>
            <w:tcW w:w="810" w:type="dxa"/>
            <w:shd w:val="clear" w:color="auto" w:fill="D9D9D9" w:themeFill="background1" w:themeFillShade="D9"/>
          </w:tcPr>
          <w:p w14:paraId="3EB2E901" w14:textId="77777777" w:rsidR="00134236" w:rsidRPr="00134236" w:rsidRDefault="00134236" w:rsidP="00134236">
            <w:pPr>
              <w:spacing w:after="0" w:line="240" w:lineRule="auto"/>
              <w:jc w:val="center"/>
              <w:rPr>
                <w:sz w:val="20"/>
                <w:szCs w:val="20"/>
              </w:rPr>
            </w:pPr>
            <w:r w:rsidRPr="00134236">
              <w:rPr>
                <w:sz w:val="20"/>
                <w:szCs w:val="20"/>
              </w:rPr>
              <w:t>--</w:t>
            </w:r>
          </w:p>
        </w:tc>
        <w:tc>
          <w:tcPr>
            <w:tcW w:w="918" w:type="dxa"/>
            <w:shd w:val="clear" w:color="auto" w:fill="D9D9D9" w:themeFill="background1" w:themeFillShade="D9"/>
          </w:tcPr>
          <w:p w14:paraId="70A1B23D" w14:textId="77777777" w:rsidR="00134236" w:rsidRPr="00134236" w:rsidRDefault="00134236" w:rsidP="00134236">
            <w:pPr>
              <w:spacing w:after="0" w:line="240" w:lineRule="auto"/>
              <w:jc w:val="center"/>
              <w:rPr>
                <w:sz w:val="20"/>
                <w:szCs w:val="20"/>
              </w:rPr>
            </w:pPr>
            <w:r w:rsidRPr="00134236">
              <w:rPr>
                <w:sz w:val="20"/>
                <w:szCs w:val="20"/>
              </w:rPr>
              <w:t>--</w:t>
            </w:r>
          </w:p>
        </w:tc>
      </w:tr>
      <w:tr w:rsidR="00134236" w:rsidRPr="00134236" w14:paraId="1AC9999B" w14:textId="77777777" w:rsidTr="00DF5AC6">
        <w:trPr>
          <w:trHeight w:val="288"/>
        </w:trPr>
        <w:tc>
          <w:tcPr>
            <w:tcW w:w="4248" w:type="dxa"/>
            <w:shd w:val="clear" w:color="auto" w:fill="D9D9D9" w:themeFill="background1" w:themeFillShade="D9"/>
          </w:tcPr>
          <w:p w14:paraId="555E9FAD" w14:textId="77777777" w:rsidR="00134236" w:rsidRPr="00134236" w:rsidRDefault="00134236" w:rsidP="00134236">
            <w:pPr>
              <w:spacing w:after="0" w:line="240" w:lineRule="auto"/>
              <w:rPr>
                <w:sz w:val="20"/>
                <w:szCs w:val="20"/>
              </w:rPr>
            </w:pPr>
            <w:r w:rsidRPr="00134236">
              <w:rPr>
                <w:sz w:val="20"/>
                <w:szCs w:val="20"/>
              </w:rPr>
              <w:t>Greenwood</w:t>
            </w:r>
          </w:p>
        </w:tc>
        <w:tc>
          <w:tcPr>
            <w:tcW w:w="900" w:type="dxa"/>
            <w:shd w:val="clear" w:color="auto" w:fill="D9D9D9" w:themeFill="background1" w:themeFillShade="D9"/>
          </w:tcPr>
          <w:p w14:paraId="2A2098E6" w14:textId="77777777" w:rsidR="00134236" w:rsidRPr="00134236" w:rsidRDefault="00134236" w:rsidP="00134236">
            <w:pPr>
              <w:spacing w:after="0" w:line="240" w:lineRule="auto"/>
              <w:jc w:val="center"/>
              <w:rPr>
                <w:sz w:val="20"/>
                <w:szCs w:val="20"/>
              </w:rPr>
            </w:pPr>
            <w:r w:rsidRPr="00134236">
              <w:rPr>
                <w:sz w:val="20"/>
                <w:szCs w:val="20"/>
              </w:rPr>
              <w:t>--</w:t>
            </w:r>
          </w:p>
        </w:tc>
        <w:tc>
          <w:tcPr>
            <w:tcW w:w="885" w:type="dxa"/>
            <w:shd w:val="clear" w:color="auto" w:fill="D9D9D9" w:themeFill="background1" w:themeFillShade="D9"/>
          </w:tcPr>
          <w:p w14:paraId="3F967C5B" w14:textId="77777777" w:rsidR="00134236" w:rsidRPr="00134236" w:rsidRDefault="00134236" w:rsidP="00134236">
            <w:pPr>
              <w:spacing w:after="0" w:line="240" w:lineRule="auto"/>
              <w:jc w:val="center"/>
              <w:rPr>
                <w:sz w:val="20"/>
                <w:szCs w:val="20"/>
              </w:rPr>
            </w:pPr>
            <w:r w:rsidRPr="00134236">
              <w:rPr>
                <w:sz w:val="20"/>
                <w:szCs w:val="20"/>
              </w:rPr>
              <w:t>--</w:t>
            </w:r>
          </w:p>
        </w:tc>
        <w:tc>
          <w:tcPr>
            <w:tcW w:w="1005" w:type="dxa"/>
            <w:shd w:val="clear" w:color="auto" w:fill="D9D9D9" w:themeFill="background1" w:themeFillShade="D9"/>
          </w:tcPr>
          <w:p w14:paraId="0B2D8FDF" w14:textId="77777777" w:rsidR="00134236" w:rsidRPr="00134236" w:rsidRDefault="00134236" w:rsidP="00134236">
            <w:pPr>
              <w:spacing w:after="0" w:line="240" w:lineRule="auto"/>
              <w:jc w:val="center"/>
              <w:rPr>
                <w:sz w:val="20"/>
                <w:szCs w:val="20"/>
              </w:rPr>
            </w:pPr>
            <w:r w:rsidRPr="00134236">
              <w:rPr>
                <w:sz w:val="20"/>
                <w:szCs w:val="20"/>
              </w:rPr>
              <w:t>--</w:t>
            </w:r>
          </w:p>
        </w:tc>
        <w:tc>
          <w:tcPr>
            <w:tcW w:w="810" w:type="dxa"/>
            <w:shd w:val="clear" w:color="auto" w:fill="D9D9D9" w:themeFill="background1" w:themeFillShade="D9"/>
          </w:tcPr>
          <w:p w14:paraId="6DF50532" w14:textId="77777777" w:rsidR="00134236" w:rsidRPr="00134236" w:rsidRDefault="00134236" w:rsidP="00134236">
            <w:pPr>
              <w:spacing w:after="0" w:line="240" w:lineRule="auto"/>
              <w:jc w:val="center"/>
              <w:rPr>
                <w:sz w:val="20"/>
                <w:szCs w:val="20"/>
              </w:rPr>
            </w:pPr>
            <w:r w:rsidRPr="00134236">
              <w:rPr>
                <w:sz w:val="20"/>
                <w:szCs w:val="20"/>
              </w:rPr>
              <w:t>--</w:t>
            </w:r>
          </w:p>
        </w:tc>
        <w:tc>
          <w:tcPr>
            <w:tcW w:w="810" w:type="dxa"/>
            <w:shd w:val="clear" w:color="auto" w:fill="D9D9D9" w:themeFill="background1" w:themeFillShade="D9"/>
          </w:tcPr>
          <w:p w14:paraId="6BD54F4A" w14:textId="77777777" w:rsidR="00134236" w:rsidRPr="00134236" w:rsidRDefault="00134236" w:rsidP="00134236">
            <w:pPr>
              <w:spacing w:after="0" w:line="240" w:lineRule="auto"/>
              <w:jc w:val="center"/>
              <w:rPr>
                <w:sz w:val="20"/>
                <w:szCs w:val="20"/>
              </w:rPr>
            </w:pPr>
            <w:r w:rsidRPr="00134236">
              <w:rPr>
                <w:sz w:val="20"/>
                <w:szCs w:val="20"/>
              </w:rPr>
              <w:t>--</w:t>
            </w:r>
          </w:p>
        </w:tc>
        <w:tc>
          <w:tcPr>
            <w:tcW w:w="918" w:type="dxa"/>
            <w:shd w:val="clear" w:color="auto" w:fill="D9D9D9" w:themeFill="background1" w:themeFillShade="D9"/>
          </w:tcPr>
          <w:p w14:paraId="714FBB19" w14:textId="77777777" w:rsidR="00134236" w:rsidRPr="00134236" w:rsidRDefault="00134236" w:rsidP="00134236">
            <w:pPr>
              <w:spacing w:after="0" w:line="240" w:lineRule="auto"/>
              <w:jc w:val="center"/>
              <w:rPr>
                <w:sz w:val="20"/>
                <w:szCs w:val="20"/>
              </w:rPr>
            </w:pPr>
            <w:r w:rsidRPr="00134236">
              <w:rPr>
                <w:sz w:val="20"/>
                <w:szCs w:val="20"/>
              </w:rPr>
              <w:t>--</w:t>
            </w:r>
          </w:p>
        </w:tc>
      </w:tr>
      <w:tr w:rsidR="00134236" w:rsidRPr="00134236" w14:paraId="6737E521" w14:textId="77777777" w:rsidTr="00DF5AC6">
        <w:trPr>
          <w:trHeight w:val="288"/>
        </w:trPr>
        <w:tc>
          <w:tcPr>
            <w:tcW w:w="4248" w:type="dxa"/>
            <w:shd w:val="clear" w:color="auto" w:fill="D9D9D9" w:themeFill="background1" w:themeFillShade="D9"/>
          </w:tcPr>
          <w:p w14:paraId="43169BF6" w14:textId="77777777" w:rsidR="00134236" w:rsidRPr="00134236" w:rsidRDefault="00134236" w:rsidP="00134236">
            <w:pPr>
              <w:spacing w:after="0" w:line="240" w:lineRule="auto"/>
              <w:rPr>
                <w:sz w:val="20"/>
                <w:szCs w:val="20"/>
              </w:rPr>
            </w:pPr>
            <w:r w:rsidRPr="00134236">
              <w:rPr>
                <w:sz w:val="20"/>
                <w:szCs w:val="20"/>
              </w:rPr>
              <w:t>Walton</w:t>
            </w:r>
          </w:p>
        </w:tc>
        <w:tc>
          <w:tcPr>
            <w:tcW w:w="900" w:type="dxa"/>
            <w:shd w:val="clear" w:color="auto" w:fill="D9D9D9" w:themeFill="background1" w:themeFillShade="D9"/>
          </w:tcPr>
          <w:p w14:paraId="5569FF3D" w14:textId="77777777" w:rsidR="00134236" w:rsidRPr="00134236" w:rsidRDefault="00134236" w:rsidP="00134236">
            <w:pPr>
              <w:spacing w:after="0" w:line="240" w:lineRule="auto"/>
              <w:jc w:val="center"/>
              <w:rPr>
                <w:sz w:val="20"/>
                <w:szCs w:val="20"/>
              </w:rPr>
            </w:pPr>
            <w:r w:rsidRPr="00134236">
              <w:rPr>
                <w:sz w:val="20"/>
                <w:szCs w:val="20"/>
              </w:rPr>
              <w:t>--</w:t>
            </w:r>
          </w:p>
        </w:tc>
        <w:tc>
          <w:tcPr>
            <w:tcW w:w="885" w:type="dxa"/>
            <w:shd w:val="clear" w:color="auto" w:fill="D9D9D9" w:themeFill="background1" w:themeFillShade="D9"/>
          </w:tcPr>
          <w:p w14:paraId="5E719CF4" w14:textId="77777777" w:rsidR="00134236" w:rsidRPr="00134236" w:rsidRDefault="00134236" w:rsidP="00134236">
            <w:pPr>
              <w:spacing w:after="0" w:line="240" w:lineRule="auto"/>
              <w:jc w:val="center"/>
              <w:rPr>
                <w:sz w:val="20"/>
                <w:szCs w:val="20"/>
              </w:rPr>
            </w:pPr>
            <w:r w:rsidRPr="00134236">
              <w:rPr>
                <w:sz w:val="20"/>
                <w:szCs w:val="20"/>
              </w:rPr>
              <w:t>--</w:t>
            </w:r>
          </w:p>
        </w:tc>
        <w:tc>
          <w:tcPr>
            <w:tcW w:w="1005" w:type="dxa"/>
            <w:shd w:val="clear" w:color="auto" w:fill="D9D9D9" w:themeFill="background1" w:themeFillShade="D9"/>
          </w:tcPr>
          <w:p w14:paraId="479F15A8" w14:textId="77777777" w:rsidR="00134236" w:rsidRPr="00134236" w:rsidRDefault="00134236" w:rsidP="00134236">
            <w:pPr>
              <w:spacing w:after="0" w:line="240" w:lineRule="auto"/>
              <w:jc w:val="center"/>
              <w:rPr>
                <w:sz w:val="20"/>
                <w:szCs w:val="20"/>
              </w:rPr>
            </w:pPr>
            <w:r w:rsidRPr="00134236">
              <w:rPr>
                <w:sz w:val="20"/>
                <w:szCs w:val="20"/>
              </w:rPr>
              <w:t>--</w:t>
            </w:r>
          </w:p>
        </w:tc>
        <w:tc>
          <w:tcPr>
            <w:tcW w:w="810" w:type="dxa"/>
            <w:shd w:val="clear" w:color="auto" w:fill="D9D9D9" w:themeFill="background1" w:themeFillShade="D9"/>
          </w:tcPr>
          <w:p w14:paraId="3D0E9FC7" w14:textId="77777777" w:rsidR="00134236" w:rsidRPr="00134236" w:rsidRDefault="00134236" w:rsidP="00134236">
            <w:pPr>
              <w:spacing w:after="0" w:line="240" w:lineRule="auto"/>
              <w:jc w:val="center"/>
              <w:rPr>
                <w:sz w:val="20"/>
                <w:szCs w:val="20"/>
              </w:rPr>
            </w:pPr>
            <w:r w:rsidRPr="00134236">
              <w:rPr>
                <w:sz w:val="20"/>
                <w:szCs w:val="20"/>
              </w:rPr>
              <w:t>--</w:t>
            </w:r>
          </w:p>
        </w:tc>
        <w:tc>
          <w:tcPr>
            <w:tcW w:w="810" w:type="dxa"/>
            <w:shd w:val="clear" w:color="auto" w:fill="D9D9D9" w:themeFill="background1" w:themeFillShade="D9"/>
          </w:tcPr>
          <w:p w14:paraId="751475A6" w14:textId="77777777" w:rsidR="00134236" w:rsidRPr="00134236" w:rsidRDefault="00134236" w:rsidP="00134236">
            <w:pPr>
              <w:spacing w:after="0" w:line="240" w:lineRule="auto"/>
              <w:jc w:val="center"/>
              <w:rPr>
                <w:sz w:val="20"/>
                <w:szCs w:val="20"/>
              </w:rPr>
            </w:pPr>
            <w:r w:rsidRPr="00134236">
              <w:rPr>
                <w:sz w:val="20"/>
                <w:szCs w:val="20"/>
              </w:rPr>
              <w:t>--</w:t>
            </w:r>
          </w:p>
        </w:tc>
        <w:tc>
          <w:tcPr>
            <w:tcW w:w="918" w:type="dxa"/>
            <w:shd w:val="clear" w:color="auto" w:fill="D9D9D9" w:themeFill="background1" w:themeFillShade="D9"/>
          </w:tcPr>
          <w:p w14:paraId="2CF251C6" w14:textId="77777777" w:rsidR="00134236" w:rsidRPr="00134236" w:rsidRDefault="00134236" w:rsidP="00134236">
            <w:pPr>
              <w:spacing w:after="0" w:line="240" w:lineRule="auto"/>
              <w:jc w:val="center"/>
              <w:rPr>
                <w:sz w:val="20"/>
                <w:szCs w:val="20"/>
              </w:rPr>
            </w:pPr>
            <w:r w:rsidRPr="00134236">
              <w:rPr>
                <w:sz w:val="20"/>
                <w:szCs w:val="20"/>
              </w:rPr>
              <w:t>--</w:t>
            </w:r>
          </w:p>
        </w:tc>
      </w:tr>
      <w:tr w:rsidR="00134236" w:rsidRPr="00134236" w14:paraId="7C824B1C" w14:textId="77777777" w:rsidTr="00DF5AC6">
        <w:trPr>
          <w:trHeight w:val="288"/>
        </w:trPr>
        <w:tc>
          <w:tcPr>
            <w:tcW w:w="4248" w:type="dxa"/>
            <w:shd w:val="clear" w:color="auto" w:fill="D9D9D9" w:themeFill="background1" w:themeFillShade="D9"/>
          </w:tcPr>
          <w:p w14:paraId="665E18C6" w14:textId="09B9B4E1" w:rsidR="00134236" w:rsidRPr="00134236" w:rsidRDefault="00134236" w:rsidP="00282F1F">
            <w:pPr>
              <w:spacing w:after="0" w:line="240" w:lineRule="auto"/>
              <w:rPr>
                <w:sz w:val="20"/>
                <w:szCs w:val="20"/>
              </w:rPr>
            </w:pPr>
            <w:r w:rsidRPr="00134236">
              <w:rPr>
                <w:sz w:val="20"/>
                <w:szCs w:val="20"/>
              </w:rPr>
              <w:t xml:space="preserve">Galvin </w:t>
            </w:r>
            <w:r w:rsidR="00F62CFC" w:rsidRPr="00134236">
              <w:rPr>
                <w:sz w:val="20"/>
                <w:szCs w:val="20"/>
              </w:rPr>
              <w:t>M</w:t>
            </w:r>
            <w:r w:rsidR="00F62CFC">
              <w:rPr>
                <w:sz w:val="20"/>
                <w:szCs w:val="20"/>
              </w:rPr>
              <w:t>iddle</w:t>
            </w:r>
          </w:p>
        </w:tc>
        <w:tc>
          <w:tcPr>
            <w:tcW w:w="900" w:type="dxa"/>
            <w:shd w:val="clear" w:color="auto" w:fill="D9D9D9" w:themeFill="background1" w:themeFillShade="D9"/>
          </w:tcPr>
          <w:p w14:paraId="42E95273" w14:textId="77777777" w:rsidR="00134236" w:rsidRPr="00134236" w:rsidRDefault="00134236" w:rsidP="00134236">
            <w:pPr>
              <w:spacing w:after="0" w:line="240" w:lineRule="auto"/>
              <w:jc w:val="center"/>
              <w:rPr>
                <w:sz w:val="20"/>
                <w:szCs w:val="20"/>
              </w:rPr>
            </w:pPr>
            <w:r w:rsidRPr="00134236">
              <w:rPr>
                <w:sz w:val="20"/>
                <w:szCs w:val="20"/>
              </w:rPr>
              <w:t>535</w:t>
            </w:r>
          </w:p>
        </w:tc>
        <w:tc>
          <w:tcPr>
            <w:tcW w:w="885" w:type="dxa"/>
            <w:shd w:val="clear" w:color="auto" w:fill="D9D9D9" w:themeFill="background1" w:themeFillShade="D9"/>
          </w:tcPr>
          <w:p w14:paraId="0C0CDC8C" w14:textId="77777777" w:rsidR="00134236" w:rsidRPr="00134236" w:rsidRDefault="00134236" w:rsidP="00134236">
            <w:pPr>
              <w:spacing w:after="0" w:line="240" w:lineRule="auto"/>
              <w:jc w:val="center"/>
              <w:rPr>
                <w:sz w:val="20"/>
                <w:szCs w:val="20"/>
              </w:rPr>
            </w:pPr>
            <w:r w:rsidRPr="00134236">
              <w:rPr>
                <w:sz w:val="20"/>
                <w:szCs w:val="20"/>
              </w:rPr>
              <w:t>58%</w:t>
            </w:r>
          </w:p>
        </w:tc>
        <w:tc>
          <w:tcPr>
            <w:tcW w:w="1005" w:type="dxa"/>
            <w:shd w:val="clear" w:color="auto" w:fill="D9D9D9" w:themeFill="background1" w:themeFillShade="D9"/>
          </w:tcPr>
          <w:p w14:paraId="6475A75F" w14:textId="77777777" w:rsidR="00134236" w:rsidRPr="00134236" w:rsidRDefault="00134236" w:rsidP="00134236">
            <w:pPr>
              <w:spacing w:after="0" w:line="240" w:lineRule="auto"/>
              <w:jc w:val="center"/>
              <w:rPr>
                <w:sz w:val="20"/>
                <w:szCs w:val="20"/>
              </w:rPr>
            </w:pPr>
            <w:r w:rsidRPr="00134236">
              <w:rPr>
                <w:sz w:val="20"/>
                <w:szCs w:val="20"/>
              </w:rPr>
              <w:t>49%</w:t>
            </w:r>
          </w:p>
        </w:tc>
        <w:tc>
          <w:tcPr>
            <w:tcW w:w="810" w:type="dxa"/>
            <w:shd w:val="clear" w:color="auto" w:fill="D9D9D9" w:themeFill="background1" w:themeFillShade="D9"/>
          </w:tcPr>
          <w:p w14:paraId="10A2D06A" w14:textId="77777777" w:rsidR="00134236" w:rsidRPr="00134236" w:rsidRDefault="00134236" w:rsidP="00134236">
            <w:pPr>
              <w:spacing w:after="0" w:line="240" w:lineRule="auto"/>
              <w:jc w:val="center"/>
              <w:rPr>
                <w:sz w:val="20"/>
                <w:szCs w:val="20"/>
              </w:rPr>
            </w:pPr>
            <w:r w:rsidRPr="00134236">
              <w:rPr>
                <w:sz w:val="20"/>
                <w:szCs w:val="20"/>
              </w:rPr>
              <w:t>42%</w:t>
            </w:r>
          </w:p>
        </w:tc>
        <w:tc>
          <w:tcPr>
            <w:tcW w:w="810" w:type="dxa"/>
            <w:shd w:val="clear" w:color="auto" w:fill="D9D9D9" w:themeFill="background1" w:themeFillShade="D9"/>
          </w:tcPr>
          <w:p w14:paraId="5122315F" w14:textId="77777777" w:rsidR="00134236" w:rsidRPr="00134236" w:rsidRDefault="00134236" w:rsidP="00134236">
            <w:pPr>
              <w:spacing w:after="0" w:line="240" w:lineRule="auto"/>
              <w:jc w:val="center"/>
              <w:rPr>
                <w:sz w:val="20"/>
                <w:szCs w:val="20"/>
              </w:rPr>
            </w:pPr>
            <w:r w:rsidRPr="00134236">
              <w:rPr>
                <w:sz w:val="20"/>
                <w:szCs w:val="20"/>
              </w:rPr>
              <w:t>43%</w:t>
            </w:r>
          </w:p>
        </w:tc>
        <w:tc>
          <w:tcPr>
            <w:tcW w:w="918" w:type="dxa"/>
            <w:shd w:val="clear" w:color="auto" w:fill="D9D9D9" w:themeFill="background1" w:themeFillShade="D9"/>
          </w:tcPr>
          <w:p w14:paraId="27CCF290" w14:textId="77777777" w:rsidR="00134236" w:rsidRPr="00134236" w:rsidRDefault="00134236" w:rsidP="00134236">
            <w:pPr>
              <w:spacing w:after="0" w:line="240" w:lineRule="auto"/>
              <w:jc w:val="center"/>
              <w:rPr>
                <w:sz w:val="20"/>
                <w:szCs w:val="20"/>
              </w:rPr>
            </w:pPr>
            <w:r w:rsidRPr="00134236">
              <w:rPr>
                <w:sz w:val="20"/>
                <w:szCs w:val="20"/>
              </w:rPr>
              <w:t>-15</w:t>
            </w:r>
          </w:p>
        </w:tc>
      </w:tr>
      <w:tr w:rsidR="00134236" w:rsidRPr="00134236" w14:paraId="05D2CC14" w14:textId="77777777" w:rsidTr="00DF5AC6">
        <w:trPr>
          <w:trHeight w:val="288"/>
        </w:trPr>
        <w:tc>
          <w:tcPr>
            <w:tcW w:w="4248" w:type="dxa"/>
          </w:tcPr>
          <w:p w14:paraId="2D887858" w14:textId="77777777" w:rsidR="00134236" w:rsidRPr="00134236" w:rsidRDefault="00134236" w:rsidP="00134236">
            <w:pPr>
              <w:spacing w:after="0" w:line="240" w:lineRule="auto"/>
              <w:rPr>
                <w:sz w:val="20"/>
                <w:szCs w:val="20"/>
              </w:rPr>
            </w:pPr>
            <w:r w:rsidRPr="00134236">
              <w:rPr>
                <w:sz w:val="20"/>
                <w:szCs w:val="20"/>
              </w:rPr>
              <w:t>High Needs</w:t>
            </w:r>
          </w:p>
        </w:tc>
        <w:tc>
          <w:tcPr>
            <w:tcW w:w="900" w:type="dxa"/>
          </w:tcPr>
          <w:p w14:paraId="677D9584" w14:textId="77777777" w:rsidR="00134236" w:rsidRPr="00134236" w:rsidRDefault="00134236" w:rsidP="00134236">
            <w:pPr>
              <w:spacing w:after="0" w:line="240" w:lineRule="auto"/>
              <w:jc w:val="center"/>
              <w:rPr>
                <w:sz w:val="20"/>
                <w:szCs w:val="20"/>
              </w:rPr>
            </w:pPr>
            <w:r w:rsidRPr="00134236">
              <w:rPr>
                <w:sz w:val="20"/>
                <w:szCs w:val="20"/>
              </w:rPr>
              <w:t>153</w:t>
            </w:r>
          </w:p>
        </w:tc>
        <w:tc>
          <w:tcPr>
            <w:tcW w:w="885" w:type="dxa"/>
          </w:tcPr>
          <w:p w14:paraId="57DDE914" w14:textId="77777777" w:rsidR="00134236" w:rsidRPr="00134236" w:rsidRDefault="00134236" w:rsidP="00134236">
            <w:pPr>
              <w:spacing w:after="0" w:line="240" w:lineRule="auto"/>
              <w:jc w:val="center"/>
              <w:rPr>
                <w:sz w:val="20"/>
                <w:szCs w:val="20"/>
              </w:rPr>
            </w:pPr>
            <w:r w:rsidRPr="00134236">
              <w:rPr>
                <w:sz w:val="20"/>
                <w:szCs w:val="20"/>
              </w:rPr>
              <w:t>26%</w:t>
            </w:r>
          </w:p>
        </w:tc>
        <w:tc>
          <w:tcPr>
            <w:tcW w:w="1005" w:type="dxa"/>
          </w:tcPr>
          <w:p w14:paraId="77439554" w14:textId="77777777" w:rsidR="00134236" w:rsidRPr="00134236" w:rsidRDefault="00134236" w:rsidP="00134236">
            <w:pPr>
              <w:spacing w:after="0" w:line="240" w:lineRule="auto"/>
              <w:jc w:val="center"/>
              <w:rPr>
                <w:sz w:val="20"/>
                <w:szCs w:val="20"/>
              </w:rPr>
            </w:pPr>
            <w:r w:rsidRPr="00134236">
              <w:rPr>
                <w:sz w:val="20"/>
                <w:szCs w:val="20"/>
              </w:rPr>
              <w:t>23%</w:t>
            </w:r>
          </w:p>
        </w:tc>
        <w:tc>
          <w:tcPr>
            <w:tcW w:w="810" w:type="dxa"/>
          </w:tcPr>
          <w:p w14:paraId="76C4BB63" w14:textId="77777777" w:rsidR="00134236" w:rsidRPr="00134236" w:rsidRDefault="00134236" w:rsidP="00134236">
            <w:pPr>
              <w:spacing w:after="0" w:line="240" w:lineRule="auto"/>
              <w:jc w:val="center"/>
              <w:rPr>
                <w:sz w:val="20"/>
                <w:szCs w:val="20"/>
              </w:rPr>
            </w:pPr>
            <w:r w:rsidRPr="00134236">
              <w:rPr>
                <w:sz w:val="20"/>
                <w:szCs w:val="20"/>
              </w:rPr>
              <w:t>18%</w:t>
            </w:r>
          </w:p>
        </w:tc>
        <w:tc>
          <w:tcPr>
            <w:tcW w:w="810" w:type="dxa"/>
          </w:tcPr>
          <w:p w14:paraId="7455B92D" w14:textId="77777777" w:rsidR="00134236" w:rsidRPr="00134236" w:rsidRDefault="00134236" w:rsidP="00134236">
            <w:pPr>
              <w:spacing w:after="0" w:line="240" w:lineRule="auto"/>
              <w:jc w:val="center"/>
              <w:rPr>
                <w:sz w:val="20"/>
                <w:szCs w:val="20"/>
              </w:rPr>
            </w:pPr>
            <w:r w:rsidRPr="00134236">
              <w:rPr>
                <w:sz w:val="20"/>
                <w:szCs w:val="20"/>
              </w:rPr>
              <w:t>24%</w:t>
            </w:r>
          </w:p>
        </w:tc>
        <w:tc>
          <w:tcPr>
            <w:tcW w:w="918" w:type="dxa"/>
          </w:tcPr>
          <w:p w14:paraId="17ADE910" w14:textId="77777777" w:rsidR="00134236" w:rsidRPr="00134236" w:rsidRDefault="00134236" w:rsidP="00134236">
            <w:pPr>
              <w:spacing w:after="0" w:line="240" w:lineRule="auto"/>
              <w:jc w:val="center"/>
              <w:rPr>
                <w:sz w:val="20"/>
                <w:szCs w:val="20"/>
              </w:rPr>
            </w:pPr>
            <w:r w:rsidRPr="00134236">
              <w:rPr>
                <w:sz w:val="20"/>
                <w:szCs w:val="20"/>
              </w:rPr>
              <w:t>-2</w:t>
            </w:r>
          </w:p>
        </w:tc>
      </w:tr>
      <w:tr w:rsidR="00134236" w:rsidRPr="00134236" w14:paraId="7B84520B" w14:textId="77777777" w:rsidTr="00DF5AC6">
        <w:trPr>
          <w:trHeight w:val="288"/>
        </w:trPr>
        <w:tc>
          <w:tcPr>
            <w:tcW w:w="4248" w:type="dxa"/>
          </w:tcPr>
          <w:p w14:paraId="02EBD6C3" w14:textId="77777777" w:rsidR="00134236" w:rsidRPr="00134236" w:rsidRDefault="00134236" w:rsidP="00134236">
            <w:pPr>
              <w:spacing w:after="0" w:line="240" w:lineRule="auto"/>
              <w:rPr>
                <w:sz w:val="20"/>
                <w:szCs w:val="20"/>
              </w:rPr>
            </w:pPr>
            <w:r w:rsidRPr="00134236">
              <w:rPr>
                <w:sz w:val="20"/>
                <w:szCs w:val="20"/>
              </w:rPr>
              <w:t>Econ. Dis.</w:t>
            </w:r>
          </w:p>
        </w:tc>
        <w:tc>
          <w:tcPr>
            <w:tcW w:w="900" w:type="dxa"/>
          </w:tcPr>
          <w:p w14:paraId="2C9AB2DC" w14:textId="77777777" w:rsidR="00134236" w:rsidRPr="00134236" w:rsidRDefault="00134236" w:rsidP="00134236">
            <w:pPr>
              <w:spacing w:after="0" w:line="240" w:lineRule="auto"/>
              <w:jc w:val="center"/>
              <w:rPr>
                <w:sz w:val="20"/>
                <w:szCs w:val="20"/>
              </w:rPr>
            </w:pPr>
            <w:r w:rsidRPr="00134236">
              <w:rPr>
                <w:sz w:val="20"/>
                <w:szCs w:val="20"/>
              </w:rPr>
              <w:t>80</w:t>
            </w:r>
          </w:p>
        </w:tc>
        <w:tc>
          <w:tcPr>
            <w:tcW w:w="885" w:type="dxa"/>
          </w:tcPr>
          <w:p w14:paraId="45CC685B" w14:textId="77777777" w:rsidR="00134236" w:rsidRPr="00134236" w:rsidRDefault="00134236" w:rsidP="00134236">
            <w:pPr>
              <w:spacing w:after="0" w:line="240" w:lineRule="auto"/>
              <w:jc w:val="center"/>
              <w:rPr>
                <w:sz w:val="20"/>
                <w:szCs w:val="20"/>
              </w:rPr>
            </w:pPr>
            <w:r w:rsidRPr="00134236">
              <w:rPr>
                <w:sz w:val="20"/>
                <w:szCs w:val="20"/>
              </w:rPr>
              <w:t>--</w:t>
            </w:r>
          </w:p>
        </w:tc>
        <w:tc>
          <w:tcPr>
            <w:tcW w:w="1005" w:type="dxa"/>
          </w:tcPr>
          <w:p w14:paraId="4DCC5202" w14:textId="77777777" w:rsidR="00134236" w:rsidRPr="00134236" w:rsidRDefault="00134236" w:rsidP="00134236">
            <w:pPr>
              <w:spacing w:after="0" w:line="240" w:lineRule="auto"/>
              <w:jc w:val="center"/>
              <w:rPr>
                <w:sz w:val="20"/>
                <w:szCs w:val="20"/>
              </w:rPr>
            </w:pPr>
            <w:r w:rsidRPr="00134236">
              <w:rPr>
                <w:sz w:val="20"/>
                <w:szCs w:val="20"/>
              </w:rPr>
              <w:t>25%</w:t>
            </w:r>
          </w:p>
        </w:tc>
        <w:tc>
          <w:tcPr>
            <w:tcW w:w="810" w:type="dxa"/>
          </w:tcPr>
          <w:p w14:paraId="32730698" w14:textId="77777777" w:rsidR="00134236" w:rsidRPr="00134236" w:rsidRDefault="00134236" w:rsidP="00134236">
            <w:pPr>
              <w:spacing w:after="0" w:line="240" w:lineRule="auto"/>
              <w:jc w:val="center"/>
              <w:rPr>
                <w:sz w:val="20"/>
                <w:szCs w:val="20"/>
              </w:rPr>
            </w:pPr>
            <w:r w:rsidRPr="00134236">
              <w:rPr>
                <w:sz w:val="20"/>
                <w:szCs w:val="20"/>
              </w:rPr>
              <w:t>25%</w:t>
            </w:r>
          </w:p>
        </w:tc>
        <w:tc>
          <w:tcPr>
            <w:tcW w:w="810" w:type="dxa"/>
          </w:tcPr>
          <w:p w14:paraId="01D0D654" w14:textId="77777777" w:rsidR="00134236" w:rsidRPr="00134236" w:rsidRDefault="00134236" w:rsidP="00134236">
            <w:pPr>
              <w:spacing w:after="0" w:line="240" w:lineRule="auto"/>
              <w:jc w:val="center"/>
              <w:rPr>
                <w:sz w:val="20"/>
                <w:szCs w:val="20"/>
              </w:rPr>
            </w:pPr>
            <w:r w:rsidRPr="00134236">
              <w:rPr>
                <w:sz w:val="20"/>
                <w:szCs w:val="20"/>
              </w:rPr>
              <w:t>31%</w:t>
            </w:r>
          </w:p>
        </w:tc>
        <w:tc>
          <w:tcPr>
            <w:tcW w:w="918" w:type="dxa"/>
          </w:tcPr>
          <w:p w14:paraId="43BB1794" w14:textId="77777777" w:rsidR="00134236" w:rsidRPr="00134236" w:rsidRDefault="00134236" w:rsidP="00134236">
            <w:pPr>
              <w:spacing w:after="0" w:line="240" w:lineRule="auto"/>
              <w:jc w:val="center"/>
              <w:rPr>
                <w:sz w:val="20"/>
                <w:szCs w:val="20"/>
              </w:rPr>
            </w:pPr>
            <w:r w:rsidRPr="00134236">
              <w:rPr>
                <w:sz w:val="20"/>
                <w:szCs w:val="20"/>
              </w:rPr>
              <w:t>--</w:t>
            </w:r>
          </w:p>
        </w:tc>
      </w:tr>
      <w:tr w:rsidR="00134236" w:rsidRPr="00134236" w14:paraId="653E3CB7" w14:textId="77777777" w:rsidTr="00DF5AC6">
        <w:trPr>
          <w:trHeight w:val="288"/>
        </w:trPr>
        <w:tc>
          <w:tcPr>
            <w:tcW w:w="4248" w:type="dxa"/>
          </w:tcPr>
          <w:p w14:paraId="1E4C7991" w14:textId="77777777" w:rsidR="00134236" w:rsidRPr="00134236" w:rsidRDefault="00134236" w:rsidP="00134236">
            <w:pPr>
              <w:spacing w:after="0" w:line="240" w:lineRule="auto"/>
              <w:rPr>
                <w:sz w:val="20"/>
                <w:szCs w:val="20"/>
              </w:rPr>
            </w:pPr>
            <w:r w:rsidRPr="00134236">
              <w:rPr>
                <w:sz w:val="20"/>
                <w:szCs w:val="20"/>
              </w:rPr>
              <w:t>SWD</w:t>
            </w:r>
          </w:p>
        </w:tc>
        <w:tc>
          <w:tcPr>
            <w:tcW w:w="900" w:type="dxa"/>
          </w:tcPr>
          <w:p w14:paraId="76E07608" w14:textId="77777777" w:rsidR="00134236" w:rsidRPr="00134236" w:rsidRDefault="00134236" w:rsidP="00134236">
            <w:pPr>
              <w:spacing w:after="0" w:line="240" w:lineRule="auto"/>
              <w:jc w:val="center"/>
              <w:rPr>
                <w:sz w:val="20"/>
                <w:szCs w:val="20"/>
              </w:rPr>
            </w:pPr>
            <w:r w:rsidRPr="00134236">
              <w:rPr>
                <w:sz w:val="20"/>
                <w:szCs w:val="20"/>
              </w:rPr>
              <w:t>97</w:t>
            </w:r>
          </w:p>
        </w:tc>
        <w:tc>
          <w:tcPr>
            <w:tcW w:w="885" w:type="dxa"/>
          </w:tcPr>
          <w:p w14:paraId="1C1D0041" w14:textId="77777777" w:rsidR="00134236" w:rsidRPr="00134236" w:rsidRDefault="00134236" w:rsidP="00134236">
            <w:pPr>
              <w:spacing w:after="0" w:line="240" w:lineRule="auto"/>
              <w:jc w:val="center"/>
              <w:rPr>
                <w:sz w:val="20"/>
                <w:szCs w:val="20"/>
              </w:rPr>
            </w:pPr>
            <w:r w:rsidRPr="00134236">
              <w:rPr>
                <w:sz w:val="20"/>
                <w:szCs w:val="20"/>
              </w:rPr>
              <w:t>17%</w:t>
            </w:r>
          </w:p>
        </w:tc>
        <w:tc>
          <w:tcPr>
            <w:tcW w:w="1005" w:type="dxa"/>
          </w:tcPr>
          <w:p w14:paraId="1F9F6E18" w14:textId="77777777" w:rsidR="00134236" w:rsidRPr="00134236" w:rsidRDefault="00134236" w:rsidP="00134236">
            <w:pPr>
              <w:spacing w:after="0" w:line="240" w:lineRule="auto"/>
              <w:jc w:val="center"/>
              <w:rPr>
                <w:sz w:val="20"/>
                <w:szCs w:val="20"/>
              </w:rPr>
            </w:pPr>
            <w:r w:rsidRPr="00134236">
              <w:rPr>
                <w:sz w:val="20"/>
                <w:szCs w:val="20"/>
              </w:rPr>
              <w:t>18%</w:t>
            </w:r>
          </w:p>
        </w:tc>
        <w:tc>
          <w:tcPr>
            <w:tcW w:w="810" w:type="dxa"/>
          </w:tcPr>
          <w:p w14:paraId="424F5633" w14:textId="77777777" w:rsidR="00134236" w:rsidRPr="00134236" w:rsidRDefault="00134236" w:rsidP="00134236">
            <w:pPr>
              <w:spacing w:after="0" w:line="240" w:lineRule="auto"/>
              <w:jc w:val="center"/>
              <w:rPr>
                <w:sz w:val="20"/>
                <w:szCs w:val="20"/>
              </w:rPr>
            </w:pPr>
            <w:r w:rsidRPr="00134236">
              <w:rPr>
                <w:sz w:val="20"/>
                <w:szCs w:val="20"/>
              </w:rPr>
              <w:t>11%</w:t>
            </w:r>
          </w:p>
        </w:tc>
        <w:tc>
          <w:tcPr>
            <w:tcW w:w="810" w:type="dxa"/>
          </w:tcPr>
          <w:p w14:paraId="78AAC74E" w14:textId="77777777" w:rsidR="00134236" w:rsidRPr="00134236" w:rsidRDefault="00134236" w:rsidP="00134236">
            <w:pPr>
              <w:spacing w:after="0" w:line="240" w:lineRule="auto"/>
              <w:jc w:val="center"/>
              <w:rPr>
                <w:sz w:val="20"/>
                <w:szCs w:val="20"/>
              </w:rPr>
            </w:pPr>
            <w:r w:rsidRPr="00134236">
              <w:rPr>
                <w:sz w:val="20"/>
                <w:szCs w:val="20"/>
              </w:rPr>
              <w:t>12%</w:t>
            </w:r>
          </w:p>
        </w:tc>
        <w:tc>
          <w:tcPr>
            <w:tcW w:w="918" w:type="dxa"/>
          </w:tcPr>
          <w:p w14:paraId="4AACE0F0" w14:textId="77777777" w:rsidR="00134236" w:rsidRPr="00134236" w:rsidRDefault="00134236" w:rsidP="00134236">
            <w:pPr>
              <w:spacing w:after="0" w:line="240" w:lineRule="auto"/>
              <w:jc w:val="center"/>
              <w:rPr>
                <w:sz w:val="20"/>
                <w:szCs w:val="20"/>
              </w:rPr>
            </w:pPr>
            <w:r w:rsidRPr="00134236">
              <w:rPr>
                <w:sz w:val="20"/>
                <w:szCs w:val="20"/>
              </w:rPr>
              <w:t>-5</w:t>
            </w:r>
          </w:p>
        </w:tc>
      </w:tr>
      <w:tr w:rsidR="00134236" w:rsidRPr="00134236" w14:paraId="50936A28" w14:textId="77777777" w:rsidTr="00DF5AC6">
        <w:trPr>
          <w:trHeight w:val="288"/>
        </w:trPr>
        <w:tc>
          <w:tcPr>
            <w:tcW w:w="4248" w:type="dxa"/>
          </w:tcPr>
          <w:p w14:paraId="1FAC170B" w14:textId="4653EBA0" w:rsidR="00134236" w:rsidRPr="00134236" w:rsidRDefault="00134236" w:rsidP="00134236">
            <w:pPr>
              <w:spacing w:after="0" w:line="240" w:lineRule="auto"/>
              <w:rPr>
                <w:sz w:val="20"/>
                <w:szCs w:val="20"/>
              </w:rPr>
            </w:pPr>
            <w:r w:rsidRPr="00134236">
              <w:rPr>
                <w:sz w:val="20"/>
                <w:szCs w:val="20"/>
              </w:rPr>
              <w:t>ELL</w:t>
            </w:r>
            <w:r w:rsidR="00F62CFC">
              <w:rPr>
                <w:sz w:val="20"/>
                <w:szCs w:val="20"/>
              </w:rPr>
              <w:t>s</w:t>
            </w:r>
          </w:p>
        </w:tc>
        <w:tc>
          <w:tcPr>
            <w:tcW w:w="900" w:type="dxa"/>
          </w:tcPr>
          <w:p w14:paraId="27FCBD51" w14:textId="77777777" w:rsidR="00134236" w:rsidRPr="00134236" w:rsidRDefault="00134236" w:rsidP="00134236">
            <w:pPr>
              <w:spacing w:after="0" w:line="240" w:lineRule="auto"/>
              <w:jc w:val="center"/>
              <w:rPr>
                <w:sz w:val="20"/>
                <w:szCs w:val="20"/>
              </w:rPr>
            </w:pPr>
            <w:r w:rsidRPr="00134236">
              <w:rPr>
                <w:sz w:val="20"/>
                <w:szCs w:val="20"/>
              </w:rPr>
              <w:t>5</w:t>
            </w:r>
          </w:p>
        </w:tc>
        <w:tc>
          <w:tcPr>
            <w:tcW w:w="885" w:type="dxa"/>
          </w:tcPr>
          <w:p w14:paraId="25F7885F" w14:textId="77777777" w:rsidR="00134236" w:rsidRPr="00134236" w:rsidRDefault="00134236" w:rsidP="00134236">
            <w:pPr>
              <w:spacing w:after="0" w:line="240" w:lineRule="auto"/>
              <w:jc w:val="center"/>
              <w:rPr>
                <w:sz w:val="20"/>
                <w:szCs w:val="20"/>
              </w:rPr>
            </w:pPr>
            <w:r w:rsidRPr="00134236">
              <w:rPr>
                <w:sz w:val="20"/>
                <w:szCs w:val="20"/>
              </w:rPr>
              <w:t>--</w:t>
            </w:r>
          </w:p>
        </w:tc>
        <w:tc>
          <w:tcPr>
            <w:tcW w:w="1005" w:type="dxa"/>
          </w:tcPr>
          <w:p w14:paraId="243763FA" w14:textId="77777777" w:rsidR="00134236" w:rsidRPr="00134236" w:rsidRDefault="00134236" w:rsidP="00134236">
            <w:pPr>
              <w:spacing w:after="0" w:line="240" w:lineRule="auto"/>
              <w:jc w:val="center"/>
              <w:rPr>
                <w:sz w:val="20"/>
                <w:szCs w:val="20"/>
              </w:rPr>
            </w:pPr>
            <w:r w:rsidRPr="00134236">
              <w:rPr>
                <w:sz w:val="20"/>
                <w:szCs w:val="20"/>
              </w:rPr>
              <w:t>--</w:t>
            </w:r>
          </w:p>
        </w:tc>
        <w:tc>
          <w:tcPr>
            <w:tcW w:w="810" w:type="dxa"/>
          </w:tcPr>
          <w:p w14:paraId="7C0341E3" w14:textId="77777777" w:rsidR="00134236" w:rsidRPr="00134236" w:rsidRDefault="00134236" w:rsidP="00134236">
            <w:pPr>
              <w:spacing w:after="0" w:line="240" w:lineRule="auto"/>
              <w:jc w:val="center"/>
              <w:rPr>
                <w:sz w:val="20"/>
                <w:szCs w:val="20"/>
              </w:rPr>
            </w:pPr>
            <w:r w:rsidRPr="00134236">
              <w:rPr>
                <w:sz w:val="20"/>
                <w:szCs w:val="20"/>
              </w:rPr>
              <w:t>0%</w:t>
            </w:r>
          </w:p>
        </w:tc>
        <w:tc>
          <w:tcPr>
            <w:tcW w:w="810" w:type="dxa"/>
          </w:tcPr>
          <w:p w14:paraId="24039A07" w14:textId="77777777" w:rsidR="00134236" w:rsidRPr="00134236" w:rsidRDefault="00134236" w:rsidP="00134236">
            <w:pPr>
              <w:spacing w:after="0" w:line="240" w:lineRule="auto"/>
              <w:jc w:val="center"/>
              <w:rPr>
                <w:sz w:val="20"/>
                <w:szCs w:val="20"/>
              </w:rPr>
            </w:pPr>
            <w:r w:rsidRPr="00134236">
              <w:rPr>
                <w:sz w:val="20"/>
                <w:szCs w:val="20"/>
              </w:rPr>
              <w:t>--</w:t>
            </w:r>
          </w:p>
        </w:tc>
        <w:tc>
          <w:tcPr>
            <w:tcW w:w="918" w:type="dxa"/>
          </w:tcPr>
          <w:p w14:paraId="3938BC0F" w14:textId="77777777" w:rsidR="00134236" w:rsidRPr="00134236" w:rsidRDefault="00134236" w:rsidP="00134236">
            <w:pPr>
              <w:spacing w:after="0" w:line="240" w:lineRule="auto"/>
              <w:jc w:val="center"/>
              <w:rPr>
                <w:sz w:val="20"/>
                <w:szCs w:val="20"/>
              </w:rPr>
            </w:pPr>
            <w:r w:rsidRPr="00134236">
              <w:rPr>
                <w:sz w:val="20"/>
                <w:szCs w:val="20"/>
              </w:rPr>
              <w:t>--</w:t>
            </w:r>
          </w:p>
        </w:tc>
      </w:tr>
      <w:tr w:rsidR="00134236" w:rsidRPr="00134236" w14:paraId="5B251831" w14:textId="77777777" w:rsidTr="00DF5AC6">
        <w:trPr>
          <w:trHeight w:val="288"/>
        </w:trPr>
        <w:tc>
          <w:tcPr>
            <w:tcW w:w="4248" w:type="dxa"/>
            <w:shd w:val="clear" w:color="auto" w:fill="D9D9D9" w:themeFill="background1" w:themeFillShade="D9"/>
          </w:tcPr>
          <w:p w14:paraId="425C7126" w14:textId="77777777" w:rsidR="00134236" w:rsidRPr="00134236" w:rsidRDefault="00134236" w:rsidP="00134236">
            <w:pPr>
              <w:spacing w:after="0" w:line="240" w:lineRule="auto"/>
              <w:rPr>
                <w:sz w:val="20"/>
                <w:szCs w:val="20"/>
              </w:rPr>
            </w:pPr>
            <w:r w:rsidRPr="00134236">
              <w:rPr>
                <w:sz w:val="20"/>
                <w:szCs w:val="20"/>
              </w:rPr>
              <w:t>Wakefield Memorial High</w:t>
            </w:r>
          </w:p>
        </w:tc>
        <w:tc>
          <w:tcPr>
            <w:tcW w:w="900" w:type="dxa"/>
            <w:shd w:val="clear" w:color="auto" w:fill="D9D9D9" w:themeFill="background1" w:themeFillShade="D9"/>
          </w:tcPr>
          <w:p w14:paraId="6F6D98DE" w14:textId="77777777" w:rsidR="00134236" w:rsidRPr="00134236" w:rsidRDefault="00134236" w:rsidP="00134236">
            <w:pPr>
              <w:spacing w:after="0" w:line="240" w:lineRule="auto"/>
              <w:jc w:val="center"/>
              <w:rPr>
                <w:sz w:val="20"/>
                <w:szCs w:val="20"/>
              </w:rPr>
            </w:pPr>
            <w:r w:rsidRPr="00134236">
              <w:rPr>
                <w:sz w:val="20"/>
                <w:szCs w:val="20"/>
              </w:rPr>
              <w:t>210</w:t>
            </w:r>
          </w:p>
        </w:tc>
        <w:tc>
          <w:tcPr>
            <w:tcW w:w="885" w:type="dxa"/>
            <w:shd w:val="clear" w:color="auto" w:fill="D9D9D9" w:themeFill="background1" w:themeFillShade="D9"/>
          </w:tcPr>
          <w:p w14:paraId="5A8E6339" w14:textId="77777777" w:rsidR="00134236" w:rsidRPr="00134236" w:rsidRDefault="00134236" w:rsidP="00134236">
            <w:pPr>
              <w:spacing w:after="0" w:line="240" w:lineRule="auto"/>
              <w:jc w:val="center"/>
              <w:rPr>
                <w:sz w:val="20"/>
                <w:szCs w:val="20"/>
              </w:rPr>
            </w:pPr>
            <w:r w:rsidRPr="00134236">
              <w:rPr>
                <w:sz w:val="20"/>
                <w:szCs w:val="20"/>
              </w:rPr>
              <w:t>87%</w:t>
            </w:r>
          </w:p>
        </w:tc>
        <w:tc>
          <w:tcPr>
            <w:tcW w:w="1005" w:type="dxa"/>
            <w:shd w:val="clear" w:color="auto" w:fill="D9D9D9" w:themeFill="background1" w:themeFillShade="D9"/>
          </w:tcPr>
          <w:p w14:paraId="2381752C" w14:textId="77777777" w:rsidR="00134236" w:rsidRPr="00134236" w:rsidRDefault="00134236" w:rsidP="00134236">
            <w:pPr>
              <w:spacing w:after="0" w:line="240" w:lineRule="auto"/>
              <w:jc w:val="center"/>
              <w:rPr>
                <w:sz w:val="20"/>
                <w:szCs w:val="20"/>
              </w:rPr>
            </w:pPr>
            <w:r w:rsidRPr="00134236">
              <w:rPr>
                <w:sz w:val="20"/>
                <w:szCs w:val="20"/>
              </w:rPr>
              <w:t>83%</w:t>
            </w:r>
          </w:p>
        </w:tc>
        <w:tc>
          <w:tcPr>
            <w:tcW w:w="810" w:type="dxa"/>
            <w:shd w:val="clear" w:color="auto" w:fill="D9D9D9" w:themeFill="background1" w:themeFillShade="D9"/>
          </w:tcPr>
          <w:p w14:paraId="3878EF4D" w14:textId="77777777" w:rsidR="00134236" w:rsidRPr="00134236" w:rsidRDefault="00134236" w:rsidP="00134236">
            <w:pPr>
              <w:spacing w:after="0" w:line="240" w:lineRule="auto"/>
              <w:jc w:val="center"/>
              <w:rPr>
                <w:sz w:val="20"/>
                <w:szCs w:val="20"/>
              </w:rPr>
            </w:pPr>
            <w:r w:rsidRPr="00134236">
              <w:rPr>
                <w:sz w:val="20"/>
                <w:szCs w:val="20"/>
              </w:rPr>
              <w:t>80%</w:t>
            </w:r>
          </w:p>
        </w:tc>
        <w:tc>
          <w:tcPr>
            <w:tcW w:w="810" w:type="dxa"/>
            <w:shd w:val="clear" w:color="auto" w:fill="D9D9D9" w:themeFill="background1" w:themeFillShade="D9"/>
          </w:tcPr>
          <w:p w14:paraId="12814068" w14:textId="77777777" w:rsidR="00134236" w:rsidRPr="00134236" w:rsidRDefault="00134236" w:rsidP="00134236">
            <w:pPr>
              <w:spacing w:after="0" w:line="240" w:lineRule="auto"/>
              <w:jc w:val="center"/>
              <w:rPr>
                <w:sz w:val="20"/>
                <w:szCs w:val="20"/>
              </w:rPr>
            </w:pPr>
            <w:r w:rsidRPr="00134236">
              <w:rPr>
                <w:sz w:val="20"/>
                <w:szCs w:val="20"/>
              </w:rPr>
              <w:t>84%</w:t>
            </w:r>
          </w:p>
        </w:tc>
        <w:tc>
          <w:tcPr>
            <w:tcW w:w="918" w:type="dxa"/>
            <w:shd w:val="clear" w:color="auto" w:fill="D9D9D9" w:themeFill="background1" w:themeFillShade="D9"/>
          </w:tcPr>
          <w:p w14:paraId="03908AAF" w14:textId="77777777" w:rsidR="00134236" w:rsidRPr="00134236" w:rsidRDefault="00134236" w:rsidP="00134236">
            <w:pPr>
              <w:spacing w:after="0" w:line="240" w:lineRule="auto"/>
              <w:jc w:val="center"/>
              <w:rPr>
                <w:sz w:val="20"/>
                <w:szCs w:val="20"/>
              </w:rPr>
            </w:pPr>
            <w:r w:rsidRPr="00134236">
              <w:rPr>
                <w:sz w:val="20"/>
                <w:szCs w:val="20"/>
              </w:rPr>
              <w:t>-3</w:t>
            </w:r>
          </w:p>
        </w:tc>
      </w:tr>
      <w:tr w:rsidR="00134236" w:rsidRPr="00134236" w14:paraId="6FD996CE" w14:textId="77777777" w:rsidTr="00DF5AC6">
        <w:trPr>
          <w:trHeight w:val="288"/>
        </w:trPr>
        <w:tc>
          <w:tcPr>
            <w:tcW w:w="4248" w:type="dxa"/>
          </w:tcPr>
          <w:p w14:paraId="391DE79E" w14:textId="77777777" w:rsidR="00134236" w:rsidRPr="00134236" w:rsidRDefault="00134236" w:rsidP="00134236">
            <w:pPr>
              <w:spacing w:after="0" w:line="240" w:lineRule="auto"/>
              <w:rPr>
                <w:sz w:val="20"/>
                <w:szCs w:val="20"/>
              </w:rPr>
            </w:pPr>
            <w:r w:rsidRPr="00134236">
              <w:rPr>
                <w:sz w:val="20"/>
                <w:szCs w:val="20"/>
              </w:rPr>
              <w:t>High Needs</w:t>
            </w:r>
          </w:p>
        </w:tc>
        <w:tc>
          <w:tcPr>
            <w:tcW w:w="900" w:type="dxa"/>
          </w:tcPr>
          <w:p w14:paraId="4B4B6DBE" w14:textId="77777777" w:rsidR="00134236" w:rsidRPr="00134236" w:rsidRDefault="00134236" w:rsidP="00134236">
            <w:pPr>
              <w:spacing w:after="0" w:line="240" w:lineRule="auto"/>
              <w:jc w:val="center"/>
              <w:rPr>
                <w:sz w:val="20"/>
                <w:szCs w:val="20"/>
              </w:rPr>
            </w:pPr>
            <w:r w:rsidRPr="00134236">
              <w:rPr>
                <w:sz w:val="20"/>
                <w:szCs w:val="20"/>
              </w:rPr>
              <w:t>46</w:t>
            </w:r>
          </w:p>
        </w:tc>
        <w:tc>
          <w:tcPr>
            <w:tcW w:w="885" w:type="dxa"/>
          </w:tcPr>
          <w:p w14:paraId="27BDE798" w14:textId="77777777" w:rsidR="00134236" w:rsidRPr="00134236" w:rsidRDefault="00134236" w:rsidP="00134236">
            <w:pPr>
              <w:spacing w:after="0" w:line="240" w:lineRule="auto"/>
              <w:jc w:val="center"/>
              <w:rPr>
                <w:sz w:val="20"/>
                <w:szCs w:val="20"/>
              </w:rPr>
            </w:pPr>
            <w:r w:rsidRPr="00134236">
              <w:rPr>
                <w:sz w:val="20"/>
                <w:szCs w:val="20"/>
              </w:rPr>
              <w:t>61%</w:t>
            </w:r>
          </w:p>
        </w:tc>
        <w:tc>
          <w:tcPr>
            <w:tcW w:w="1005" w:type="dxa"/>
          </w:tcPr>
          <w:p w14:paraId="3B6A7654" w14:textId="77777777" w:rsidR="00134236" w:rsidRPr="00134236" w:rsidRDefault="00134236" w:rsidP="00134236">
            <w:pPr>
              <w:spacing w:after="0" w:line="240" w:lineRule="auto"/>
              <w:jc w:val="center"/>
              <w:rPr>
                <w:sz w:val="20"/>
                <w:szCs w:val="20"/>
              </w:rPr>
            </w:pPr>
            <w:r w:rsidRPr="00134236">
              <w:rPr>
                <w:sz w:val="20"/>
                <w:szCs w:val="20"/>
              </w:rPr>
              <w:t>58%</w:t>
            </w:r>
          </w:p>
        </w:tc>
        <w:tc>
          <w:tcPr>
            <w:tcW w:w="810" w:type="dxa"/>
          </w:tcPr>
          <w:p w14:paraId="7E4A529F" w14:textId="77777777" w:rsidR="00134236" w:rsidRPr="00134236" w:rsidRDefault="00134236" w:rsidP="00134236">
            <w:pPr>
              <w:spacing w:after="0" w:line="240" w:lineRule="auto"/>
              <w:jc w:val="center"/>
              <w:rPr>
                <w:sz w:val="20"/>
                <w:szCs w:val="20"/>
              </w:rPr>
            </w:pPr>
            <w:r w:rsidRPr="00134236">
              <w:rPr>
                <w:sz w:val="20"/>
                <w:szCs w:val="20"/>
              </w:rPr>
              <w:t>54%</w:t>
            </w:r>
          </w:p>
        </w:tc>
        <w:tc>
          <w:tcPr>
            <w:tcW w:w="810" w:type="dxa"/>
          </w:tcPr>
          <w:p w14:paraId="0450A35D" w14:textId="77777777" w:rsidR="00134236" w:rsidRPr="00134236" w:rsidRDefault="00134236" w:rsidP="00134236">
            <w:pPr>
              <w:spacing w:after="0" w:line="240" w:lineRule="auto"/>
              <w:jc w:val="center"/>
              <w:rPr>
                <w:sz w:val="20"/>
                <w:szCs w:val="20"/>
              </w:rPr>
            </w:pPr>
            <w:r w:rsidRPr="00134236">
              <w:rPr>
                <w:sz w:val="20"/>
                <w:szCs w:val="20"/>
              </w:rPr>
              <w:t>65%</w:t>
            </w:r>
          </w:p>
        </w:tc>
        <w:tc>
          <w:tcPr>
            <w:tcW w:w="918" w:type="dxa"/>
          </w:tcPr>
          <w:p w14:paraId="2497D52B" w14:textId="77777777" w:rsidR="00134236" w:rsidRPr="00134236" w:rsidRDefault="00134236" w:rsidP="00134236">
            <w:pPr>
              <w:spacing w:after="0" w:line="240" w:lineRule="auto"/>
              <w:jc w:val="center"/>
              <w:rPr>
                <w:sz w:val="20"/>
                <w:szCs w:val="20"/>
              </w:rPr>
            </w:pPr>
            <w:r w:rsidRPr="00134236">
              <w:rPr>
                <w:sz w:val="20"/>
                <w:szCs w:val="20"/>
              </w:rPr>
              <w:t>4</w:t>
            </w:r>
          </w:p>
        </w:tc>
      </w:tr>
      <w:tr w:rsidR="00134236" w:rsidRPr="00134236" w14:paraId="28AF1F38" w14:textId="77777777" w:rsidTr="00DF5AC6">
        <w:trPr>
          <w:trHeight w:val="288"/>
        </w:trPr>
        <w:tc>
          <w:tcPr>
            <w:tcW w:w="4248" w:type="dxa"/>
          </w:tcPr>
          <w:p w14:paraId="097B41EB" w14:textId="77777777" w:rsidR="00134236" w:rsidRPr="00134236" w:rsidRDefault="00134236" w:rsidP="00134236">
            <w:pPr>
              <w:spacing w:after="0" w:line="240" w:lineRule="auto"/>
              <w:rPr>
                <w:sz w:val="20"/>
                <w:szCs w:val="20"/>
              </w:rPr>
            </w:pPr>
            <w:r w:rsidRPr="00134236">
              <w:rPr>
                <w:sz w:val="20"/>
                <w:szCs w:val="20"/>
              </w:rPr>
              <w:t>Econ. Dis.</w:t>
            </w:r>
          </w:p>
        </w:tc>
        <w:tc>
          <w:tcPr>
            <w:tcW w:w="900" w:type="dxa"/>
          </w:tcPr>
          <w:p w14:paraId="589C8932" w14:textId="77777777" w:rsidR="00134236" w:rsidRPr="00134236" w:rsidRDefault="00134236" w:rsidP="00134236">
            <w:pPr>
              <w:spacing w:after="0" w:line="240" w:lineRule="auto"/>
              <w:jc w:val="center"/>
              <w:rPr>
                <w:sz w:val="20"/>
                <w:szCs w:val="20"/>
              </w:rPr>
            </w:pPr>
            <w:r w:rsidRPr="00134236">
              <w:rPr>
                <w:sz w:val="20"/>
                <w:szCs w:val="20"/>
              </w:rPr>
              <w:t>28</w:t>
            </w:r>
          </w:p>
        </w:tc>
        <w:tc>
          <w:tcPr>
            <w:tcW w:w="885" w:type="dxa"/>
          </w:tcPr>
          <w:p w14:paraId="08481F2E" w14:textId="77777777" w:rsidR="00134236" w:rsidRPr="00134236" w:rsidRDefault="00134236" w:rsidP="00134236">
            <w:pPr>
              <w:spacing w:after="0" w:line="240" w:lineRule="auto"/>
              <w:jc w:val="center"/>
              <w:rPr>
                <w:sz w:val="20"/>
                <w:szCs w:val="20"/>
              </w:rPr>
            </w:pPr>
            <w:r w:rsidRPr="00134236">
              <w:rPr>
                <w:sz w:val="20"/>
                <w:szCs w:val="20"/>
              </w:rPr>
              <w:t>--</w:t>
            </w:r>
          </w:p>
        </w:tc>
        <w:tc>
          <w:tcPr>
            <w:tcW w:w="1005" w:type="dxa"/>
          </w:tcPr>
          <w:p w14:paraId="51E0DD49" w14:textId="77777777" w:rsidR="00134236" w:rsidRPr="00134236" w:rsidRDefault="00134236" w:rsidP="00134236">
            <w:pPr>
              <w:spacing w:after="0" w:line="240" w:lineRule="auto"/>
              <w:jc w:val="center"/>
              <w:rPr>
                <w:sz w:val="20"/>
                <w:szCs w:val="20"/>
              </w:rPr>
            </w:pPr>
            <w:r w:rsidRPr="00134236">
              <w:rPr>
                <w:sz w:val="20"/>
                <w:szCs w:val="20"/>
              </w:rPr>
              <w:t>64%</w:t>
            </w:r>
          </w:p>
        </w:tc>
        <w:tc>
          <w:tcPr>
            <w:tcW w:w="810" w:type="dxa"/>
          </w:tcPr>
          <w:p w14:paraId="3A960E7D" w14:textId="77777777" w:rsidR="00134236" w:rsidRPr="00134236" w:rsidRDefault="00134236" w:rsidP="00134236">
            <w:pPr>
              <w:spacing w:after="0" w:line="240" w:lineRule="auto"/>
              <w:jc w:val="center"/>
              <w:rPr>
                <w:sz w:val="20"/>
                <w:szCs w:val="20"/>
              </w:rPr>
            </w:pPr>
            <w:r w:rsidRPr="00134236">
              <w:rPr>
                <w:sz w:val="20"/>
                <w:szCs w:val="20"/>
              </w:rPr>
              <w:t>54%</w:t>
            </w:r>
          </w:p>
        </w:tc>
        <w:tc>
          <w:tcPr>
            <w:tcW w:w="810" w:type="dxa"/>
          </w:tcPr>
          <w:p w14:paraId="29B6AA80" w14:textId="77777777" w:rsidR="00134236" w:rsidRPr="00134236" w:rsidRDefault="00134236" w:rsidP="00134236">
            <w:pPr>
              <w:spacing w:after="0" w:line="240" w:lineRule="auto"/>
              <w:jc w:val="center"/>
              <w:rPr>
                <w:sz w:val="20"/>
                <w:szCs w:val="20"/>
              </w:rPr>
            </w:pPr>
            <w:r w:rsidRPr="00134236">
              <w:rPr>
                <w:sz w:val="20"/>
                <w:szCs w:val="20"/>
              </w:rPr>
              <w:t>68%</w:t>
            </w:r>
          </w:p>
        </w:tc>
        <w:tc>
          <w:tcPr>
            <w:tcW w:w="918" w:type="dxa"/>
          </w:tcPr>
          <w:p w14:paraId="5FB7C937" w14:textId="77777777" w:rsidR="00134236" w:rsidRPr="00134236" w:rsidRDefault="00134236" w:rsidP="00134236">
            <w:pPr>
              <w:spacing w:after="0" w:line="240" w:lineRule="auto"/>
              <w:jc w:val="center"/>
              <w:rPr>
                <w:sz w:val="20"/>
                <w:szCs w:val="20"/>
              </w:rPr>
            </w:pPr>
            <w:r w:rsidRPr="00134236">
              <w:rPr>
                <w:sz w:val="20"/>
                <w:szCs w:val="20"/>
              </w:rPr>
              <w:t>--</w:t>
            </w:r>
          </w:p>
        </w:tc>
      </w:tr>
      <w:tr w:rsidR="00134236" w:rsidRPr="00134236" w14:paraId="46681E3A" w14:textId="77777777" w:rsidTr="00DF5AC6">
        <w:trPr>
          <w:trHeight w:val="288"/>
        </w:trPr>
        <w:tc>
          <w:tcPr>
            <w:tcW w:w="4248" w:type="dxa"/>
          </w:tcPr>
          <w:p w14:paraId="614D71D2" w14:textId="77777777" w:rsidR="00134236" w:rsidRPr="00134236" w:rsidRDefault="00134236" w:rsidP="00134236">
            <w:pPr>
              <w:spacing w:after="0" w:line="240" w:lineRule="auto"/>
              <w:rPr>
                <w:sz w:val="20"/>
                <w:szCs w:val="20"/>
              </w:rPr>
            </w:pPr>
            <w:r w:rsidRPr="00134236">
              <w:rPr>
                <w:sz w:val="20"/>
                <w:szCs w:val="20"/>
              </w:rPr>
              <w:t>SWD</w:t>
            </w:r>
          </w:p>
        </w:tc>
        <w:tc>
          <w:tcPr>
            <w:tcW w:w="900" w:type="dxa"/>
          </w:tcPr>
          <w:p w14:paraId="73147441" w14:textId="77777777" w:rsidR="00134236" w:rsidRPr="00134236" w:rsidRDefault="00134236" w:rsidP="00134236">
            <w:pPr>
              <w:spacing w:after="0" w:line="240" w:lineRule="auto"/>
              <w:jc w:val="center"/>
              <w:rPr>
                <w:sz w:val="20"/>
                <w:szCs w:val="20"/>
              </w:rPr>
            </w:pPr>
            <w:r w:rsidRPr="00134236">
              <w:rPr>
                <w:sz w:val="20"/>
                <w:szCs w:val="20"/>
              </w:rPr>
              <w:t>24</w:t>
            </w:r>
          </w:p>
        </w:tc>
        <w:tc>
          <w:tcPr>
            <w:tcW w:w="885" w:type="dxa"/>
          </w:tcPr>
          <w:p w14:paraId="72BCE230" w14:textId="77777777" w:rsidR="00134236" w:rsidRPr="00134236" w:rsidRDefault="00134236" w:rsidP="00134236">
            <w:pPr>
              <w:spacing w:after="0" w:line="240" w:lineRule="auto"/>
              <w:jc w:val="center"/>
              <w:rPr>
                <w:sz w:val="20"/>
                <w:szCs w:val="20"/>
              </w:rPr>
            </w:pPr>
            <w:r w:rsidRPr="00134236">
              <w:rPr>
                <w:sz w:val="20"/>
                <w:szCs w:val="20"/>
              </w:rPr>
              <w:t>33%</w:t>
            </w:r>
          </w:p>
        </w:tc>
        <w:tc>
          <w:tcPr>
            <w:tcW w:w="1005" w:type="dxa"/>
          </w:tcPr>
          <w:p w14:paraId="533E3FF3" w14:textId="77777777" w:rsidR="00134236" w:rsidRPr="00134236" w:rsidRDefault="00134236" w:rsidP="00134236">
            <w:pPr>
              <w:spacing w:after="0" w:line="240" w:lineRule="auto"/>
              <w:jc w:val="center"/>
              <w:rPr>
                <w:sz w:val="20"/>
                <w:szCs w:val="20"/>
              </w:rPr>
            </w:pPr>
            <w:r w:rsidRPr="00134236">
              <w:rPr>
                <w:sz w:val="20"/>
                <w:szCs w:val="20"/>
              </w:rPr>
              <w:t>40%</w:t>
            </w:r>
          </w:p>
        </w:tc>
        <w:tc>
          <w:tcPr>
            <w:tcW w:w="810" w:type="dxa"/>
          </w:tcPr>
          <w:p w14:paraId="16283881" w14:textId="77777777" w:rsidR="00134236" w:rsidRPr="00134236" w:rsidRDefault="00134236" w:rsidP="00134236">
            <w:pPr>
              <w:spacing w:after="0" w:line="240" w:lineRule="auto"/>
              <w:jc w:val="center"/>
              <w:rPr>
                <w:sz w:val="20"/>
                <w:szCs w:val="20"/>
              </w:rPr>
            </w:pPr>
            <w:r w:rsidRPr="00134236">
              <w:rPr>
                <w:sz w:val="20"/>
                <w:szCs w:val="20"/>
              </w:rPr>
              <w:t>46%</w:t>
            </w:r>
          </w:p>
        </w:tc>
        <w:tc>
          <w:tcPr>
            <w:tcW w:w="810" w:type="dxa"/>
          </w:tcPr>
          <w:p w14:paraId="200C5D92" w14:textId="77777777" w:rsidR="00134236" w:rsidRPr="00134236" w:rsidRDefault="00134236" w:rsidP="00134236">
            <w:pPr>
              <w:spacing w:after="0" w:line="240" w:lineRule="auto"/>
              <w:jc w:val="center"/>
              <w:rPr>
                <w:sz w:val="20"/>
                <w:szCs w:val="20"/>
              </w:rPr>
            </w:pPr>
            <w:r w:rsidRPr="00134236">
              <w:rPr>
                <w:sz w:val="20"/>
                <w:szCs w:val="20"/>
              </w:rPr>
              <w:t>58%</w:t>
            </w:r>
          </w:p>
        </w:tc>
        <w:tc>
          <w:tcPr>
            <w:tcW w:w="918" w:type="dxa"/>
          </w:tcPr>
          <w:p w14:paraId="156E6011" w14:textId="77777777" w:rsidR="00134236" w:rsidRPr="00134236" w:rsidRDefault="00134236" w:rsidP="00134236">
            <w:pPr>
              <w:spacing w:after="0" w:line="240" w:lineRule="auto"/>
              <w:jc w:val="center"/>
              <w:rPr>
                <w:sz w:val="20"/>
                <w:szCs w:val="20"/>
              </w:rPr>
            </w:pPr>
            <w:r w:rsidRPr="00134236">
              <w:rPr>
                <w:sz w:val="20"/>
                <w:szCs w:val="20"/>
              </w:rPr>
              <w:t>25</w:t>
            </w:r>
          </w:p>
        </w:tc>
      </w:tr>
      <w:tr w:rsidR="00134236" w:rsidRPr="00134236" w14:paraId="69ABF02E" w14:textId="77777777" w:rsidTr="00DF5AC6">
        <w:trPr>
          <w:trHeight w:val="288"/>
        </w:trPr>
        <w:tc>
          <w:tcPr>
            <w:tcW w:w="4248" w:type="dxa"/>
          </w:tcPr>
          <w:p w14:paraId="235C7DCD" w14:textId="59A50030" w:rsidR="00134236" w:rsidRPr="00134236" w:rsidRDefault="00134236" w:rsidP="00134236">
            <w:pPr>
              <w:spacing w:after="0" w:line="240" w:lineRule="auto"/>
              <w:rPr>
                <w:sz w:val="20"/>
                <w:szCs w:val="20"/>
              </w:rPr>
            </w:pPr>
            <w:r w:rsidRPr="00134236">
              <w:rPr>
                <w:sz w:val="20"/>
                <w:szCs w:val="20"/>
              </w:rPr>
              <w:t>ELL</w:t>
            </w:r>
            <w:r w:rsidR="00F62CFC">
              <w:rPr>
                <w:sz w:val="20"/>
                <w:szCs w:val="20"/>
              </w:rPr>
              <w:t>s</w:t>
            </w:r>
          </w:p>
        </w:tc>
        <w:tc>
          <w:tcPr>
            <w:tcW w:w="900" w:type="dxa"/>
          </w:tcPr>
          <w:p w14:paraId="2E52D613" w14:textId="77777777" w:rsidR="00134236" w:rsidRPr="00134236" w:rsidRDefault="00134236" w:rsidP="00134236">
            <w:pPr>
              <w:spacing w:after="0" w:line="240" w:lineRule="auto"/>
              <w:jc w:val="center"/>
              <w:rPr>
                <w:sz w:val="20"/>
                <w:szCs w:val="20"/>
              </w:rPr>
            </w:pPr>
            <w:r w:rsidRPr="00134236">
              <w:rPr>
                <w:sz w:val="20"/>
                <w:szCs w:val="20"/>
              </w:rPr>
              <w:t>3</w:t>
            </w:r>
          </w:p>
        </w:tc>
        <w:tc>
          <w:tcPr>
            <w:tcW w:w="885" w:type="dxa"/>
          </w:tcPr>
          <w:p w14:paraId="3AEB5E03" w14:textId="77777777" w:rsidR="00134236" w:rsidRPr="00134236" w:rsidRDefault="00134236" w:rsidP="00134236">
            <w:pPr>
              <w:spacing w:after="0" w:line="240" w:lineRule="auto"/>
              <w:jc w:val="center"/>
              <w:rPr>
                <w:sz w:val="20"/>
                <w:szCs w:val="20"/>
              </w:rPr>
            </w:pPr>
            <w:r w:rsidRPr="00134236">
              <w:rPr>
                <w:sz w:val="20"/>
                <w:szCs w:val="20"/>
              </w:rPr>
              <w:t>--</w:t>
            </w:r>
          </w:p>
        </w:tc>
        <w:tc>
          <w:tcPr>
            <w:tcW w:w="1005" w:type="dxa"/>
          </w:tcPr>
          <w:p w14:paraId="72825B06" w14:textId="77777777" w:rsidR="00134236" w:rsidRPr="00134236" w:rsidRDefault="00134236" w:rsidP="00134236">
            <w:pPr>
              <w:spacing w:after="0" w:line="240" w:lineRule="auto"/>
              <w:jc w:val="center"/>
              <w:rPr>
                <w:sz w:val="20"/>
                <w:szCs w:val="20"/>
              </w:rPr>
            </w:pPr>
            <w:r w:rsidRPr="00134236">
              <w:rPr>
                <w:sz w:val="20"/>
                <w:szCs w:val="20"/>
              </w:rPr>
              <w:t>--</w:t>
            </w:r>
          </w:p>
        </w:tc>
        <w:tc>
          <w:tcPr>
            <w:tcW w:w="810" w:type="dxa"/>
          </w:tcPr>
          <w:p w14:paraId="0DEAEF64" w14:textId="77777777" w:rsidR="00134236" w:rsidRPr="00134236" w:rsidRDefault="00134236" w:rsidP="00134236">
            <w:pPr>
              <w:spacing w:after="0" w:line="240" w:lineRule="auto"/>
              <w:jc w:val="center"/>
              <w:rPr>
                <w:sz w:val="20"/>
                <w:szCs w:val="20"/>
              </w:rPr>
            </w:pPr>
            <w:r w:rsidRPr="00134236">
              <w:rPr>
                <w:sz w:val="20"/>
                <w:szCs w:val="20"/>
              </w:rPr>
              <w:t>--</w:t>
            </w:r>
          </w:p>
        </w:tc>
        <w:tc>
          <w:tcPr>
            <w:tcW w:w="810" w:type="dxa"/>
          </w:tcPr>
          <w:p w14:paraId="08EE8CB3" w14:textId="77777777" w:rsidR="00134236" w:rsidRPr="00134236" w:rsidRDefault="00134236" w:rsidP="00134236">
            <w:pPr>
              <w:spacing w:after="0" w:line="240" w:lineRule="auto"/>
              <w:jc w:val="center"/>
              <w:rPr>
                <w:sz w:val="20"/>
                <w:szCs w:val="20"/>
              </w:rPr>
            </w:pPr>
            <w:r w:rsidRPr="00134236">
              <w:rPr>
                <w:sz w:val="20"/>
                <w:szCs w:val="20"/>
              </w:rPr>
              <w:t>--</w:t>
            </w:r>
          </w:p>
        </w:tc>
        <w:tc>
          <w:tcPr>
            <w:tcW w:w="918" w:type="dxa"/>
          </w:tcPr>
          <w:p w14:paraId="42985970" w14:textId="77777777" w:rsidR="00134236" w:rsidRPr="00134236" w:rsidRDefault="00134236" w:rsidP="00134236">
            <w:pPr>
              <w:spacing w:after="0" w:line="240" w:lineRule="auto"/>
              <w:jc w:val="center"/>
              <w:rPr>
                <w:sz w:val="20"/>
                <w:szCs w:val="20"/>
              </w:rPr>
            </w:pPr>
            <w:r w:rsidRPr="00134236">
              <w:rPr>
                <w:sz w:val="20"/>
                <w:szCs w:val="20"/>
              </w:rPr>
              <w:t>--</w:t>
            </w:r>
          </w:p>
        </w:tc>
      </w:tr>
    </w:tbl>
    <w:p w14:paraId="042A1465" w14:textId="77777777" w:rsidR="00134236" w:rsidRPr="00134236" w:rsidRDefault="00134236" w:rsidP="00134236">
      <w:pPr>
        <w:spacing w:after="0" w:line="240" w:lineRule="auto"/>
      </w:pPr>
    </w:p>
    <w:p w14:paraId="5D5D0795" w14:textId="2B6E2035" w:rsidR="00134236" w:rsidRDefault="00134236" w:rsidP="00134236">
      <w:pPr>
        <w:spacing w:after="0" w:line="240" w:lineRule="auto"/>
      </w:pPr>
    </w:p>
    <w:p w14:paraId="54F8D55D" w14:textId="345CCF24" w:rsidR="00134236" w:rsidRPr="00134236" w:rsidRDefault="00134236" w:rsidP="00134236">
      <w:pPr>
        <w:spacing w:after="0" w:line="240" w:lineRule="auto"/>
        <w:rPr>
          <w:b/>
        </w:rPr>
      </w:pPr>
      <w:r w:rsidRPr="00134236">
        <w:rPr>
          <w:b/>
        </w:rPr>
        <w:t>Between 2014 and 2017, the district’s four-year cohort graduation rate for all students increased 2.6 percentage points</w:t>
      </w:r>
      <w:r w:rsidR="00F62CFC">
        <w:rPr>
          <w:b/>
        </w:rPr>
        <w:t>,</w:t>
      </w:r>
      <w:r w:rsidRPr="00134236">
        <w:rPr>
          <w:b/>
        </w:rPr>
        <w:t xml:space="preserve"> from 92.8 percent in 2014 to 95.4 percent in 2017, above the state rate of 88.3 percent.  </w:t>
      </w:r>
      <w:r w:rsidR="00F62CFC">
        <w:rPr>
          <w:b/>
        </w:rPr>
        <w:t>T</w:t>
      </w:r>
      <w:r w:rsidRPr="00134236">
        <w:rPr>
          <w:b/>
        </w:rPr>
        <w:t>he four-year cohort graduation rates for each subgroup with reportable data improved by 2.4 to 16.6 percentage points.</w:t>
      </w:r>
    </w:p>
    <w:p w14:paraId="691E42C0" w14:textId="77777777" w:rsidR="00134236" w:rsidRPr="00134236" w:rsidRDefault="00134236" w:rsidP="00134236">
      <w:pPr>
        <w:spacing w:after="0" w:line="240" w:lineRule="auto"/>
      </w:pPr>
    </w:p>
    <w:tbl>
      <w:tblPr>
        <w:tblStyle w:val="TableGrid5"/>
        <w:tblW w:w="9558" w:type="dxa"/>
        <w:tblLayout w:type="fixed"/>
        <w:tblLook w:val="04A0" w:firstRow="1" w:lastRow="0" w:firstColumn="1" w:lastColumn="0" w:noHBand="0" w:noVBand="1"/>
        <w:tblCaption w:val="Table 17: Wakefield Public Schools"/>
        <w:tblDescription w:val="Four-Year Cohort Graduation Rates, 2014–2017"/>
      </w:tblPr>
      <w:tblGrid>
        <w:gridCol w:w="2718"/>
        <w:gridCol w:w="977"/>
        <w:gridCol w:w="977"/>
        <w:gridCol w:w="977"/>
        <w:gridCol w:w="977"/>
        <w:gridCol w:w="977"/>
        <w:gridCol w:w="977"/>
        <w:gridCol w:w="978"/>
      </w:tblGrid>
      <w:tr w:rsidR="00134236" w:rsidRPr="00134236" w14:paraId="3CEDF204" w14:textId="77777777" w:rsidTr="00BB0032">
        <w:trPr>
          <w:tblHeader/>
        </w:trPr>
        <w:tc>
          <w:tcPr>
            <w:tcW w:w="9558" w:type="dxa"/>
            <w:gridSpan w:val="8"/>
            <w:tcBorders>
              <w:top w:val="nil"/>
              <w:left w:val="nil"/>
              <w:right w:val="nil"/>
            </w:tcBorders>
            <w:shd w:val="clear" w:color="auto" w:fill="auto"/>
          </w:tcPr>
          <w:p w14:paraId="48F3A427" w14:textId="77777777" w:rsidR="00134236" w:rsidRPr="00134236" w:rsidRDefault="00134236" w:rsidP="00134236">
            <w:pPr>
              <w:spacing w:after="0" w:line="240" w:lineRule="auto"/>
              <w:jc w:val="center"/>
              <w:rPr>
                <w:b/>
                <w:sz w:val="20"/>
                <w:szCs w:val="20"/>
              </w:rPr>
            </w:pPr>
            <w:r w:rsidRPr="00134236">
              <w:rPr>
                <w:b/>
                <w:sz w:val="20"/>
                <w:szCs w:val="20"/>
              </w:rPr>
              <w:t xml:space="preserve">Table 17: </w:t>
            </w:r>
            <w:r w:rsidRPr="00134236">
              <w:rPr>
                <w:rFonts w:cs="Times New Roman"/>
                <w:b/>
                <w:sz w:val="20"/>
                <w:szCs w:val="20"/>
              </w:rPr>
              <w:t>Wakefield Public Schools</w:t>
            </w:r>
          </w:p>
          <w:p w14:paraId="45ED554B" w14:textId="77777777" w:rsidR="00134236" w:rsidRPr="00134236" w:rsidRDefault="00134236" w:rsidP="00134236">
            <w:pPr>
              <w:spacing w:after="0" w:line="240" w:lineRule="auto"/>
              <w:jc w:val="center"/>
              <w:rPr>
                <w:b/>
              </w:rPr>
            </w:pPr>
            <w:r w:rsidRPr="00134236">
              <w:rPr>
                <w:b/>
                <w:sz w:val="20"/>
                <w:szCs w:val="20"/>
              </w:rPr>
              <w:t>Four-Year Cohort Graduation Rates, 2014–2017</w:t>
            </w:r>
          </w:p>
        </w:tc>
      </w:tr>
      <w:tr w:rsidR="00134236" w:rsidRPr="00134236" w14:paraId="57A08484" w14:textId="77777777" w:rsidTr="00DF5AC6">
        <w:tc>
          <w:tcPr>
            <w:tcW w:w="2718" w:type="dxa"/>
            <w:shd w:val="clear" w:color="auto" w:fill="D9D9D9" w:themeFill="background1" w:themeFillShade="D9"/>
          </w:tcPr>
          <w:p w14:paraId="0F6A6025" w14:textId="77777777" w:rsidR="00134236" w:rsidRPr="00134236" w:rsidRDefault="00134236" w:rsidP="00E22258">
            <w:pPr>
              <w:spacing w:after="0" w:line="240" w:lineRule="auto"/>
              <w:rPr>
                <w:b/>
                <w:sz w:val="20"/>
                <w:szCs w:val="20"/>
              </w:rPr>
            </w:pPr>
            <w:r w:rsidRPr="00134236">
              <w:rPr>
                <w:b/>
                <w:sz w:val="20"/>
                <w:szCs w:val="20"/>
              </w:rPr>
              <w:t>Group</w:t>
            </w:r>
          </w:p>
        </w:tc>
        <w:tc>
          <w:tcPr>
            <w:tcW w:w="977" w:type="dxa"/>
            <w:shd w:val="clear" w:color="auto" w:fill="D9D9D9" w:themeFill="background1" w:themeFillShade="D9"/>
          </w:tcPr>
          <w:p w14:paraId="7EF71300" w14:textId="77777777" w:rsidR="00134236" w:rsidRPr="00134236" w:rsidRDefault="00134236" w:rsidP="00134236">
            <w:pPr>
              <w:spacing w:after="0" w:line="240" w:lineRule="auto"/>
              <w:jc w:val="center"/>
              <w:rPr>
                <w:b/>
                <w:sz w:val="20"/>
                <w:szCs w:val="20"/>
              </w:rPr>
            </w:pPr>
            <w:r w:rsidRPr="00134236">
              <w:rPr>
                <w:b/>
                <w:sz w:val="20"/>
                <w:szCs w:val="20"/>
              </w:rPr>
              <w:t>N</w:t>
            </w:r>
          </w:p>
          <w:p w14:paraId="67A0E39B" w14:textId="77777777" w:rsidR="00134236" w:rsidRPr="00134236" w:rsidRDefault="00134236" w:rsidP="00134236">
            <w:pPr>
              <w:spacing w:after="0" w:line="240" w:lineRule="auto"/>
              <w:jc w:val="center"/>
              <w:rPr>
                <w:b/>
                <w:sz w:val="20"/>
                <w:szCs w:val="20"/>
              </w:rPr>
            </w:pPr>
            <w:r w:rsidRPr="00134236" w:rsidDel="00332D9F">
              <w:rPr>
                <w:b/>
                <w:sz w:val="20"/>
                <w:szCs w:val="20"/>
              </w:rPr>
              <w:t xml:space="preserve"> </w:t>
            </w:r>
            <w:r w:rsidRPr="00134236">
              <w:rPr>
                <w:b/>
                <w:sz w:val="20"/>
                <w:szCs w:val="20"/>
              </w:rPr>
              <w:t>(2017)</w:t>
            </w:r>
          </w:p>
        </w:tc>
        <w:tc>
          <w:tcPr>
            <w:tcW w:w="977" w:type="dxa"/>
            <w:shd w:val="clear" w:color="auto" w:fill="D9D9D9" w:themeFill="background1" w:themeFillShade="D9"/>
          </w:tcPr>
          <w:p w14:paraId="22488DD9" w14:textId="77777777" w:rsidR="00134236" w:rsidRPr="00134236" w:rsidRDefault="00134236" w:rsidP="00134236">
            <w:pPr>
              <w:spacing w:after="0" w:line="240" w:lineRule="auto"/>
              <w:jc w:val="center"/>
              <w:rPr>
                <w:b/>
                <w:sz w:val="20"/>
                <w:szCs w:val="20"/>
              </w:rPr>
            </w:pPr>
            <w:r w:rsidRPr="00134236">
              <w:rPr>
                <w:b/>
                <w:sz w:val="20"/>
                <w:szCs w:val="20"/>
              </w:rPr>
              <w:t>2014</w:t>
            </w:r>
          </w:p>
        </w:tc>
        <w:tc>
          <w:tcPr>
            <w:tcW w:w="977" w:type="dxa"/>
            <w:shd w:val="clear" w:color="auto" w:fill="D9D9D9" w:themeFill="background1" w:themeFillShade="D9"/>
          </w:tcPr>
          <w:p w14:paraId="54767DD2" w14:textId="77777777" w:rsidR="00134236" w:rsidRPr="00134236" w:rsidRDefault="00134236" w:rsidP="00134236">
            <w:pPr>
              <w:spacing w:after="0" w:line="240" w:lineRule="auto"/>
              <w:jc w:val="center"/>
              <w:rPr>
                <w:b/>
                <w:sz w:val="20"/>
                <w:szCs w:val="20"/>
              </w:rPr>
            </w:pPr>
            <w:r w:rsidRPr="00134236">
              <w:rPr>
                <w:b/>
                <w:sz w:val="20"/>
                <w:szCs w:val="20"/>
              </w:rPr>
              <w:t>2015</w:t>
            </w:r>
          </w:p>
        </w:tc>
        <w:tc>
          <w:tcPr>
            <w:tcW w:w="977" w:type="dxa"/>
            <w:shd w:val="clear" w:color="auto" w:fill="D9D9D9" w:themeFill="background1" w:themeFillShade="D9"/>
          </w:tcPr>
          <w:p w14:paraId="60C5BFC6" w14:textId="77777777" w:rsidR="00134236" w:rsidRPr="00134236" w:rsidRDefault="00134236" w:rsidP="00134236">
            <w:pPr>
              <w:spacing w:after="0" w:line="240" w:lineRule="auto"/>
              <w:jc w:val="center"/>
              <w:rPr>
                <w:b/>
                <w:sz w:val="20"/>
                <w:szCs w:val="20"/>
              </w:rPr>
            </w:pPr>
            <w:r w:rsidRPr="00134236">
              <w:rPr>
                <w:b/>
                <w:sz w:val="20"/>
                <w:szCs w:val="20"/>
              </w:rPr>
              <w:t>2016</w:t>
            </w:r>
          </w:p>
        </w:tc>
        <w:tc>
          <w:tcPr>
            <w:tcW w:w="977" w:type="dxa"/>
            <w:shd w:val="clear" w:color="auto" w:fill="D9D9D9" w:themeFill="background1" w:themeFillShade="D9"/>
          </w:tcPr>
          <w:p w14:paraId="1D5AEAA5" w14:textId="77777777" w:rsidR="00134236" w:rsidRPr="00134236" w:rsidRDefault="00134236" w:rsidP="00134236">
            <w:pPr>
              <w:spacing w:after="0" w:line="240" w:lineRule="auto"/>
              <w:jc w:val="center"/>
              <w:rPr>
                <w:b/>
                <w:sz w:val="20"/>
                <w:szCs w:val="20"/>
              </w:rPr>
            </w:pPr>
            <w:r w:rsidRPr="00134236">
              <w:rPr>
                <w:b/>
                <w:sz w:val="20"/>
                <w:szCs w:val="20"/>
              </w:rPr>
              <w:t>2017</w:t>
            </w:r>
          </w:p>
        </w:tc>
        <w:tc>
          <w:tcPr>
            <w:tcW w:w="977" w:type="dxa"/>
            <w:shd w:val="clear" w:color="auto" w:fill="D9D9D9" w:themeFill="background1" w:themeFillShade="D9"/>
          </w:tcPr>
          <w:p w14:paraId="43E87C01" w14:textId="77777777" w:rsidR="00134236" w:rsidRPr="00134236" w:rsidRDefault="00134236" w:rsidP="00134236">
            <w:pPr>
              <w:spacing w:after="0" w:line="240" w:lineRule="auto"/>
              <w:jc w:val="center"/>
              <w:rPr>
                <w:b/>
                <w:sz w:val="20"/>
                <w:szCs w:val="20"/>
              </w:rPr>
            </w:pPr>
            <w:r w:rsidRPr="00134236">
              <w:rPr>
                <w:b/>
                <w:sz w:val="20"/>
                <w:szCs w:val="20"/>
              </w:rPr>
              <w:t>4-yr Change</w:t>
            </w:r>
          </w:p>
        </w:tc>
        <w:tc>
          <w:tcPr>
            <w:tcW w:w="978" w:type="dxa"/>
            <w:shd w:val="clear" w:color="auto" w:fill="D9D9D9" w:themeFill="background1" w:themeFillShade="D9"/>
          </w:tcPr>
          <w:p w14:paraId="48EA17D1" w14:textId="77777777" w:rsidR="00134236" w:rsidRPr="00134236" w:rsidRDefault="00134236" w:rsidP="00134236">
            <w:pPr>
              <w:spacing w:after="0" w:line="240" w:lineRule="auto"/>
              <w:jc w:val="center"/>
              <w:rPr>
                <w:b/>
                <w:sz w:val="20"/>
                <w:szCs w:val="20"/>
              </w:rPr>
            </w:pPr>
            <w:r w:rsidRPr="00134236">
              <w:rPr>
                <w:b/>
                <w:sz w:val="20"/>
                <w:szCs w:val="20"/>
              </w:rPr>
              <w:t>State (2017)</w:t>
            </w:r>
          </w:p>
        </w:tc>
      </w:tr>
      <w:tr w:rsidR="00134236" w:rsidRPr="00134236" w14:paraId="15344BDC" w14:textId="77777777" w:rsidTr="00DF5AC6">
        <w:tc>
          <w:tcPr>
            <w:tcW w:w="2718" w:type="dxa"/>
          </w:tcPr>
          <w:p w14:paraId="4408A2C1" w14:textId="77777777" w:rsidR="00134236" w:rsidRPr="00134236" w:rsidRDefault="00134236" w:rsidP="00134236">
            <w:pPr>
              <w:spacing w:after="0" w:line="240" w:lineRule="auto"/>
              <w:rPr>
                <w:sz w:val="20"/>
                <w:szCs w:val="20"/>
              </w:rPr>
            </w:pPr>
            <w:r w:rsidRPr="00134236">
              <w:rPr>
                <w:sz w:val="20"/>
                <w:szCs w:val="20"/>
              </w:rPr>
              <w:t>High needs</w:t>
            </w:r>
          </w:p>
        </w:tc>
        <w:tc>
          <w:tcPr>
            <w:tcW w:w="977" w:type="dxa"/>
          </w:tcPr>
          <w:p w14:paraId="1A58A80C" w14:textId="77777777" w:rsidR="00134236" w:rsidRPr="00134236" w:rsidRDefault="00134236" w:rsidP="00134236">
            <w:pPr>
              <w:spacing w:after="0" w:line="240" w:lineRule="auto"/>
              <w:jc w:val="center"/>
              <w:rPr>
                <w:sz w:val="20"/>
                <w:szCs w:val="20"/>
              </w:rPr>
            </w:pPr>
            <w:r w:rsidRPr="00134236">
              <w:rPr>
                <w:sz w:val="20"/>
                <w:szCs w:val="20"/>
              </w:rPr>
              <w:t>65</w:t>
            </w:r>
          </w:p>
        </w:tc>
        <w:tc>
          <w:tcPr>
            <w:tcW w:w="977" w:type="dxa"/>
          </w:tcPr>
          <w:p w14:paraId="56339758"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78.1%</w:t>
            </w:r>
          </w:p>
        </w:tc>
        <w:tc>
          <w:tcPr>
            <w:tcW w:w="977" w:type="dxa"/>
          </w:tcPr>
          <w:p w14:paraId="1441F3A6"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77.9%</w:t>
            </w:r>
          </w:p>
        </w:tc>
        <w:tc>
          <w:tcPr>
            <w:tcW w:w="977" w:type="dxa"/>
          </w:tcPr>
          <w:p w14:paraId="412CD144"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88.6%</w:t>
            </w:r>
          </w:p>
        </w:tc>
        <w:tc>
          <w:tcPr>
            <w:tcW w:w="977" w:type="dxa"/>
          </w:tcPr>
          <w:p w14:paraId="6F64ECC0" w14:textId="77777777" w:rsidR="00134236" w:rsidRPr="00134236" w:rsidRDefault="00134236" w:rsidP="00134236">
            <w:pPr>
              <w:spacing w:after="0" w:line="240" w:lineRule="auto"/>
              <w:jc w:val="center"/>
              <w:rPr>
                <w:sz w:val="20"/>
                <w:szCs w:val="20"/>
              </w:rPr>
            </w:pPr>
            <w:r w:rsidRPr="00134236">
              <w:rPr>
                <w:sz w:val="20"/>
                <w:szCs w:val="20"/>
              </w:rPr>
              <w:t>87.7%</w:t>
            </w:r>
          </w:p>
        </w:tc>
        <w:tc>
          <w:tcPr>
            <w:tcW w:w="977" w:type="dxa"/>
          </w:tcPr>
          <w:p w14:paraId="0DDB73CB"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9.6</w:t>
            </w:r>
          </w:p>
        </w:tc>
        <w:tc>
          <w:tcPr>
            <w:tcW w:w="978" w:type="dxa"/>
          </w:tcPr>
          <w:p w14:paraId="36F5F7E8" w14:textId="77777777" w:rsidR="00134236" w:rsidRPr="00134236" w:rsidRDefault="00134236" w:rsidP="00134236">
            <w:pPr>
              <w:spacing w:after="0" w:line="240" w:lineRule="auto"/>
              <w:jc w:val="center"/>
              <w:rPr>
                <w:sz w:val="20"/>
                <w:szCs w:val="20"/>
              </w:rPr>
            </w:pPr>
            <w:r w:rsidRPr="00134236">
              <w:rPr>
                <w:sz w:val="20"/>
                <w:szCs w:val="20"/>
              </w:rPr>
              <w:t>80.0%</w:t>
            </w:r>
          </w:p>
        </w:tc>
      </w:tr>
      <w:tr w:rsidR="00134236" w:rsidRPr="00134236" w14:paraId="2D9B2393" w14:textId="77777777" w:rsidTr="00DF5AC6">
        <w:tc>
          <w:tcPr>
            <w:tcW w:w="2718" w:type="dxa"/>
            <w:shd w:val="clear" w:color="auto" w:fill="D9D9D9" w:themeFill="background1" w:themeFillShade="D9"/>
          </w:tcPr>
          <w:p w14:paraId="124F02D4" w14:textId="77777777" w:rsidR="00134236" w:rsidRPr="00134236" w:rsidRDefault="00134236" w:rsidP="00134236">
            <w:pPr>
              <w:spacing w:after="0" w:line="240" w:lineRule="auto"/>
              <w:rPr>
                <w:sz w:val="20"/>
                <w:szCs w:val="20"/>
              </w:rPr>
            </w:pPr>
            <w:r w:rsidRPr="00134236">
              <w:rPr>
                <w:sz w:val="20"/>
                <w:szCs w:val="20"/>
              </w:rPr>
              <w:t>Economically Disadvantaged*</w:t>
            </w:r>
          </w:p>
        </w:tc>
        <w:tc>
          <w:tcPr>
            <w:tcW w:w="977" w:type="dxa"/>
            <w:shd w:val="clear" w:color="auto" w:fill="D9D9D9" w:themeFill="background1" w:themeFillShade="D9"/>
          </w:tcPr>
          <w:p w14:paraId="7C2C3290" w14:textId="77777777" w:rsidR="00134236" w:rsidRPr="00134236" w:rsidRDefault="00134236" w:rsidP="00134236">
            <w:pPr>
              <w:spacing w:after="0" w:line="240" w:lineRule="auto"/>
              <w:jc w:val="center"/>
              <w:rPr>
                <w:sz w:val="20"/>
                <w:szCs w:val="20"/>
              </w:rPr>
            </w:pPr>
            <w:r w:rsidRPr="00134236">
              <w:rPr>
                <w:sz w:val="20"/>
                <w:szCs w:val="20"/>
              </w:rPr>
              <w:t>49</w:t>
            </w:r>
          </w:p>
        </w:tc>
        <w:tc>
          <w:tcPr>
            <w:tcW w:w="977" w:type="dxa"/>
            <w:shd w:val="clear" w:color="auto" w:fill="D9D9D9" w:themeFill="background1" w:themeFillShade="D9"/>
          </w:tcPr>
          <w:p w14:paraId="469CBD51"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83.0%</w:t>
            </w:r>
          </w:p>
        </w:tc>
        <w:tc>
          <w:tcPr>
            <w:tcW w:w="977" w:type="dxa"/>
            <w:shd w:val="clear" w:color="auto" w:fill="D9D9D9" w:themeFill="background1" w:themeFillShade="D9"/>
          </w:tcPr>
          <w:p w14:paraId="0617A1C6"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82.0%</w:t>
            </w:r>
          </w:p>
        </w:tc>
        <w:tc>
          <w:tcPr>
            <w:tcW w:w="977" w:type="dxa"/>
            <w:shd w:val="clear" w:color="auto" w:fill="D9D9D9" w:themeFill="background1" w:themeFillShade="D9"/>
          </w:tcPr>
          <w:p w14:paraId="53A5D822"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87.1%</w:t>
            </w:r>
          </w:p>
        </w:tc>
        <w:tc>
          <w:tcPr>
            <w:tcW w:w="977" w:type="dxa"/>
            <w:shd w:val="clear" w:color="auto" w:fill="D9D9D9" w:themeFill="background1" w:themeFillShade="D9"/>
          </w:tcPr>
          <w:p w14:paraId="1C617AD4" w14:textId="77777777" w:rsidR="00134236" w:rsidRPr="00134236" w:rsidRDefault="00134236" w:rsidP="00134236">
            <w:pPr>
              <w:spacing w:after="0" w:line="240" w:lineRule="auto"/>
              <w:jc w:val="center"/>
              <w:rPr>
                <w:sz w:val="20"/>
                <w:szCs w:val="20"/>
              </w:rPr>
            </w:pPr>
            <w:r w:rsidRPr="00134236">
              <w:rPr>
                <w:sz w:val="20"/>
                <w:szCs w:val="20"/>
              </w:rPr>
              <w:t>85.7%</w:t>
            </w:r>
          </w:p>
        </w:tc>
        <w:tc>
          <w:tcPr>
            <w:tcW w:w="977" w:type="dxa"/>
            <w:shd w:val="clear" w:color="auto" w:fill="D9D9D9" w:themeFill="background1" w:themeFillShade="D9"/>
          </w:tcPr>
          <w:p w14:paraId="62B1CEC3"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2.7</w:t>
            </w:r>
          </w:p>
        </w:tc>
        <w:tc>
          <w:tcPr>
            <w:tcW w:w="978" w:type="dxa"/>
            <w:shd w:val="clear" w:color="auto" w:fill="D9D9D9" w:themeFill="background1" w:themeFillShade="D9"/>
          </w:tcPr>
          <w:p w14:paraId="5A55EE13" w14:textId="77777777" w:rsidR="00134236" w:rsidRPr="00134236" w:rsidRDefault="00134236" w:rsidP="00134236">
            <w:pPr>
              <w:spacing w:after="0" w:line="240" w:lineRule="auto"/>
              <w:jc w:val="center"/>
              <w:rPr>
                <w:sz w:val="20"/>
                <w:szCs w:val="20"/>
              </w:rPr>
            </w:pPr>
            <w:r w:rsidRPr="00134236">
              <w:rPr>
                <w:sz w:val="20"/>
                <w:szCs w:val="20"/>
              </w:rPr>
              <w:t>79.0%</w:t>
            </w:r>
          </w:p>
        </w:tc>
      </w:tr>
      <w:tr w:rsidR="00134236" w:rsidRPr="00134236" w14:paraId="057DECA6" w14:textId="77777777" w:rsidTr="00DF5AC6">
        <w:tc>
          <w:tcPr>
            <w:tcW w:w="2718" w:type="dxa"/>
          </w:tcPr>
          <w:p w14:paraId="33B07B9F" w14:textId="77777777" w:rsidR="00134236" w:rsidRPr="00134236" w:rsidRDefault="00134236" w:rsidP="00134236">
            <w:pPr>
              <w:spacing w:after="0" w:line="240" w:lineRule="auto"/>
              <w:rPr>
                <w:sz w:val="20"/>
                <w:szCs w:val="20"/>
              </w:rPr>
            </w:pPr>
            <w:r w:rsidRPr="00134236">
              <w:rPr>
                <w:sz w:val="20"/>
                <w:szCs w:val="20"/>
              </w:rPr>
              <w:t>ELLs</w:t>
            </w:r>
          </w:p>
        </w:tc>
        <w:tc>
          <w:tcPr>
            <w:tcW w:w="977" w:type="dxa"/>
          </w:tcPr>
          <w:p w14:paraId="1483459A" w14:textId="77777777" w:rsidR="00134236" w:rsidRPr="00134236" w:rsidRDefault="00134236" w:rsidP="00134236">
            <w:pPr>
              <w:spacing w:after="0" w:line="240" w:lineRule="auto"/>
              <w:jc w:val="center"/>
              <w:rPr>
                <w:sz w:val="20"/>
                <w:szCs w:val="20"/>
              </w:rPr>
            </w:pPr>
            <w:r w:rsidRPr="00134236">
              <w:rPr>
                <w:sz w:val="20"/>
                <w:szCs w:val="20"/>
              </w:rPr>
              <w:t>2</w:t>
            </w:r>
          </w:p>
        </w:tc>
        <w:tc>
          <w:tcPr>
            <w:tcW w:w="977" w:type="dxa"/>
          </w:tcPr>
          <w:p w14:paraId="0B11D953"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977" w:type="dxa"/>
          </w:tcPr>
          <w:p w14:paraId="46CAF75B"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977" w:type="dxa"/>
          </w:tcPr>
          <w:p w14:paraId="73802C5B"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977" w:type="dxa"/>
          </w:tcPr>
          <w:p w14:paraId="17329825" w14:textId="77777777" w:rsidR="00134236" w:rsidRPr="00134236" w:rsidRDefault="00134236" w:rsidP="00134236">
            <w:pPr>
              <w:spacing w:after="0" w:line="240" w:lineRule="auto"/>
              <w:jc w:val="center"/>
              <w:rPr>
                <w:sz w:val="20"/>
                <w:szCs w:val="20"/>
              </w:rPr>
            </w:pPr>
            <w:r w:rsidRPr="00134236">
              <w:rPr>
                <w:sz w:val="20"/>
                <w:szCs w:val="20"/>
              </w:rPr>
              <w:t>--</w:t>
            </w:r>
          </w:p>
        </w:tc>
        <w:tc>
          <w:tcPr>
            <w:tcW w:w="977" w:type="dxa"/>
          </w:tcPr>
          <w:p w14:paraId="0B038B4D"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978" w:type="dxa"/>
          </w:tcPr>
          <w:p w14:paraId="2203C3DE" w14:textId="77777777" w:rsidR="00134236" w:rsidRPr="00134236" w:rsidRDefault="00134236" w:rsidP="00134236">
            <w:pPr>
              <w:spacing w:after="0" w:line="240" w:lineRule="auto"/>
              <w:jc w:val="center"/>
              <w:rPr>
                <w:sz w:val="20"/>
                <w:szCs w:val="20"/>
              </w:rPr>
            </w:pPr>
            <w:r w:rsidRPr="00134236">
              <w:rPr>
                <w:sz w:val="20"/>
                <w:szCs w:val="20"/>
              </w:rPr>
              <w:t>63.4%</w:t>
            </w:r>
          </w:p>
        </w:tc>
      </w:tr>
      <w:tr w:rsidR="00134236" w:rsidRPr="00134236" w14:paraId="1E35EA5B" w14:textId="77777777" w:rsidTr="00DF5AC6">
        <w:tc>
          <w:tcPr>
            <w:tcW w:w="2718" w:type="dxa"/>
            <w:shd w:val="clear" w:color="auto" w:fill="D9D9D9" w:themeFill="background1" w:themeFillShade="D9"/>
          </w:tcPr>
          <w:p w14:paraId="4AEC5D58" w14:textId="77777777" w:rsidR="00134236" w:rsidRPr="00134236" w:rsidRDefault="00134236" w:rsidP="00134236">
            <w:pPr>
              <w:spacing w:after="0" w:line="240" w:lineRule="auto"/>
              <w:rPr>
                <w:sz w:val="20"/>
                <w:szCs w:val="20"/>
              </w:rPr>
            </w:pPr>
            <w:r w:rsidRPr="00134236">
              <w:rPr>
                <w:sz w:val="20"/>
                <w:szCs w:val="20"/>
              </w:rPr>
              <w:t>SWD</w:t>
            </w:r>
          </w:p>
        </w:tc>
        <w:tc>
          <w:tcPr>
            <w:tcW w:w="977" w:type="dxa"/>
            <w:shd w:val="clear" w:color="auto" w:fill="D9D9D9" w:themeFill="background1" w:themeFillShade="D9"/>
          </w:tcPr>
          <w:p w14:paraId="68C5C5EB" w14:textId="77777777" w:rsidR="00134236" w:rsidRPr="00134236" w:rsidRDefault="00134236" w:rsidP="00134236">
            <w:pPr>
              <w:spacing w:after="0" w:line="240" w:lineRule="auto"/>
              <w:jc w:val="center"/>
              <w:rPr>
                <w:sz w:val="20"/>
                <w:szCs w:val="20"/>
              </w:rPr>
            </w:pPr>
            <w:r w:rsidRPr="00134236">
              <w:rPr>
                <w:sz w:val="20"/>
                <w:szCs w:val="20"/>
              </w:rPr>
              <w:t>31</w:t>
            </w:r>
          </w:p>
        </w:tc>
        <w:tc>
          <w:tcPr>
            <w:tcW w:w="977" w:type="dxa"/>
            <w:shd w:val="clear" w:color="auto" w:fill="D9D9D9" w:themeFill="background1" w:themeFillShade="D9"/>
          </w:tcPr>
          <w:p w14:paraId="0646B71E"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75.0%</w:t>
            </w:r>
          </w:p>
        </w:tc>
        <w:tc>
          <w:tcPr>
            <w:tcW w:w="977" w:type="dxa"/>
            <w:shd w:val="clear" w:color="auto" w:fill="D9D9D9" w:themeFill="background1" w:themeFillShade="D9"/>
          </w:tcPr>
          <w:p w14:paraId="61EBBF35"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72.7%</w:t>
            </w:r>
          </w:p>
        </w:tc>
        <w:tc>
          <w:tcPr>
            <w:tcW w:w="977" w:type="dxa"/>
            <w:shd w:val="clear" w:color="auto" w:fill="D9D9D9" w:themeFill="background1" w:themeFillShade="D9"/>
          </w:tcPr>
          <w:p w14:paraId="2C132EC5"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84.4%</w:t>
            </w:r>
          </w:p>
        </w:tc>
        <w:tc>
          <w:tcPr>
            <w:tcW w:w="977" w:type="dxa"/>
            <w:shd w:val="clear" w:color="auto" w:fill="D9D9D9" w:themeFill="background1" w:themeFillShade="D9"/>
          </w:tcPr>
          <w:p w14:paraId="76F5FF39" w14:textId="77777777" w:rsidR="00134236" w:rsidRPr="00134236" w:rsidRDefault="00134236" w:rsidP="00134236">
            <w:pPr>
              <w:spacing w:after="0" w:line="240" w:lineRule="auto"/>
              <w:jc w:val="center"/>
              <w:rPr>
                <w:sz w:val="20"/>
                <w:szCs w:val="20"/>
              </w:rPr>
            </w:pPr>
            <w:r w:rsidRPr="00134236">
              <w:rPr>
                <w:sz w:val="20"/>
                <w:szCs w:val="20"/>
              </w:rPr>
              <w:t>77.4%</w:t>
            </w:r>
          </w:p>
        </w:tc>
        <w:tc>
          <w:tcPr>
            <w:tcW w:w="977" w:type="dxa"/>
            <w:shd w:val="clear" w:color="auto" w:fill="D9D9D9" w:themeFill="background1" w:themeFillShade="D9"/>
          </w:tcPr>
          <w:p w14:paraId="564D2EBC"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2.4</w:t>
            </w:r>
          </w:p>
        </w:tc>
        <w:tc>
          <w:tcPr>
            <w:tcW w:w="978" w:type="dxa"/>
            <w:shd w:val="clear" w:color="auto" w:fill="D9D9D9" w:themeFill="background1" w:themeFillShade="D9"/>
          </w:tcPr>
          <w:p w14:paraId="6A06B40B" w14:textId="77777777" w:rsidR="00134236" w:rsidRPr="00134236" w:rsidRDefault="00134236" w:rsidP="00134236">
            <w:pPr>
              <w:spacing w:after="0" w:line="240" w:lineRule="auto"/>
              <w:jc w:val="center"/>
              <w:rPr>
                <w:sz w:val="20"/>
                <w:szCs w:val="20"/>
              </w:rPr>
            </w:pPr>
            <w:r w:rsidRPr="00134236">
              <w:rPr>
                <w:sz w:val="20"/>
                <w:szCs w:val="20"/>
              </w:rPr>
              <w:t>72.8%</w:t>
            </w:r>
          </w:p>
        </w:tc>
      </w:tr>
      <w:tr w:rsidR="00134236" w:rsidRPr="00134236" w14:paraId="3D213BCE" w14:textId="77777777" w:rsidTr="00DF5AC6">
        <w:tc>
          <w:tcPr>
            <w:tcW w:w="2718" w:type="dxa"/>
          </w:tcPr>
          <w:p w14:paraId="156C6F2A" w14:textId="678362C8" w:rsidR="00134236" w:rsidRPr="00134236" w:rsidRDefault="00134236" w:rsidP="00282F1F">
            <w:pPr>
              <w:spacing w:after="0" w:line="240" w:lineRule="auto"/>
              <w:rPr>
                <w:rFonts w:eastAsia="Times New Roman" w:cs="Times New Roman"/>
                <w:sz w:val="20"/>
                <w:szCs w:val="20"/>
              </w:rPr>
            </w:pPr>
            <w:r w:rsidRPr="00134236">
              <w:rPr>
                <w:rFonts w:eastAsia="Times New Roman" w:cs="Times New Roman"/>
                <w:sz w:val="20"/>
                <w:szCs w:val="20"/>
              </w:rPr>
              <w:t>African American</w:t>
            </w:r>
          </w:p>
        </w:tc>
        <w:tc>
          <w:tcPr>
            <w:tcW w:w="977" w:type="dxa"/>
          </w:tcPr>
          <w:p w14:paraId="7BF16A62" w14:textId="77777777" w:rsidR="00134236" w:rsidRPr="00134236" w:rsidRDefault="00134236" w:rsidP="00134236">
            <w:pPr>
              <w:spacing w:after="0" w:line="240" w:lineRule="auto"/>
              <w:jc w:val="center"/>
              <w:rPr>
                <w:sz w:val="20"/>
                <w:szCs w:val="20"/>
              </w:rPr>
            </w:pPr>
            <w:r w:rsidRPr="00134236">
              <w:rPr>
                <w:sz w:val="20"/>
                <w:szCs w:val="20"/>
              </w:rPr>
              <w:t>6</w:t>
            </w:r>
          </w:p>
        </w:tc>
        <w:tc>
          <w:tcPr>
            <w:tcW w:w="977" w:type="dxa"/>
          </w:tcPr>
          <w:p w14:paraId="778B206B"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66.7%</w:t>
            </w:r>
          </w:p>
        </w:tc>
        <w:tc>
          <w:tcPr>
            <w:tcW w:w="977" w:type="dxa"/>
          </w:tcPr>
          <w:p w14:paraId="2F679B96"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977" w:type="dxa"/>
          </w:tcPr>
          <w:p w14:paraId="34C8A6EE"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100%</w:t>
            </w:r>
          </w:p>
        </w:tc>
        <w:tc>
          <w:tcPr>
            <w:tcW w:w="977" w:type="dxa"/>
          </w:tcPr>
          <w:p w14:paraId="10B8BF59" w14:textId="77777777" w:rsidR="00134236" w:rsidRPr="00134236" w:rsidRDefault="00134236" w:rsidP="00134236">
            <w:pPr>
              <w:spacing w:after="0" w:line="240" w:lineRule="auto"/>
              <w:jc w:val="center"/>
              <w:rPr>
                <w:sz w:val="20"/>
                <w:szCs w:val="20"/>
              </w:rPr>
            </w:pPr>
            <w:r w:rsidRPr="00134236">
              <w:rPr>
                <w:sz w:val="20"/>
                <w:szCs w:val="20"/>
              </w:rPr>
              <w:t>83.3%</w:t>
            </w:r>
          </w:p>
        </w:tc>
        <w:tc>
          <w:tcPr>
            <w:tcW w:w="977" w:type="dxa"/>
          </w:tcPr>
          <w:p w14:paraId="1A91665E"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16.6</w:t>
            </w:r>
          </w:p>
        </w:tc>
        <w:tc>
          <w:tcPr>
            <w:tcW w:w="978" w:type="dxa"/>
          </w:tcPr>
          <w:p w14:paraId="5710DDFE" w14:textId="77777777" w:rsidR="00134236" w:rsidRPr="00134236" w:rsidRDefault="00134236" w:rsidP="00134236">
            <w:pPr>
              <w:spacing w:after="0" w:line="240" w:lineRule="auto"/>
              <w:jc w:val="center"/>
              <w:rPr>
                <w:sz w:val="20"/>
                <w:szCs w:val="20"/>
              </w:rPr>
            </w:pPr>
            <w:r w:rsidRPr="00134236">
              <w:rPr>
                <w:sz w:val="20"/>
                <w:szCs w:val="20"/>
              </w:rPr>
              <w:t>80.0%</w:t>
            </w:r>
          </w:p>
        </w:tc>
      </w:tr>
      <w:tr w:rsidR="00134236" w:rsidRPr="00134236" w14:paraId="6D276F43" w14:textId="77777777" w:rsidTr="00DF5AC6">
        <w:tc>
          <w:tcPr>
            <w:tcW w:w="2718" w:type="dxa"/>
            <w:shd w:val="clear" w:color="auto" w:fill="D9D9D9" w:themeFill="background1" w:themeFillShade="D9"/>
          </w:tcPr>
          <w:p w14:paraId="3F002235" w14:textId="77777777" w:rsidR="00134236" w:rsidRPr="00134236" w:rsidRDefault="00134236" w:rsidP="00134236">
            <w:pPr>
              <w:spacing w:after="0" w:line="240" w:lineRule="auto"/>
              <w:rPr>
                <w:rFonts w:eastAsia="Times New Roman" w:cs="Times New Roman"/>
                <w:sz w:val="20"/>
                <w:szCs w:val="20"/>
              </w:rPr>
            </w:pPr>
            <w:r w:rsidRPr="00134236">
              <w:rPr>
                <w:rFonts w:eastAsia="Times New Roman" w:cs="Times New Roman"/>
                <w:sz w:val="20"/>
                <w:szCs w:val="20"/>
              </w:rPr>
              <w:t>Asian</w:t>
            </w:r>
          </w:p>
        </w:tc>
        <w:tc>
          <w:tcPr>
            <w:tcW w:w="977" w:type="dxa"/>
            <w:shd w:val="clear" w:color="auto" w:fill="D9D9D9" w:themeFill="background1" w:themeFillShade="D9"/>
          </w:tcPr>
          <w:p w14:paraId="032D12F7" w14:textId="77777777" w:rsidR="00134236" w:rsidRPr="00134236" w:rsidRDefault="00134236" w:rsidP="00134236">
            <w:pPr>
              <w:spacing w:after="0" w:line="240" w:lineRule="auto"/>
              <w:jc w:val="center"/>
              <w:rPr>
                <w:sz w:val="20"/>
                <w:szCs w:val="20"/>
              </w:rPr>
            </w:pPr>
            <w:r w:rsidRPr="00134236">
              <w:rPr>
                <w:sz w:val="20"/>
                <w:szCs w:val="20"/>
              </w:rPr>
              <w:t>4</w:t>
            </w:r>
          </w:p>
        </w:tc>
        <w:tc>
          <w:tcPr>
            <w:tcW w:w="977" w:type="dxa"/>
            <w:shd w:val="clear" w:color="auto" w:fill="D9D9D9" w:themeFill="background1" w:themeFillShade="D9"/>
          </w:tcPr>
          <w:p w14:paraId="733D3AAF"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977" w:type="dxa"/>
            <w:shd w:val="clear" w:color="auto" w:fill="D9D9D9" w:themeFill="background1" w:themeFillShade="D9"/>
          </w:tcPr>
          <w:p w14:paraId="0F014B2F"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100%</w:t>
            </w:r>
          </w:p>
        </w:tc>
        <w:tc>
          <w:tcPr>
            <w:tcW w:w="977" w:type="dxa"/>
            <w:shd w:val="clear" w:color="auto" w:fill="D9D9D9" w:themeFill="background1" w:themeFillShade="D9"/>
          </w:tcPr>
          <w:p w14:paraId="3FADFB01"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88.9</w:t>
            </w:r>
          </w:p>
        </w:tc>
        <w:tc>
          <w:tcPr>
            <w:tcW w:w="977" w:type="dxa"/>
            <w:shd w:val="clear" w:color="auto" w:fill="D9D9D9" w:themeFill="background1" w:themeFillShade="D9"/>
          </w:tcPr>
          <w:p w14:paraId="1083204B" w14:textId="77777777" w:rsidR="00134236" w:rsidRPr="00134236" w:rsidRDefault="00134236" w:rsidP="00134236">
            <w:pPr>
              <w:spacing w:after="0" w:line="240" w:lineRule="auto"/>
              <w:jc w:val="center"/>
              <w:rPr>
                <w:sz w:val="20"/>
                <w:szCs w:val="20"/>
              </w:rPr>
            </w:pPr>
            <w:r w:rsidRPr="00134236">
              <w:rPr>
                <w:sz w:val="20"/>
                <w:szCs w:val="20"/>
              </w:rPr>
              <w:t>--</w:t>
            </w:r>
          </w:p>
        </w:tc>
        <w:tc>
          <w:tcPr>
            <w:tcW w:w="977" w:type="dxa"/>
            <w:shd w:val="clear" w:color="auto" w:fill="D9D9D9" w:themeFill="background1" w:themeFillShade="D9"/>
          </w:tcPr>
          <w:p w14:paraId="117AA94D"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978" w:type="dxa"/>
            <w:shd w:val="clear" w:color="auto" w:fill="D9D9D9" w:themeFill="background1" w:themeFillShade="D9"/>
          </w:tcPr>
          <w:p w14:paraId="29BDB076" w14:textId="77777777" w:rsidR="00134236" w:rsidRPr="00134236" w:rsidRDefault="00134236" w:rsidP="00134236">
            <w:pPr>
              <w:spacing w:after="0" w:line="240" w:lineRule="auto"/>
              <w:jc w:val="center"/>
              <w:rPr>
                <w:sz w:val="20"/>
                <w:szCs w:val="20"/>
              </w:rPr>
            </w:pPr>
            <w:r w:rsidRPr="00134236">
              <w:rPr>
                <w:sz w:val="20"/>
                <w:szCs w:val="20"/>
              </w:rPr>
              <w:t>94.1%</w:t>
            </w:r>
          </w:p>
        </w:tc>
      </w:tr>
      <w:tr w:rsidR="00134236" w:rsidRPr="00134236" w14:paraId="59349EF7" w14:textId="77777777" w:rsidTr="00DF5AC6">
        <w:tc>
          <w:tcPr>
            <w:tcW w:w="2718" w:type="dxa"/>
          </w:tcPr>
          <w:p w14:paraId="1CE459B9" w14:textId="77777777" w:rsidR="00134236" w:rsidRPr="00134236" w:rsidRDefault="00134236" w:rsidP="00134236">
            <w:pPr>
              <w:spacing w:after="0" w:line="240" w:lineRule="auto"/>
              <w:rPr>
                <w:rFonts w:eastAsia="Times New Roman" w:cs="Times New Roman"/>
                <w:sz w:val="20"/>
                <w:szCs w:val="20"/>
              </w:rPr>
            </w:pPr>
            <w:r w:rsidRPr="00134236">
              <w:rPr>
                <w:rFonts w:eastAsia="Times New Roman" w:cs="Times New Roman"/>
                <w:sz w:val="20"/>
                <w:szCs w:val="20"/>
              </w:rPr>
              <w:t>Hispanic or Latino</w:t>
            </w:r>
          </w:p>
        </w:tc>
        <w:tc>
          <w:tcPr>
            <w:tcW w:w="977" w:type="dxa"/>
          </w:tcPr>
          <w:p w14:paraId="7F52D5C3" w14:textId="77777777" w:rsidR="00134236" w:rsidRPr="00134236" w:rsidRDefault="00134236" w:rsidP="00134236">
            <w:pPr>
              <w:spacing w:after="0" w:line="240" w:lineRule="auto"/>
              <w:jc w:val="center"/>
              <w:rPr>
                <w:sz w:val="20"/>
                <w:szCs w:val="20"/>
              </w:rPr>
            </w:pPr>
            <w:r w:rsidRPr="00134236">
              <w:rPr>
                <w:sz w:val="20"/>
                <w:szCs w:val="20"/>
              </w:rPr>
              <w:t>7</w:t>
            </w:r>
          </w:p>
        </w:tc>
        <w:tc>
          <w:tcPr>
            <w:tcW w:w="977" w:type="dxa"/>
          </w:tcPr>
          <w:p w14:paraId="27DF8597"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977" w:type="dxa"/>
          </w:tcPr>
          <w:p w14:paraId="4514AD20"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977" w:type="dxa"/>
          </w:tcPr>
          <w:p w14:paraId="4542721A"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100%</w:t>
            </w:r>
          </w:p>
        </w:tc>
        <w:tc>
          <w:tcPr>
            <w:tcW w:w="977" w:type="dxa"/>
          </w:tcPr>
          <w:p w14:paraId="2120223E" w14:textId="77777777" w:rsidR="00134236" w:rsidRPr="00134236" w:rsidRDefault="00134236" w:rsidP="00134236">
            <w:pPr>
              <w:spacing w:after="0" w:line="240" w:lineRule="auto"/>
              <w:jc w:val="center"/>
              <w:rPr>
                <w:sz w:val="20"/>
                <w:szCs w:val="20"/>
              </w:rPr>
            </w:pPr>
            <w:r w:rsidRPr="00134236">
              <w:rPr>
                <w:sz w:val="20"/>
                <w:szCs w:val="20"/>
              </w:rPr>
              <w:t>71.4%</w:t>
            </w:r>
          </w:p>
        </w:tc>
        <w:tc>
          <w:tcPr>
            <w:tcW w:w="977" w:type="dxa"/>
          </w:tcPr>
          <w:p w14:paraId="68CE7359"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978" w:type="dxa"/>
          </w:tcPr>
          <w:p w14:paraId="532BFA78" w14:textId="77777777" w:rsidR="00134236" w:rsidRPr="00134236" w:rsidRDefault="00134236" w:rsidP="00134236">
            <w:pPr>
              <w:spacing w:after="0" w:line="240" w:lineRule="auto"/>
              <w:jc w:val="center"/>
              <w:rPr>
                <w:sz w:val="20"/>
                <w:szCs w:val="20"/>
              </w:rPr>
            </w:pPr>
            <w:r w:rsidRPr="00134236">
              <w:rPr>
                <w:sz w:val="20"/>
                <w:szCs w:val="20"/>
              </w:rPr>
              <w:t>74.4%</w:t>
            </w:r>
          </w:p>
        </w:tc>
      </w:tr>
      <w:tr w:rsidR="00134236" w:rsidRPr="00134236" w14:paraId="357F6AE5" w14:textId="77777777" w:rsidTr="00DF5AC6">
        <w:tc>
          <w:tcPr>
            <w:tcW w:w="2718" w:type="dxa"/>
            <w:shd w:val="clear" w:color="auto" w:fill="D9D9D9" w:themeFill="background1" w:themeFillShade="D9"/>
          </w:tcPr>
          <w:p w14:paraId="52C34D9C" w14:textId="77777777" w:rsidR="00134236" w:rsidRPr="00134236" w:rsidRDefault="00134236" w:rsidP="00134236">
            <w:pPr>
              <w:spacing w:after="0" w:line="240" w:lineRule="auto"/>
              <w:rPr>
                <w:rFonts w:eastAsia="Times New Roman" w:cs="Times New Roman"/>
                <w:sz w:val="20"/>
                <w:szCs w:val="20"/>
              </w:rPr>
            </w:pPr>
            <w:r w:rsidRPr="00134236">
              <w:rPr>
                <w:rFonts w:eastAsia="Times New Roman" w:cs="Times New Roman"/>
                <w:sz w:val="20"/>
                <w:szCs w:val="20"/>
              </w:rPr>
              <w:t>Multi-Race, non-Hisp./Lat.</w:t>
            </w:r>
          </w:p>
        </w:tc>
        <w:tc>
          <w:tcPr>
            <w:tcW w:w="977" w:type="dxa"/>
            <w:shd w:val="clear" w:color="auto" w:fill="D9D9D9" w:themeFill="background1" w:themeFillShade="D9"/>
          </w:tcPr>
          <w:p w14:paraId="29853862" w14:textId="77777777" w:rsidR="00134236" w:rsidRPr="00134236" w:rsidRDefault="00134236" w:rsidP="00134236">
            <w:pPr>
              <w:spacing w:after="0" w:line="240" w:lineRule="auto"/>
              <w:jc w:val="center"/>
              <w:rPr>
                <w:sz w:val="20"/>
                <w:szCs w:val="20"/>
              </w:rPr>
            </w:pPr>
            <w:r w:rsidRPr="00134236">
              <w:rPr>
                <w:sz w:val="20"/>
                <w:szCs w:val="20"/>
              </w:rPr>
              <w:t>4</w:t>
            </w:r>
          </w:p>
        </w:tc>
        <w:tc>
          <w:tcPr>
            <w:tcW w:w="977" w:type="dxa"/>
            <w:shd w:val="clear" w:color="auto" w:fill="D9D9D9" w:themeFill="background1" w:themeFillShade="D9"/>
          </w:tcPr>
          <w:p w14:paraId="76D0D1DA"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977" w:type="dxa"/>
            <w:shd w:val="clear" w:color="auto" w:fill="D9D9D9" w:themeFill="background1" w:themeFillShade="D9"/>
          </w:tcPr>
          <w:p w14:paraId="440F989F"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977" w:type="dxa"/>
            <w:shd w:val="clear" w:color="auto" w:fill="D9D9D9" w:themeFill="background1" w:themeFillShade="D9"/>
          </w:tcPr>
          <w:p w14:paraId="255EF27E"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977" w:type="dxa"/>
            <w:shd w:val="clear" w:color="auto" w:fill="D9D9D9" w:themeFill="background1" w:themeFillShade="D9"/>
          </w:tcPr>
          <w:p w14:paraId="4689805F" w14:textId="77777777" w:rsidR="00134236" w:rsidRPr="00134236" w:rsidRDefault="00134236" w:rsidP="00134236">
            <w:pPr>
              <w:spacing w:after="0" w:line="240" w:lineRule="auto"/>
              <w:jc w:val="center"/>
              <w:rPr>
                <w:sz w:val="20"/>
                <w:szCs w:val="20"/>
              </w:rPr>
            </w:pPr>
            <w:r w:rsidRPr="00134236">
              <w:rPr>
                <w:sz w:val="20"/>
                <w:szCs w:val="20"/>
              </w:rPr>
              <w:t>--</w:t>
            </w:r>
          </w:p>
        </w:tc>
        <w:tc>
          <w:tcPr>
            <w:tcW w:w="977" w:type="dxa"/>
            <w:shd w:val="clear" w:color="auto" w:fill="D9D9D9" w:themeFill="background1" w:themeFillShade="D9"/>
          </w:tcPr>
          <w:p w14:paraId="240EA9FC"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978" w:type="dxa"/>
            <w:shd w:val="clear" w:color="auto" w:fill="D9D9D9" w:themeFill="background1" w:themeFillShade="D9"/>
          </w:tcPr>
          <w:p w14:paraId="619BEA7B" w14:textId="77777777" w:rsidR="00134236" w:rsidRPr="00134236" w:rsidRDefault="00134236" w:rsidP="00134236">
            <w:pPr>
              <w:spacing w:after="0" w:line="240" w:lineRule="auto"/>
              <w:jc w:val="center"/>
              <w:rPr>
                <w:sz w:val="20"/>
                <w:szCs w:val="20"/>
              </w:rPr>
            </w:pPr>
            <w:r w:rsidRPr="00134236">
              <w:rPr>
                <w:sz w:val="20"/>
                <w:szCs w:val="20"/>
              </w:rPr>
              <w:t>85.2%</w:t>
            </w:r>
          </w:p>
        </w:tc>
      </w:tr>
      <w:tr w:rsidR="00134236" w:rsidRPr="00134236" w14:paraId="4DC515A3" w14:textId="77777777" w:rsidTr="00DF5AC6">
        <w:tc>
          <w:tcPr>
            <w:tcW w:w="2718" w:type="dxa"/>
          </w:tcPr>
          <w:p w14:paraId="7434907B" w14:textId="77777777" w:rsidR="00134236" w:rsidRPr="00134236" w:rsidRDefault="00134236" w:rsidP="00134236">
            <w:pPr>
              <w:spacing w:after="0" w:line="240" w:lineRule="auto"/>
              <w:rPr>
                <w:rFonts w:eastAsia="Times New Roman" w:cs="Times New Roman"/>
                <w:sz w:val="20"/>
                <w:szCs w:val="20"/>
              </w:rPr>
            </w:pPr>
            <w:r w:rsidRPr="00134236">
              <w:rPr>
                <w:rFonts w:eastAsia="Times New Roman" w:cs="Times New Roman"/>
                <w:sz w:val="20"/>
                <w:szCs w:val="20"/>
              </w:rPr>
              <w:t>White</w:t>
            </w:r>
          </w:p>
        </w:tc>
        <w:tc>
          <w:tcPr>
            <w:tcW w:w="977" w:type="dxa"/>
          </w:tcPr>
          <w:p w14:paraId="1F97AEDB" w14:textId="77777777" w:rsidR="00134236" w:rsidRPr="00134236" w:rsidRDefault="00134236" w:rsidP="00134236">
            <w:pPr>
              <w:spacing w:after="0" w:line="240" w:lineRule="auto"/>
              <w:jc w:val="center"/>
              <w:rPr>
                <w:sz w:val="20"/>
                <w:szCs w:val="20"/>
              </w:rPr>
            </w:pPr>
            <w:r w:rsidRPr="00134236">
              <w:rPr>
                <w:sz w:val="20"/>
                <w:szCs w:val="20"/>
              </w:rPr>
              <w:t>214</w:t>
            </w:r>
          </w:p>
        </w:tc>
        <w:tc>
          <w:tcPr>
            <w:tcW w:w="977" w:type="dxa"/>
          </w:tcPr>
          <w:p w14:paraId="191BB7E4"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93.3%</w:t>
            </w:r>
          </w:p>
        </w:tc>
        <w:tc>
          <w:tcPr>
            <w:tcW w:w="977" w:type="dxa"/>
          </w:tcPr>
          <w:p w14:paraId="576A5F5F"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93.1%</w:t>
            </w:r>
          </w:p>
        </w:tc>
        <w:tc>
          <w:tcPr>
            <w:tcW w:w="977" w:type="dxa"/>
          </w:tcPr>
          <w:p w14:paraId="26D9AC89"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96.1%</w:t>
            </w:r>
          </w:p>
        </w:tc>
        <w:tc>
          <w:tcPr>
            <w:tcW w:w="977" w:type="dxa"/>
          </w:tcPr>
          <w:p w14:paraId="07BCC243" w14:textId="77777777" w:rsidR="00134236" w:rsidRPr="00134236" w:rsidRDefault="00134236" w:rsidP="00134236">
            <w:pPr>
              <w:spacing w:after="0" w:line="240" w:lineRule="auto"/>
              <w:jc w:val="center"/>
              <w:rPr>
                <w:sz w:val="20"/>
                <w:szCs w:val="20"/>
              </w:rPr>
            </w:pPr>
            <w:r w:rsidRPr="00134236">
              <w:rPr>
                <w:sz w:val="20"/>
                <w:szCs w:val="20"/>
              </w:rPr>
              <w:t>96.7%</w:t>
            </w:r>
          </w:p>
        </w:tc>
        <w:tc>
          <w:tcPr>
            <w:tcW w:w="977" w:type="dxa"/>
          </w:tcPr>
          <w:p w14:paraId="6F754A8C"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3.4</w:t>
            </w:r>
          </w:p>
        </w:tc>
        <w:tc>
          <w:tcPr>
            <w:tcW w:w="978" w:type="dxa"/>
          </w:tcPr>
          <w:p w14:paraId="01B9BE45" w14:textId="77777777" w:rsidR="00134236" w:rsidRPr="00134236" w:rsidRDefault="00134236" w:rsidP="00134236">
            <w:pPr>
              <w:spacing w:after="0" w:line="240" w:lineRule="auto"/>
              <w:jc w:val="center"/>
              <w:rPr>
                <w:sz w:val="20"/>
                <w:szCs w:val="20"/>
              </w:rPr>
            </w:pPr>
            <w:r w:rsidRPr="00134236">
              <w:rPr>
                <w:sz w:val="20"/>
                <w:szCs w:val="20"/>
              </w:rPr>
              <w:t>92.6%</w:t>
            </w:r>
          </w:p>
        </w:tc>
      </w:tr>
      <w:tr w:rsidR="00134236" w:rsidRPr="00134236" w14:paraId="4491A045" w14:textId="77777777" w:rsidTr="00DF5AC6">
        <w:tc>
          <w:tcPr>
            <w:tcW w:w="2718" w:type="dxa"/>
            <w:tcBorders>
              <w:bottom w:val="single" w:sz="4" w:space="0" w:color="auto"/>
            </w:tcBorders>
            <w:shd w:val="clear" w:color="auto" w:fill="D9D9D9" w:themeFill="background1" w:themeFillShade="D9"/>
          </w:tcPr>
          <w:p w14:paraId="1CDBED61" w14:textId="3671702B" w:rsidR="00134236" w:rsidRPr="00134236" w:rsidRDefault="00134236" w:rsidP="00282F1F">
            <w:pPr>
              <w:spacing w:after="0" w:line="240" w:lineRule="auto"/>
              <w:rPr>
                <w:sz w:val="20"/>
                <w:szCs w:val="20"/>
              </w:rPr>
            </w:pPr>
            <w:r w:rsidRPr="00134236">
              <w:rPr>
                <w:sz w:val="20"/>
                <w:szCs w:val="20"/>
              </w:rPr>
              <w:t xml:space="preserve">All </w:t>
            </w:r>
          </w:p>
        </w:tc>
        <w:tc>
          <w:tcPr>
            <w:tcW w:w="977" w:type="dxa"/>
            <w:tcBorders>
              <w:bottom w:val="single" w:sz="4" w:space="0" w:color="auto"/>
            </w:tcBorders>
            <w:shd w:val="clear" w:color="auto" w:fill="D9D9D9" w:themeFill="background1" w:themeFillShade="D9"/>
          </w:tcPr>
          <w:p w14:paraId="3C2E6094" w14:textId="77777777" w:rsidR="00134236" w:rsidRPr="00134236" w:rsidRDefault="00134236" w:rsidP="00134236">
            <w:pPr>
              <w:spacing w:after="0" w:line="240" w:lineRule="auto"/>
              <w:jc w:val="center"/>
              <w:rPr>
                <w:sz w:val="20"/>
                <w:szCs w:val="20"/>
              </w:rPr>
            </w:pPr>
            <w:r w:rsidRPr="00134236">
              <w:rPr>
                <w:sz w:val="20"/>
                <w:szCs w:val="20"/>
              </w:rPr>
              <w:t>238</w:t>
            </w:r>
          </w:p>
        </w:tc>
        <w:tc>
          <w:tcPr>
            <w:tcW w:w="977" w:type="dxa"/>
            <w:tcBorders>
              <w:bottom w:val="single" w:sz="4" w:space="0" w:color="auto"/>
            </w:tcBorders>
            <w:shd w:val="clear" w:color="auto" w:fill="D9D9D9" w:themeFill="background1" w:themeFillShade="D9"/>
          </w:tcPr>
          <w:p w14:paraId="5A3BEC66"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92.8%</w:t>
            </w:r>
          </w:p>
        </w:tc>
        <w:tc>
          <w:tcPr>
            <w:tcW w:w="977" w:type="dxa"/>
            <w:tcBorders>
              <w:bottom w:val="single" w:sz="4" w:space="0" w:color="auto"/>
            </w:tcBorders>
            <w:shd w:val="clear" w:color="auto" w:fill="D9D9D9" w:themeFill="background1" w:themeFillShade="D9"/>
          </w:tcPr>
          <w:p w14:paraId="47E8EEB4"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92.4%</w:t>
            </w:r>
          </w:p>
        </w:tc>
        <w:tc>
          <w:tcPr>
            <w:tcW w:w="977" w:type="dxa"/>
            <w:tcBorders>
              <w:bottom w:val="single" w:sz="4" w:space="0" w:color="auto"/>
            </w:tcBorders>
            <w:shd w:val="clear" w:color="auto" w:fill="D9D9D9" w:themeFill="background1" w:themeFillShade="D9"/>
          </w:tcPr>
          <w:p w14:paraId="4E1A4D93"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96.1%</w:t>
            </w:r>
          </w:p>
        </w:tc>
        <w:tc>
          <w:tcPr>
            <w:tcW w:w="977" w:type="dxa"/>
            <w:tcBorders>
              <w:bottom w:val="single" w:sz="4" w:space="0" w:color="auto"/>
            </w:tcBorders>
            <w:shd w:val="clear" w:color="auto" w:fill="D9D9D9" w:themeFill="background1" w:themeFillShade="D9"/>
          </w:tcPr>
          <w:p w14:paraId="621EE69A" w14:textId="77777777" w:rsidR="00134236" w:rsidRPr="00134236" w:rsidRDefault="00134236" w:rsidP="00134236">
            <w:pPr>
              <w:spacing w:after="0" w:line="240" w:lineRule="auto"/>
              <w:jc w:val="center"/>
              <w:rPr>
                <w:sz w:val="20"/>
                <w:szCs w:val="20"/>
              </w:rPr>
            </w:pPr>
            <w:r w:rsidRPr="00134236">
              <w:rPr>
                <w:sz w:val="20"/>
                <w:szCs w:val="20"/>
              </w:rPr>
              <w:t>95.4%</w:t>
            </w:r>
          </w:p>
        </w:tc>
        <w:tc>
          <w:tcPr>
            <w:tcW w:w="977" w:type="dxa"/>
            <w:tcBorders>
              <w:bottom w:val="single" w:sz="4" w:space="0" w:color="auto"/>
            </w:tcBorders>
            <w:shd w:val="clear" w:color="auto" w:fill="D9D9D9" w:themeFill="background1" w:themeFillShade="D9"/>
          </w:tcPr>
          <w:p w14:paraId="568198DB"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2.6</w:t>
            </w:r>
          </w:p>
        </w:tc>
        <w:tc>
          <w:tcPr>
            <w:tcW w:w="978" w:type="dxa"/>
            <w:tcBorders>
              <w:bottom w:val="single" w:sz="4" w:space="0" w:color="auto"/>
            </w:tcBorders>
            <w:shd w:val="clear" w:color="auto" w:fill="D9D9D9" w:themeFill="background1" w:themeFillShade="D9"/>
          </w:tcPr>
          <w:p w14:paraId="44D1ED83" w14:textId="77777777" w:rsidR="00134236" w:rsidRPr="00134236" w:rsidRDefault="00134236" w:rsidP="00134236">
            <w:pPr>
              <w:spacing w:after="0" w:line="240" w:lineRule="auto"/>
              <w:jc w:val="center"/>
              <w:rPr>
                <w:sz w:val="20"/>
                <w:szCs w:val="20"/>
              </w:rPr>
            </w:pPr>
            <w:r w:rsidRPr="00134236">
              <w:rPr>
                <w:sz w:val="20"/>
                <w:szCs w:val="20"/>
              </w:rPr>
              <w:t>88.3%</w:t>
            </w:r>
          </w:p>
        </w:tc>
      </w:tr>
      <w:tr w:rsidR="00134236" w:rsidRPr="00F62CFC" w14:paraId="1A3EA7F8" w14:textId="77777777" w:rsidTr="00DF5AC6">
        <w:tc>
          <w:tcPr>
            <w:tcW w:w="9558" w:type="dxa"/>
            <w:gridSpan w:val="8"/>
            <w:tcBorders>
              <w:left w:val="nil"/>
              <w:bottom w:val="nil"/>
              <w:right w:val="nil"/>
            </w:tcBorders>
            <w:shd w:val="clear" w:color="auto" w:fill="auto"/>
          </w:tcPr>
          <w:p w14:paraId="21BE3D34" w14:textId="38E8EF79" w:rsidR="00134236" w:rsidRPr="00E22258" w:rsidRDefault="00134236" w:rsidP="00E22258">
            <w:pPr>
              <w:spacing w:before="60" w:after="0" w:line="240" w:lineRule="auto"/>
              <w:rPr>
                <w:sz w:val="18"/>
                <w:szCs w:val="18"/>
              </w:rPr>
            </w:pPr>
            <w:r w:rsidRPr="00E22258">
              <w:rPr>
                <w:sz w:val="18"/>
                <w:szCs w:val="18"/>
              </w:rPr>
              <w:t>* Four-year cohort graduation rate for students from low income families used for 2014 and 2015 rates.</w:t>
            </w:r>
          </w:p>
        </w:tc>
      </w:tr>
    </w:tbl>
    <w:p w14:paraId="70BE91C8" w14:textId="77777777" w:rsidR="00134236" w:rsidRPr="00E22258" w:rsidRDefault="00134236" w:rsidP="00E22258">
      <w:pPr>
        <w:spacing w:before="60" w:after="0" w:line="240" w:lineRule="auto"/>
        <w:rPr>
          <w:sz w:val="18"/>
          <w:szCs w:val="18"/>
        </w:rPr>
      </w:pPr>
    </w:p>
    <w:p w14:paraId="59EBAACD" w14:textId="77777777" w:rsidR="00134236" w:rsidRPr="00134236" w:rsidRDefault="00134236" w:rsidP="00134236">
      <w:pPr>
        <w:spacing w:after="0" w:line="240" w:lineRule="auto"/>
      </w:pPr>
    </w:p>
    <w:p w14:paraId="41047222" w14:textId="53D83CE8" w:rsidR="00134236" w:rsidRPr="00134236" w:rsidRDefault="00134236" w:rsidP="00134236">
      <w:pPr>
        <w:spacing w:after="0" w:line="240" w:lineRule="auto"/>
        <w:rPr>
          <w:b/>
        </w:rPr>
      </w:pPr>
      <w:r w:rsidRPr="00134236">
        <w:rPr>
          <w:b/>
        </w:rPr>
        <w:t xml:space="preserve">Between 2013 and 2016, the district’s five-year cohort graduation rate increased by 2.7 percentage points for all </w:t>
      </w:r>
      <w:r w:rsidR="00304516">
        <w:rPr>
          <w:b/>
        </w:rPr>
        <w:t>students</w:t>
      </w:r>
      <w:r w:rsidR="00F62CFC">
        <w:rPr>
          <w:b/>
        </w:rPr>
        <w:t>,</w:t>
      </w:r>
      <w:r w:rsidR="00F62CFC" w:rsidRPr="00134236">
        <w:rPr>
          <w:b/>
        </w:rPr>
        <w:t xml:space="preserve"> </w:t>
      </w:r>
      <w:r w:rsidRPr="00134236">
        <w:rPr>
          <w:b/>
        </w:rPr>
        <w:t>from 93.8 percent in 2013 to 96.5 percent in 2016, above the state rate of 89.8 percent.</w:t>
      </w:r>
    </w:p>
    <w:p w14:paraId="629B5F43" w14:textId="77777777" w:rsidR="00134236" w:rsidRPr="00134236" w:rsidRDefault="00134236" w:rsidP="00134236">
      <w:pPr>
        <w:spacing w:after="0" w:line="240" w:lineRule="auto"/>
      </w:pPr>
    </w:p>
    <w:tbl>
      <w:tblPr>
        <w:tblStyle w:val="TableGrid5"/>
        <w:tblW w:w="9558" w:type="dxa"/>
        <w:tblLayout w:type="fixed"/>
        <w:tblLook w:val="04A0" w:firstRow="1" w:lastRow="0" w:firstColumn="1" w:lastColumn="0" w:noHBand="0" w:noVBand="1"/>
        <w:tblCaption w:val="Table 18: Wakefield Public Schools"/>
        <w:tblDescription w:val="Five-Year Cohort Graduation Rates, 2013–2016"/>
      </w:tblPr>
      <w:tblGrid>
        <w:gridCol w:w="2718"/>
        <w:gridCol w:w="977"/>
        <w:gridCol w:w="977"/>
        <w:gridCol w:w="977"/>
        <w:gridCol w:w="977"/>
        <w:gridCol w:w="977"/>
        <w:gridCol w:w="977"/>
        <w:gridCol w:w="978"/>
      </w:tblGrid>
      <w:tr w:rsidR="00134236" w:rsidRPr="00134236" w14:paraId="72D82905" w14:textId="77777777" w:rsidTr="00BB0032">
        <w:trPr>
          <w:tblHeader/>
        </w:trPr>
        <w:tc>
          <w:tcPr>
            <w:tcW w:w="9558" w:type="dxa"/>
            <w:gridSpan w:val="8"/>
            <w:tcBorders>
              <w:top w:val="nil"/>
              <w:left w:val="nil"/>
              <w:right w:val="nil"/>
            </w:tcBorders>
            <w:shd w:val="clear" w:color="auto" w:fill="auto"/>
          </w:tcPr>
          <w:p w14:paraId="7DA2702B" w14:textId="77777777" w:rsidR="00134236" w:rsidRPr="00134236" w:rsidRDefault="00134236" w:rsidP="00134236">
            <w:pPr>
              <w:spacing w:after="0" w:line="240" w:lineRule="auto"/>
              <w:jc w:val="center"/>
              <w:rPr>
                <w:b/>
                <w:sz w:val="20"/>
                <w:szCs w:val="20"/>
              </w:rPr>
            </w:pPr>
            <w:r w:rsidRPr="00134236">
              <w:rPr>
                <w:b/>
                <w:sz w:val="20"/>
                <w:szCs w:val="20"/>
              </w:rPr>
              <w:lastRenderedPageBreak/>
              <w:t xml:space="preserve">Table 18: </w:t>
            </w:r>
            <w:r w:rsidRPr="00134236">
              <w:rPr>
                <w:rFonts w:cs="Times New Roman"/>
                <w:b/>
                <w:sz w:val="20"/>
                <w:szCs w:val="20"/>
              </w:rPr>
              <w:t>Wakefield Public Schools</w:t>
            </w:r>
          </w:p>
          <w:p w14:paraId="5BB611DD" w14:textId="77777777" w:rsidR="00134236" w:rsidRPr="00134236" w:rsidRDefault="00134236" w:rsidP="00134236">
            <w:pPr>
              <w:spacing w:after="0" w:line="240" w:lineRule="auto"/>
              <w:jc w:val="center"/>
              <w:rPr>
                <w:b/>
              </w:rPr>
            </w:pPr>
            <w:r w:rsidRPr="00134236">
              <w:rPr>
                <w:b/>
                <w:sz w:val="20"/>
                <w:szCs w:val="20"/>
              </w:rPr>
              <w:t>Five-Year Cohort Graduation Rates, 2013–2016</w:t>
            </w:r>
          </w:p>
        </w:tc>
      </w:tr>
      <w:tr w:rsidR="00134236" w:rsidRPr="00134236" w14:paraId="7320C14F" w14:textId="77777777" w:rsidTr="00DF5AC6">
        <w:tc>
          <w:tcPr>
            <w:tcW w:w="2718" w:type="dxa"/>
            <w:shd w:val="clear" w:color="auto" w:fill="D9D9D9" w:themeFill="background1" w:themeFillShade="D9"/>
          </w:tcPr>
          <w:p w14:paraId="69AA8792" w14:textId="77777777" w:rsidR="00134236" w:rsidRPr="00134236" w:rsidRDefault="00134236" w:rsidP="00E22258">
            <w:pPr>
              <w:spacing w:after="0" w:line="240" w:lineRule="auto"/>
              <w:rPr>
                <w:b/>
                <w:sz w:val="20"/>
                <w:szCs w:val="20"/>
              </w:rPr>
            </w:pPr>
            <w:r w:rsidRPr="00134236">
              <w:rPr>
                <w:b/>
                <w:sz w:val="20"/>
                <w:szCs w:val="20"/>
              </w:rPr>
              <w:t>Group</w:t>
            </w:r>
          </w:p>
        </w:tc>
        <w:tc>
          <w:tcPr>
            <w:tcW w:w="977" w:type="dxa"/>
            <w:shd w:val="clear" w:color="auto" w:fill="D9D9D9" w:themeFill="background1" w:themeFillShade="D9"/>
          </w:tcPr>
          <w:p w14:paraId="4E1FD576" w14:textId="77777777" w:rsidR="00134236" w:rsidRPr="00134236" w:rsidRDefault="00134236" w:rsidP="00134236">
            <w:pPr>
              <w:spacing w:after="0" w:line="240" w:lineRule="auto"/>
              <w:jc w:val="center"/>
              <w:rPr>
                <w:b/>
                <w:sz w:val="20"/>
                <w:szCs w:val="20"/>
              </w:rPr>
            </w:pPr>
            <w:r w:rsidRPr="00134236">
              <w:rPr>
                <w:b/>
                <w:sz w:val="20"/>
                <w:szCs w:val="20"/>
              </w:rPr>
              <w:t>N</w:t>
            </w:r>
          </w:p>
          <w:p w14:paraId="364CFF83" w14:textId="77777777" w:rsidR="00134236" w:rsidRPr="00134236" w:rsidRDefault="00134236" w:rsidP="00134236">
            <w:pPr>
              <w:spacing w:after="0" w:line="240" w:lineRule="auto"/>
              <w:jc w:val="center"/>
              <w:rPr>
                <w:b/>
                <w:sz w:val="20"/>
                <w:szCs w:val="20"/>
              </w:rPr>
            </w:pPr>
            <w:r w:rsidRPr="00134236" w:rsidDel="00332D9F">
              <w:rPr>
                <w:b/>
                <w:sz w:val="20"/>
                <w:szCs w:val="20"/>
              </w:rPr>
              <w:t xml:space="preserve"> </w:t>
            </w:r>
            <w:r w:rsidRPr="00134236">
              <w:rPr>
                <w:b/>
                <w:sz w:val="20"/>
                <w:szCs w:val="20"/>
              </w:rPr>
              <w:t>(2016)</w:t>
            </w:r>
          </w:p>
        </w:tc>
        <w:tc>
          <w:tcPr>
            <w:tcW w:w="977" w:type="dxa"/>
            <w:shd w:val="clear" w:color="auto" w:fill="D9D9D9" w:themeFill="background1" w:themeFillShade="D9"/>
          </w:tcPr>
          <w:p w14:paraId="42F310CB" w14:textId="77777777" w:rsidR="00134236" w:rsidRPr="00134236" w:rsidRDefault="00134236" w:rsidP="00134236">
            <w:pPr>
              <w:spacing w:after="0" w:line="240" w:lineRule="auto"/>
              <w:jc w:val="center"/>
              <w:rPr>
                <w:b/>
                <w:sz w:val="20"/>
                <w:szCs w:val="20"/>
              </w:rPr>
            </w:pPr>
            <w:r w:rsidRPr="00134236">
              <w:rPr>
                <w:b/>
                <w:sz w:val="20"/>
                <w:szCs w:val="20"/>
              </w:rPr>
              <w:t>2013</w:t>
            </w:r>
          </w:p>
        </w:tc>
        <w:tc>
          <w:tcPr>
            <w:tcW w:w="977" w:type="dxa"/>
            <w:shd w:val="clear" w:color="auto" w:fill="D9D9D9" w:themeFill="background1" w:themeFillShade="D9"/>
          </w:tcPr>
          <w:p w14:paraId="01D80B2D" w14:textId="77777777" w:rsidR="00134236" w:rsidRPr="00134236" w:rsidRDefault="00134236" w:rsidP="00134236">
            <w:pPr>
              <w:spacing w:after="0" w:line="240" w:lineRule="auto"/>
              <w:jc w:val="center"/>
              <w:rPr>
                <w:b/>
                <w:sz w:val="20"/>
                <w:szCs w:val="20"/>
              </w:rPr>
            </w:pPr>
            <w:r w:rsidRPr="00134236">
              <w:rPr>
                <w:b/>
                <w:sz w:val="20"/>
                <w:szCs w:val="20"/>
              </w:rPr>
              <w:t>2014</w:t>
            </w:r>
          </w:p>
        </w:tc>
        <w:tc>
          <w:tcPr>
            <w:tcW w:w="977" w:type="dxa"/>
            <w:shd w:val="clear" w:color="auto" w:fill="D9D9D9" w:themeFill="background1" w:themeFillShade="D9"/>
          </w:tcPr>
          <w:p w14:paraId="58315F24" w14:textId="77777777" w:rsidR="00134236" w:rsidRPr="00134236" w:rsidRDefault="00134236" w:rsidP="00134236">
            <w:pPr>
              <w:spacing w:after="0" w:line="240" w:lineRule="auto"/>
              <w:jc w:val="center"/>
              <w:rPr>
                <w:b/>
                <w:sz w:val="20"/>
                <w:szCs w:val="20"/>
              </w:rPr>
            </w:pPr>
            <w:r w:rsidRPr="00134236">
              <w:rPr>
                <w:b/>
                <w:sz w:val="20"/>
                <w:szCs w:val="20"/>
              </w:rPr>
              <w:t>2015</w:t>
            </w:r>
          </w:p>
        </w:tc>
        <w:tc>
          <w:tcPr>
            <w:tcW w:w="977" w:type="dxa"/>
            <w:shd w:val="clear" w:color="auto" w:fill="D9D9D9" w:themeFill="background1" w:themeFillShade="D9"/>
          </w:tcPr>
          <w:p w14:paraId="791BBED8" w14:textId="77777777" w:rsidR="00134236" w:rsidRPr="00134236" w:rsidRDefault="00134236" w:rsidP="00134236">
            <w:pPr>
              <w:spacing w:after="0" w:line="240" w:lineRule="auto"/>
              <w:jc w:val="center"/>
              <w:rPr>
                <w:b/>
                <w:sz w:val="20"/>
                <w:szCs w:val="20"/>
              </w:rPr>
            </w:pPr>
            <w:r w:rsidRPr="00134236">
              <w:rPr>
                <w:b/>
                <w:sz w:val="20"/>
                <w:szCs w:val="20"/>
              </w:rPr>
              <w:t>2016</w:t>
            </w:r>
          </w:p>
        </w:tc>
        <w:tc>
          <w:tcPr>
            <w:tcW w:w="977" w:type="dxa"/>
            <w:shd w:val="clear" w:color="auto" w:fill="D9D9D9" w:themeFill="background1" w:themeFillShade="D9"/>
          </w:tcPr>
          <w:p w14:paraId="38756259" w14:textId="77777777" w:rsidR="00134236" w:rsidRPr="00134236" w:rsidRDefault="00134236" w:rsidP="00134236">
            <w:pPr>
              <w:spacing w:after="0" w:line="240" w:lineRule="auto"/>
              <w:jc w:val="center"/>
              <w:rPr>
                <w:b/>
                <w:sz w:val="20"/>
                <w:szCs w:val="20"/>
              </w:rPr>
            </w:pPr>
            <w:r w:rsidRPr="00134236">
              <w:rPr>
                <w:b/>
                <w:sz w:val="20"/>
                <w:szCs w:val="20"/>
              </w:rPr>
              <w:t>4-yr Change</w:t>
            </w:r>
          </w:p>
        </w:tc>
        <w:tc>
          <w:tcPr>
            <w:tcW w:w="978" w:type="dxa"/>
            <w:shd w:val="clear" w:color="auto" w:fill="D9D9D9" w:themeFill="background1" w:themeFillShade="D9"/>
          </w:tcPr>
          <w:p w14:paraId="0A4AD02B" w14:textId="77777777" w:rsidR="00134236" w:rsidRPr="00134236" w:rsidRDefault="00134236" w:rsidP="00134236">
            <w:pPr>
              <w:spacing w:after="0" w:line="240" w:lineRule="auto"/>
              <w:jc w:val="center"/>
              <w:rPr>
                <w:b/>
                <w:sz w:val="20"/>
                <w:szCs w:val="20"/>
              </w:rPr>
            </w:pPr>
            <w:r w:rsidRPr="00134236">
              <w:rPr>
                <w:b/>
                <w:sz w:val="20"/>
                <w:szCs w:val="20"/>
              </w:rPr>
              <w:t>State (2016)</w:t>
            </w:r>
          </w:p>
        </w:tc>
      </w:tr>
      <w:tr w:rsidR="00134236" w:rsidRPr="00134236" w14:paraId="230C18B5" w14:textId="77777777" w:rsidTr="00DF5AC6">
        <w:tc>
          <w:tcPr>
            <w:tcW w:w="2718" w:type="dxa"/>
          </w:tcPr>
          <w:p w14:paraId="4AA4DCAC" w14:textId="77777777" w:rsidR="00134236" w:rsidRPr="00134236" w:rsidRDefault="00134236" w:rsidP="00134236">
            <w:pPr>
              <w:spacing w:after="0" w:line="240" w:lineRule="auto"/>
              <w:rPr>
                <w:sz w:val="20"/>
                <w:szCs w:val="20"/>
              </w:rPr>
            </w:pPr>
            <w:r w:rsidRPr="00134236">
              <w:rPr>
                <w:sz w:val="20"/>
                <w:szCs w:val="20"/>
              </w:rPr>
              <w:t>High needs</w:t>
            </w:r>
          </w:p>
        </w:tc>
        <w:tc>
          <w:tcPr>
            <w:tcW w:w="977" w:type="dxa"/>
          </w:tcPr>
          <w:p w14:paraId="31B29EC2"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79</w:t>
            </w:r>
          </w:p>
        </w:tc>
        <w:tc>
          <w:tcPr>
            <w:tcW w:w="977" w:type="dxa"/>
          </w:tcPr>
          <w:p w14:paraId="2C813E03"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86.3%</w:t>
            </w:r>
          </w:p>
        </w:tc>
        <w:tc>
          <w:tcPr>
            <w:tcW w:w="977" w:type="dxa"/>
          </w:tcPr>
          <w:p w14:paraId="7534C224"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80.8%</w:t>
            </w:r>
          </w:p>
        </w:tc>
        <w:tc>
          <w:tcPr>
            <w:tcW w:w="977" w:type="dxa"/>
          </w:tcPr>
          <w:p w14:paraId="0408E31B"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79.1%</w:t>
            </w:r>
          </w:p>
        </w:tc>
        <w:tc>
          <w:tcPr>
            <w:tcW w:w="977" w:type="dxa"/>
          </w:tcPr>
          <w:p w14:paraId="63FD3861"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89.9%</w:t>
            </w:r>
          </w:p>
        </w:tc>
        <w:tc>
          <w:tcPr>
            <w:tcW w:w="977" w:type="dxa"/>
          </w:tcPr>
          <w:p w14:paraId="0468DC93" w14:textId="77777777" w:rsidR="00134236" w:rsidRPr="00134236" w:rsidRDefault="00134236" w:rsidP="00134236">
            <w:pPr>
              <w:spacing w:after="0" w:line="240" w:lineRule="auto"/>
              <w:jc w:val="center"/>
              <w:rPr>
                <w:rFonts w:ascii="Calibri" w:hAnsi="Calibri"/>
                <w:color w:val="000000"/>
                <w:sz w:val="20"/>
                <w:szCs w:val="20"/>
              </w:rPr>
            </w:pPr>
            <w:r w:rsidRPr="00134236">
              <w:rPr>
                <w:rFonts w:ascii="Calibri" w:hAnsi="Calibri"/>
                <w:color w:val="000000"/>
                <w:sz w:val="20"/>
                <w:szCs w:val="20"/>
              </w:rPr>
              <w:t>3.6</w:t>
            </w:r>
          </w:p>
        </w:tc>
        <w:tc>
          <w:tcPr>
            <w:tcW w:w="978" w:type="dxa"/>
          </w:tcPr>
          <w:p w14:paraId="45E2A621" w14:textId="77777777" w:rsidR="00134236" w:rsidRPr="00134236" w:rsidRDefault="00134236" w:rsidP="00134236">
            <w:pPr>
              <w:spacing w:after="0" w:line="240" w:lineRule="auto"/>
              <w:jc w:val="center"/>
              <w:rPr>
                <w:sz w:val="20"/>
                <w:szCs w:val="20"/>
              </w:rPr>
            </w:pPr>
            <w:r w:rsidRPr="00134236">
              <w:rPr>
                <w:sz w:val="20"/>
                <w:szCs w:val="20"/>
              </w:rPr>
              <w:t>82.9%</w:t>
            </w:r>
          </w:p>
        </w:tc>
      </w:tr>
      <w:tr w:rsidR="00134236" w:rsidRPr="00134236" w14:paraId="041C0463" w14:textId="77777777" w:rsidTr="00DF5AC6">
        <w:tc>
          <w:tcPr>
            <w:tcW w:w="2718" w:type="dxa"/>
            <w:shd w:val="clear" w:color="auto" w:fill="D9D9D9" w:themeFill="background1" w:themeFillShade="D9"/>
          </w:tcPr>
          <w:p w14:paraId="221C8DA1" w14:textId="77777777" w:rsidR="00134236" w:rsidRPr="00134236" w:rsidRDefault="00134236" w:rsidP="00134236">
            <w:pPr>
              <w:spacing w:after="0" w:line="240" w:lineRule="auto"/>
              <w:rPr>
                <w:sz w:val="20"/>
                <w:szCs w:val="20"/>
              </w:rPr>
            </w:pPr>
            <w:r w:rsidRPr="00134236">
              <w:rPr>
                <w:sz w:val="20"/>
                <w:szCs w:val="20"/>
              </w:rPr>
              <w:t>Economically Disadvantaged*</w:t>
            </w:r>
          </w:p>
        </w:tc>
        <w:tc>
          <w:tcPr>
            <w:tcW w:w="977" w:type="dxa"/>
            <w:shd w:val="clear" w:color="auto" w:fill="D9D9D9" w:themeFill="background1" w:themeFillShade="D9"/>
          </w:tcPr>
          <w:p w14:paraId="3C7223F8"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62</w:t>
            </w:r>
          </w:p>
        </w:tc>
        <w:tc>
          <w:tcPr>
            <w:tcW w:w="977" w:type="dxa"/>
            <w:shd w:val="clear" w:color="auto" w:fill="D9D9D9" w:themeFill="background1" w:themeFillShade="D9"/>
          </w:tcPr>
          <w:p w14:paraId="01DAA9B4"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90.2%</w:t>
            </w:r>
          </w:p>
        </w:tc>
        <w:tc>
          <w:tcPr>
            <w:tcW w:w="977" w:type="dxa"/>
            <w:shd w:val="clear" w:color="auto" w:fill="D9D9D9" w:themeFill="background1" w:themeFillShade="D9"/>
          </w:tcPr>
          <w:p w14:paraId="3CAD123E"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87.2%</w:t>
            </w:r>
          </w:p>
        </w:tc>
        <w:tc>
          <w:tcPr>
            <w:tcW w:w="977" w:type="dxa"/>
            <w:shd w:val="clear" w:color="auto" w:fill="D9D9D9" w:themeFill="background1" w:themeFillShade="D9"/>
          </w:tcPr>
          <w:p w14:paraId="56A1A2AD"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83.6%</w:t>
            </w:r>
          </w:p>
        </w:tc>
        <w:tc>
          <w:tcPr>
            <w:tcW w:w="977" w:type="dxa"/>
            <w:shd w:val="clear" w:color="auto" w:fill="D9D9D9" w:themeFill="background1" w:themeFillShade="D9"/>
          </w:tcPr>
          <w:p w14:paraId="11EAA2A3"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88.7%</w:t>
            </w:r>
          </w:p>
        </w:tc>
        <w:tc>
          <w:tcPr>
            <w:tcW w:w="977" w:type="dxa"/>
            <w:shd w:val="clear" w:color="auto" w:fill="D9D9D9" w:themeFill="background1" w:themeFillShade="D9"/>
          </w:tcPr>
          <w:p w14:paraId="716E0E3F" w14:textId="77777777" w:rsidR="00134236" w:rsidRPr="00134236" w:rsidRDefault="00134236" w:rsidP="00134236">
            <w:pPr>
              <w:spacing w:after="0" w:line="240" w:lineRule="auto"/>
              <w:jc w:val="center"/>
              <w:rPr>
                <w:rFonts w:ascii="Calibri" w:hAnsi="Calibri"/>
                <w:color w:val="000000"/>
                <w:sz w:val="20"/>
                <w:szCs w:val="20"/>
              </w:rPr>
            </w:pPr>
            <w:r w:rsidRPr="00134236">
              <w:rPr>
                <w:rFonts w:ascii="Calibri" w:hAnsi="Calibri"/>
                <w:color w:val="000000"/>
                <w:sz w:val="20"/>
                <w:szCs w:val="20"/>
              </w:rPr>
              <w:t>-1.5</w:t>
            </w:r>
          </w:p>
        </w:tc>
        <w:tc>
          <w:tcPr>
            <w:tcW w:w="978" w:type="dxa"/>
            <w:shd w:val="clear" w:color="auto" w:fill="D9D9D9" w:themeFill="background1" w:themeFillShade="D9"/>
          </w:tcPr>
          <w:p w14:paraId="26256838" w14:textId="77777777" w:rsidR="00134236" w:rsidRPr="00134236" w:rsidRDefault="00134236" w:rsidP="00134236">
            <w:pPr>
              <w:spacing w:after="0" w:line="240" w:lineRule="auto"/>
              <w:jc w:val="center"/>
              <w:rPr>
                <w:sz w:val="20"/>
                <w:szCs w:val="20"/>
              </w:rPr>
            </w:pPr>
            <w:r w:rsidRPr="00134236">
              <w:rPr>
                <w:sz w:val="20"/>
                <w:szCs w:val="20"/>
              </w:rPr>
              <w:t>82.1%</w:t>
            </w:r>
          </w:p>
        </w:tc>
      </w:tr>
      <w:tr w:rsidR="00134236" w:rsidRPr="00134236" w14:paraId="5523164A" w14:textId="77777777" w:rsidTr="00DF5AC6">
        <w:tc>
          <w:tcPr>
            <w:tcW w:w="2718" w:type="dxa"/>
          </w:tcPr>
          <w:p w14:paraId="41E10DDA" w14:textId="77777777" w:rsidR="00134236" w:rsidRPr="00134236" w:rsidRDefault="00134236" w:rsidP="00134236">
            <w:pPr>
              <w:spacing w:after="0" w:line="240" w:lineRule="auto"/>
              <w:rPr>
                <w:sz w:val="20"/>
                <w:szCs w:val="20"/>
              </w:rPr>
            </w:pPr>
            <w:r w:rsidRPr="00134236">
              <w:rPr>
                <w:sz w:val="20"/>
                <w:szCs w:val="20"/>
              </w:rPr>
              <w:t>ELLs</w:t>
            </w:r>
          </w:p>
        </w:tc>
        <w:tc>
          <w:tcPr>
            <w:tcW w:w="977" w:type="dxa"/>
          </w:tcPr>
          <w:p w14:paraId="71DD2D66"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3</w:t>
            </w:r>
          </w:p>
        </w:tc>
        <w:tc>
          <w:tcPr>
            <w:tcW w:w="977" w:type="dxa"/>
          </w:tcPr>
          <w:p w14:paraId="4D238DA7"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977" w:type="dxa"/>
          </w:tcPr>
          <w:p w14:paraId="67FE1336"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977" w:type="dxa"/>
          </w:tcPr>
          <w:p w14:paraId="1933ECC4"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977" w:type="dxa"/>
          </w:tcPr>
          <w:p w14:paraId="780ECF20"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977" w:type="dxa"/>
          </w:tcPr>
          <w:p w14:paraId="6B2CFA1B" w14:textId="77777777" w:rsidR="00134236" w:rsidRPr="00134236" w:rsidRDefault="00134236" w:rsidP="00134236">
            <w:pPr>
              <w:spacing w:after="0" w:line="240" w:lineRule="auto"/>
              <w:jc w:val="center"/>
              <w:rPr>
                <w:rFonts w:ascii="Calibri" w:hAnsi="Calibri"/>
                <w:color w:val="000000"/>
                <w:sz w:val="20"/>
                <w:szCs w:val="20"/>
              </w:rPr>
            </w:pPr>
            <w:r w:rsidRPr="00134236">
              <w:rPr>
                <w:rFonts w:ascii="Calibri" w:hAnsi="Calibri"/>
                <w:color w:val="000000"/>
                <w:sz w:val="20"/>
                <w:szCs w:val="20"/>
              </w:rPr>
              <w:t>--</w:t>
            </w:r>
          </w:p>
        </w:tc>
        <w:tc>
          <w:tcPr>
            <w:tcW w:w="978" w:type="dxa"/>
          </w:tcPr>
          <w:p w14:paraId="3783C4D6" w14:textId="77777777" w:rsidR="00134236" w:rsidRPr="00134236" w:rsidRDefault="00134236" w:rsidP="00134236">
            <w:pPr>
              <w:spacing w:after="0" w:line="240" w:lineRule="auto"/>
              <w:jc w:val="center"/>
              <w:rPr>
                <w:sz w:val="20"/>
                <w:szCs w:val="20"/>
              </w:rPr>
            </w:pPr>
            <w:r w:rsidRPr="00134236">
              <w:rPr>
                <w:sz w:val="20"/>
                <w:szCs w:val="20"/>
              </w:rPr>
              <w:t>70.9%</w:t>
            </w:r>
          </w:p>
        </w:tc>
      </w:tr>
      <w:tr w:rsidR="00134236" w:rsidRPr="00134236" w14:paraId="74B52D8D" w14:textId="77777777" w:rsidTr="00DF5AC6">
        <w:tc>
          <w:tcPr>
            <w:tcW w:w="2718" w:type="dxa"/>
            <w:shd w:val="clear" w:color="auto" w:fill="D9D9D9" w:themeFill="background1" w:themeFillShade="D9"/>
          </w:tcPr>
          <w:p w14:paraId="3E1AF8D6" w14:textId="77777777" w:rsidR="00134236" w:rsidRPr="00134236" w:rsidRDefault="00134236" w:rsidP="00134236">
            <w:pPr>
              <w:spacing w:after="0" w:line="240" w:lineRule="auto"/>
              <w:rPr>
                <w:sz w:val="20"/>
                <w:szCs w:val="20"/>
              </w:rPr>
            </w:pPr>
            <w:r w:rsidRPr="00134236">
              <w:rPr>
                <w:sz w:val="20"/>
                <w:szCs w:val="20"/>
              </w:rPr>
              <w:t>SWD</w:t>
            </w:r>
          </w:p>
        </w:tc>
        <w:tc>
          <w:tcPr>
            <w:tcW w:w="977" w:type="dxa"/>
            <w:shd w:val="clear" w:color="auto" w:fill="D9D9D9" w:themeFill="background1" w:themeFillShade="D9"/>
          </w:tcPr>
          <w:p w14:paraId="2BC90F6C"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32</w:t>
            </w:r>
          </w:p>
        </w:tc>
        <w:tc>
          <w:tcPr>
            <w:tcW w:w="977" w:type="dxa"/>
            <w:shd w:val="clear" w:color="auto" w:fill="D9D9D9" w:themeFill="background1" w:themeFillShade="D9"/>
          </w:tcPr>
          <w:p w14:paraId="5B61685E"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74.4%</w:t>
            </w:r>
          </w:p>
        </w:tc>
        <w:tc>
          <w:tcPr>
            <w:tcW w:w="977" w:type="dxa"/>
            <w:shd w:val="clear" w:color="auto" w:fill="D9D9D9" w:themeFill="background1" w:themeFillShade="D9"/>
          </w:tcPr>
          <w:p w14:paraId="42EDB896"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77.8%</w:t>
            </w:r>
          </w:p>
        </w:tc>
        <w:tc>
          <w:tcPr>
            <w:tcW w:w="977" w:type="dxa"/>
            <w:shd w:val="clear" w:color="auto" w:fill="D9D9D9" w:themeFill="background1" w:themeFillShade="D9"/>
          </w:tcPr>
          <w:p w14:paraId="34CF358C"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72.7%</w:t>
            </w:r>
          </w:p>
        </w:tc>
        <w:tc>
          <w:tcPr>
            <w:tcW w:w="977" w:type="dxa"/>
            <w:shd w:val="clear" w:color="auto" w:fill="D9D9D9" w:themeFill="background1" w:themeFillShade="D9"/>
          </w:tcPr>
          <w:p w14:paraId="0C461AA6"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84.4%</w:t>
            </w:r>
          </w:p>
        </w:tc>
        <w:tc>
          <w:tcPr>
            <w:tcW w:w="977" w:type="dxa"/>
            <w:shd w:val="clear" w:color="auto" w:fill="D9D9D9" w:themeFill="background1" w:themeFillShade="D9"/>
          </w:tcPr>
          <w:p w14:paraId="7878FD29" w14:textId="77777777" w:rsidR="00134236" w:rsidRPr="00134236" w:rsidRDefault="00134236" w:rsidP="00134236">
            <w:pPr>
              <w:spacing w:after="0" w:line="240" w:lineRule="auto"/>
              <w:jc w:val="center"/>
              <w:rPr>
                <w:rFonts w:ascii="Calibri" w:hAnsi="Calibri"/>
                <w:color w:val="000000"/>
                <w:sz w:val="20"/>
                <w:szCs w:val="20"/>
              </w:rPr>
            </w:pPr>
            <w:r w:rsidRPr="00134236">
              <w:rPr>
                <w:rFonts w:ascii="Calibri" w:hAnsi="Calibri"/>
                <w:color w:val="000000"/>
                <w:sz w:val="20"/>
                <w:szCs w:val="20"/>
              </w:rPr>
              <w:t>10</w:t>
            </w:r>
          </w:p>
        </w:tc>
        <w:tc>
          <w:tcPr>
            <w:tcW w:w="978" w:type="dxa"/>
            <w:shd w:val="clear" w:color="auto" w:fill="D9D9D9" w:themeFill="background1" w:themeFillShade="D9"/>
          </w:tcPr>
          <w:p w14:paraId="54950A33" w14:textId="77777777" w:rsidR="00134236" w:rsidRPr="00134236" w:rsidRDefault="00134236" w:rsidP="00134236">
            <w:pPr>
              <w:spacing w:after="0" w:line="240" w:lineRule="auto"/>
              <w:jc w:val="center"/>
              <w:rPr>
                <w:sz w:val="20"/>
                <w:szCs w:val="20"/>
              </w:rPr>
            </w:pPr>
            <w:r w:rsidRPr="00134236">
              <w:rPr>
                <w:sz w:val="20"/>
                <w:szCs w:val="20"/>
              </w:rPr>
              <w:t>76.5%</w:t>
            </w:r>
          </w:p>
        </w:tc>
      </w:tr>
      <w:tr w:rsidR="00134236" w:rsidRPr="00134236" w14:paraId="22FD1D26" w14:textId="77777777" w:rsidTr="00DF5AC6">
        <w:tc>
          <w:tcPr>
            <w:tcW w:w="2718" w:type="dxa"/>
          </w:tcPr>
          <w:p w14:paraId="65A1710F" w14:textId="5B37C43B" w:rsidR="00134236" w:rsidRPr="00134236" w:rsidRDefault="00134236" w:rsidP="00282F1F">
            <w:pPr>
              <w:spacing w:after="0" w:line="240" w:lineRule="auto"/>
              <w:rPr>
                <w:rFonts w:eastAsia="Times New Roman" w:cs="Times New Roman"/>
                <w:sz w:val="20"/>
                <w:szCs w:val="20"/>
              </w:rPr>
            </w:pPr>
            <w:r w:rsidRPr="00134236">
              <w:rPr>
                <w:rFonts w:eastAsia="Times New Roman" w:cs="Times New Roman"/>
                <w:sz w:val="20"/>
                <w:szCs w:val="20"/>
              </w:rPr>
              <w:t>African American</w:t>
            </w:r>
          </w:p>
        </w:tc>
        <w:tc>
          <w:tcPr>
            <w:tcW w:w="977" w:type="dxa"/>
          </w:tcPr>
          <w:p w14:paraId="7D7B2995"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8</w:t>
            </w:r>
          </w:p>
        </w:tc>
        <w:tc>
          <w:tcPr>
            <w:tcW w:w="977" w:type="dxa"/>
          </w:tcPr>
          <w:p w14:paraId="78F730DC"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977" w:type="dxa"/>
          </w:tcPr>
          <w:p w14:paraId="3E1A7251"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83.3%</w:t>
            </w:r>
          </w:p>
        </w:tc>
        <w:tc>
          <w:tcPr>
            <w:tcW w:w="977" w:type="dxa"/>
          </w:tcPr>
          <w:p w14:paraId="17A053C9"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977" w:type="dxa"/>
          </w:tcPr>
          <w:p w14:paraId="7CBB0EFF"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100%</w:t>
            </w:r>
          </w:p>
        </w:tc>
        <w:tc>
          <w:tcPr>
            <w:tcW w:w="977" w:type="dxa"/>
          </w:tcPr>
          <w:p w14:paraId="2F3B49B2" w14:textId="77777777" w:rsidR="00134236" w:rsidRPr="00134236" w:rsidRDefault="00134236" w:rsidP="00134236">
            <w:pPr>
              <w:spacing w:after="0" w:line="240" w:lineRule="auto"/>
              <w:jc w:val="center"/>
              <w:rPr>
                <w:rFonts w:ascii="Calibri" w:hAnsi="Calibri"/>
                <w:color w:val="000000"/>
                <w:sz w:val="20"/>
                <w:szCs w:val="20"/>
              </w:rPr>
            </w:pPr>
            <w:r w:rsidRPr="00134236">
              <w:rPr>
                <w:rFonts w:ascii="Calibri" w:hAnsi="Calibri"/>
                <w:color w:val="000000"/>
                <w:sz w:val="20"/>
                <w:szCs w:val="20"/>
              </w:rPr>
              <w:t>--</w:t>
            </w:r>
          </w:p>
        </w:tc>
        <w:tc>
          <w:tcPr>
            <w:tcW w:w="978" w:type="dxa"/>
          </w:tcPr>
          <w:p w14:paraId="1086EB4A" w14:textId="77777777" w:rsidR="00134236" w:rsidRPr="00134236" w:rsidRDefault="00134236" w:rsidP="00134236">
            <w:pPr>
              <w:spacing w:after="0" w:line="240" w:lineRule="auto"/>
              <w:jc w:val="center"/>
              <w:rPr>
                <w:sz w:val="20"/>
                <w:szCs w:val="20"/>
              </w:rPr>
            </w:pPr>
            <w:r w:rsidRPr="00134236">
              <w:rPr>
                <w:sz w:val="20"/>
                <w:szCs w:val="20"/>
              </w:rPr>
              <w:t>83.4%</w:t>
            </w:r>
          </w:p>
        </w:tc>
      </w:tr>
      <w:tr w:rsidR="00134236" w:rsidRPr="00134236" w14:paraId="074AF51C" w14:textId="77777777" w:rsidTr="00DF5AC6">
        <w:tc>
          <w:tcPr>
            <w:tcW w:w="2718" w:type="dxa"/>
            <w:shd w:val="clear" w:color="auto" w:fill="D9D9D9" w:themeFill="background1" w:themeFillShade="D9"/>
          </w:tcPr>
          <w:p w14:paraId="6353F52C" w14:textId="77777777" w:rsidR="00134236" w:rsidRPr="00134236" w:rsidRDefault="00134236" w:rsidP="00134236">
            <w:pPr>
              <w:spacing w:after="0" w:line="240" w:lineRule="auto"/>
              <w:rPr>
                <w:rFonts w:eastAsia="Times New Roman" w:cs="Times New Roman"/>
                <w:sz w:val="20"/>
                <w:szCs w:val="20"/>
              </w:rPr>
            </w:pPr>
            <w:r w:rsidRPr="00134236">
              <w:rPr>
                <w:rFonts w:eastAsia="Times New Roman" w:cs="Times New Roman"/>
                <w:sz w:val="20"/>
                <w:szCs w:val="20"/>
              </w:rPr>
              <w:t>Asian</w:t>
            </w:r>
          </w:p>
        </w:tc>
        <w:tc>
          <w:tcPr>
            <w:tcW w:w="977" w:type="dxa"/>
            <w:shd w:val="clear" w:color="auto" w:fill="D9D9D9" w:themeFill="background1" w:themeFillShade="D9"/>
          </w:tcPr>
          <w:p w14:paraId="26F185EF"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9</w:t>
            </w:r>
          </w:p>
        </w:tc>
        <w:tc>
          <w:tcPr>
            <w:tcW w:w="977" w:type="dxa"/>
            <w:shd w:val="clear" w:color="auto" w:fill="D9D9D9" w:themeFill="background1" w:themeFillShade="D9"/>
          </w:tcPr>
          <w:p w14:paraId="1AABD959"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100%</w:t>
            </w:r>
          </w:p>
        </w:tc>
        <w:tc>
          <w:tcPr>
            <w:tcW w:w="977" w:type="dxa"/>
            <w:shd w:val="clear" w:color="auto" w:fill="D9D9D9" w:themeFill="background1" w:themeFillShade="D9"/>
          </w:tcPr>
          <w:p w14:paraId="4DBDF5A9"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977" w:type="dxa"/>
            <w:shd w:val="clear" w:color="auto" w:fill="D9D9D9" w:themeFill="background1" w:themeFillShade="D9"/>
          </w:tcPr>
          <w:p w14:paraId="0B86356E"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100%</w:t>
            </w:r>
          </w:p>
        </w:tc>
        <w:tc>
          <w:tcPr>
            <w:tcW w:w="977" w:type="dxa"/>
            <w:shd w:val="clear" w:color="auto" w:fill="D9D9D9" w:themeFill="background1" w:themeFillShade="D9"/>
          </w:tcPr>
          <w:p w14:paraId="36BC790E"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88.9%</w:t>
            </w:r>
          </w:p>
        </w:tc>
        <w:tc>
          <w:tcPr>
            <w:tcW w:w="977" w:type="dxa"/>
            <w:shd w:val="clear" w:color="auto" w:fill="D9D9D9" w:themeFill="background1" w:themeFillShade="D9"/>
          </w:tcPr>
          <w:p w14:paraId="777CDB7C" w14:textId="77777777" w:rsidR="00134236" w:rsidRPr="00134236" w:rsidRDefault="00134236" w:rsidP="00134236">
            <w:pPr>
              <w:spacing w:after="0" w:line="240" w:lineRule="auto"/>
              <w:jc w:val="center"/>
              <w:rPr>
                <w:rFonts w:ascii="Calibri" w:hAnsi="Calibri"/>
                <w:color w:val="000000"/>
                <w:sz w:val="20"/>
                <w:szCs w:val="20"/>
              </w:rPr>
            </w:pPr>
            <w:r w:rsidRPr="00134236">
              <w:rPr>
                <w:rFonts w:ascii="Calibri" w:hAnsi="Calibri"/>
                <w:color w:val="000000"/>
                <w:sz w:val="20"/>
                <w:szCs w:val="20"/>
              </w:rPr>
              <w:t>-11.1</w:t>
            </w:r>
          </w:p>
        </w:tc>
        <w:tc>
          <w:tcPr>
            <w:tcW w:w="978" w:type="dxa"/>
            <w:shd w:val="clear" w:color="auto" w:fill="D9D9D9" w:themeFill="background1" w:themeFillShade="D9"/>
          </w:tcPr>
          <w:p w14:paraId="0BFD163E" w14:textId="77777777" w:rsidR="00134236" w:rsidRPr="00134236" w:rsidRDefault="00134236" w:rsidP="00134236">
            <w:pPr>
              <w:spacing w:after="0" w:line="240" w:lineRule="auto"/>
              <w:jc w:val="center"/>
              <w:rPr>
                <w:sz w:val="20"/>
                <w:szCs w:val="20"/>
              </w:rPr>
            </w:pPr>
            <w:r w:rsidRPr="00134236">
              <w:rPr>
                <w:sz w:val="20"/>
                <w:szCs w:val="20"/>
              </w:rPr>
              <w:t>94.8%</w:t>
            </w:r>
          </w:p>
        </w:tc>
      </w:tr>
      <w:tr w:rsidR="00134236" w:rsidRPr="00134236" w14:paraId="22A72EB4" w14:textId="77777777" w:rsidTr="00DF5AC6">
        <w:tc>
          <w:tcPr>
            <w:tcW w:w="2718" w:type="dxa"/>
          </w:tcPr>
          <w:p w14:paraId="61A9E991" w14:textId="77777777" w:rsidR="00134236" w:rsidRPr="00134236" w:rsidRDefault="00134236" w:rsidP="00134236">
            <w:pPr>
              <w:spacing w:after="0" w:line="240" w:lineRule="auto"/>
              <w:rPr>
                <w:rFonts w:eastAsia="Times New Roman" w:cs="Times New Roman"/>
                <w:sz w:val="20"/>
                <w:szCs w:val="20"/>
              </w:rPr>
            </w:pPr>
            <w:r w:rsidRPr="00134236">
              <w:rPr>
                <w:rFonts w:eastAsia="Times New Roman" w:cs="Times New Roman"/>
                <w:sz w:val="20"/>
                <w:szCs w:val="20"/>
              </w:rPr>
              <w:t>Hispanic or Latino</w:t>
            </w:r>
          </w:p>
        </w:tc>
        <w:tc>
          <w:tcPr>
            <w:tcW w:w="977" w:type="dxa"/>
          </w:tcPr>
          <w:p w14:paraId="4E725AEF"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7</w:t>
            </w:r>
          </w:p>
        </w:tc>
        <w:tc>
          <w:tcPr>
            <w:tcW w:w="977" w:type="dxa"/>
          </w:tcPr>
          <w:p w14:paraId="141754F3"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977" w:type="dxa"/>
          </w:tcPr>
          <w:p w14:paraId="5E22A4C0"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977" w:type="dxa"/>
          </w:tcPr>
          <w:p w14:paraId="7217359C"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977" w:type="dxa"/>
          </w:tcPr>
          <w:p w14:paraId="7F709608"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100%</w:t>
            </w:r>
          </w:p>
        </w:tc>
        <w:tc>
          <w:tcPr>
            <w:tcW w:w="977" w:type="dxa"/>
          </w:tcPr>
          <w:p w14:paraId="1D38B48F" w14:textId="77777777" w:rsidR="00134236" w:rsidRPr="00134236" w:rsidRDefault="00134236" w:rsidP="00134236">
            <w:pPr>
              <w:spacing w:after="0" w:line="240" w:lineRule="auto"/>
              <w:jc w:val="center"/>
              <w:rPr>
                <w:rFonts w:ascii="Calibri" w:hAnsi="Calibri"/>
                <w:color w:val="000000"/>
                <w:sz w:val="20"/>
                <w:szCs w:val="20"/>
              </w:rPr>
            </w:pPr>
            <w:r w:rsidRPr="00134236">
              <w:rPr>
                <w:rFonts w:ascii="Calibri" w:hAnsi="Calibri"/>
                <w:color w:val="000000"/>
                <w:sz w:val="20"/>
                <w:szCs w:val="20"/>
              </w:rPr>
              <w:t>--</w:t>
            </w:r>
          </w:p>
        </w:tc>
        <w:tc>
          <w:tcPr>
            <w:tcW w:w="978" w:type="dxa"/>
          </w:tcPr>
          <w:p w14:paraId="23738AF9" w14:textId="77777777" w:rsidR="00134236" w:rsidRPr="00134236" w:rsidRDefault="00134236" w:rsidP="00134236">
            <w:pPr>
              <w:spacing w:after="0" w:line="240" w:lineRule="auto"/>
              <w:jc w:val="center"/>
              <w:rPr>
                <w:sz w:val="20"/>
                <w:szCs w:val="20"/>
              </w:rPr>
            </w:pPr>
            <w:r w:rsidRPr="00134236">
              <w:rPr>
                <w:sz w:val="20"/>
                <w:szCs w:val="20"/>
              </w:rPr>
              <w:t>76.8%</w:t>
            </w:r>
          </w:p>
        </w:tc>
      </w:tr>
      <w:tr w:rsidR="00134236" w:rsidRPr="00134236" w14:paraId="59DD7246" w14:textId="77777777" w:rsidTr="00DF5AC6">
        <w:tc>
          <w:tcPr>
            <w:tcW w:w="2718" w:type="dxa"/>
            <w:shd w:val="clear" w:color="auto" w:fill="D9D9D9" w:themeFill="background1" w:themeFillShade="D9"/>
          </w:tcPr>
          <w:p w14:paraId="02B7645E" w14:textId="77777777" w:rsidR="00134236" w:rsidRPr="00134236" w:rsidRDefault="00134236" w:rsidP="00134236">
            <w:pPr>
              <w:spacing w:after="0" w:line="240" w:lineRule="auto"/>
              <w:rPr>
                <w:rFonts w:eastAsia="Times New Roman" w:cs="Times New Roman"/>
                <w:sz w:val="20"/>
                <w:szCs w:val="20"/>
              </w:rPr>
            </w:pPr>
            <w:r w:rsidRPr="00134236">
              <w:rPr>
                <w:rFonts w:eastAsia="Times New Roman" w:cs="Times New Roman"/>
                <w:sz w:val="20"/>
                <w:szCs w:val="20"/>
              </w:rPr>
              <w:t>Multi-Race, non-Hisp./Lat.</w:t>
            </w:r>
          </w:p>
        </w:tc>
        <w:tc>
          <w:tcPr>
            <w:tcW w:w="977" w:type="dxa"/>
            <w:shd w:val="clear" w:color="auto" w:fill="D9D9D9" w:themeFill="background1" w:themeFillShade="D9"/>
          </w:tcPr>
          <w:p w14:paraId="50922DBC"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3</w:t>
            </w:r>
          </w:p>
        </w:tc>
        <w:tc>
          <w:tcPr>
            <w:tcW w:w="977" w:type="dxa"/>
            <w:shd w:val="clear" w:color="auto" w:fill="D9D9D9" w:themeFill="background1" w:themeFillShade="D9"/>
          </w:tcPr>
          <w:p w14:paraId="12F158FF"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977" w:type="dxa"/>
            <w:shd w:val="clear" w:color="auto" w:fill="D9D9D9" w:themeFill="background1" w:themeFillShade="D9"/>
          </w:tcPr>
          <w:p w14:paraId="4FEFF4FE"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977" w:type="dxa"/>
            <w:shd w:val="clear" w:color="auto" w:fill="D9D9D9" w:themeFill="background1" w:themeFillShade="D9"/>
          </w:tcPr>
          <w:p w14:paraId="4396A39E"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977" w:type="dxa"/>
            <w:shd w:val="clear" w:color="auto" w:fill="D9D9D9" w:themeFill="background1" w:themeFillShade="D9"/>
          </w:tcPr>
          <w:p w14:paraId="050FBB18"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977" w:type="dxa"/>
            <w:shd w:val="clear" w:color="auto" w:fill="D9D9D9" w:themeFill="background1" w:themeFillShade="D9"/>
          </w:tcPr>
          <w:p w14:paraId="47894143" w14:textId="77777777" w:rsidR="00134236" w:rsidRPr="00134236" w:rsidRDefault="00134236" w:rsidP="00134236">
            <w:pPr>
              <w:spacing w:after="0" w:line="240" w:lineRule="auto"/>
              <w:jc w:val="center"/>
              <w:rPr>
                <w:rFonts w:ascii="Calibri" w:hAnsi="Calibri"/>
                <w:color w:val="000000"/>
                <w:sz w:val="20"/>
                <w:szCs w:val="20"/>
              </w:rPr>
            </w:pPr>
            <w:r w:rsidRPr="00134236">
              <w:rPr>
                <w:rFonts w:ascii="Calibri" w:hAnsi="Calibri"/>
                <w:color w:val="000000"/>
                <w:sz w:val="20"/>
                <w:szCs w:val="20"/>
              </w:rPr>
              <w:t>--</w:t>
            </w:r>
          </w:p>
        </w:tc>
        <w:tc>
          <w:tcPr>
            <w:tcW w:w="978" w:type="dxa"/>
            <w:shd w:val="clear" w:color="auto" w:fill="D9D9D9" w:themeFill="background1" w:themeFillShade="D9"/>
          </w:tcPr>
          <w:p w14:paraId="7799945C" w14:textId="77777777" w:rsidR="00134236" w:rsidRPr="00134236" w:rsidRDefault="00134236" w:rsidP="00134236">
            <w:pPr>
              <w:spacing w:after="0" w:line="240" w:lineRule="auto"/>
              <w:jc w:val="center"/>
              <w:rPr>
                <w:sz w:val="20"/>
                <w:szCs w:val="20"/>
              </w:rPr>
            </w:pPr>
            <w:r w:rsidRPr="00134236">
              <w:rPr>
                <w:sz w:val="20"/>
                <w:szCs w:val="20"/>
              </w:rPr>
              <w:t>87.4%</w:t>
            </w:r>
          </w:p>
        </w:tc>
      </w:tr>
      <w:tr w:rsidR="00134236" w:rsidRPr="00134236" w14:paraId="762791CD" w14:textId="77777777" w:rsidTr="00DF5AC6">
        <w:tc>
          <w:tcPr>
            <w:tcW w:w="2718" w:type="dxa"/>
          </w:tcPr>
          <w:p w14:paraId="1F75D427" w14:textId="77777777" w:rsidR="00134236" w:rsidRPr="00134236" w:rsidRDefault="00134236" w:rsidP="00134236">
            <w:pPr>
              <w:spacing w:after="0" w:line="240" w:lineRule="auto"/>
              <w:rPr>
                <w:rFonts w:eastAsia="Times New Roman" w:cs="Times New Roman"/>
                <w:sz w:val="20"/>
                <w:szCs w:val="20"/>
              </w:rPr>
            </w:pPr>
            <w:r w:rsidRPr="00134236">
              <w:rPr>
                <w:rFonts w:eastAsia="Times New Roman" w:cs="Times New Roman"/>
                <w:sz w:val="20"/>
                <w:szCs w:val="20"/>
              </w:rPr>
              <w:t>White</w:t>
            </w:r>
          </w:p>
        </w:tc>
        <w:tc>
          <w:tcPr>
            <w:tcW w:w="977" w:type="dxa"/>
          </w:tcPr>
          <w:p w14:paraId="0658A527"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230</w:t>
            </w:r>
          </w:p>
        </w:tc>
        <w:tc>
          <w:tcPr>
            <w:tcW w:w="977" w:type="dxa"/>
          </w:tcPr>
          <w:p w14:paraId="11C47980"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93.3%</w:t>
            </w:r>
          </w:p>
        </w:tc>
        <w:tc>
          <w:tcPr>
            <w:tcW w:w="977" w:type="dxa"/>
          </w:tcPr>
          <w:p w14:paraId="3975DD0C"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93.8%</w:t>
            </w:r>
          </w:p>
        </w:tc>
        <w:tc>
          <w:tcPr>
            <w:tcW w:w="977" w:type="dxa"/>
          </w:tcPr>
          <w:p w14:paraId="79ADDC03"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93.1%</w:t>
            </w:r>
          </w:p>
        </w:tc>
        <w:tc>
          <w:tcPr>
            <w:tcW w:w="977" w:type="dxa"/>
          </w:tcPr>
          <w:p w14:paraId="1DDE6A4F"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96.5%</w:t>
            </w:r>
          </w:p>
        </w:tc>
        <w:tc>
          <w:tcPr>
            <w:tcW w:w="977" w:type="dxa"/>
          </w:tcPr>
          <w:p w14:paraId="78A11F0E" w14:textId="77777777" w:rsidR="00134236" w:rsidRPr="00134236" w:rsidRDefault="00134236" w:rsidP="00134236">
            <w:pPr>
              <w:spacing w:after="0" w:line="240" w:lineRule="auto"/>
              <w:jc w:val="center"/>
              <w:rPr>
                <w:rFonts w:ascii="Calibri" w:hAnsi="Calibri"/>
                <w:color w:val="000000"/>
                <w:sz w:val="20"/>
                <w:szCs w:val="20"/>
              </w:rPr>
            </w:pPr>
            <w:r w:rsidRPr="00134236">
              <w:rPr>
                <w:rFonts w:ascii="Calibri" w:hAnsi="Calibri"/>
                <w:color w:val="000000"/>
                <w:sz w:val="20"/>
                <w:szCs w:val="20"/>
              </w:rPr>
              <w:t>3.2</w:t>
            </w:r>
          </w:p>
        </w:tc>
        <w:tc>
          <w:tcPr>
            <w:tcW w:w="978" w:type="dxa"/>
          </w:tcPr>
          <w:p w14:paraId="58314B6E" w14:textId="77777777" w:rsidR="00134236" w:rsidRPr="00134236" w:rsidRDefault="00134236" w:rsidP="00134236">
            <w:pPr>
              <w:spacing w:after="0" w:line="240" w:lineRule="auto"/>
              <w:jc w:val="center"/>
              <w:rPr>
                <w:sz w:val="20"/>
                <w:szCs w:val="20"/>
              </w:rPr>
            </w:pPr>
            <w:r w:rsidRPr="00134236">
              <w:rPr>
                <w:sz w:val="20"/>
                <w:szCs w:val="20"/>
              </w:rPr>
              <w:t>93.5%</w:t>
            </w:r>
          </w:p>
        </w:tc>
      </w:tr>
      <w:tr w:rsidR="00134236" w:rsidRPr="00134236" w14:paraId="7F221B9A" w14:textId="77777777" w:rsidTr="00DF5AC6">
        <w:tc>
          <w:tcPr>
            <w:tcW w:w="2718" w:type="dxa"/>
            <w:tcBorders>
              <w:bottom w:val="single" w:sz="4" w:space="0" w:color="auto"/>
            </w:tcBorders>
            <w:shd w:val="clear" w:color="auto" w:fill="D9D9D9" w:themeFill="background1" w:themeFillShade="D9"/>
          </w:tcPr>
          <w:p w14:paraId="67115351" w14:textId="056FEC05" w:rsidR="00134236" w:rsidRPr="00134236" w:rsidRDefault="00134236" w:rsidP="00282F1F">
            <w:pPr>
              <w:spacing w:after="0" w:line="240" w:lineRule="auto"/>
              <w:rPr>
                <w:sz w:val="20"/>
                <w:szCs w:val="20"/>
              </w:rPr>
            </w:pPr>
            <w:r w:rsidRPr="00134236">
              <w:rPr>
                <w:sz w:val="20"/>
                <w:szCs w:val="20"/>
              </w:rPr>
              <w:t xml:space="preserve">All </w:t>
            </w:r>
          </w:p>
        </w:tc>
        <w:tc>
          <w:tcPr>
            <w:tcW w:w="977" w:type="dxa"/>
            <w:tcBorders>
              <w:bottom w:val="single" w:sz="4" w:space="0" w:color="auto"/>
            </w:tcBorders>
            <w:shd w:val="clear" w:color="auto" w:fill="D9D9D9" w:themeFill="background1" w:themeFillShade="D9"/>
          </w:tcPr>
          <w:p w14:paraId="1EB62F5B"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257</w:t>
            </w:r>
          </w:p>
        </w:tc>
        <w:tc>
          <w:tcPr>
            <w:tcW w:w="977" w:type="dxa"/>
            <w:tcBorders>
              <w:bottom w:val="single" w:sz="4" w:space="0" w:color="auto"/>
            </w:tcBorders>
            <w:shd w:val="clear" w:color="auto" w:fill="D9D9D9" w:themeFill="background1" w:themeFillShade="D9"/>
          </w:tcPr>
          <w:p w14:paraId="4E43833C"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93.8%</w:t>
            </w:r>
          </w:p>
        </w:tc>
        <w:tc>
          <w:tcPr>
            <w:tcW w:w="977" w:type="dxa"/>
            <w:tcBorders>
              <w:bottom w:val="single" w:sz="4" w:space="0" w:color="auto"/>
            </w:tcBorders>
            <w:shd w:val="clear" w:color="auto" w:fill="D9D9D9" w:themeFill="background1" w:themeFillShade="D9"/>
          </w:tcPr>
          <w:p w14:paraId="0F0E7216"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93.7%</w:t>
            </w:r>
          </w:p>
        </w:tc>
        <w:tc>
          <w:tcPr>
            <w:tcW w:w="977" w:type="dxa"/>
            <w:tcBorders>
              <w:bottom w:val="single" w:sz="4" w:space="0" w:color="auto"/>
            </w:tcBorders>
            <w:shd w:val="clear" w:color="auto" w:fill="D9D9D9" w:themeFill="background1" w:themeFillShade="D9"/>
          </w:tcPr>
          <w:p w14:paraId="383B6EF0"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92.8%</w:t>
            </w:r>
          </w:p>
        </w:tc>
        <w:tc>
          <w:tcPr>
            <w:tcW w:w="977" w:type="dxa"/>
            <w:tcBorders>
              <w:bottom w:val="single" w:sz="4" w:space="0" w:color="auto"/>
            </w:tcBorders>
            <w:shd w:val="clear" w:color="auto" w:fill="D9D9D9" w:themeFill="background1" w:themeFillShade="D9"/>
          </w:tcPr>
          <w:p w14:paraId="5B1BC8D3"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96.5%</w:t>
            </w:r>
          </w:p>
        </w:tc>
        <w:tc>
          <w:tcPr>
            <w:tcW w:w="977" w:type="dxa"/>
            <w:tcBorders>
              <w:bottom w:val="single" w:sz="4" w:space="0" w:color="auto"/>
            </w:tcBorders>
            <w:shd w:val="clear" w:color="auto" w:fill="D9D9D9" w:themeFill="background1" w:themeFillShade="D9"/>
          </w:tcPr>
          <w:p w14:paraId="53F4261C" w14:textId="77777777" w:rsidR="00134236" w:rsidRPr="00134236" w:rsidRDefault="00134236" w:rsidP="00134236">
            <w:pPr>
              <w:spacing w:after="0" w:line="240" w:lineRule="auto"/>
              <w:jc w:val="center"/>
              <w:rPr>
                <w:rFonts w:ascii="Calibri" w:hAnsi="Calibri"/>
                <w:color w:val="000000"/>
                <w:sz w:val="20"/>
                <w:szCs w:val="20"/>
              </w:rPr>
            </w:pPr>
            <w:r w:rsidRPr="00134236">
              <w:rPr>
                <w:rFonts w:ascii="Calibri" w:hAnsi="Calibri"/>
                <w:color w:val="000000"/>
                <w:sz w:val="20"/>
                <w:szCs w:val="20"/>
              </w:rPr>
              <w:t>2.7</w:t>
            </w:r>
          </w:p>
        </w:tc>
        <w:tc>
          <w:tcPr>
            <w:tcW w:w="978" w:type="dxa"/>
            <w:tcBorders>
              <w:bottom w:val="single" w:sz="4" w:space="0" w:color="auto"/>
            </w:tcBorders>
            <w:shd w:val="clear" w:color="auto" w:fill="D9D9D9" w:themeFill="background1" w:themeFillShade="D9"/>
          </w:tcPr>
          <w:p w14:paraId="5866E9BF" w14:textId="77777777" w:rsidR="00134236" w:rsidRPr="00134236" w:rsidRDefault="00134236" w:rsidP="00134236">
            <w:pPr>
              <w:spacing w:after="0" w:line="240" w:lineRule="auto"/>
              <w:jc w:val="center"/>
              <w:rPr>
                <w:sz w:val="20"/>
                <w:szCs w:val="20"/>
              </w:rPr>
            </w:pPr>
            <w:r w:rsidRPr="00134236">
              <w:rPr>
                <w:sz w:val="20"/>
                <w:szCs w:val="20"/>
              </w:rPr>
              <w:t>89.8%</w:t>
            </w:r>
          </w:p>
        </w:tc>
      </w:tr>
      <w:tr w:rsidR="00134236" w:rsidRPr="00F62CFC" w14:paraId="7394A050" w14:textId="77777777" w:rsidTr="00DF5AC6">
        <w:tc>
          <w:tcPr>
            <w:tcW w:w="9558" w:type="dxa"/>
            <w:gridSpan w:val="8"/>
            <w:tcBorders>
              <w:left w:val="nil"/>
              <w:bottom w:val="nil"/>
              <w:right w:val="nil"/>
            </w:tcBorders>
            <w:shd w:val="clear" w:color="auto" w:fill="auto"/>
          </w:tcPr>
          <w:p w14:paraId="5A89CD44" w14:textId="31BE3477" w:rsidR="00134236" w:rsidRPr="00E22258" w:rsidRDefault="00134236" w:rsidP="00E22258">
            <w:pPr>
              <w:spacing w:before="60" w:after="0" w:line="240" w:lineRule="auto"/>
              <w:rPr>
                <w:sz w:val="18"/>
                <w:szCs w:val="18"/>
              </w:rPr>
            </w:pPr>
            <w:r w:rsidRPr="00E22258">
              <w:rPr>
                <w:sz w:val="18"/>
                <w:szCs w:val="18"/>
              </w:rPr>
              <w:t>* Five-year cohort graduation rate for students from low income families used for 2013 and 2014 rates.</w:t>
            </w:r>
          </w:p>
        </w:tc>
      </w:tr>
    </w:tbl>
    <w:p w14:paraId="27D70B82" w14:textId="77777777" w:rsidR="00134236" w:rsidRPr="00E22258" w:rsidRDefault="00134236" w:rsidP="00E22258">
      <w:pPr>
        <w:spacing w:before="60" w:after="0" w:line="240" w:lineRule="auto"/>
        <w:rPr>
          <w:sz w:val="18"/>
          <w:szCs w:val="18"/>
        </w:rPr>
      </w:pPr>
    </w:p>
    <w:p w14:paraId="7FE14A2C" w14:textId="77777777" w:rsidR="00134236" w:rsidRPr="00134236" w:rsidRDefault="00134236" w:rsidP="00134236">
      <w:pPr>
        <w:spacing w:after="0" w:line="240" w:lineRule="auto"/>
      </w:pPr>
    </w:p>
    <w:p w14:paraId="00E772EC" w14:textId="46019837" w:rsidR="00134236" w:rsidRDefault="00F62CFC" w:rsidP="00134236">
      <w:pPr>
        <w:spacing w:after="0" w:line="240" w:lineRule="auto"/>
        <w:rPr>
          <w:rFonts w:eastAsia="Times New Roman" w:cs="Times New Roman"/>
          <w:b/>
        </w:rPr>
      </w:pPr>
      <w:r>
        <w:rPr>
          <w:rFonts w:eastAsia="Times New Roman" w:cs="Times New Roman"/>
          <w:b/>
        </w:rPr>
        <w:t>In 2017, t</w:t>
      </w:r>
      <w:r w:rsidRPr="00134236">
        <w:rPr>
          <w:rFonts w:eastAsia="Times New Roman" w:cs="Times New Roman"/>
          <w:b/>
        </w:rPr>
        <w:t xml:space="preserve">he </w:t>
      </w:r>
      <w:r w:rsidR="00134236" w:rsidRPr="00134236">
        <w:rPr>
          <w:rFonts w:eastAsia="Times New Roman" w:cs="Times New Roman"/>
          <w:b/>
        </w:rPr>
        <w:t>in-school suspension rate for all students was 0.6 percent, below the state rate of 1.7 percent.  The in-school suspension rates for each subgroup with reportable data were below the state rate</w:t>
      </w:r>
      <w:r>
        <w:rPr>
          <w:rFonts w:eastAsia="Times New Roman" w:cs="Times New Roman"/>
          <w:b/>
        </w:rPr>
        <w:t>s</w:t>
      </w:r>
      <w:r w:rsidR="00134236" w:rsidRPr="00134236">
        <w:rPr>
          <w:rFonts w:eastAsia="Times New Roman" w:cs="Times New Roman"/>
          <w:b/>
        </w:rPr>
        <w:t>.</w:t>
      </w:r>
    </w:p>
    <w:p w14:paraId="3DCED1DD" w14:textId="036C86B0" w:rsidR="00C329BB" w:rsidRDefault="00C329BB" w:rsidP="00134236">
      <w:pPr>
        <w:spacing w:after="0" w:line="240" w:lineRule="auto"/>
        <w:rPr>
          <w:rFonts w:eastAsia="Times New Roman" w:cs="Times New Roman"/>
          <w:b/>
        </w:rPr>
      </w:pPr>
    </w:p>
    <w:tbl>
      <w:tblPr>
        <w:tblStyle w:val="TableGrid12"/>
        <w:tblW w:w="0" w:type="auto"/>
        <w:tblLook w:val="04A0" w:firstRow="1" w:lastRow="0" w:firstColumn="1" w:lastColumn="0" w:noHBand="0" w:noVBand="1"/>
        <w:tblCaption w:val="Table 19: Wakefield Public Schools"/>
        <w:tblDescription w:val="In-School Suspension Rates by Subgroup, 2014–2017"/>
      </w:tblPr>
      <w:tblGrid>
        <w:gridCol w:w="3078"/>
        <w:gridCol w:w="991"/>
        <w:gridCol w:w="992"/>
        <w:gridCol w:w="991"/>
        <w:gridCol w:w="992"/>
        <w:gridCol w:w="1152"/>
        <w:gridCol w:w="1164"/>
      </w:tblGrid>
      <w:tr w:rsidR="00134236" w:rsidRPr="00134236" w14:paraId="62D731B6" w14:textId="77777777" w:rsidTr="00BB0032">
        <w:trPr>
          <w:tblHeader/>
        </w:trPr>
        <w:tc>
          <w:tcPr>
            <w:tcW w:w="9360" w:type="dxa"/>
            <w:gridSpan w:val="7"/>
            <w:tcBorders>
              <w:top w:val="nil"/>
              <w:left w:val="nil"/>
              <w:right w:val="nil"/>
            </w:tcBorders>
            <w:shd w:val="clear" w:color="auto" w:fill="auto"/>
          </w:tcPr>
          <w:p w14:paraId="41F08CE9" w14:textId="77777777" w:rsidR="00134236" w:rsidRPr="00134236" w:rsidRDefault="00134236" w:rsidP="00134236">
            <w:pPr>
              <w:spacing w:after="0" w:line="240" w:lineRule="auto"/>
              <w:jc w:val="center"/>
              <w:rPr>
                <w:b/>
                <w:sz w:val="20"/>
                <w:szCs w:val="20"/>
              </w:rPr>
            </w:pPr>
            <w:r w:rsidRPr="00134236">
              <w:rPr>
                <w:b/>
                <w:sz w:val="20"/>
                <w:szCs w:val="20"/>
              </w:rPr>
              <w:t xml:space="preserve">Table 19: </w:t>
            </w:r>
            <w:r w:rsidRPr="00134236">
              <w:rPr>
                <w:rFonts w:cs="Times New Roman"/>
                <w:b/>
                <w:sz w:val="20"/>
                <w:szCs w:val="20"/>
              </w:rPr>
              <w:t>Wakefield Public Schools</w:t>
            </w:r>
          </w:p>
          <w:p w14:paraId="445A9A1D" w14:textId="77777777" w:rsidR="00134236" w:rsidRPr="00134236" w:rsidRDefault="00134236" w:rsidP="00134236">
            <w:pPr>
              <w:spacing w:after="0" w:line="240" w:lineRule="auto"/>
              <w:jc w:val="center"/>
              <w:rPr>
                <w:b/>
                <w:sz w:val="20"/>
                <w:szCs w:val="20"/>
              </w:rPr>
            </w:pPr>
            <w:r w:rsidRPr="00134236">
              <w:rPr>
                <w:b/>
                <w:sz w:val="20"/>
                <w:szCs w:val="20"/>
              </w:rPr>
              <w:t>In-School Suspension Rates by Subgroup, 2014–2017</w:t>
            </w:r>
          </w:p>
        </w:tc>
      </w:tr>
      <w:tr w:rsidR="00134236" w:rsidRPr="00134236" w14:paraId="23088717" w14:textId="77777777" w:rsidTr="00DF5AC6">
        <w:tc>
          <w:tcPr>
            <w:tcW w:w="3078" w:type="dxa"/>
            <w:shd w:val="clear" w:color="auto" w:fill="D9D9D9" w:themeFill="background1" w:themeFillShade="D9"/>
          </w:tcPr>
          <w:p w14:paraId="749AF186" w14:textId="77777777" w:rsidR="00134236" w:rsidRPr="00134236" w:rsidRDefault="00134236" w:rsidP="00E22258">
            <w:pPr>
              <w:spacing w:after="0" w:line="240" w:lineRule="auto"/>
              <w:rPr>
                <w:b/>
                <w:sz w:val="20"/>
                <w:szCs w:val="20"/>
              </w:rPr>
            </w:pPr>
            <w:r w:rsidRPr="00134236">
              <w:rPr>
                <w:b/>
                <w:sz w:val="20"/>
                <w:szCs w:val="20"/>
              </w:rPr>
              <w:t>Group</w:t>
            </w:r>
          </w:p>
        </w:tc>
        <w:tc>
          <w:tcPr>
            <w:tcW w:w="991" w:type="dxa"/>
            <w:shd w:val="clear" w:color="auto" w:fill="D9D9D9" w:themeFill="background1" w:themeFillShade="D9"/>
          </w:tcPr>
          <w:p w14:paraId="77309CC9" w14:textId="77777777" w:rsidR="00134236" w:rsidRPr="00134236" w:rsidRDefault="00134236" w:rsidP="00134236">
            <w:pPr>
              <w:spacing w:after="0" w:line="240" w:lineRule="auto"/>
              <w:jc w:val="center"/>
              <w:rPr>
                <w:b/>
                <w:sz w:val="20"/>
                <w:szCs w:val="20"/>
              </w:rPr>
            </w:pPr>
            <w:r w:rsidRPr="00134236">
              <w:rPr>
                <w:b/>
                <w:sz w:val="20"/>
                <w:szCs w:val="20"/>
              </w:rPr>
              <w:t>2014</w:t>
            </w:r>
          </w:p>
        </w:tc>
        <w:tc>
          <w:tcPr>
            <w:tcW w:w="992" w:type="dxa"/>
            <w:shd w:val="clear" w:color="auto" w:fill="D9D9D9" w:themeFill="background1" w:themeFillShade="D9"/>
          </w:tcPr>
          <w:p w14:paraId="1EFBB5A5" w14:textId="77777777" w:rsidR="00134236" w:rsidRPr="00134236" w:rsidRDefault="00134236" w:rsidP="00134236">
            <w:pPr>
              <w:spacing w:after="0" w:line="240" w:lineRule="auto"/>
              <w:jc w:val="center"/>
              <w:rPr>
                <w:b/>
                <w:sz w:val="20"/>
                <w:szCs w:val="20"/>
              </w:rPr>
            </w:pPr>
            <w:r w:rsidRPr="00134236">
              <w:rPr>
                <w:b/>
                <w:sz w:val="20"/>
                <w:szCs w:val="20"/>
              </w:rPr>
              <w:t>2015</w:t>
            </w:r>
          </w:p>
        </w:tc>
        <w:tc>
          <w:tcPr>
            <w:tcW w:w="991" w:type="dxa"/>
            <w:shd w:val="clear" w:color="auto" w:fill="D9D9D9" w:themeFill="background1" w:themeFillShade="D9"/>
          </w:tcPr>
          <w:p w14:paraId="397440B3" w14:textId="77777777" w:rsidR="00134236" w:rsidRPr="00134236" w:rsidRDefault="00134236" w:rsidP="00134236">
            <w:pPr>
              <w:spacing w:after="0" w:line="240" w:lineRule="auto"/>
              <w:jc w:val="center"/>
              <w:rPr>
                <w:b/>
                <w:sz w:val="20"/>
                <w:szCs w:val="20"/>
              </w:rPr>
            </w:pPr>
            <w:r w:rsidRPr="00134236">
              <w:rPr>
                <w:b/>
                <w:sz w:val="20"/>
                <w:szCs w:val="20"/>
              </w:rPr>
              <w:t>2016</w:t>
            </w:r>
          </w:p>
        </w:tc>
        <w:tc>
          <w:tcPr>
            <w:tcW w:w="992" w:type="dxa"/>
            <w:shd w:val="clear" w:color="auto" w:fill="D9D9D9" w:themeFill="background1" w:themeFillShade="D9"/>
          </w:tcPr>
          <w:p w14:paraId="3BE2F0FD" w14:textId="77777777" w:rsidR="00134236" w:rsidRPr="00134236" w:rsidRDefault="00134236" w:rsidP="00134236">
            <w:pPr>
              <w:spacing w:after="0" w:line="240" w:lineRule="auto"/>
              <w:jc w:val="center"/>
              <w:rPr>
                <w:b/>
                <w:sz w:val="20"/>
                <w:szCs w:val="20"/>
              </w:rPr>
            </w:pPr>
            <w:r w:rsidRPr="00134236">
              <w:rPr>
                <w:b/>
                <w:sz w:val="20"/>
                <w:szCs w:val="20"/>
              </w:rPr>
              <w:t>2017</w:t>
            </w:r>
          </w:p>
        </w:tc>
        <w:tc>
          <w:tcPr>
            <w:tcW w:w="1152" w:type="dxa"/>
            <w:shd w:val="clear" w:color="auto" w:fill="D9D9D9" w:themeFill="background1" w:themeFillShade="D9"/>
          </w:tcPr>
          <w:p w14:paraId="0C43EB36" w14:textId="77777777" w:rsidR="00134236" w:rsidRPr="00134236" w:rsidRDefault="00134236" w:rsidP="00134236">
            <w:pPr>
              <w:spacing w:after="0" w:line="240" w:lineRule="auto"/>
              <w:jc w:val="center"/>
              <w:rPr>
                <w:b/>
                <w:sz w:val="20"/>
                <w:szCs w:val="20"/>
              </w:rPr>
            </w:pPr>
            <w:r w:rsidRPr="00134236">
              <w:rPr>
                <w:b/>
                <w:sz w:val="20"/>
                <w:szCs w:val="20"/>
              </w:rPr>
              <w:t>4-yr Change</w:t>
            </w:r>
          </w:p>
        </w:tc>
        <w:tc>
          <w:tcPr>
            <w:tcW w:w="1164" w:type="dxa"/>
            <w:shd w:val="clear" w:color="auto" w:fill="D9D9D9" w:themeFill="background1" w:themeFillShade="D9"/>
          </w:tcPr>
          <w:p w14:paraId="24A32D2B" w14:textId="77777777" w:rsidR="00134236" w:rsidRPr="00134236" w:rsidRDefault="00134236" w:rsidP="00134236">
            <w:pPr>
              <w:spacing w:after="0" w:line="240" w:lineRule="auto"/>
              <w:jc w:val="center"/>
              <w:rPr>
                <w:b/>
                <w:sz w:val="20"/>
                <w:szCs w:val="20"/>
              </w:rPr>
            </w:pPr>
            <w:r w:rsidRPr="00134236">
              <w:rPr>
                <w:b/>
                <w:sz w:val="20"/>
                <w:szCs w:val="20"/>
              </w:rPr>
              <w:t>State (2017)</w:t>
            </w:r>
          </w:p>
        </w:tc>
      </w:tr>
      <w:tr w:rsidR="00134236" w:rsidRPr="00134236" w14:paraId="6A03E1E2" w14:textId="77777777" w:rsidTr="00DF5AC6">
        <w:tc>
          <w:tcPr>
            <w:tcW w:w="3078" w:type="dxa"/>
            <w:shd w:val="clear" w:color="auto" w:fill="auto"/>
          </w:tcPr>
          <w:p w14:paraId="1933473D" w14:textId="77777777" w:rsidR="00134236" w:rsidRPr="00134236" w:rsidRDefault="00134236" w:rsidP="00134236">
            <w:pPr>
              <w:spacing w:after="0" w:line="240" w:lineRule="auto"/>
              <w:rPr>
                <w:sz w:val="20"/>
                <w:szCs w:val="20"/>
              </w:rPr>
            </w:pPr>
            <w:r w:rsidRPr="00134236">
              <w:rPr>
                <w:sz w:val="20"/>
                <w:szCs w:val="20"/>
              </w:rPr>
              <w:t>High Needs</w:t>
            </w:r>
          </w:p>
        </w:tc>
        <w:tc>
          <w:tcPr>
            <w:tcW w:w="991" w:type="dxa"/>
            <w:shd w:val="clear" w:color="auto" w:fill="auto"/>
          </w:tcPr>
          <w:p w14:paraId="5F40A661"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1.7%</w:t>
            </w:r>
          </w:p>
        </w:tc>
        <w:tc>
          <w:tcPr>
            <w:tcW w:w="992" w:type="dxa"/>
            <w:shd w:val="clear" w:color="auto" w:fill="auto"/>
          </w:tcPr>
          <w:p w14:paraId="4E3BD26B"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0.9%</w:t>
            </w:r>
          </w:p>
        </w:tc>
        <w:tc>
          <w:tcPr>
            <w:tcW w:w="991" w:type="dxa"/>
            <w:shd w:val="clear" w:color="auto" w:fill="auto"/>
          </w:tcPr>
          <w:p w14:paraId="68044463"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1.2%</w:t>
            </w:r>
          </w:p>
        </w:tc>
        <w:tc>
          <w:tcPr>
            <w:tcW w:w="992" w:type="dxa"/>
            <w:shd w:val="clear" w:color="auto" w:fill="auto"/>
          </w:tcPr>
          <w:p w14:paraId="06C06AED"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1.4%</w:t>
            </w:r>
          </w:p>
        </w:tc>
        <w:tc>
          <w:tcPr>
            <w:tcW w:w="1152" w:type="dxa"/>
            <w:shd w:val="clear" w:color="auto" w:fill="auto"/>
          </w:tcPr>
          <w:p w14:paraId="1ED2BB39"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-0.3</w:t>
            </w:r>
          </w:p>
        </w:tc>
        <w:tc>
          <w:tcPr>
            <w:tcW w:w="1164" w:type="dxa"/>
          </w:tcPr>
          <w:p w14:paraId="15654B3B" w14:textId="77777777" w:rsidR="00134236" w:rsidRPr="00134236" w:rsidRDefault="00134236" w:rsidP="00134236">
            <w:pPr>
              <w:spacing w:after="0" w:line="240" w:lineRule="auto"/>
              <w:jc w:val="center"/>
              <w:rPr>
                <w:sz w:val="20"/>
                <w:szCs w:val="20"/>
              </w:rPr>
            </w:pPr>
            <w:r w:rsidRPr="00134236">
              <w:rPr>
                <w:sz w:val="20"/>
                <w:szCs w:val="20"/>
              </w:rPr>
              <w:t>2.6%</w:t>
            </w:r>
          </w:p>
        </w:tc>
      </w:tr>
      <w:tr w:rsidR="00134236" w:rsidRPr="00134236" w14:paraId="29E99744" w14:textId="77777777" w:rsidTr="00DF5AC6">
        <w:tc>
          <w:tcPr>
            <w:tcW w:w="3078" w:type="dxa"/>
            <w:shd w:val="clear" w:color="auto" w:fill="D9D9D9" w:themeFill="background1" w:themeFillShade="D9"/>
          </w:tcPr>
          <w:p w14:paraId="31FD97EF" w14:textId="77777777" w:rsidR="00134236" w:rsidRPr="00134236" w:rsidRDefault="00134236" w:rsidP="00134236">
            <w:pPr>
              <w:spacing w:after="0" w:line="240" w:lineRule="auto"/>
              <w:rPr>
                <w:sz w:val="20"/>
                <w:szCs w:val="20"/>
              </w:rPr>
            </w:pPr>
            <w:r w:rsidRPr="00134236">
              <w:rPr>
                <w:sz w:val="20"/>
                <w:szCs w:val="20"/>
              </w:rPr>
              <w:t>Economically disadvantaged*</w:t>
            </w:r>
          </w:p>
        </w:tc>
        <w:tc>
          <w:tcPr>
            <w:tcW w:w="991" w:type="dxa"/>
            <w:shd w:val="clear" w:color="auto" w:fill="D9D9D9" w:themeFill="background1" w:themeFillShade="D9"/>
          </w:tcPr>
          <w:p w14:paraId="68BA76D3"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2.2%</w:t>
            </w:r>
          </w:p>
        </w:tc>
        <w:tc>
          <w:tcPr>
            <w:tcW w:w="992" w:type="dxa"/>
            <w:shd w:val="clear" w:color="auto" w:fill="D9D9D9" w:themeFill="background1" w:themeFillShade="D9"/>
          </w:tcPr>
          <w:p w14:paraId="546D7609"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1.0%</w:t>
            </w:r>
          </w:p>
        </w:tc>
        <w:tc>
          <w:tcPr>
            <w:tcW w:w="991" w:type="dxa"/>
            <w:shd w:val="clear" w:color="auto" w:fill="D9D9D9" w:themeFill="background1" w:themeFillShade="D9"/>
          </w:tcPr>
          <w:p w14:paraId="06561B01"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1.2%</w:t>
            </w:r>
          </w:p>
        </w:tc>
        <w:tc>
          <w:tcPr>
            <w:tcW w:w="992" w:type="dxa"/>
            <w:shd w:val="clear" w:color="auto" w:fill="D9D9D9" w:themeFill="background1" w:themeFillShade="D9"/>
          </w:tcPr>
          <w:p w14:paraId="30569FC6"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1.5%</w:t>
            </w:r>
          </w:p>
        </w:tc>
        <w:tc>
          <w:tcPr>
            <w:tcW w:w="1152" w:type="dxa"/>
            <w:shd w:val="clear" w:color="auto" w:fill="D9D9D9" w:themeFill="background1" w:themeFillShade="D9"/>
          </w:tcPr>
          <w:p w14:paraId="063C416E"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-0.7</w:t>
            </w:r>
          </w:p>
        </w:tc>
        <w:tc>
          <w:tcPr>
            <w:tcW w:w="1164" w:type="dxa"/>
            <w:shd w:val="clear" w:color="auto" w:fill="D9D9D9" w:themeFill="background1" w:themeFillShade="D9"/>
          </w:tcPr>
          <w:p w14:paraId="50A6CBE9" w14:textId="77777777" w:rsidR="00134236" w:rsidRPr="00134236" w:rsidRDefault="00134236" w:rsidP="00134236">
            <w:pPr>
              <w:spacing w:after="0" w:line="240" w:lineRule="auto"/>
              <w:jc w:val="center"/>
              <w:rPr>
                <w:sz w:val="20"/>
                <w:szCs w:val="20"/>
              </w:rPr>
            </w:pPr>
            <w:r w:rsidRPr="00134236">
              <w:rPr>
                <w:sz w:val="20"/>
                <w:szCs w:val="20"/>
              </w:rPr>
              <w:t>2.9%</w:t>
            </w:r>
          </w:p>
        </w:tc>
      </w:tr>
      <w:tr w:rsidR="00134236" w:rsidRPr="00134236" w14:paraId="0F273189" w14:textId="77777777" w:rsidTr="00DF5AC6">
        <w:tc>
          <w:tcPr>
            <w:tcW w:w="3078" w:type="dxa"/>
            <w:shd w:val="clear" w:color="auto" w:fill="auto"/>
          </w:tcPr>
          <w:p w14:paraId="015CDB95" w14:textId="77777777" w:rsidR="00134236" w:rsidRPr="00134236" w:rsidRDefault="00134236" w:rsidP="00134236">
            <w:pPr>
              <w:spacing w:after="0" w:line="240" w:lineRule="auto"/>
              <w:rPr>
                <w:sz w:val="20"/>
                <w:szCs w:val="20"/>
              </w:rPr>
            </w:pPr>
            <w:r w:rsidRPr="00134236">
              <w:rPr>
                <w:sz w:val="20"/>
                <w:szCs w:val="20"/>
              </w:rPr>
              <w:t>ELLs</w:t>
            </w:r>
          </w:p>
        </w:tc>
        <w:tc>
          <w:tcPr>
            <w:tcW w:w="991" w:type="dxa"/>
            <w:shd w:val="clear" w:color="auto" w:fill="auto"/>
          </w:tcPr>
          <w:p w14:paraId="6260885E"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992" w:type="dxa"/>
            <w:shd w:val="clear" w:color="auto" w:fill="auto"/>
          </w:tcPr>
          <w:p w14:paraId="2C5C628E"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991" w:type="dxa"/>
            <w:shd w:val="clear" w:color="auto" w:fill="auto"/>
          </w:tcPr>
          <w:p w14:paraId="6F3DAFCF"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992" w:type="dxa"/>
            <w:shd w:val="clear" w:color="auto" w:fill="auto"/>
          </w:tcPr>
          <w:p w14:paraId="2C8E8A51"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1152" w:type="dxa"/>
            <w:shd w:val="clear" w:color="auto" w:fill="auto"/>
          </w:tcPr>
          <w:p w14:paraId="735D117A"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1164" w:type="dxa"/>
            <w:shd w:val="clear" w:color="auto" w:fill="auto"/>
          </w:tcPr>
          <w:p w14:paraId="54745D2C" w14:textId="77777777" w:rsidR="00134236" w:rsidRPr="00134236" w:rsidRDefault="00134236" w:rsidP="00134236">
            <w:pPr>
              <w:spacing w:after="0" w:line="240" w:lineRule="auto"/>
              <w:jc w:val="center"/>
              <w:rPr>
                <w:sz w:val="20"/>
                <w:szCs w:val="20"/>
              </w:rPr>
            </w:pPr>
            <w:r w:rsidRPr="00134236">
              <w:rPr>
                <w:sz w:val="20"/>
                <w:szCs w:val="20"/>
              </w:rPr>
              <w:t>1.7%</w:t>
            </w:r>
          </w:p>
        </w:tc>
      </w:tr>
      <w:tr w:rsidR="00134236" w:rsidRPr="00134236" w14:paraId="0B1ABF1A" w14:textId="77777777" w:rsidTr="00DF5AC6">
        <w:tc>
          <w:tcPr>
            <w:tcW w:w="3078" w:type="dxa"/>
            <w:shd w:val="clear" w:color="auto" w:fill="D9D9D9" w:themeFill="background1" w:themeFillShade="D9"/>
          </w:tcPr>
          <w:p w14:paraId="6DA4125C" w14:textId="77777777" w:rsidR="00134236" w:rsidRPr="00134236" w:rsidRDefault="00134236" w:rsidP="00134236">
            <w:pPr>
              <w:spacing w:after="0" w:line="240" w:lineRule="auto"/>
              <w:rPr>
                <w:sz w:val="20"/>
                <w:szCs w:val="20"/>
              </w:rPr>
            </w:pPr>
            <w:r w:rsidRPr="00134236">
              <w:rPr>
                <w:sz w:val="20"/>
                <w:szCs w:val="20"/>
              </w:rPr>
              <w:t>SWD</w:t>
            </w:r>
          </w:p>
        </w:tc>
        <w:tc>
          <w:tcPr>
            <w:tcW w:w="991" w:type="dxa"/>
            <w:shd w:val="clear" w:color="auto" w:fill="D9D9D9" w:themeFill="background1" w:themeFillShade="D9"/>
          </w:tcPr>
          <w:p w14:paraId="4A613919"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1.4%</w:t>
            </w:r>
          </w:p>
        </w:tc>
        <w:tc>
          <w:tcPr>
            <w:tcW w:w="992" w:type="dxa"/>
            <w:shd w:val="clear" w:color="auto" w:fill="D9D9D9" w:themeFill="background1" w:themeFillShade="D9"/>
          </w:tcPr>
          <w:p w14:paraId="0ED860A8"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1.5%</w:t>
            </w:r>
          </w:p>
        </w:tc>
        <w:tc>
          <w:tcPr>
            <w:tcW w:w="991" w:type="dxa"/>
            <w:shd w:val="clear" w:color="auto" w:fill="D9D9D9" w:themeFill="background1" w:themeFillShade="D9"/>
          </w:tcPr>
          <w:p w14:paraId="1E00C814"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1.5%</w:t>
            </w:r>
          </w:p>
        </w:tc>
        <w:tc>
          <w:tcPr>
            <w:tcW w:w="992" w:type="dxa"/>
            <w:shd w:val="clear" w:color="auto" w:fill="D9D9D9" w:themeFill="background1" w:themeFillShade="D9"/>
          </w:tcPr>
          <w:p w14:paraId="1F085FD7"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1.5%</w:t>
            </w:r>
          </w:p>
        </w:tc>
        <w:tc>
          <w:tcPr>
            <w:tcW w:w="1152" w:type="dxa"/>
            <w:shd w:val="clear" w:color="auto" w:fill="D9D9D9" w:themeFill="background1" w:themeFillShade="D9"/>
          </w:tcPr>
          <w:p w14:paraId="1F5173E7"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0.1</w:t>
            </w:r>
          </w:p>
        </w:tc>
        <w:tc>
          <w:tcPr>
            <w:tcW w:w="1164" w:type="dxa"/>
            <w:shd w:val="clear" w:color="auto" w:fill="D9D9D9" w:themeFill="background1" w:themeFillShade="D9"/>
          </w:tcPr>
          <w:p w14:paraId="12D8329F" w14:textId="77777777" w:rsidR="00134236" w:rsidRPr="00134236" w:rsidRDefault="00134236" w:rsidP="00134236">
            <w:pPr>
              <w:spacing w:after="0" w:line="240" w:lineRule="auto"/>
              <w:jc w:val="center"/>
              <w:rPr>
                <w:sz w:val="20"/>
                <w:szCs w:val="20"/>
              </w:rPr>
            </w:pPr>
            <w:r w:rsidRPr="00134236">
              <w:rPr>
                <w:sz w:val="20"/>
                <w:szCs w:val="20"/>
              </w:rPr>
              <w:t>3.1%</w:t>
            </w:r>
          </w:p>
        </w:tc>
      </w:tr>
      <w:tr w:rsidR="00134236" w:rsidRPr="00134236" w14:paraId="0BB6C464" w14:textId="77777777" w:rsidTr="00DF5AC6">
        <w:tc>
          <w:tcPr>
            <w:tcW w:w="3078" w:type="dxa"/>
            <w:shd w:val="clear" w:color="auto" w:fill="auto"/>
          </w:tcPr>
          <w:p w14:paraId="1C220AE9" w14:textId="46395E0E" w:rsidR="00134236" w:rsidRPr="00134236" w:rsidRDefault="00134236" w:rsidP="00282F1F">
            <w:pPr>
              <w:spacing w:after="0" w:line="240" w:lineRule="auto"/>
              <w:rPr>
                <w:rFonts w:eastAsia="Times New Roman" w:cs="Times New Roman"/>
                <w:sz w:val="20"/>
                <w:szCs w:val="20"/>
              </w:rPr>
            </w:pPr>
            <w:r w:rsidRPr="00134236">
              <w:rPr>
                <w:rFonts w:eastAsia="Times New Roman" w:cs="Times New Roman"/>
                <w:sz w:val="20"/>
                <w:szCs w:val="20"/>
              </w:rPr>
              <w:t>African American</w:t>
            </w:r>
          </w:p>
        </w:tc>
        <w:tc>
          <w:tcPr>
            <w:tcW w:w="991" w:type="dxa"/>
            <w:shd w:val="clear" w:color="auto" w:fill="auto"/>
          </w:tcPr>
          <w:p w14:paraId="6109448A"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992" w:type="dxa"/>
            <w:shd w:val="clear" w:color="auto" w:fill="auto"/>
          </w:tcPr>
          <w:p w14:paraId="3B974F4E"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991" w:type="dxa"/>
            <w:shd w:val="clear" w:color="auto" w:fill="auto"/>
          </w:tcPr>
          <w:p w14:paraId="36CA2FC4"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2.5%</w:t>
            </w:r>
          </w:p>
        </w:tc>
        <w:tc>
          <w:tcPr>
            <w:tcW w:w="992" w:type="dxa"/>
            <w:shd w:val="clear" w:color="auto" w:fill="auto"/>
          </w:tcPr>
          <w:p w14:paraId="0597302C"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1.1%</w:t>
            </w:r>
          </w:p>
        </w:tc>
        <w:tc>
          <w:tcPr>
            <w:tcW w:w="1152" w:type="dxa"/>
            <w:shd w:val="clear" w:color="auto" w:fill="auto"/>
          </w:tcPr>
          <w:p w14:paraId="141FC3C8"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1164" w:type="dxa"/>
          </w:tcPr>
          <w:p w14:paraId="21A68130" w14:textId="77777777" w:rsidR="00134236" w:rsidRPr="00134236" w:rsidRDefault="00134236" w:rsidP="00134236">
            <w:pPr>
              <w:spacing w:after="0" w:line="240" w:lineRule="auto"/>
              <w:jc w:val="center"/>
              <w:rPr>
                <w:sz w:val="20"/>
                <w:szCs w:val="20"/>
              </w:rPr>
            </w:pPr>
            <w:r w:rsidRPr="00134236">
              <w:rPr>
                <w:sz w:val="20"/>
                <w:szCs w:val="20"/>
              </w:rPr>
              <w:t>3.3%</w:t>
            </w:r>
          </w:p>
        </w:tc>
      </w:tr>
      <w:tr w:rsidR="00134236" w:rsidRPr="00134236" w14:paraId="7B592518" w14:textId="77777777" w:rsidTr="00DF5AC6">
        <w:tc>
          <w:tcPr>
            <w:tcW w:w="3078" w:type="dxa"/>
            <w:shd w:val="clear" w:color="auto" w:fill="D9D9D9" w:themeFill="background1" w:themeFillShade="D9"/>
          </w:tcPr>
          <w:p w14:paraId="7D98DB69" w14:textId="77777777" w:rsidR="00134236" w:rsidRPr="00134236" w:rsidRDefault="00134236" w:rsidP="00134236">
            <w:pPr>
              <w:spacing w:after="0" w:line="240" w:lineRule="auto"/>
              <w:rPr>
                <w:rFonts w:eastAsia="Times New Roman" w:cs="Times New Roman"/>
                <w:sz w:val="20"/>
                <w:szCs w:val="20"/>
              </w:rPr>
            </w:pPr>
            <w:r w:rsidRPr="00134236">
              <w:rPr>
                <w:rFonts w:eastAsia="Times New Roman" w:cs="Times New Roman"/>
                <w:sz w:val="20"/>
                <w:szCs w:val="20"/>
              </w:rPr>
              <w:t>Asian</w:t>
            </w:r>
          </w:p>
        </w:tc>
        <w:tc>
          <w:tcPr>
            <w:tcW w:w="991" w:type="dxa"/>
            <w:shd w:val="clear" w:color="auto" w:fill="D9D9D9" w:themeFill="background1" w:themeFillShade="D9"/>
          </w:tcPr>
          <w:p w14:paraId="6C2635FD"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992" w:type="dxa"/>
            <w:shd w:val="clear" w:color="auto" w:fill="D9D9D9" w:themeFill="background1" w:themeFillShade="D9"/>
          </w:tcPr>
          <w:p w14:paraId="10F22C04"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991" w:type="dxa"/>
            <w:shd w:val="clear" w:color="auto" w:fill="D9D9D9" w:themeFill="background1" w:themeFillShade="D9"/>
          </w:tcPr>
          <w:p w14:paraId="358F47BB"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992" w:type="dxa"/>
            <w:shd w:val="clear" w:color="auto" w:fill="D9D9D9" w:themeFill="background1" w:themeFillShade="D9"/>
          </w:tcPr>
          <w:p w14:paraId="54BFA633"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1152" w:type="dxa"/>
            <w:shd w:val="clear" w:color="auto" w:fill="D9D9D9" w:themeFill="background1" w:themeFillShade="D9"/>
          </w:tcPr>
          <w:p w14:paraId="5757E77D"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1164" w:type="dxa"/>
            <w:shd w:val="clear" w:color="auto" w:fill="D9D9D9" w:themeFill="background1" w:themeFillShade="D9"/>
          </w:tcPr>
          <w:p w14:paraId="62589501" w14:textId="77777777" w:rsidR="00134236" w:rsidRPr="00134236" w:rsidRDefault="00134236" w:rsidP="00134236">
            <w:pPr>
              <w:spacing w:after="0" w:line="240" w:lineRule="auto"/>
              <w:jc w:val="center"/>
              <w:rPr>
                <w:sz w:val="20"/>
                <w:szCs w:val="20"/>
              </w:rPr>
            </w:pPr>
            <w:r w:rsidRPr="00134236">
              <w:rPr>
                <w:sz w:val="20"/>
                <w:szCs w:val="20"/>
              </w:rPr>
              <w:t>0.5%</w:t>
            </w:r>
          </w:p>
        </w:tc>
      </w:tr>
      <w:tr w:rsidR="00134236" w:rsidRPr="00134236" w14:paraId="7538B3EC" w14:textId="77777777" w:rsidTr="00DF5AC6">
        <w:tc>
          <w:tcPr>
            <w:tcW w:w="3078" w:type="dxa"/>
            <w:shd w:val="clear" w:color="auto" w:fill="auto"/>
          </w:tcPr>
          <w:p w14:paraId="25F112D7" w14:textId="77777777" w:rsidR="00134236" w:rsidRPr="00134236" w:rsidRDefault="00134236" w:rsidP="00134236">
            <w:pPr>
              <w:spacing w:after="0" w:line="240" w:lineRule="auto"/>
              <w:rPr>
                <w:rFonts w:eastAsia="Times New Roman" w:cs="Times New Roman"/>
                <w:sz w:val="20"/>
                <w:szCs w:val="20"/>
              </w:rPr>
            </w:pPr>
            <w:r w:rsidRPr="00134236">
              <w:rPr>
                <w:rFonts w:eastAsia="Times New Roman" w:cs="Times New Roman"/>
                <w:sz w:val="20"/>
                <w:szCs w:val="20"/>
              </w:rPr>
              <w:t>Hispanic or Latino</w:t>
            </w:r>
          </w:p>
        </w:tc>
        <w:tc>
          <w:tcPr>
            <w:tcW w:w="991" w:type="dxa"/>
            <w:shd w:val="clear" w:color="auto" w:fill="auto"/>
          </w:tcPr>
          <w:p w14:paraId="2C6C852B"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0.0%</w:t>
            </w:r>
          </w:p>
        </w:tc>
        <w:tc>
          <w:tcPr>
            <w:tcW w:w="992" w:type="dxa"/>
            <w:shd w:val="clear" w:color="auto" w:fill="auto"/>
          </w:tcPr>
          <w:p w14:paraId="5A3D8BE6"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991" w:type="dxa"/>
            <w:shd w:val="clear" w:color="auto" w:fill="auto"/>
          </w:tcPr>
          <w:p w14:paraId="062CE920"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992" w:type="dxa"/>
            <w:shd w:val="clear" w:color="auto" w:fill="auto"/>
          </w:tcPr>
          <w:p w14:paraId="03F819B1"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1.5%</w:t>
            </w:r>
          </w:p>
        </w:tc>
        <w:tc>
          <w:tcPr>
            <w:tcW w:w="1152" w:type="dxa"/>
            <w:shd w:val="clear" w:color="auto" w:fill="auto"/>
          </w:tcPr>
          <w:p w14:paraId="5FFE3D18"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1.5</w:t>
            </w:r>
          </w:p>
        </w:tc>
        <w:tc>
          <w:tcPr>
            <w:tcW w:w="1164" w:type="dxa"/>
          </w:tcPr>
          <w:p w14:paraId="377A987D" w14:textId="77777777" w:rsidR="00134236" w:rsidRPr="00134236" w:rsidRDefault="00134236" w:rsidP="00134236">
            <w:pPr>
              <w:spacing w:after="0" w:line="240" w:lineRule="auto"/>
              <w:jc w:val="center"/>
              <w:rPr>
                <w:sz w:val="20"/>
                <w:szCs w:val="20"/>
              </w:rPr>
            </w:pPr>
            <w:r w:rsidRPr="00134236">
              <w:rPr>
                <w:sz w:val="20"/>
                <w:szCs w:val="20"/>
              </w:rPr>
              <w:t>2.5%</w:t>
            </w:r>
          </w:p>
        </w:tc>
      </w:tr>
      <w:tr w:rsidR="00134236" w:rsidRPr="00134236" w14:paraId="048A7203" w14:textId="77777777" w:rsidTr="00DF5AC6">
        <w:tc>
          <w:tcPr>
            <w:tcW w:w="3078" w:type="dxa"/>
            <w:shd w:val="clear" w:color="auto" w:fill="D9D9D9" w:themeFill="background1" w:themeFillShade="D9"/>
          </w:tcPr>
          <w:p w14:paraId="1B5B4DA3" w14:textId="77777777" w:rsidR="00134236" w:rsidRPr="00134236" w:rsidRDefault="00134236" w:rsidP="00134236">
            <w:pPr>
              <w:spacing w:after="0" w:line="240" w:lineRule="auto"/>
              <w:rPr>
                <w:rFonts w:eastAsia="Times New Roman" w:cs="Times New Roman"/>
                <w:sz w:val="20"/>
                <w:szCs w:val="20"/>
              </w:rPr>
            </w:pPr>
            <w:r w:rsidRPr="00134236">
              <w:rPr>
                <w:rFonts w:eastAsia="Times New Roman" w:cs="Times New Roman"/>
                <w:sz w:val="20"/>
                <w:szCs w:val="20"/>
              </w:rPr>
              <w:t>Multi-Race, non-Hispanic or Latino</w:t>
            </w:r>
          </w:p>
        </w:tc>
        <w:tc>
          <w:tcPr>
            <w:tcW w:w="991" w:type="dxa"/>
            <w:shd w:val="clear" w:color="auto" w:fill="D9D9D9" w:themeFill="background1" w:themeFillShade="D9"/>
          </w:tcPr>
          <w:p w14:paraId="18BE2515"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992" w:type="dxa"/>
            <w:shd w:val="clear" w:color="auto" w:fill="D9D9D9" w:themeFill="background1" w:themeFillShade="D9"/>
          </w:tcPr>
          <w:p w14:paraId="51A15950"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991" w:type="dxa"/>
            <w:shd w:val="clear" w:color="auto" w:fill="D9D9D9" w:themeFill="background1" w:themeFillShade="D9"/>
          </w:tcPr>
          <w:p w14:paraId="35EC453A"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992" w:type="dxa"/>
            <w:shd w:val="clear" w:color="auto" w:fill="D9D9D9" w:themeFill="background1" w:themeFillShade="D9"/>
          </w:tcPr>
          <w:p w14:paraId="4428A2E1"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1152" w:type="dxa"/>
            <w:shd w:val="clear" w:color="auto" w:fill="D9D9D9" w:themeFill="background1" w:themeFillShade="D9"/>
          </w:tcPr>
          <w:p w14:paraId="65FD5F49"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1164" w:type="dxa"/>
            <w:shd w:val="clear" w:color="auto" w:fill="D9D9D9" w:themeFill="background1" w:themeFillShade="D9"/>
          </w:tcPr>
          <w:p w14:paraId="443D73A6" w14:textId="77777777" w:rsidR="00134236" w:rsidRPr="00134236" w:rsidRDefault="00134236" w:rsidP="00134236">
            <w:pPr>
              <w:spacing w:after="0" w:line="240" w:lineRule="auto"/>
              <w:jc w:val="center"/>
              <w:rPr>
                <w:sz w:val="20"/>
                <w:szCs w:val="20"/>
              </w:rPr>
            </w:pPr>
            <w:r w:rsidRPr="00134236">
              <w:rPr>
                <w:sz w:val="20"/>
                <w:szCs w:val="20"/>
              </w:rPr>
              <w:t>2.1%</w:t>
            </w:r>
          </w:p>
        </w:tc>
      </w:tr>
      <w:tr w:rsidR="00134236" w:rsidRPr="00134236" w14:paraId="4DACE188" w14:textId="77777777" w:rsidTr="00DF5AC6">
        <w:tc>
          <w:tcPr>
            <w:tcW w:w="3078" w:type="dxa"/>
            <w:shd w:val="clear" w:color="auto" w:fill="auto"/>
          </w:tcPr>
          <w:p w14:paraId="4E44943D" w14:textId="77777777" w:rsidR="00134236" w:rsidRPr="00134236" w:rsidRDefault="00134236" w:rsidP="00134236">
            <w:pPr>
              <w:spacing w:after="0" w:line="240" w:lineRule="auto"/>
              <w:rPr>
                <w:rFonts w:eastAsia="Times New Roman" w:cs="Times New Roman"/>
                <w:sz w:val="20"/>
                <w:szCs w:val="20"/>
              </w:rPr>
            </w:pPr>
            <w:r w:rsidRPr="00134236">
              <w:rPr>
                <w:rFonts w:eastAsia="Times New Roman" w:cs="Times New Roman"/>
                <w:sz w:val="20"/>
                <w:szCs w:val="20"/>
              </w:rPr>
              <w:t>White</w:t>
            </w:r>
          </w:p>
        </w:tc>
        <w:tc>
          <w:tcPr>
            <w:tcW w:w="991" w:type="dxa"/>
            <w:shd w:val="clear" w:color="auto" w:fill="auto"/>
          </w:tcPr>
          <w:p w14:paraId="37F7B603"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0.4%</w:t>
            </w:r>
          </w:p>
        </w:tc>
        <w:tc>
          <w:tcPr>
            <w:tcW w:w="992" w:type="dxa"/>
            <w:shd w:val="clear" w:color="auto" w:fill="auto"/>
          </w:tcPr>
          <w:p w14:paraId="350E605D"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0.3%</w:t>
            </w:r>
          </w:p>
        </w:tc>
        <w:tc>
          <w:tcPr>
            <w:tcW w:w="991" w:type="dxa"/>
            <w:shd w:val="clear" w:color="auto" w:fill="auto"/>
          </w:tcPr>
          <w:p w14:paraId="0393B05F"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0.5%</w:t>
            </w:r>
          </w:p>
        </w:tc>
        <w:tc>
          <w:tcPr>
            <w:tcW w:w="992" w:type="dxa"/>
            <w:shd w:val="clear" w:color="auto" w:fill="auto"/>
          </w:tcPr>
          <w:p w14:paraId="53E1E528"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0.6%</w:t>
            </w:r>
          </w:p>
        </w:tc>
        <w:tc>
          <w:tcPr>
            <w:tcW w:w="1152" w:type="dxa"/>
            <w:shd w:val="clear" w:color="auto" w:fill="auto"/>
          </w:tcPr>
          <w:p w14:paraId="1C2115A9"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0.2</w:t>
            </w:r>
          </w:p>
        </w:tc>
        <w:tc>
          <w:tcPr>
            <w:tcW w:w="1164" w:type="dxa"/>
          </w:tcPr>
          <w:p w14:paraId="3C48BDFA" w14:textId="77777777" w:rsidR="00134236" w:rsidRPr="00134236" w:rsidRDefault="00134236" w:rsidP="00134236">
            <w:pPr>
              <w:spacing w:after="0" w:line="240" w:lineRule="auto"/>
              <w:jc w:val="center"/>
              <w:rPr>
                <w:sz w:val="20"/>
                <w:szCs w:val="20"/>
              </w:rPr>
            </w:pPr>
            <w:r w:rsidRPr="00134236">
              <w:rPr>
                <w:sz w:val="20"/>
                <w:szCs w:val="20"/>
              </w:rPr>
              <w:t>1.3%</w:t>
            </w:r>
          </w:p>
        </w:tc>
      </w:tr>
      <w:tr w:rsidR="00134236" w:rsidRPr="00134236" w14:paraId="20C897B8" w14:textId="77777777" w:rsidTr="00DF5AC6">
        <w:tc>
          <w:tcPr>
            <w:tcW w:w="3078" w:type="dxa"/>
            <w:shd w:val="clear" w:color="auto" w:fill="D9D9D9" w:themeFill="background1" w:themeFillShade="D9"/>
          </w:tcPr>
          <w:p w14:paraId="7C5503B5" w14:textId="21DA2464" w:rsidR="00134236" w:rsidRPr="00134236" w:rsidRDefault="00134236" w:rsidP="00282F1F">
            <w:pPr>
              <w:spacing w:after="0" w:line="240" w:lineRule="auto"/>
              <w:rPr>
                <w:sz w:val="20"/>
                <w:szCs w:val="20"/>
              </w:rPr>
            </w:pPr>
            <w:r w:rsidRPr="00134236">
              <w:rPr>
                <w:sz w:val="20"/>
                <w:szCs w:val="20"/>
              </w:rPr>
              <w:t xml:space="preserve">All </w:t>
            </w:r>
          </w:p>
        </w:tc>
        <w:tc>
          <w:tcPr>
            <w:tcW w:w="991" w:type="dxa"/>
            <w:shd w:val="clear" w:color="auto" w:fill="D9D9D9" w:themeFill="background1" w:themeFillShade="D9"/>
          </w:tcPr>
          <w:p w14:paraId="647C26C5"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0.6%</w:t>
            </w:r>
          </w:p>
        </w:tc>
        <w:tc>
          <w:tcPr>
            <w:tcW w:w="992" w:type="dxa"/>
            <w:shd w:val="clear" w:color="auto" w:fill="D9D9D9" w:themeFill="background1" w:themeFillShade="D9"/>
          </w:tcPr>
          <w:p w14:paraId="09E842B0"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0.3%</w:t>
            </w:r>
          </w:p>
        </w:tc>
        <w:tc>
          <w:tcPr>
            <w:tcW w:w="991" w:type="dxa"/>
            <w:shd w:val="clear" w:color="auto" w:fill="D9D9D9" w:themeFill="background1" w:themeFillShade="D9"/>
          </w:tcPr>
          <w:p w14:paraId="2E531BBA"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0.5%</w:t>
            </w:r>
          </w:p>
        </w:tc>
        <w:tc>
          <w:tcPr>
            <w:tcW w:w="992" w:type="dxa"/>
            <w:shd w:val="clear" w:color="auto" w:fill="D9D9D9" w:themeFill="background1" w:themeFillShade="D9"/>
          </w:tcPr>
          <w:p w14:paraId="455B747A"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0.6%</w:t>
            </w:r>
          </w:p>
        </w:tc>
        <w:tc>
          <w:tcPr>
            <w:tcW w:w="1152" w:type="dxa"/>
            <w:shd w:val="clear" w:color="auto" w:fill="D9D9D9" w:themeFill="background1" w:themeFillShade="D9"/>
          </w:tcPr>
          <w:p w14:paraId="60905837"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0.0</w:t>
            </w:r>
          </w:p>
        </w:tc>
        <w:tc>
          <w:tcPr>
            <w:tcW w:w="1164" w:type="dxa"/>
            <w:shd w:val="clear" w:color="auto" w:fill="D9D9D9" w:themeFill="background1" w:themeFillShade="D9"/>
          </w:tcPr>
          <w:p w14:paraId="1C952567" w14:textId="77777777" w:rsidR="00134236" w:rsidRPr="00134236" w:rsidRDefault="00134236" w:rsidP="00134236">
            <w:pPr>
              <w:spacing w:after="0" w:line="240" w:lineRule="auto"/>
              <w:jc w:val="center"/>
              <w:rPr>
                <w:sz w:val="20"/>
                <w:szCs w:val="20"/>
              </w:rPr>
            </w:pPr>
            <w:r w:rsidRPr="00134236">
              <w:rPr>
                <w:sz w:val="20"/>
                <w:szCs w:val="20"/>
              </w:rPr>
              <w:t>1.7%</w:t>
            </w:r>
          </w:p>
        </w:tc>
      </w:tr>
    </w:tbl>
    <w:p w14:paraId="4A712344" w14:textId="77777777" w:rsidR="00134236" w:rsidRPr="00E22258" w:rsidRDefault="00134236" w:rsidP="00E22258">
      <w:pPr>
        <w:spacing w:before="60" w:after="0" w:line="240" w:lineRule="auto"/>
        <w:rPr>
          <w:sz w:val="18"/>
          <w:szCs w:val="18"/>
        </w:rPr>
      </w:pPr>
      <w:r w:rsidRPr="00E22258">
        <w:rPr>
          <w:sz w:val="18"/>
          <w:szCs w:val="18"/>
        </w:rPr>
        <w:t>*Suspension rates for students from low income families used for 2014 rates.</w:t>
      </w:r>
    </w:p>
    <w:p w14:paraId="7162D519" w14:textId="77777777" w:rsidR="00134236" w:rsidRPr="00134236" w:rsidRDefault="00134236" w:rsidP="00134236">
      <w:pPr>
        <w:spacing w:after="0" w:line="240" w:lineRule="auto"/>
      </w:pPr>
    </w:p>
    <w:p w14:paraId="6FB642DB" w14:textId="4CF441D8" w:rsidR="00134236" w:rsidRDefault="00282F1F" w:rsidP="00134236">
      <w:pPr>
        <w:spacing w:after="0" w:line="240" w:lineRule="auto"/>
        <w:rPr>
          <w:b/>
        </w:rPr>
      </w:pPr>
      <w:r>
        <w:rPr>
          <w:b/>
        </w:rPr>
        <w:t>In 2017, the district</w:t>
      </w:r>
      <w:r w:rsidRPr="00134236">
        <w:rPr>
          <w:b/>
        </w:rPr>
        <w:t xml:space="preserve">’s </w:t>
      </w:r>
      <w:r w:rsidR="00134236" w:rsidRPr="00134236">
        <w:rPr>
          <w:b/>
        </w:rPr>
        <w:t>out-</w:t>
      </w:r>
      <w:r w:rsidR="00C329BB" w:rsidRPr="00134236">
        <w:rPr>
          <w:b/>
        </w:rPr>
        <w:t>of</w:t>
      </w:r>
      <w:r w:rsidR="00C329BB">
        <w:rPr>
          <w:b/>
        </w:rPr>
        <w:t>-</w:t>
      </w:r>
      <w:r w:rsidR="00134236" w:rsidRPr="00134236">
        <w:rPr>
          <w:b/>
        </w:rPr>
        <w:t>school suspension rate for all students was 2.0 percent, below the state rate of 2.8 percent.  The out-</w:t>
      </w:r>
      <w:r w:rsidRPr="00134236">
        <w:rPr>
          <w:b/>
        </w:rPr>
        <w:t>of</w:t>
      </w:r>
      <w:r>
        <w:rPr>
          <w:b/>
        </w:rPr>
        <w:t>-</w:t>
      </w:r>
      <w:r w:rsidR="00134236" w:rsidRPr="00134236">
        <w:rPr>
          <w:b/>
        </w:rPr>
        <w:t>school suspension rates for each subgroup with reportable data ranged from 2.0 to 7.8 percent.</w:t>
      </w:r>
    </w:p>
    <w:p w14:paraId="518EC712" w14:textId="1A175C42" w:rsidR="00F76BEE" w:rsidRDefault="00F76BEE" w:rsidP="00134236">
      <w:pPr>
        <w:spacing w:after="0" w:line="240" w:lineRule="auto"/>
        <w:rPr>
          <w:b/>
        </w:rPr>
      </w:pPr>
    </w:p>
    <w:p w14:paraId="0D3B01F5" w14:textId="6D85308C" w:rsidR="00F76BEE" w:rsidRDefault="00F76BEE" w:rsidP="00134236">
      <w:pPr>
        <w:spacing w:after="0" w:line="240" w:lineRule="auto"/>
        <w:rPr>
          <w:b/>
        </w:rPr>
      </w:pPr>
    </w:p>
    <w:p w14:paraId="29A44D9E" w14:textId="0BD49A66" w:rsidR="00F76BEE" w:rsidRDefault="00F76BEE" w:rsidP="00134236">
      <w:pPr>
        <w:spacing w:after="0" w:line="240" w:lineRule="auto"/>
        <w:rPr>
          <w:b/>
        </w:rPr>
      </w:pPr>
    </w:p>
    <w:p w14:paraId="7633FA11" w14:textId="78A762CF" w:rsidR="00F76BEE" w:rsidRDefault="00F76BEE" w:rsidP="00134236">
      <w:pPr>
        <w:spacing w:after="0" w:line="240" w:lineRule="auto"/>
        <w:rPr>
          <w:b/>
        </w:rPr>
      </w:pPr>
    </w:p>
    <w:p w14:paraId="48868C5F" w14:textId="4AD513D2" w:rsidR="00F76BEE" w:rsidRDefault="00F76BEE" w:rsidP="00134236">
      <w:pPr>
        <w:spacing w:after="0" w:line="240" w:lineRule="auto"/>
        <w:rPr>
          <w:b/>
        </w:rPr>
      </w:pPr>
    </w:p>
    <w:p w14:paraId="6B664EA1" w14:textId="7584E1D0" w:rsidR="00F76BEE" w:rsidRDefault="00F76BEE" w:rsidP="00134236">
      <w:pPr>
        <w:spacing w:after="0" w:line="240" w:lineRule="auto"/>
        <w:rPr>
          <w:b/>
        </w:rPr>
      </w:pPr>
    </w:p>
    <w:p w14:paraId="05D7F236" w14:textId="524B2023" w:rsidR="00F76BEE" w:rsidRDefault="00F76BEE" w:rsidP="00134236">
      <w:pPr>
        <w:spacing w:after="0" w:line="240" w:lineRule="auto"/>
        <w:rPr>
          <w:b/>
        </w:rPr>
      </w:pPr>
    </w:p>
    <w:p w14:paraId="271CBB67" w14:textId="77777777" w:rsidR="00F76BEE" w:rsidRPr="00134236" w:rsidRDefault="00F76BEE" w:rsidP="00134236">
      <w:pPr>
        <w:spacing w:after="0" w:line="240" w:lineRule="auto"/>
        <w:rPr>
          <w:rFonts w:eastAsia="Times New Roman" w:cs="Times New Roman"/>
          <w:b/>
        </w:rPr>
      </w:pPr>
    </w:p>
    <w:p w14:paraId="3E2FAEEA" w14:textId="77777777" w:rsidR="00134236" w:rsidRPr="00134236" w:rsidRDefault="00134236" w:rsidP="00134236">
      <w:pPr>
        <w:spacing w:after="0" w:line="240" w:lineRule="auto"/>
      </w:pPr>
    </w:p>
    <w:tbl>
      <w:tblPr>
        <w:tblStyle w:val="TableGrid12"/>
        <w:tblW w:w="0" w:type="auto"/>
        <w:tblLook w:val="04A0" w:firstRow="1" w:lastRow="0" w:firstColumn="1" w:lastColumn="0" w:noHBand="0" w:noVBand="1"/>
        <w:tblCaption w:val="Table 20: Wakefield Public Schools"/>
        <w:tblDescription w:val="Out-of-School Suspension Rates by Subgroup, 2014–2017"/>
      </w:tblPr>
      <w:tblGrid>
        <w:gridCol w:w="3078"/>
        <w:gridCol w:w="991"/>
        <w:gridCol w:w="992"/>
        <w:gridCol w:w="991"/>
        <w:gridCol w:w="992"/>
        <w:gridCol w:w="1194"/>
        <w:gridCol w:w="1122"/>
      </w:tblGrid>
      <w:tr w:rsidR="00134236" w:rsidRPr="00134236" w14:paraId="60CDC420" w14:textId="77777777" w:rsidTr="00BB0032">
        <w:trPr>
          <w:tblHeader/>
        </w:trPr>
        <w:tc>
          <w:tcPr>
            <w:tcW w:w="9576" w:type="dxa"/>
            <w:gridSpan w:val="7"/>
            <w:tcBorders>
              <w:top w:val="nil"/>
              <w:left w:val="nil"/>
              <w:right w:val="nil"/>
            </w:tcBorders>
            <w:shd w:val="clear" w:color="auto" w:fill="auto"/>
          </w:tcPr>
          <w:p w14:paraId="46561B74" w14:textId="77777777" w:rsidR="00134236" w:rsidRPr="00134236" w:rsidRDefault="00134236" w:rsidP="00134236">
            <w:pPr>
              <w:spacing w:after="0" w:line="240" w:lineRule="auto"/>
              <w:jc w:val="center"/>
              <w:rPr>
                <w:b/>
                <w:sz w:val="20"/>
                <w:szCs w:val="20"/>
              </w:rPr>
            </w:pPr>
            <w:r w:rsidRPr="00134236">
              <w:rPr>
                <w:b/>
                <w:sz w:val="20"/>
                <w:szCs w:val="20"/>
              </w:rPr>
              <w:lastRenderedPageBreak/>
              <w:t xml:space="preserve">Table 20: </w:t>
            </w:r>
            <w:r w:rsidRPr="00134236">
              <w:rPr>
                <w:rFonts w:cs="Times New Roman"/>
                <w:b/>
                <w:sz w:val="20"/>
                <w:szCs w:val="20"/>
              </w:rPr>
              <w:t>Wakefield Public Schools</w:t>
            </w:r>
          </w:p>
          <w:p w14:paraId="7067FFD0" w14:textId="77777777" w:rsidR="00134236" w:rsidRPr="00134236" w:rsidRDefault="00134236" w:rsidP="00134236">
            <w:pPr>
              <w:spacing w:after="0" w:line="240" w:lineRule="auto"/>
              <w:jc w:val="center"/>
              <w:rPr>
                <w:b/>
                <w:sz w:val="20"/>
                <w:szCs w:val="20"/>
              </w:rPr>
            </w:pPr>
            <w:r w:rsidRPr="00134236">
              <w:rPr>
                <w:b/>
                <w:sz w:val="20"/>
                <w:szCs w:val="20"/>
              </w:rPr>
              <w:t>Out-of-School Suspension Rates by Subgroup, 2014–2017</w:t>
            </w:r>
          </w:p>
        </w:tc>
      </w:tr>
      <w:tr w:rsidR="00134236" w:rsidRPr="00134236" w14:paraId="5B9B6365" w14:textId="77777777" w:rsidTr="00DF5AC6">
        <w:tc>
          <w:tcPr>
            <w:tcW w:w="3168" w:type="dxa"/>
            <w:shd w:val="clear" w:color="auto" w:fill="D9D9D9" w:themeFill="background1" w:themeFillShade="D9"/>
          </w:tcPr>
          <w:p w14:paraId="50E9D950" w14:textId="77777777" w:rsidR="00134236" w:rsidRPr="00134236" w:rsidRDefault="00134236" w:rsidP="00E22258">
            <w:pPr>
              <w:spacing w:after="0" w:line="240" w:lineRule="auto"/>
              <w:rPr>
                <w:b/>
                <w:sz w:val="20"/>
                <w:szCs w:val="20"/>
              </w:rPr>
            </w:pPr>
            <w:r w:rsidRPr="00134236">
              <w:rPr>
                <w:b/>
                <w:sz w:val="20"/>
                <w:szCs w:val="20"/>
              </w:rPr>
              <w:t>Group</w:t>
            </w:r>
          </w:p>
        </w:tc>
        <w:tc>
          <w:tcPr>
            <w:tcW w:w="1012" w:type="dxa"/>
            <w:shd w:val="clear" w:color="auto" w:fill="D9D9D9" w:themeFill="background1" w:themeFillShade="D9"/>
          </w:tcPr>
          <w:p w14:paraId="3642BC29" w14:textId="77777777" w:rsidR="00134236" w:rsidRPr="00134236" w:rsidRDefault="00134236" w:rsidP="00134236">
            <w:pPr>
              <w:spacing w:after="0" w:line="240" w:lineRule="auto"/>
              <w:jc w:val="center"/>
              <w:rPr>
                <w:b/>
                <w:sz w:val="20"/>
                <w:szCs w:val="20"/>
              </w:rPr>
            </w:pPr>
            <w:r w:rsidRPr="00134236">
              <w:rPr>
                <w:b/>
                <w:sz w:val="20"/>
                <w:szCs w:val="20"/>
              </w:rPr>
              <w:t>2014</w:t>
            </w:r>
          </w:p>
        </w:tc>
        <w:tc>
          <w:tcPr>
            <w:tcW w:w="1013" w:type="dxa"/>
            <w:shd w:val="clear" w:color="auto" w:fill="D9D9D9" w:themeFill="background1" w:themeFillShade="D9"/>
          </w:tcPr>
          <w:p w14:paraId="39395287" w14:textId="77777777" w:rsidR="00134236" w:rsidRPr="00134236" w:rsidRDefault="00134236" w:rsidP="00134236">
            <w:pPr>
              <w:spacing w:after="0" w:line="240" w:lineRule="auto"/>
              <w:jc w:val="center"/>
              <w:rPr>
                <w:b/>
                <w:sz w:val="20"/>
                <w:szCs w:val="20"/>
              </w:rPr>
            </w:pPr>
            <w:r w:rsidRPr="00134236">
              <w:rPr>
                <w:b/>
                <w:sz w:val="20"/>
                <w:szCs w:val="20"/>
              </w:rPr>
              <w:t>2015</w:t>
            </w:r>
          </w:p>
        </w:tc>
        <w:tc>
          <w:tcPr>
            <w:tcW w:w="1012" w:type="dxa"/>
            <w:shd w:val="clear" w:color="auto" w:fill="D9D9D9" w:themeFill="background1" w:themeFillShade="D9"/>
          </w:tcPr>
          <w:p w14:paraId="671FD284" w14:textId="77777777" w:rsidR="00134236" w:rsidRPr="00134236" w:rsidRDefault="00134236" w:rsidP="00134236">
            <w:pPr>
              <w:spacing w:after="0" w:line="240" w:lineRule="auto"/>
              <w:jc w:val="center"/>
              <w:rPr>
                <w:b/>
                <w:sz w:val="20"/>
                <w:szCs w:val="20"/>
              </w:rPr>
            </w:pPr>
            <w:r w:rsidRPr="00134236">
              <w:rPr>
                <w:b/>
                <w:sz w:val="20"/>
                <w:szCs w:val="20"/>
              </w:rPr>
              <w:t>2016</w:t>
            </w:r>
          </w:p>
        </w:tc>
        <w:tc>
          <w:tcPr>
            <w:tcW w:w="1013" w:type="dxa"/>
            <w:shd w:val="clear" w:color="auto" w:fill="D9D9D9" w:themeFill="background1" w:themeFillShade="D9"/>
          </w:tcPr>
          <w:p w14:paraId="4ADC0B1D" w14:textId="77777777" w:rsidR="00134236" w:rsidRPr="00134236" w:rsidRDefault="00134236" w:rsidP="00134236">
            <w:pPr>
              <w:spacing w:after="0" w:line="240" w:lineRule="auto"/>
              <w:jc w:val="center"/>
              <w:rPr>
                <w:b/>
                <w:sz w:val="20"/>
                <w:szCs w:val="20"/>
              </w:rPr>
            </w:pPr>
            <w:r w:rsidRPr="00134236">
              <w:rPr>
                <w:b/>
                <w:sz w:val="20"/>
                <w:szCs w:val="20"/>
              </w:rPr>
              <w:t>2017</w:t>
            </w:r>
          </w:p>
        </w:tc>
        <w:tc>
          <w:tcPr>
            <w:tcW w:w="1215" w:type="dxa"/>
            <w:shd w:val="clear" w:color="auto" w:fill="D9D9D9" w:themeFill="background1" w:themeFillShade="D9"/>
          </w:tcPr>
          <w:p w14:paraId="76A3265B" w14:textId="77777777" w:rsidR="00134236" w:rsidRPr="00134236" w:rsidRDefault="00134236" w:rsidP="00134236">
            <w:pPr>
              <w:spacing w:after="0" w:line="240" w:lineRule="auto"/>
              <w:jc w:val="center"/>
              <w:rPr>
                <w:b/>
                <w:sz w:val="20"/>
                <w:szCs w:val="20"/>
              </w:rPr>
            </w:pPr>
            <w:r w:rsidRPr="00134236">
              <w:rPr>
                <w:b/>
                <w:sz w:val="20"/>
                <w:szCs w:val="20"/>
              </w:rPr>
              <w:t>4-yr Change</w:t>
            </w:r>
          </w:p>
        </w:tc>
        <w:tc>
          <w:tcPr>
            <w:tcW w:w="1143" w:type="dxa"/>
            <w:shd w:val="clear" w:color="auto" w:fill="D9D9D9" w:themeFill="background1" w:themeFillShade="D9"/>
          </w:tcPr>
          <w:p w14:paraId="6C03748E" w14:textId="77777777" w:rsidR="00134236" w:rsidRPr="00134236" w:rsidRDefault="00134236" w:rsidP="00134236">
            <w:pPr>
              <w:spacing w:after="0" w:line="240" w:lineRule="auto"/>
              <w:jc w:val="center"/>
              <w:rPr>
                <w:b/>
                <w:sz w:val="20"/>
                <w:szCs w:val="20"/>
              </w:rPr>
            </w:pPr>
            <w:r w:rsidRPr="00134236">
              <w:rPr>
                <w:b/>
                <w:sz w:val="20"/>
                <w:szCs w:val="20"/>
              </w:rPr>
              <w:t>State (2017)</w:t>
            </w:r>
          </w:p>
        </w:tc>
      </w:tr>
      <w:tr w:rsidR="00134236" w:rsidRPr="00134236" w14:paraId="502DA7D8" w14:textId="77777777" w:rsidTr="00DF5AC6">
        <w:tc>
          <w:tcPr>
            <w:tcW w:w="3168" w:type="dxa"/>
            <w:shd w:val="clear" w:color="auto" w:fill="auto"/>
          </w:tcPr>
          <w:p w14:paraId="7341049C" w14:textId="77777777" w:rsidR="00134236" w:rsidRPr="00134236" w:rsidRDefault="00134236" w:rsidP="00134236">
            <w:pPr>
              <w:spacing w:after="0" w:line="240" w:lineRule="auto"/>
              <w:rPr>
                <w:sz w:val="20"/>
                <w:szCs w:val="20"/>
              </w:rPr>
            </w:pPr>
            <w:r w:rsidRPr="00134236">
              <w:rPr>
                <w:sz w:val="20"/>
                <w:szCs w:val="20"/>
              </w:rPr>
              <w:t>High Needs</w:t>
            </w:r>
          </w:p>
        </w:tc>
        <w:tc>
          <w:tcPr>
            <w:tcW w:w="1012" w:type="dxa"/>
            <w:shd w:val="clear" w:color="auto" w:fill="auto"/>
          </w:tcPr>
          <w:p w14:paraId="205ADC98"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4.4%</w:t>
            </w:r>
          </w:p>
        </w:tc>
        <w:tc>
          <w:tcPr>
            <w:tcW w:w="1013" w:type="dxa"/>
            <w:shd w:val="clear" w:color="auto" w:fill="auto"/>
          </w:tcPr>
          <w:p w14:paraId="58CD79E0"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3.8%</w:t>
            </w:r>
          </w:p>
        </w:tc>
        <w:tc>
          <w:tcPr>
            <w:tcW w:w="1012" w:type="dxa"/>
            <w:shd w:val="clear" w:color="auto" w:fill="auto"/>
          </w:tcPr>
          <w:p w14:paraId="5DC96B3A"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2.5%</w:t>
            </w:r>
          </w:p>
        </w:tc>
        <w:tc>
          <w:tcPr>
            <w:tcW w:w="1013" w:type="dxa"/>
            <w:shd w:val="clear" w:color="auto" w:fill="auto"/>
          </w:tcPr>
          <w:p w14:paraId="13237CA5"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3.9%</w:t>
            </w:r>
          </w:p>
        </w:tc>
        <w:tc>
          <w:tcPr>
            <w:tcW w:w="1215" w:type="dxa"/>
            <w:shd w:val="clear" w:color="auto" w:fill="auto"/>
          </w:tcPr>
          <w:p w14:paraId="537180FC" w14:textId="77777777" w:rsidR="00134236" w:rsidRPr="00134236" w:rsidRDefault="00134236" w:rsidP="00134236">
            <w:pPr>
              <w:spacing w:after="0" w:line="240" w:lineRule="auto"/>
              <w:jc w:val="center"/>
              <w:rPr>
                <w:rFonts w:ascii="Calibri" w:hAnsi="Calibri"/>
                <w:color w:val="000000"/>
                <w:sz w:val="20"/>
                <w:szCs w:val="20"/>
              </w:rPr>
            </w:pPr>
            <w:r w:rsidRPr="00134236">
              <w:rPr>
                <w:rFonts w:ascii="Calibri" w:hAnsi="Calibri"/>
                <w:color w:val="000000"/>
                <w:sz w:val="20"/>
                <w:szCs w:val="20"/>
              </w:rPr>
              <w:t>-0.5</w:t>
            </w:r>
          </w:p>
        </w:tc>
        <w:tc>
          <w:tcPr>
            <w:tcW w:w="1143" w:type="dxa"/>
          </w:tcPr>
          <w:p w14:paraId="446E227B" w14:textId="77777777" w:rsidR="00134236" w:rsidRPr="00134236" w:rsidRDefault="00134236" w:rsidP="00134236">
            <w:pPr>
              <w:spacing w:after="0" w:line="240" w:lineRule="auto"/>
              <w:jc w:val="center"/>
              <w:rPr>
                <w:sz w:val="20"/>
                <w:szCs w:val="20"/>
              </w:rPr>
            </w:pPr>
            <w:r w:rsidRPr="00134236">
              <w:rPr>
                <w:sz w:val="20"/>
                <w:szCs w:val="20"/>
              </w:rPr>
              <w:t>4.5%</w:t>
            </w:r>
          </w:p>
        </w:tc>
      </w:tr>
      <w:tr w:rsidR="00134236" w:rsidRPr="00134236" w14:paraId="4B1B0CA0" w14:textId="77777777" w:rsidTr="00DF5AC6">
        <w:tc>
          <w:tcPr>
            <w:tcW w:w="3168" w:type="dxa"/>
            <w:shd w:val="clear" w:color="auto" w:fill="D9D9D9" w:themeFill="background1" w:themeFillShade="D9"/>
          </w:tcPr>
          <w:p w14:paraId="028CD72C" w14:textId="77777777" w:rsidR="00134236" w:rsidRPr="00134236" w:rsidRDefault="00134236" w:rsidP="00134236">
            <w:pPr>
              <w:spacing w:after="0" w:line="240" w:lineRule="auto"/>
              <w:rPr>
                <w:sz w:val="20"/>
                <w:szCs w:val="20"/>
              </w:rPr>
            </w:pPr>
            <w:r w:rsidRPr="00134236">
              <w:rPr>
                <w:sz w:val="20"/>
                <w:szCs w:val="20"/>
              </w:rPr>
              <w:t>Economically disadvantaged*</w:t>
            </w:r>
          </w:p>
        </w:tc>
        <w:tc>
          <w:tcPr>
            <w:tcW w:w="1012" w:type="dxa"/>
            <w:shd w:val="clear" w:color="auto" w:fill="D9D9D9" w:themeFill="background1" w:themeFillShade="D9"/>
          </w:tcPr>
          <w:p w14:paraId="70277452"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5.6%</w:t>
            </w:r>
          </w:p>
        </w:tc>
        <w:tc>
          <w:tcPr>
            <w:tcW w:w="1013" w:type="dxa"/>
            <w:shd w:val="clear" w:color="auto" w:fill="D9D9D9" w:themeFill="background1" w:themeFillShade="D9"/>
          </w:tcPr>
          <w:p w14:paraId="34A6569E"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5.6%</w:t>
            </w:r>
          </w:p>
        </w:tc>
        <w:tc>
          <w:tcPr>
            <w:tcW w:w="1012" w:type="dxa"/>
            <w:shd w:val="clear" w:color="auto" w:fill="D9D9D9" w:themeFill="background1" w:themeFillShade="D9"/>
          </w:tcPr>
          <w:p w14:paraId="6C55BA4C"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2.7%</w:t>
            </w:r>
          </w:p>
        </w:tc>
        <w:tc>
          <w:tcPr>
            <w:tcW w:w="1013" w:type="dxa"/>
            <w:shd w:val="clear" w:color="auto" w:fill="D9D9D9" w:themeFill="background1" w:themeFillShade="D9"/>
          </w:tcPr>
          <w:p w14:paraId="2FD8D9B7"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3.9%</w:t>
            </w:r>
          </w:p>
        </w:tc>
        <w:tc>
          <w:tcPr>
            <w:tcW w:w="1215" w:type="dxa"/>
            <w:shd w:val="clear" w:color="auto" w:fill="D9D9D9" w:themeFill="background1" w:themeFillShade="D9"/>
          </w:tcPr>
          <w:p w14:paraId="2D250EBC" w14:textId="77777777" w:rsidR="00134236" w:rsidRPr="00134236" w:rsidRDefault="00134236" w:rsidP="00134236">
            <w:pPr>
              <w:spacing w:after="0" w:line="240" w:lineRule="auto"/>
              <w:jc w:val="center"/>
              <w:rPr>
                <w:rFonts w:ascii="Calibri" w:hAnsi="Calibri"/>
                <w:color w:val="000000"/>
                <w:sz w:val="20"/>
                <w:szCs w:val="20"/>
              </w:rPr>
            </w:pPr>
            <w:r w:rsidRPr="00134236">
              <w:rPr>
                <w:rFonts w:ascii="Calibri" w:hAnsi="Calibri"/>
                <w:color w:val="000000"/>
                <w:sz w:val="20"/>
                <w:szCs w:val="20"/>
              </w:rPr>
              <w:t>-1.7</w:t>
            </w:r>
          </w:p>
        </w:tc>
        <w:tc>
          <w:tcPr>
            <w:tcW w:w="1143" w:type="dxa"/>
            <w:shd w:val="clear" w:color="auto" w:fill="D9D9D9" w:themeFill="background1" w:themeFillShade="D9"/>
          </w:tcPr>
          <w:p w14:paraId="01B30031" w14:textId="77777777" w:rsidR="00134236" w:rsidRPr="00134236" w:rsidRDefault="00134236" w:rsidP="00134236">
            <w:pPr>
              <w:spacing w:after="0" w:line="240" w:lineRule="auto"/>
              <w:jc w:val="center"/>
              <w:rPr>
                <w:sz w:val="20"/>
                <w:szCs w:val="20"/>
              </w:rPr>
            </w:pPr>
            <w:r w:rsidRPr="00134236">
              <w:rPr>
                <w:sz w:val="20"/>
                <w:szCs w:val="20"/>
              </w:rPr>
              <w:t>5.3%</w:t>
            </w:r>
          </w:p>
        </w:tc>
      </w:tr>
      <w:tr w:rsidR="00134236" w:rsidRPr="00134236" w14:paraId="50B01B99" w14:textId="77777777" w:rsidTr="00DF5AC6">
        <w:tc>
          <w:tcPr>
            <w:tcW w:w="3168" w:type="dxa"/>
            <w:shd w:val="clear" w:color="auto" w:fill="auto"/>
          </w:tcPr>
          <w:p w14:paraId="67C03223" w14:textId="77777777" w:rsidR="00134236" w:rsidRPr="00134236" w:rsidRDefault="00134236" w:rsidP="00134236">
            <w:pPr>
              <w:spacing w:after="0" w:line="240" w:lineRule="auto"/>
              <w:rPr>
                <w:sz w:val="20"/>
                <w:szCs w:val="20"/>
              </w:rPr>
            </w:pPr>
            <w:r w:rsidRPr="00134236">
              <w:rPr>
                <w:sz w:val="20"/>
                <w:szCs w:val="20"/>
              </w:rPr>
              <w:t>ELLs</w:t>
            </w:r>
          </w:p>
        </w:tc>
        <w:tc>
          <w:tcPr>
            <w:tcW w:w="1012" w:type="dxa"/>
            <w:shd w:val="clear" w:color="auto" w:fill="auto"/>
          </w:tcPr>
          <w:p w14:paraId="53505BA7"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1013" w:type="dxa"/>
            <w:shd w:val="clear" w:color="auto" w:fill="auto"/>
          </w:tcPr>
          <w:p w14:paraId="4CD907EF"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1012" w:type="dxa"/>
            <w:shd w:val="clear" w:color="auto" w:fill="auto"/>
          </w:tcPr>
          <w:p w14:paraId="3D1235BD"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1013" w:type="dxa"/>
            <w:shd w:val="clear" w:color="auto" w:fill="auto"/>
          </w:tcPr>
          <w:p w14:paraId="7EA46C4C"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1215" w:type="dxa"/>
            <w:shd w:val="clear" w:color="auto" w:fill="auto"/>
          </w:tcPr>
          <w:p w14:paraId="04DB9B3F" w14:textId="77777777" w:rsidR="00134236" w:rsidRPr="00134236" w:rsidRDefault="00134236" w:rsidP="00134236">
            <w:pPr>
              <w:spacing w:after="0" w:line="240" w:lineRule="auto"/>
              <w:jc w:val="center"/>
              <w:rPr>
                <w:rFonts w:ascii="Calibri" w:hAnsi="Calibri"/>
                <w:color w:val="000000"/>
                <w:sz w:val="20"/>
                <w:szCs w:val="20"/>
              </w:rPr>
            </w:pPr>
            <w:r w:rsidRPr="00134236">
              <w:rPr>
                <w:rFonts w:ascii="Calibri" w:hAnsi="Calibri"/>
                <w:color w:val="000000"/>
                <w:sz w:val="20"/>
                <w:szCs w:val="20"/>
              </w:rPr>
              <w:t>--</w:t>
            </w:r>
          </w:p>
        </w:tc>
        <w:tc>
          <w:tcPr>
            <w:tcW w:w="1143" w:type="dxa"/>
            <w:shd w:val="clear" w:color="auto" w:fill="auto"/>
          </w:tcPr>
          <w:p w14:paraId="77DF6845" w14:textId="77777777" w:rsidR="00134236" w:rsidRPr="00134236" w:rsidRDefault="00134236" w:rsidP="00134236">
            <w:pPr>
              <w:spacing w:after="0" w:line="240" w:lineRule="auto"/>
              <w:jc w:val="center"/>
              <w:rPr>
                <w:sz w:val="20"/>
                <w:szCs w:val="20"/>
              </w:rPr>
            </w:pPr>
            <w:r w:rsidRPr="00134236">
              <w:rPr>
                <w:sz w:val="20"/>
                <w:szCs w:val="20"/>
              </w:rPr>
              <w:t>3.8%</w:t>
            </w:r>
          </w:p>
        </w:tc>
      </w:tr>
      <w:tr w:rsidR="00134236" w:rsidRPr="00134236" w14:paraId="6D850492" w14:textId="77777777" w:rsidTr="00DF5AC6">
        <w:tc>
          <w:tcPr>
            <w:tcW w:w="3168" w:type="dxa"/>
            <w:shd w:val="clear" w:color="auto" w:fill="D9D9D9" w:themeFill="background1" w:themeFillShade="D9"/>
          </w:tcPr>
          <w:p w14:paraId="0F1F923A" w14:textId="77777777" w:rsidR="00134236" w:rsidRPr="00134236" w:rsidRDefault="00134236" w:rsidP="00134236">
            <w:pPr>
              <w:spacing w:after="0" w:line="240" w:lineRule="auto"/>
              <w:rPr>
                <w:sz w:val="20"/>
                <w:szCs w:val="20"/>
              </w:rPr>
            </w:pPr>
            <w:r w:rsidRPr="00134236">
              <w:rPr>
                <w:sz w:val="20"/>
                <w:szCs w:val="20"/>
              </w:rPr>
              <w:t>SWD</w:t>
            </w:r>
          </w:p>
        </w:tc>
        <w:tc>
          <w:tcPr>
            <w:tcW w:w="1012" w:type="dxa"/>
            <w:shd w:val="clear" w:color="auto" w:fill="D9D9D9" w:themeFill="background1" w:themeFillShade="D9"/>
          </w:tcPr>
          <w:p w14:paraId="49398626"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4.9%</w:t>
            </w:r>
          </w:p>
        </w:tc>
        <w:tc>
          <w:tcPr>
            <w:tcW w:w="1013" w:type="dxa"/>
            <w:shd w:val="clear" w:color="auto" w:fill="D9D9D9" w:themeFill="background1" w:themeFillShade="D9"/>
          </w:tcPr>
          <w:p w14:paraId="3EDC39CB"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4.5%</w:t>
            </w:r>
          </w:p>
        </w:tc>
        <w:tc>
          <w:tcPr>
            <w:tcW w:w="1012" w:type="dxa"/>
            <w:shd w:val="clear" w:color="auto" w:fill="D9D9D9" w:themeFill="background1" w:themeFillShade="D9"/>
          </w:tcPr>
          <w:p w14:paraId="21A2005B"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3.2%</w:t>
            </w:r>
          </w:p>
        </w:tc>
        <w:tc>
          <w:tcPr>
            <w:tcW w:w="1013" w:type="dxa"/>
            <w:shd w:val="clear" w:color="auto" w:fill="D9D9D9" w:themeFill="background1" w:themeFillShade="D9"/>
          </w:tcPr>
          <w:p w14:paraId="5EF47434"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5.4%</w:t>
            </w:r>
          </w:p>
        </w:tc>
        <w:tc>
          <w:tcPr>
            <w:tcW w:w="1215" w:type="dxa"/>
            <w:shd w:val="clear" w:color="auto" w:fill="D9D9D9" w:themeFill="background1" w:themeFillShade="D9"/>
          </w:tcPr>
          <w:p w14:paraId="631AE43A" w14:textId="77777777" w:rsidR="00134236" w:rsidRPr="00134236" w:rsidRDefault="00134236" w:rsidP="00134236">
            <w:pPr>
              <w:spacing w:after="0" w:line="240" w:lineRule="auto"/>
              <w:jc w:val="center"/>
              <w:rPr>
                <w:rFonts w:ascii="Calibri" w:hAnsi="Calibri"/>
                <w:color w:val="000000"/>
                <w:sz w:val="20"/>
                <w:szCs w:val="20"/>
              </w:rPr>
            </w:pPr>
            <w:r w:rsidRPr="00134236">
              <w:rPr>
                <w:rFonts w:ascii="Calibri" w:hAnsi="Calibri"/>
                <w:color w:val="000000"/>
                <w:sz w:val="20"/>
                <w:szCs w:val="20"/>
              </w:rPr>
              <w:t>0.5</w:t>
            </w:r>
          </w:p>
        </w:tc>
        <w:tc>
          <w:tcPr>
            <w:tcW w:w="1143" w:type="dxa"/>
            <w:shd w:val="clear" w:color="auto" w:fill="D9D9D9" w:themeFill="background1" w:themeFillShade="D9"/>
          </w:tcPr>
          <w:p w14:paraId="19B27025" w14:textId="77777777" w:rsidR="00134236" w:rsidRPr="00134236" w:rsidRDefault="00134236" w:rsidP="00134236">
            <w:pPr>
              <w:spacing w:after="0" w:line="240" w:lineRule="auto"/>
              <w:jc w:val="center"/>
              <w:rPr>
                <w:sz w:val="20"/>
                <w:szCs w:val="20"/>
              </w:rPr>
            </w:pPr>
            <w:r w:rsidRPr="00134236">
              <w:rPr>
                <w:sz w:val="20"/>
                <w:szCs w:val="20"/>
              </w:rPr>
              <w:t>5.5%</w:t>
            </w:r>
          </w:p>
        </w:tc>
      </w:tr>
      <w:tr w:rsidR="00134236" w:rsidRPr="00134236" w14:paraId="7C2ECA25" w14:textId="77777777" w:rsidTr="00DF5AC6">
        <w:tc>
          <w:tcPr>
            <w:tcW w:w="3168" w:type="dxa"/>
            <w:shd w:val="clear" w:color="auto" w:fill="auto"/>
          </w:tcPr>
          <w:p w14:paraId="230D39AB" w14:textId="39D62D61" w:rsidR="00134236" w:rsidRPr="00134236" w:rsidRDefault="00134236" w:rsidP="00282F1F">
            <w:pPr>
              <w:spacing w:after="0" w:line="240" w:lineRule="auto"/>
              <w:rPr>
                <w:rFonts w:eastAsia="Times New Roman" w:cs="Times New Roman"/>
                <w:sz w:val="20"/>
                <w:szCs w:val="20"/>
              </w:rPr>
            </w:pPr>
            <w:r w:rsidRPr="00134236">
              <w:rPr>
                <w:rFonts w:eastAsia="Times New Roman" w:cs="Times New Roman"/>
                <w:sz w:val="20"/>
                <w:szCs w:val="20"/>
              </w:rPr>
              <w:t>African American</w:t>
            </w:r>
          </w:p>
        </w:tc>
        <w:tc>
          <w:tcPr>
            <w:tcW w:w="1012" w:type="dxa"/>
            <w:shd w:val="clear" w:color="auto" w:fill="auto"/>
          </w:tcPr>
          <w:p w14:paraId="4D6A2CDD"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1013" w:type="dxa"/>
            <w:shd w:val="clear" w:color="auto" w:fill="auto"/>
          </w:tcPr>
          <w:p w14:paraId="7D47E8A8"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1012" w:type="dxa"/>
            <w:shd w:val="clear" w:color="auto" w:fill="auto"/>
          </w:tcPr>
          <w:p w14:paraId="4AB57515"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4.9%</w:t>
            </w:r>
          </w:p>
        </w:tc>
        <w:tc>
          <w:tcPr>
            <w:tcW w:w="1013" w:type="dxa"/>
            <w:shd w:val="clear" w:color="auto" w:fill="auto"/>
          </w:tcPr>
          <w:p w14:paraId="2E5990CE"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7.8%</w:t>
            </w:r>
          </w:p>
        </w:tc>
        <w:tc>
          <w:tcPr>
            <w:tcW w:w="1215" w:type="dxa"/>
            <w:shd w:val="clear" w:color="auto" w:fill="auto"/>
          </w:tcPr>
          <w:p w14:paraId="3D14F113" w14:textId="77777777" w:rsidR="00134236" w:rsidRPr="00134236" w:rsidRDefault="00134236" w:rsidP="00134236">
            <w:pPr>
              <w:spacing w:after="0" w:line="240" w:lineRule="auto"/>
              <w:jc w:val="center"/>
              <w:rPr>
                <w:rFonts w:ascii="Calibri" w:hAnsi="Calibri"/>
                <w:color w:val="000000"/>
                <w:sz w:val="20"/>
                <w:szCs w:val="20"/>
              </w:rPr>
            </w:pPr>
            <w:r w:rsidRPr="00134236">
              <w:rPr>
                <w:rFonts w:ascii="Calibri" w:hAnsi="Calibri"/>
                <w:color w:val="000000"/>
                <w:sz w:val="20"/>
                <w:szCs w:val="20"/>
              </w:rPr>
              <w:t>--</w:t>
            </w:r>
          </w:p>
        </w:tc>
        <w:tc>
          <w:tcPr>
            <w:tcW w:w="1143" w:type="dxa"/>
          </w:tcPr>
          <w:p w14:paraId="67712F41" w14:textId="77777777" w:rsidR="00134236" w:rsidRPr="00134236" w:rsidRDefault="00134236" w:rsidP="00134236">
            <w:pPr>
              <w:spacing w:after="0" w:line="240" w:lineRule="auto"/>
              <w:jc w:val="center"/>
              <w:rPr>
                <w:sz w:val="20"/>
                <w:szCs w:val="20"/>
              </w:rPr>
            </w:pPr>
            <w:r w:rsidRPr="00134236">
              <w:rPr>
                <w:sz w:val="20"/>
                <w:szCs w:val="20"/>
              </w:rPr>
              <w:t>6.3%</w:t>
            </w:r>
          </w:p>
        </w:tc>
      </w:tr>
      <w:tr w:rsidR="00134236" w:rsidRPr="00134236" w14:paraId="721E4C03" w14:textId="77777777" w:rsidTr="00DF5AC6">
        <w:tc>
          <w:tcPr>
            <w:tcW w:w="3168" w:type="dxa"/>
            <w:tcBorders>
              <w:bottom w:val="single" w:sz="4" w:space="0" w:color="auto"/>
            </w:tcBorders>
            <w:shd w:val="clear" w:color="auto" w:fill="D9D9D9" w:themeFill="background1" w:themeFillShade="D9"/>
          </w:tcPr>
          <w:p w14:paraId="2A0DDF1C" w14:textId="77777777" w:rsidR="00134236" w:rsidRPr="00134236" w:rsidRDefault="00134236" w:rsidP="00134236">
            <w:pPr>
              <w:spacing w:after="0" w:line="240" w:lineRule="auto"/>
              <w:rPr>
                <w:rFonts w:eastAsia="Times New Roman" w:cs="Times New Roman"/>
                <w:sz w:val="20"/>
                <w:szCs w:val="20"/>
              </w:rPr>
            </w:pPr>
            <w:r w:rsidRPr="00134236">
              <w:rPr>
                <w:rFonts w:eastAsia="Times New Roman" w:cs="Times New Roman"/>
                <w:sz w:val="20"/>
                <w:szCs w:val="20"/>
              </w:rPr>
              <w:t>Asian</w:t>
            </w:r>
          </w:p>
        </w:tc>
        <w:tc>
          <w:tcPr>
            <w:tcW w:w="1012" w:type="dxa"/>
            <w:tcBorders>
              <w:bottom w:val="single" w:sz="4" w:space="0" w:color="auto"/>
            </w:tcBorders>
            <w:shd w:val="clear" w:color="auto" w:fill="D9D9D9" w:themeFill="background1" w:themeFillShade="D9"/>
          </w:tcPr>
          <w:p w14:paraId="7134FDC6"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1013" w:type="dxa"/>
            <w:tcBorders>
              <w:bottom w:val="single" w:sz="4" w:space="0" w:color="auto"/>
            </w:tcBorders>
            <w:shd w:val="clear" w:color="auto" w:fill="D9D9D9" w:themeFill="background1" w:themeFillShade="D9"/>
          </w:tcPr>
          <w:p w14:paraId="18F89582"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1012" w:type="dxa"/>
            <w:tcBorders>
              <w:bottom w:val="single" w:sz="4" w:space="0" w:color="auto"/>
            </w:tcBorders>
            <w:shd w:val="clear" w:color="auto" w:fill="D9D9D9" w:themeFill="background1" w:themeFillShade="D9"/>
          </w:tcPr>
          <w:p w14:paraId="138C6A61"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1013" w:type="dxa"/>
            <w:tcBorders>
              <w:bottom w:val="single" w:sz="4" w:space="0" w:color="auto"/>
            </w:tcBorders>
            <w:shd w:val="clear" w:color="auto" w:fill="D9D9D9" w:themeFill="background1" w:themeFillShade="D9"/>
          </w:tcPr>
          <w:p w14:paraId="0CD9D007"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1215" w:type="dxa"/>
            <w:tcBorders>
              <w:bottom w:val="single" w:sz="4" w:space="0" w:color="auto"/>
            </w:tcBorders>
            <w:shd w:val="clear" w:color="auto" w:fill="D9D9D9" w:themeFill="background1" w:themeFillShade="D9"/>
          </w:tcPr>
          <w:p w14:paraId="1B0E4648" w14:textId="77777777" w:rsidR="00134236" w:rsidRPr="00134236" w:rsidRDefault="00134236" w:rsidP="00134236">
            <w:pPr>
              <w:spacing w:after="0" w:line="240" w:lineRule="auto"/>
              <w:jc w:val="center"/>
              <w:rPr>
                <w:rFonts w:ascii="Calibri" w:hAnsi="Calibri"/>
                <w:color w:val="000000"/>
                <w:sz w:val="20"/>
                <w:szCs w:val="20"/>
              </w:rPr>
            </w:pPr>
            <w:r w:rsidRPr="00134236">
              <w:rPr>
                <w:rFonts w:ascii="Calibri" w:hAnsi="Calibri"/>
                <w:color w:val="000000"/>
                <w:sz w:val="20"/>
                <w:szCs w:val="20"/>
              </w:rPr>
              <w:t>--</w:t>
            </w:r>
          </w:p>
        </w:tc>
        <w:tc>
          <w:tcPr>
            <w:tcW w:w="1143" w:type="dxa"/>
            <w:tcBorders>
              <w:bottom w:val="single" w:sz="4" w:space="0" w:color="auto"/>
            </w:tcBorders>
            <w:shd w:val="clear" w:color="auto" w:fill="D9D9D9" w:themeFill="background1" w:themeFillShade="D9"/>
          </w:tcPr>
          <w:p w14:paraId="0DAAF24E" w14:textId="77777777" w:rsidR="00134236" w:rsidRPr="00134236" w:rsidRDefault="00134236" w:rsidP="00134236">
            <w:pPr>
              <w:spacing w:after="0" w:line="240" w:lineRule="auto"/>
              <w:jc w:val="center"/>
              <w:rPr>
                <w:sz w:val="20"/>
                <w:szCs w:val="20"/>
              </w:rPr>
            </w:pPr>
            <w:r w:rsidRPr="00134236">
              <w:rPr>
                <w:sz w:val="20"/>
                <w:szCs w:val="20"/>
              </w:rPr>
              <w:t>0.7%</w:t>
            </w:r>
          </w:p>
        </w:tc>
      </w:tr>
      <w:tr w:rsidR="00134236" w:rsidRPr="00134236" w14:paraId="2F852966" w14:textId="77777777" w:rsidTr="00DF5AC6">
        <w:tc>
          <w:tcPr>
            <w:tcW w:w="3168" w:type="dxa"/>
            <w:shd w:val="clear" w:color="auto" w:fill="auto"/>
          </w:tcPr>
          <w:p w14:paraId="0F56F957" w14:textId="77777777" w:rsidR="00134236" w:rsidRPr="00134236" w:rsidRDefault="00134236" w:rsidP="00134236">
            <w:pPr>
              <w:spacing w:after="0" w:line="240" w:lineRule="auto"/>
              <w:rPr>
                <w:rFonts w:eastAsia="Times New Roman" w:cs="Times New Roman"/>
                <w:sz w:val="20"/>
                <w:szCs w:val="20"/>
              </w:rPr>
            </w:pPr>
            <w:r w:rsidRPr="00134236">
              <w:rPr>
                <w:rFonts w:eastAsia="Times New Roman" w:cs="Times New Roman"/>
                <w:sz w:val="20"/>
                <w:szCs w:val="20"/>
              </w:rPr>
              <w:t>Hispanic or Latino</w:t>
            </w:r>
          </w:p>
        </w:tc>
        <w:tc>
          <w:tcPr>
            <w:tcW w:w="1012" w:type="dxa"/>
            <w:shd w:val="clear" w:color="auto" w:fill="auto"/>
          </w:tcPr>
          <w:p w14:paraId="16A847F7"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4.9%</w:t>
            </w:r>
          </w:p>
        </w:tc>
        <w:tc>
          <w:tcPr>
            <w:tcW w:w="1013" w:type="dxa"/>
            <w:shd w:val="clear" w:color="auto" w:fill="auto"/>
          </w:tcPr>
          <w:p w14:paraId="50DD7B89"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1012" w:type="dxa"/>
            <w:shd w:val="clear" w:color="auto" w:fill="auto"/>
          </w:tcPr>
          <w:p w14:paraId="5BD9286F"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1013" w:type="dxa"/>
            <w:shd w:val="clear" w:color="auto" w:fill="auto"/>
          </w:tcPr>
          <w:p w14:paraId="34F11938"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2.5%</w:t>
            </w:r>
          </w:p>
        </w:tc>
        <w:tc>
          <w:tcPr>
            <w:tcW w:w="1215" w:type="dxa"/>
            <w:shd w:val="clear" w:color="auto" w:fill="auto"/>
          </w:tcPr>
          <w:p w14:paraId="20614C97" w14:textId="77777777" w:rsidR="00134236" w:rsidRPr="00134236" w:rsidRDefault="00134236" w:rsidP="00134236">
            <w:pPr>
              <w:spacing w:after="0" w:line="240" w:lineRule="auto"/>
              <w:jc w:val="center"/>
              <w:rPr>
                <w:rFonts w:ascii="Calibri" w:hAnsi="Calibri"/>
                <w:color w:val="000000"/>
                <w:sz w:val="20"/>
                <w:szCs w:val="20"/>
              </w:rPr>
            </w:pPr>
            <w:r w:rsidRPr="00134236">
              <w:rPr>
                <w:rFonts w:ascii="Calibri" w:hAnsi="Calibri"/>
                <w:color w:val="000000"/>
                <w:sz w:val="20"/>
                <w:szCs w:val="20"/>
              </w:rPr>
              <w:t>-2.4</w:t>
            </w:r>
          </w:p>
        </w:tc>
        <w:tc>
          <w:tcPr>
            <w:tcW w:w="1143" w:type="dxa"/>
          </w:tcPr>
          <w:p w14:paraId="4FC40F20" w14:textId="77777777" w:rsidR="00134236" w:rsidRPr="00134236" w:rsidRDefault="00134236" w:rsidP="00134236">
            <w:pPr>
              <w:spacing w:after="0" w:line="240" w:lineRule="auto"/>
              <w:jc w:val="center"/>
              <w:rPr>
                <w:sz w:val="20"/>
                <w:szCs w:val="20"/>
              </w:rPr>
            </w:pPr>
            <w:r w:rsidRPr="00134236">
              <w:rPr>
                <w:sz w:val="20"/>
                <w:szCs w:val="20"/>
              </w:rPr>
              <w:t>5.2%</w:t>
            </w:r>
          </w:p>
        </w:tc>
      </w:tr>
      <w:tr w:rsidR="00134236" w:rsidRPr="00134236" w14:paraId="09C56D94" w14:textId="77777777" w:rsidTr="00DF5AC6">
        <w:tc>
          <w:tcPr>
            <w:tcW w:w="3168" w:type="dxa"/>
            <w:shd w:val="clear" w:color="auto" w:fill="D9D9D9" w:themeFill="background1" w:themeFillShade="D9"/>
          </w:tcPr>
          <w:p w14:paraId="229201AD" w14:textId="77777777" w:rsidR="00134236" w:rsidRPr="00134236" w:rsidRDefault="00134236" w:rsidP="00134236">
            <w:pPr>
              <w:spacing w:after="0" w:line="240" w:lineRule="auto"/>
              <w:rPr>
                <w:rFonts w:eastAsia="Times New Roman" w:cs="Times New Roman"/>
                <w:sz w:val="20"/>
                <w:szCs w:val="20"/>
              </w:rPr>
            </w:pPr>
            <w:r w:rsidRPr="00134236">
              <w:rPr>
                <w:rFonts w:eastAsia="Times New Roman" w:cs="Times New Roman"/>
                <w:sz w:val="20"/>
                <w:szCs w:val="20"/>
              </w:rPr>
              <w:t>Multi-Race, non-Hispanic or Latino</w:t>
            </w:r>
          </w:p>
        </w:tc>
        <w:tc>
          <w:tcPr>
            <w:tcW w:w="1012" w:type="dxa"/>
            <w:shd w:val="clear" w:color="auto" w:fill="D9D9D9" w:themeFill="background1" w:themeFillShade="D9"/>
          </w:tcPr>
          <w:p w14:paraId="56571899"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1013" w:type="dxa"/>
            <w:shd w:val="clear" w:color="auto" w:fill="D9D9D9" w:themeFill="background1" w:themeFillShade="D9"/>
          </w:tcPr>
          <w:p w14:paraId="66577BBF"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1012" w:type="dxa"/>
            <w:shd w:val="clear" w:color="auto" w:fill="D9D9D9" w:themeFill="background1" w:themeFillShade="D9"/>
          </w:tcPr>
          <w:p w14:paraId="45334A3E"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1013" w:type="dxa"/>
            <w:shd w:val="clear" w:color="auto" w:fill="D9D9D9" w:themeFill="background1" w:themeFillShade="D9"/>
          </w:tcPr>
          <w:p w14:paraId="5BB41007"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1215" w:type="dxa"/>
            <w:shd w:val="clear" w:color="auto" w:fill="D9D9D9" w:themeFill="background1" w:themeFillShade="D9"/>
          </w:tcPr>
          <w:p w14:paraId="25D7BEC7" w14:textId="77777777" w:rsidR="00134236" w:rsidRPr="00134236" w:rsidRDefault="00134236" w:rsidP="00134236">
            <w:pPr>
              <w:spacing w:after="0" w:line="240" w:lineRule="auto"/>
              <w:jc w:val="center"/>
              <w:rPr>
                <w:rFonts w:ascii="Calibri" w:hAnsi="Calibri"/>
                <w:color w:val="000000"/>
                <w:sz w:val="20"/>
                <w:szCs w:val="20"/>
              </w:rPr>
            </w:pPr>
            <w:r w:rsidRPr="00134236">
              <w:rPr>
                <w:rFonts w:ascii="Calibri" w:hAnsi="Calibri"/>
                <w:color w:val="000000"/>
                <w:sz w:val="20"/>
                <w:szCs w:val="20"/>
              </w:rPr>
              <w:t>--</w:t>
            </w:r>
          </w:p>
        </w:tc>
        <w:tc>
          <w:tcPr>
            <w:tcW w:w="1143" w:type="dxa"/>
            <w:shd w:val="clear" w:color="auto" w:fill="D9D9D9" w:themeFill="background1" w:themeFillShade="D9"/>
          </w:tcPr>
          <w:p w14:paraId="60BE90CA" w14:textId="77777777" w:rsidR="00134236" w:rsidRPr="00134236" w:rsidRDefault="00134236" w:rsidP="00134236">
            <w:pPr>
              <w:spacing w:after="0" w:line="240" w:lineRule="auto"/>
              <w:jc w:val="center"/>
              <w:rPr>
                <w:sz w:val="20"/>
                <w:szCs w:val="20"/>
              </w:rPr>
            </w:pPr>
            <w:r w:rsidRPr="00134236">
              <w:rPr>
                <w:sz w:val="20"/>
                <w:szCs w:val="20"/>
              </w:rPr>
              <w:t>3.1%</w:t>
            </w:r>
          </w:p>
        </w:tc>
      </w:tr>
      <w:tr w:rsidR="00134236" w:rsidRPr="00134236" w14:paraId="6B4952A0" w14:textId="77777777" w:rsidTr="00DF5AC6">
        <w:tc>
          <w:tcPr>
            <w:tcW w:w="3168" w:type="dxa"/>
            <w:shd w:val="clear" w:color="auto" w:fill="auto"/>
          </w:tcPr>
          <w:p w14:paraId="76097239" w14:textId="77777777" w:rsidR="00134236" w:rsidRPr="00134236" w:rsidRDefault="00134236" w:rsidP="00134236">
            <w:pPr>
              <w:spacing w:after="0" w:line="240" w:lineRule="auto"/>
              <w:rPr>
                <w:rFonts w:eastAsia="Times New Roman" w:cs="Times New Roman"/>
                <w:sz w:val="20"/>
                <w:szCs w:val="20"/>
              </w:rPr>
            </w:pPr>
            <w:r w:rsidRPr="00134236">
              <w:rPr>
                <w:rFonts w:eastAsia="Times New Roman" w:cs="Times New Roman"/>
                <w:sz w:val="20"/>
                <w:szCs w:val="20"/>
              </w:rPr>
              <w:t>White</w:t>
            </w:r>
          </w:p>
        </w:tc>
        <w:tc>
          <w:tcPr>
            <w:tcW w:w="1012" w:type="dxa"/>
            <w:shd w:val="clear" w:color="auto" w:fill="auto"/>
          </w:tcPr>
          <w:p w14:paraId="636FDC08"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1.5%</w:t>
            </w:r>
          </w:p>
        </w:tc>
        <w:tc>
          <w:tcPr>
            <w:tcW w:w="1013" w:type="dxa"/>
            <w:shd w:val="clear" w:color="auto" w:fill="auto"/>
          </w:tcPr>
          <w:p w14:paraId="55590B54"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1.4%</w:t>
            </w:r>
          </w:p>
        </w:tc>
        <w:tc>
          <w:tcPr>
            <w:tcW w:w="1012" w:type="dxa"/>
            <w:shd w:val="clear" w:color="auto" w:fill="auto"/>
          </w:tcPr>
          <w:p w14:paraId="541468FC"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1.0%</w:t>
            </w:r>
          </w:p>
        </w:tc>
        <w:tc>
          <w:tcPr>
            <w:tcW w:w="1013" w:type="dxa"/>
            <w:shd w:val="clear" w:color="auto" w:fill="auto"/>
          </w:tcPr>
          <w:p w14:paraId="2E0C72B9"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2.0%</w:t>
            </w:r>
          </w:p>
        </w:tc>
        <w:tc>
          <w:tcPr>
            <w:tcW w:w="1215" w:type="dxa"/>
            <w:shd w:val="clear" w:color="auto" w:fill="auto"/>
          </w:tcPr>
          <w:p w14:paraId="2E9A019E" w14:textId="77777777" w:rsidR="00134236" w:rsidRPr="00134236" w:rsidRDefault="00134236" w:rsidP="00134236">
            <w:pPr>
              <w:spacing w:after="0" w:line="240" w:lineRule="auto"/>
              <w:jc w:val="center"/>
              <w:rPr>
                <w:rFonts w:ascii="Calibri" w:hAnsi="Calibri"/>
                <w:color w:val="000000"/>
                <w:sz w:val="20"/>
                <w:szCs w:val="20"/>
              </w:rPr>
            </w:pPr>
            <w:r w:rsidRPr="00134236">
              <w:rPr>
                <w:rFonts w:ascii="Calibri" w:hAnsi="Calibri"/>
                <w:color w:val="000000"/>
                <w:sz w:val="20"/>
                <w:szCs w:val="20"/>
              </w:rPr>
              <w:t>0.5</w:t>
            </w:r>
          </w:p>
        </w:tc>
        <w:tc>
          <w:tcPr>
            <w:tcW w:w="1143" w:type="dxa"/>
          </w:tcPr>
          <w:p w14:paraId="653CDF24" w14:textId="77777777" w:rsidR="00134236" w:rsidRPr="00134236" w:rsidRDefault="00134236" w:rsidP="00134236">
            <w:pPr>
              <w:spacing w:after="0" w:line="240" w:lineRule="auto"/>
              <w:jc w:val="center"/>
              <w:rPr>
                <w:sz w:val="20"/>
                <w:szCs w:val="20"/>
              </w:rPr>
            </w:pPr>
            <w:r w:rsidRPr="00134236">
              <w:rPr>
                <w:sz w:val="20"/>
                <w:szCs w:val="20"/>
              </w:rPr>
              <w:t>1.6%</w:t>
            </w:r>
          </w:p>
        </w:tc>
      </w:tr>
      <w:tr w:rsidR="00134236" w:rsidRPr="00134236" w14:paraId="19796870" w14:textId="77777777" w:rsidTr="00DF5AC6">
        <w:tc>
          <w:tcPr>
            <w:tcW w:w="3168" w:type="dxa"/>
            <w:shd w:val="clear" w:color="auto" w:fill="D9D9D9" w:themeFill="background1" w:themeFillShade="D9"/>
          </w:tcPr>
          <w:p w14:paraId="76F3A933" w14:textId="6897BCF9" w:rsidR="00134236" w:rsidRPr="00134236" w:rsidRDefault="00134236" w:rsidP="00282F1F">
            <w:pPr>
              <w:spacing w:after="0" w:line="240" w:lineRule="auto"/>
              <w:rPr>
                <w:sz w:val="20"/>
                <w:szCs w:val="20"/>
              </w:rPr>
            </w:pPr>
            <w:r w:rsidRPr="00134236">
              <w:rPr>
                <w:sz w:val="20"/>
                <w:szCs w:val="20"/>
              </w:rPr>
              <w:t xml:space="preserve">All </w:t>
            </w:r>
          </w:p>
        </w:tc>
        <w:tc>
          <w:tcPr>
            <w:tcW w:w="1012" w:type="dxa"/>
            <w:shd w:val="clear" w:color="auto" w:fill="D9D9D9" w:themeFill="background1" w:themeFillShade="D9"/>
          </w:tcPr>
          <w:p w14:paraId="7CAF0B13"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1.7%</w:t>
            </w:r>
          </w:p>
        </w:tc>
        <w:tc>
          <w:tcPr>
            <w:tcW w:w="1013" w:type="dxa"/>
            <w:shd w:val="clear" w:color="auto" w:fill="D9D9D9" w:themeFill="background1" w:themeFillShade="D9"/>
          </w:tcPr>
          <w:p w14:paraId="6248DA5A"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1.5%</w:t>
            </w:r>
          </w:p>
        </w:tc>
        <w:tc>
          <w:tcPr>
            <w:tcW w:w="1012" w:type="dxa"/>
            <w:shd w:val="clear" w:color="auto" w:fill="D9D9D9" w:themeFill="background1" w:themeFillShade="D9"/>
          </w:tcPr>
          <w:p w14:paraId="1FED91AE"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1.0%</w:t>
            </w:r>
          </w:p>
        </w:tc>
        <w:tc>
          <w:tcPr>
            <w:tcW w:w="1013" w:type="dxa"/>
            <w:shd w:val="clear" w:color="auto" w:fill="D9D9D9" w:themeFill="background1" w:themeFillShade="D9"/>
          </w:tcPr>
          <w:p w14:paraId="77FA71A9"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2.0%</w:t>
            </w:r>
          </w:p>
        </w:tc>
        <w:tc>
          <w:tcPr>
            <w:tcW w:w="1215" w:type="dxa"/>
            <w:shd w:val="clear" w:color="auto" w:fill="D9D9D9" w:themeFill="background1" w:themeFillShade="D9"/>
          </w:tcPr>
          <w:p w14:paraId="5DE75C1A" w14:textId="77777777" w:rsidR="00134236" w:rsidRPr="00134236" w:rsidRDefault="00134236" w:rsidP="00134236">
            <w:pPr>
              <w:spacing w:after="0" w:line="240" w:lineRule="auto"/>
              <w:jc w:val="center"/>
              <w:rPr>
                <w:rFonts w:ascii="Calibri" w:hAnsi="Calibri"/>
                <w:color w:val="000000"/>
                <w:sz w:val="20"/>
                <w:szCs w:val="20"/>
              </w:rPr>
            </w:pPr>
            <w:r w:rsidRPr="00134236">
              <w:rPr>
                <w:rFonts w:ascii="Calibri" w:hAnsi="Calibri"/>
                <w:color w:val="000000"/>
                <w:sz w:val="20"/>
                <w:szCs w:val="20"/>
              </w:rPr>
              <w:t>0.3</w:t>
            </w:r>
          </w:p>
        </w:tc>
        <w:tc>
          <w:tcPr>
            <w:tcW w:w="1143" w:type="dxa"/>
            <w:shd w:val="clear" w:color="auto" w:fill="D9D9D9" w:themeFill="background1" w:themeFillShade="D9"/>
          </w:tcPr>
          <w:p w14:paraId="0FC52717" w14:textId="77777777" w:rsidR="00134236" w:rsidRPr="00134236" w:rsidRDefault="00134236" w:rsidP="00134236">
            <w:pPr>
              <w:spacing w:after="0" w:line="240" w:lineRule="auto"/>
              <w:jc w:val="center"/>
              <w:rPr>
                <w:sz w:val="20"/>
                <w:szCs w:val="20"/>
              </w:rPr>
            </w:pPr>
            <w:r w:rsidRPr="00134236">
              <w:rPr>
                <w:sz w:val="20"/>
                <w:szCs w:val="20"/>
              </w:rPr>
              <w:t>2.8%</w:t>
            </w:r>
          </w:p>
        </w:tc>
      </w:tr>
    </w:tbl>
    <w:p w14:paraId="61A84450" w14:textId="77777777" w:rsidR="00134236" w:rsidRPr="00134236" w:rsidRDefault="00134236" w:rsidP="00E22258">
      <w:pPr>
        <w:spacing w:before="60" w:after="0" w:line="240" w:lineRule="auto"/>
        <w:rPr>
          <w:sz w:val="20"/>
          <w:szCs w:val="20"/>
        </w:rPr>
      </w:pPr>
      <w:r w:rsidRPr="00E22258">
        <w:rPr>
          <w:sz w:val="18"/>
          <w:szCs w:val="18"/>
        </w:rPr>
        <w:t>*</w:t>
      </w:r>
      <w:r w:rsidRPr="00134236">
        <w:rPr>
          <w:sz w:val="20"/>
          <w:szCs w:val="20"/>
        </w:rPr>
        <w:t xml:space="preserve"> </w:t>
      </w:r>
      <w:r w:rsidRPr="00E22258">
        <w:rPr>
          <w:sz w:val="18"/>
          <w:szCs w:val="18"/>
        </w:rPr>
        <w:t>Suspension rates for students from low income families used for 2014 rates.</w:t>
      </w:r>
    </w:p>
    <w:p w14:paraId="0F5190AD" w14:textId="599C5F3F" w:rsidR="00134236" w:rsidRDefault="00134236" w:rsidP="00134236">
      <w:pPr>
        <w:spacing w:after="0" w:line="240" w:lineRule="auto"/>
      </w:pPr>
    </w:p>
    <w:p w14:paraId="60EE00D3" w14:textId="4CEAFF74" w:rsidR="00134236" w:rsidRPr="00134236" w:rsidRDefault="00282F1F" w:rsidP="00134236">
      <w:pPr>
        <w:spacing w:after="0" w:line="240" w:lineRule="auto"/>
        <w:rPr>
          <w:b/>
        </w:rPr>
      </w:pPr>
      <w:r>
        <w:rPr>
          <w:b/>
        </w:rPr>
        <w:t>In 2017, the district</w:t>
      </w:r>
      <w:r w:rsidRPr="00134236">
        <w:rPr>
          <w:b/>
        </w:rPr>
        <w:t xml:space="preserve">’s </w:t>
      </w:r>
      <w:r w:rsidR="00134236" w:rsidRPr="00134236">
        <w:rPr>
          <w:b/>
        </w:rPr>
        <w:t>dropout rate for all students was 0.2 percent, below the state rate of 1.8 percent.  The dropout rates for each subgroup with reportable data ranged from 0.0 to 0.8 percent and were below the state rate</w:t>
      </w:r>
      <w:r>
        <w:rPr>
          <w:b/>
        </w:rPr>
        <w:t>s</w:t>
      </w:r>
      <w:r w:rsidR="00134236" w:rsidRPr="00134236">
        <w:rPr>
          <w:b/>
        </w:rPr>
        <w:t xml:space="preserve"> for each subgroup.</w:t>
      </w:r>
    </w:p>
    <w:p w14:paraId="25A289BA" w14:textId="77777777" w:rsidR="00134236" w:rsidRPr="00134236" w:rsidRDefault="00134236" w:rsidP="00134236">
      <w:pPr>
        <w:spacing w:after="0" w:line="240" w:lineRule="auto"/>
      </w:pPr>
    </w:p>
    <w:tbl>
      <w:tblPr>
        <w:tblStyle w:val="TableGrid14"/>
        <w:tblW w:w="0" w:type="auto"/>
        <w:tblInd w:w="18" w:type="dxa"/>
        <w:tblBorders>
          <w:top w:val="none" w:sz="0" w:space="0" w:color="auto"/>
          <w:left w:val="none" w:sz="0" w:space="0" w:color="auto"/>
          <w:right w:val="none" w:sz="0" w:space="0" w:color="auto"/>
        </w:tblBorders>
        <w:tblLook w:val="04A0" w:firstRow="1" w:lastRow="0" w:firstColumn="1" w:lastColumn="0" w:noHBand="0" w:noVBand="1"/>
        <w:tblCaption w:val="Table 21: Wakefield Public Schools"/>
        <w:tblDescription w:val="Dropout Rates by Subgroup, 2014–2017"/>
      </w:tblPr>
      <w:tblGrid>
        <w:gridCol w:w="2975"/>
        <w:gridCol w:w="1012"/>
        <w:gridCol w:w="1013"/>
        <w:gridCol w:w="1013"/>
        <w:gridCol w:w="1013"/>
        <w:gridCol w:w="1152"/>
        <w:gridCol w:w="1164"/>
      </w:tblGrid>
      <w:tr w:rsidR="00134236" w:rsidRPr="00134236" w14:paraId="2EE614B3" w14:textId="77777777" w:rsidTr="00BB0032">
        <w:trPr>
          <w:tblHeader/>
        </w:trPr>
        <w:tc>
          <w:tcPr>
            <w:tcW w:w="9558" w:type="dxa"/>
            <w:gridSpan w:val="7"/>
          </w:tcPr>
          <w:p w14:paraId="678A6DB3" w14:textId="77777777" w:rsidR="00134236" w:rsidRPr="00134236" w:rsidRDefault="00134236" w:rsidP="00134236">
            <w:pPr>
              <w:spacing w:after="0" w:line="240" w:lineRule="auto"/>
              <w:jc w:val="center"/>
              <w:rPr>
                <w:rFonts w:eastAsia="Times New Roman" w:cs="Times New Roman"/>
                <w:b/>
                <w:sz w:val="20"/>
                <w:szCs w:val="20"/>
              </w:rPr>
            </w:pPr>
            <w:r w:rsidRPr="00134236">
              <w:rPr>
                <w:rFonts w:eastAsia="Times New Roman" w:cs="Times New Roman"/>
                <w:b/>
                <w:sz w:val="20"/>
                <w:szCs w:val="20"/>
              </w:rPr>
              <w:t xml:space="preserve">Table 21: </w:t>
            </w:r>
            <w:r w:rsidRPr="00134236">
              <w:rPr>
                <w:rFonts w:cs="Times New Roman"/>
                <w:b/>
                <w:sz w:val="20"/>
                <w:szCs w:val="20"/>
              </w:rPr>
              <w:t>Wakefield Public Schools</w:t>
            </w:r>
          </w:p>
          <w:p w14:paraId="449F50A8" w14:textId="6E56E665" w:rsidR="00134236" w:rsidRPr="00134236" w:rsidRDefault="00134236" w:rsidP="00282F1F">
            <w:pPr>
              <w:spacing w:after="0" w:line="240" w:lineRule="auto"/>
              <w:jc w:val="center"/>
              <w:rPr>
                <w:rFonts w:eastAsia="Times New Roman" w:cs="Times New Roman"/>
                <w:b/>
                <w:sz w:val="20"/>
                <w:szCs w:val="20"/>
              </w:rPr>
            </w:pPr>
            <w:r w:rsidRPr="00134236">
              <w:rPr>
                <w:rFonts w:eastAsia="Times New Roman" w:cs="Times New Roman"/>
                <w:b/>
                <w:sz w:val="20"/>
                <w:szCs w:val="20"/>
              </w:rPr>
              <w:t>Dropout Rates by Subgroup, 2014–2017</w:t>
            </w:r>
          </w:p>
        </w:tc>
      </w:tr>
      <w:tr w:rsidR="00134236" w:rsidRPr="00134236" w14:paraId="3A3FD7FF" w14:textId="77777777" w:rsidTr="00DF5AC6">
        <w:tc>
          <w:tcPr>
            <w:tcW w:w="3060" w:type="dxa"/>
            <w:tcBorders>
              <w:top w:val="single" w:sz="4" w:space="0" w:color="auto"/>
              <w:left w:val="single" w:sz="4" w:space="0" w:color="auto"/>
            </w:tcBorders>
            <w:shd w:val="clear" w:color="auto" w:fill="BFBFBF" w:themeFill="background1" w:themeFillShade="BF"/>
          </w:tcPr>
          <w:p w14:paraId="4BB4DE6F" w14:textId="5FF59C9E" w:rsidR="00134236" w:rsidRPr="00E22258" w:rsidRDefault="00282F1F" w:rsidP="00134236">
            <w:pPr>
              <w:spacing w:after="0" w:line="240" w:lineRule="auto"/>
              <w:rPr>
                <w:rFonts w:eastAsia="Times New Roman" w:cs="Times New Roman"/>
                <w:b/>
                <w:sz w:val="20"/>
                <w:szCs w:val="20"/>
              </w:rPr>
            </w:pPr>
            <w:r w:rsidRPr="00E22258">
              <w:rPr>
                <w:rFonts w:eastAsia="Times New Roman" w:cs="Times New Roman"/>
                <w:b/>
                <w:sz w:val="20"/>
                <w:szCs w:val="20"/>
              </w:rPr>
              <w:t>Group</w:t>
            </w:r>
          </w:p>
        </w:tc>
        <w:tc>
          <w:tcPr>
            <w:tcW w:w="1035" w:type="dxa"/>
            <w:shd w:val="clear" w:color="auto" w:fill="BFBFBF" w:themeFill="background1" w:themeFillShade="BF"/>
          </w:tcPr>
          <w:p w14:paraId="74C62622" w14:textId="77777777" w:rsidR="00134236" w:rsidRPr="00134236" w:rsidRDefault="00134236" w:rsidP="00134236">
            <w:pPr>
              <w:spacing w:after="0" w:line="240" w:lineRule="auto"/>
              <w:jc w:val="center"/>
              <w:rPr>
                <w:rFonts w:eastAsia="Times New Roman" w:cs="Times New Roman"/>
                <w:b/>
                <w:sz w:val="20"/>
                <w:szCs w:val="20"/>
              </w:rPr>
            </w:pPr>
            <w:r w:rsidRPr="00134236">
              <w:rPr>
                <w:rFonts w:eastAsia="Times New Roman" w:cs="Times New Roman"/>
                <w:b/>
                <w:sz w:val="20"/>
                <w:szCs w:val="20"/>
              </w:rPr>
              <w:t>2014</w:t>
            </w:r>
          </w:p>
        </w:tc>
        <w:tc>
          <w:tcPr>
            <w:tcW w:w="1035" w:type="dxa"/>
            <w:shd w:val="clear" w:color="auto" w:fill="BFBFBF" w:themeFill="background1" w:themeFillShade="BF"/>
          </w:tcPr>
          <w:p w14:paraId="70B1D013" w14:textId="77777777" w:rsidR="00134236" w:rsidRPr="00134236" w:rsidRDefault="00134236" w:rsidP="00134236">
            <w:pPr>
              <w:spacing w:after="0" w:line="240" w:lineRule="auto"/>
              <w:jc w:val="center"/>
              <w:rPr>
                <w:rFonts w:eastAsia="Times New Roman" w:cs="Times New Roman"/>
                <w:b/>
                <w:sz w:val="20"/>
                <w:szCs w:val="20"/>
              </w:rPr>
            </w:pPr>
            <w:r w:rsidRPr="00134236">
              <w:rPr>
                <w:rFonts w:eastAsia="Times New Roman" w:cs="Times New Roman"/>
                <w:b/>
                <w:sz w:val="20"/>
                <w:szCs w:val="20"/>
              </w:rPr>
              <w:t>2015</w:t>
            </w:r>
          </w:p>
        </w:tc>
        <w:tc>
          <w:tcPr>
            <w:tcW w:w="1035" w:type="dxa"/>
            <w:shd w:val="clear" w:color="auto" w:fill="BFBFBF" w:themeFill="background1" w:themeFillShade="BF"/>
          </w:tcPr>
          <w:p w14:paraId="70884E21" w14:textId="77777777" w:rsidR="00134236" w:rsidRPr="00134236" w:rsidRDefault="00134236" w:rsidP="00134236">
            <w:pPr>
              <w:spacing w:after="0" w:line="240" w:lineRule="auto"/>
              <w:jc w:val="center"/>
              <w:rPr>
                <w:rFonts w:eastAsia="Times New Roman" w:cs="Times New Roman"/>
                <w:b/>
                <w:sz w:val="20"/>
                <w:szCs w:val="20"/>
              </w:rPr>
            </w:pPr>
            <w:r w:rsidRPr="00134236">
              <w:rPr>
                <w:rFonts w:eastAsia="Times New Roman" w:cs="Times New Roman"/>
                <w:b/>
                <w:sz w:val="20"/>
                <w:szCs w:val="20"/>
              </w:rPr>
              <w:t>2016</w:t>
            </w:r>
          </w:p>
        </w:tc>
        <w:tc>
          <w:tcPr>
            <w:tcW w:w="1035" w:type="dxa"/>
            <w:shd w:val="clear" w:color="auto" w:fill="BFBFBF" w:themeFill="background1" w:themeFillShade="BF"/>
          </w:tcPr>
          <w:p w14:paraId="382A311D" w14:textId="77777777" w:rsidR="00134236" w:rsidRPr="00134236" w:rsidRDefault="00134236" w:rsidP="00134236">
            <w:pPr>
              <w:spacing w:after="0" w:line="240" w:lineRule="auto"/>
              <w:jc w:val="center"/>
              <w:rPr>
                <w:rFonts w:eastAsia="Times New Roman" w:cs="Times New Roman"/>
                <w:b/>
                <w:sz w:val="20"/>
                <w:szCs w:val="20"/>
              </w:rPr>
            </w:pPr>
            <w:r w:rsidRPr="00134236">
              <w:rPr>
                <w:rFonts w:eastAsia="Times New Roman" w:cs="Times New Roman"/>
                <w:b/>
                <w:sz w:val="20"/>
                <w:szCs w:val="20"/>
              </w:rPr>
              <w:t>2017</w:t>
            </w:r>
          </w:p>
        </w:tc>
        <w:tc>
          <w:tcPr>
            <w:tcW w:w="1170" w:type="dxa"/>
            <w:shd w:val="clear" w:color="auto" w:fill="BFBFBF" w:themeFill="background1" w:themeFillShade="BF"/>
          </w:tcPr>
          <w:p w14:paraId="45AAF961" w14:textId="77777777" w:rsidR="00134236" w:rsidRPr="00134236" w:rsidRDefault="00134236" w:rsidP="00134236">
            <w:pPr>
              <w:spacing w:after="0" w:line="240" w:lineRule="auto"/>
              <w:jc w:val="center"/>
              <w:rPr>
                <w:rFonts w:eastAsia="Times New Roman" w:cs="Times New Roman"/>
                <w:b/>
                <w:sz w:val="20"/>
                <w:szCs w:val="20"/>
              </w:rPr>
            </w:pPr>
            <w:r w:rsidRPr="00134236">
              <w:rPr>
                <w:rFonts w:eastAsia="Times New Roman" w:cs="Times New Roman"/>
                <w:b/>
                <w:sz w:val="20"/>
                <w:szCs w:val="20"/>
              </w:rPr>
              <w:t>4-yr Change</w:t>
            </w:r>
          </w:p>
        </w:tc>
        <w:tc>
          <w:tcPr>
            <w:tcW w:w="1188" w:type="dxa"/>
            <w:tcBorders>
              <w:top w:val="single" w:sz="4" w:space="0" w:color="auto"/>
              <w:right w:val="single" w:sz="4" w:space="0" w:color="auto"/>
            </w:tcBorders>
            <w:shd w:val="clear" w:color="auto" w:fill="BFBFBF" w:themeFill="background1" w:themeFillShade="BF"/>
          </w:tcPr>
          <w:p w14:paraId="4B2DE1E4" w14:textId="77777777" w:rsidR="00134236" w:rsidRPr="00134236" w:rsidRDefault="00134236" w:rsidP="00134236">
            <w:pPr>
              <w:spacing w:after="0" w:line="240" w:lineRule="auto"/>
              <w:jc w:val="center"/>
              <w:rPr>
                <w:rFonts w:eastAsia="Times New Roman" w:cs="Times New Roman"/>
                <w:b/>
                <w:sz w:val="20"/>
                <w:szCs w:val="20"/>
              </w:rPr>
            </w:pPr>
            <w:r w:rsidRPr="00134236">
              <w:rPr>
                <w:rFonts w:eastAsia="Times New Roman" w:cs="Times New Roman"/>
                <w:b/>
                <w:sz w:val="20"/>
                <w:szCs w:val="20"/>
              </w:rPr>
              <w:t>State (2017)</w:t>
            </w:r>
          </w:p>
        </w:tc>
      </w:tr>
      <w:tr w:rsidR="00134236" w:rsidRPr="00134236" w14:paraId="41253897" w14:textId="77777777" w:rsidTr="00DF5AC6">
        <w:tc>
          <w:tcPr>
            <w:tcW w:w="3060" w:type="dxa"/>
            <w:tcBorders>
              <w:top w:val="single" w:sz="4" w:space="0" w:color="auto"/>
              <w:left w:val="single" w:sz="4" w:space="0" w:color="auto"/>
            </w:tcBorders>
          </w:tcPr>
          <w:p w14:paraId="3E4E2841" w14:textId="77777777" w:rsidR="00134236" w:rsidRPr="00134236" w:rsidRDefault="00134236" w:rsidP="00134236">
            <w:pPr>
              <w:spacing w:after="0" w:line="240" w:lineRule="auto"/>
              <w:rPr>
                <w:rFonts w:eastAsia="Times New Roman" w:cs="Times New Roman"/>
                <w:sz w:val="20"/>
                <w:szCs w:val="20"/>
              </w:rPr>
            </w:pPr>
            <w:r w:rsidRPr="00134236">
              <w:rPr>
                <w:rFonts w:eastAsia="Times New Roman" w:cs="Times New Roman"/>
                <w:sz w:val="20"/>
                <w:szCs w:val="20"/>
              </w:rPr>
              <w:t>High Needs</w:t>
            </w:r>
          </w:p>
        </w:tc>
        <w:tc>
          <w:tcPr>
            <w:tcW w:w="1035" w:type="dxa"/>
          </w:tcPr>
          <w:p w14:paraId="576B1E8D"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2.4%</w:t>
            </w:r>
          </w:p>
        </w:tc>
        <w:tc>
          <w:tcPr>
            <w:tcW w:w="1035" w:type="dxa"/>
          </w:tcPr>
          <w:p w14:paraId="437FF85D"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1.0%</w:t>
            </w:r>
          </w:p>
        </w:tc>
        <w:tc>
          <w:tcPr>
            <w:tcW w:w="1035" w:type="dxa"/>
          </w:tcPr>
          <w:p w14:paraId="1F67EC44"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1.5%</w:t>
            </w:r>
          </w:p>
        </w:tc>
        <w:tc>
          <w:tcPr>
            <w:tcW w:w="1035" w:type="dxa"/>
          </w:tcPr>
          <w:p w14:paraId="70DFB66E"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0.4%</w:t>
            </w:r>
          </w:p>
        </w:tc>
        <w:tc>
          <w:tcPr>
            <w:tcW w:w="1170" w:type="dxa"/>
          </w:tcPr>
          <w:p w14:paraId="51668FF9"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-2.0</w:t>
            </w:r>
          </w:p>
        </w:tc>
        <w:tc>
          <w:tcPr>
            <w:tcW w:w="1188" w:type="dxa"/>
            <w:tcBorders>
              <w:top w:val="single" w:sz="4" w:space="0" w:color="auto"/>
              <w:right w:val="single" w:sz="4" w:space="0" w:color="auto"/>
            </w:tcBorders>
          </w:tcPr>
          <w:p w14:paraId="66AE2097" w14:textId="77777777" w:rsidR="00134236" w:rsidRPr="00134236" w:rsidRDefault="00134236" w:rsidP="00134236">
            <w:pPr>
              <w:spacing w:after="0" w:line="240" w:lineRule="auto"/>
              <w:jc w:val="center"/>
              <w:rPr>
                <w:rFonts w:eastAsia="Times New Roman" w:cs="Times New Roman"/>
                <w:sz w:val="20"/>
                <w:szCs w:val="20"/>
              </w:rPr>
            </w:pPr>
            <w:r w:rsidRPr="00134236">
              <w:rPr>
                <w:rFonts w:eastAsia="Times New Roman" w:cs="Times New Roman"/>
                <w:sz w:val="20"/>
                <w:szCs w:val="20"/>
              </w:rPr>
              <w:t>3.5%</w:t>
            </w:r>
          </w:p>
        </w:tc>
      </w:tr>
      <w:tr w:rsidR="00134236" w:rsidRPr="00134236" w14:paraId="71D95197" w14:textId="77777777" w:rsidTr="00DF5AC6">
        <w:tc>
          <w:tcPr>
            <w:tcW w:w="3060" w:type="dxa"/>
            <w:tcBorders>
              <w:top w:val="single" w:sz="4" w:space="0" w:color="auto"/>
              <w:left w:val="single" w:sz="4" w:space="0" w:color="auto"/>
            </w:tcBorders>
            <w:shd w:val="clear" w:color="auto" w:fill="BFBFBF" w:themeFill="background1" w:themeFillShade="BF"/>
          </w:tcPr>
          <w:p w14:paraId="4BF8DCBC" w14:textId="77777777" w:rsidR="00134236" w:rsidRPr="00134236" w:rsidRDefault="00134236" w:rsidP="00134236">
            <w:pPr>
              <w:spacing w:after="0" w:line="240" w:lineRule="auto"/>
              <w:rPr>
                <w:rFonts w:eastAsia="Times New Roman" w:cs="Times New Roman"/>
                <w:sz w:val="20"/>
                <w:szCs w:val="20"/>
              </w:rPr>
            </w:pPr>
            <w:r w:rsidRPr="00134236">
              <w:rPr>
                <w:sz w:val="20"/>
                <w:szCs w:val="20"/>
              </w:rPr>
              <w:t>Economically disadvantaged*</w:t>
            </w:r>
          </w:p>
        </w:tc>
        <w:tc>
          <w:tcPr>
            <w:tcW w:w="1035" w:type="dxa"/>
            <w:shd w:val="clear" w:color="auto" w:fill="BFBFBF" w:themeFill="background1" w:themeFillShade="BF"/>
          </w:tcPr>
          <w:p w14:paraId="2538F702"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1.6%</w:t>
            </w:r>
          </w:p>
        </w:tc>
        <w:tc>
          <w:tcPr>
            <w:tcW w:w="1035" w:type="dxa"/>
            <w:shd w:val="clear" w:color="auto" w:fill="BFBFBF" w:themeFill="background1" w:themeFillShade="BF"/>
          </w:tcPr>
          <w:p w14:paraId="1568D1FC"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0.0%</w:t>
            </w:r>
          </w:p>
        </w:tc>
        <w:tc>
          <w:tcPr>
            <w:tcW w:w="1035" w:type="dxa"/>
            <w:shd w:val="clear" w:color="auto" w:fill="BFBFBF" w:themeFill="background1" w:themeFillShade="BF"/>
          </w:tcPr>
          <w:p w14:paraId="714C643F"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1.7%</w:t>
            </w:r>
          </w:p>
        </w:tc>
        <w:tc>
          <w:tcPr>
            <w:tcW w:w="1035" w:type="dxa"/>
            <w:shd w:val="clear" w:color="auto" w:fill="BFBFBF" w:themeFill="background1" w:themeFillShade="BF"/>
          </w:tcPr>
          <w:p w14:paraId="1AAEAB77"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0.8%</w:t>
            </w:r>
          </w:p>
        </w:tc>
        <w:tc>
          <w:tcPr>
            <w:tcW w:w="1170" w:type="dxa"/>
            <w:shd w:val="clear" w:color="auto" w:fill="BFBFBF" w:themeFill="background1" w:themeFillShade="BF"/>
          </w:tcPr>
          <w:p w14:paraId="39F4C155"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-0.8</w:t>
            </w:r>
          </w:p>
        </w:tc>
        <w:tc>
          <w:tcPr>
            <w:tcW w:w="1188" w:type="dxa"/>
            <w:tcBorders>
              <w:top w:val="single" w:sz="4" w:space="0" w:color="auto"/>
              <w:right w:val="single" w:sz="4" w:space="0" w:color="auto"/>
            </w:tcBorders>
            <w:shd w:val="clear" w:color="auto" w:fill="BFBFBF" w:themeFill="background1" w:themeFillShade="BF"/>
          </w:tcPr>
          <w:p w14:paraId="7DA9B031" w14:textId="77777777" w:rsidR="00134236" w:rsidRPr="00134236" w:rsidRDefault="00134236" w:rsidP="00134236">
            <w:pPr>
              <w:spacing w:after="0" w:line="240" w:lineRule="auto"/>
              <w:jc w:val="center"/>
              <w:rPr>
                <w:rFonts w:eastAsia="Times New Roman" w:cs="Times New Roman"/>
                <w:sz w:val="20"/>
                <w:szCs w:val="20"/>
              </w:rPr>
            </w:pPr>
            <w:r w:rsidRPr="00134236">
              <w:rPr>
                <w:rFonts w:eastAsia="Times New Roman" w:cs="Times New Roman"/>
                <w:sz w:val="20"/>
                <w:szCs w:val="20"/>
              </w:rPr>
              <w:t>3.6%</w:t>
            </w:r>
          </w:p>
        </w:tc>
      </w:tr>
      <w:tr w:rsidR="00134236" w:rsidRPr="00134236" w14:paraId="78623840" w14:textId="77777777" w:rsidTr="00DF5AC6">
        <w:tc>
          <w:tcPr>
            <w:tcW w:w="3060" w:type="dxa"/>
            <w:tcBorders>
              <w:top w:val="single" w:sz="4" w:space="0" w:color="auto"/>
              <w:left w:val="single" w:sz="4" w:space="0" w:color="auto"/>
            </w:tcBorders>
            <w:shd w:val="clear" w:color="auto" w:fill="auto"/>
          </w:tcPr>
          <w:p w14:paraId="391C0F8F" w14:textId="77777777" w:rsidR="00134236" w:rsidRPr="00134236" w:rsidRDefault="00134236" w:rsidP="00134236">
            <w:pPr>
              <w:spacing w:after="0" w:line="240" w:lineRule="auto"/>
              <w:rPr>
                <w:rFonts w:eastAsia="Times New Roman" w:cs="Times New Roman"/>
                <w:sz w:val="20"/>
                <w:szCs w:val="20"/>
              </w:rPr>
            </w:pPr>
            <w:r w:rsidRPr="00134236">
              <w:rPr>
                <w:rFonts w:eastAsia="Times New Roman" w:cs="Times New Roman"/>
                <w:sz w:val="20"/>
                <w:szCs w:val="20"/>
              </w:rPr>
              <w:t>ELLs</w:t>
            </w:r>
          </w:p>
        </w:tc>
        <w:tc>
          <w:tcPr>
            <w:tcW w:w="1035" w:type="dxa"/>
            <w:shd w:val="clear" w:color="auto" w:fill="auto"/>
          </w:tcPr>
          <w:p w14:paraId="048DA49D"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1035" w:type="dxa"/>
            <w:shd w:val="clear" w:color="auto" w:fill="auto"/>
          </w:tcPr>
          <w:p w14:paraId="48F0CF56"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0.0%</w:t>
            </w:r>
          </w:p>
        </w:tc>
        <w:tc>
          <w:tcPr>
            <w:tcW w:w="1035" w:type="dxa"/>
            <w:shd w:val="clear" w:color="auto" w:fill="auto"/>
          </w:tcPr>
          <w:p w14:paraId="594EE7D6"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0.0%</w:t>
            </w:r>
          </w:p>
        </w:tc>
        <w:tc>
          <w:tcPr>
            <w:tcW w:w="1035" w:type="dxa"/>
            <w:shd w:val="clear" w:color="auto" w:fill="auto"/>
          </w:tcPr>
          <w:p w14:paraId="4320F587"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0.0%</w:t>
            </w:r>
          </w:p>
        </w:tc>
        <w:tc>
          <w:tcPr>
            <w:tcW w:w="1170" w:type="dxa"/>
          </w:tcPr>
          <w:p w14:paraId="62780E63"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w:t>
            </w:r>
          </w:p>
        </w:tc>
        <w:tc>
          <w:tcPr>
            <w:tcW w:w="1188" w:type="dxa"/>
            <w:tcBorders>
              <w:top w:val="single" w:sz="4" w:space="0" w:color="auto"/>
              <w:right w:val="single" w:sz="4" w:space="0" w:color="auto"/>
            </w:tcBorders>
            <w:shd w:val="clear" w:color="auto" w:fill="auto"/>
          </w:tcPr>
          <w:p w14:paraId="32CCDDB5" w14:textId="77777777" w:rsidR="00134236" w:rsidRPr="00134236" w:rsidRDefault="00134236" w:rsidP="00134236">
            <w:pPr>
              <w:spacing w:after="0" w:line="240" w:lineRule="auto"/>
              <w:jc w:val="center"/>
              <w:rPr>
                <w:rFonts w:eastAsia="Times New Roman" w:cs="Times New Roman"/>
                <w:sz w:val="20"/>
                <w:szCs w:val="20"/>
              </w:rPr>
            </w:pPr>
            <w:r w:rsidRPr="00134236">
              <w:rPr>
                <w:rFonts w:eastAsia="Times New Roman" w:cs="Times New Roman"/>
                <w:sz w:val="20"/>
                <w:szCs w:val="20"/>
              </w:rPr>
              <w:t>6.5%</w:t>
            </w:r>
          </w:p>
        </w:tc>
      </w:tr>
      <w:tr w:rsidR="00134236" w:rsidRPr="00134236" w14:paraId="413148D3" w14:textId="77777777" w:rsidTr="00DF5AC6">
        <w:tc>
          <w:tcPr>
            <w:tcW w:w="3060" w:type="dxa"/>
            <w:tcBorders>
              <w:top w:val="single" w:sz="4" w:space="0" w:color="auto"/>
              <w:left w:val="single" w:sz="4" w:space="0" w:color="auto"/>
            </w:tcBorders>
            <w:shd w:val="clear" w:color="auto" w:fill="BFBFBF" w:themeFill="background1" w:themeFillShade="BF"/>
          </w:tcPr>
          <w:p w14:paraId="6B14E4BC" w14:textId="77777777" w:rsidR="00134236" w:rsidRPr="00134236" w:rsidRDefault="00134236" w:rsidP="00134236">
            <w:pPr>
              <w:spacing w:after="0" w:line="240" w:lineRule="auto"/>
              <w:rPr>
                <w:rFonts w:eastAsia="Times New Roman" w:cs="Times New Roman"/>
                <w:sz w:val="20"/>
                <w:szCs w:val="20"/>
              </w:rPr>
            </w:pPr>
            <w:r w:rsidRPr="00134236">
              <w:rPr>
                <w:rFonts w:eastAsia="Times New Roman" w:cs="Times New Roman"/>
                <w:sz w:val="20"/>
                <w:szCs w:val="20"/>
              </w:rPr>
              <w:t>SWD</w:t>
            </w:r>
          </w:p>
        </w:tc>
        <w:tc>
          <w:tcPr>
            <w:tcW w:w="1035" w:type="dxa"/>
            <w:shd w:val="clear" w:color="auto" w:fill="BFBFBF" w:themeFill="background1" w:themeFillShade="BF"/>
          </w:tcPr>
          <w:p w14:paraId="1B97F94F"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2.6%</w:t>
            </w:r>
          </w:p>
        </w:tc>
        <w:tc>
          <w:tcPr>
            <w:tcW w:w="1035" w:type="dxa"/>
            <w:shd w:val="clear" w:color="auto" w:fill="BFBFBF" w:themeFill="background1" w:themeFillShade="BF"/>
          </w:tcPr>
          <w:p w14:paraId="30440CAA"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1.6%</w:t>
            </w:r>
          </w:p>
        </w:tc>
        <w:tc>
          <w:tcPr>
            <w:tcW w:w="1035" w:type="dxa"/>
            <w:shd w:val="clear" w:color="auto" w:fill="BFBFBF" w:themeFill="background1" w:themeFillShade="BF"/>
          </w:tcPr>
          <w:p w14:paraId="3DA69BBE"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1.8%</w:t>
            </w:r>
          </w:p>
        </w:tc>
        <w:tc>
          <w:tcPr>
            <w:tcW w:w="1035" w:type="dxa"/>
            <w:shd w:val="clear" w:color="auto" w:fill="BFBFBF" w:themeFill="background1" w:themeFillShade="BF"/>
          </w:tcPr>
          <w:p w14:paraId="3BB19487"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0.7%</w:t>
            </w:r>
          </w:p>
        </w:tc>
        <w:tc>
          <w:tcPr>
            <w:tcW w:w="1170" w:type="dxa"/>
            <w:shd w:val="clear" w:color="auto" w:fill="BFBFBF" w:themeFill="background1" w:themeFillShade="BF"/>
          </w:tcPr>
          <w:p w14:paraId="269BC3FB"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-1.9</w:t>
            </w:r>
          </w:p>
        </w:tc>
        <w:tc>
          <w:tcPr>
            <w:tcW w:w="1188" w:type="dxa"/>
            <w:tcBorders>
              <w:top w:val="single" w:sz="4" w:space="0" w:color="auto"/>
              <w:right w:val="single" w:sz="4" w:space="0" w:color="auto"/>
            </w:tcBorders>
            <w:shd w:val="clear" w:color="auto" w:fill="BFBFBF" w:themeFill="background1" w:themeFillShade="BF"/>
          </w:tcPr>
          <w:p w14:paraId="40BA2BDB" w14:textId="77777777" w:rsidR="00134236" w:rsidRPr="00134236" w:rsidRDefault="00134236" w:rsidP="00134236">
            <w:pPr>
              <w:spacing w:after="0" w:line="240" w:lineRule="auto"/>
              <w:jc w:val="center"/>
              <w:rPr>
                <w:rFonts w:eastAsia="Times New Roman" w:cs="Times New Roman"/>
                <w:sz w:val="20"/>
                <w:szCs w:val="20"/>
              </w:rPr>
            </w:pPr>
            <w:r w:rsidRPr="00134236">
              <w:rPr>
                <w:rFonts w:eastAsia="Times New Roman" w:cs="Times New Roman"/>
                <w:sz w:val="20"/>
                <w:szCs w:val="20"/>
              </w:rPr>
              <w:t>3.3%</w:t>
            </w:r>
          </w:p>
        </w:tc>
      </w:tr>
      <w:tr w:rsidR="00134236" w:rsidRPr="00134236" w14:paraId="4346250A" w14:textId="77777777" w:rsidTr="00DF5AC6">
        <w:tc>
          <w:tcPr>
            <w:tcW w:w="3060" w:type="dxa"/>
            <w:tcBorders>
              <w:top w:val="single" w:sz="4" w:space="0" w:color="auto"/>
              <w:left w:val="single" w:sz="4" w:space="0" w:color="auto"/>
            </w:tcBorders>
          </w:tcPr>
          <w:p w14:paraId="1AC39F72" w14:textId="16D1A80E" w:rsidR="00134236" w:rsidRPr="00134236" w:rsidRDefault="00134236" w:rsidP="00282F1F">
            <w:pPr>
              <w:spacing w:after="0" w:line="240" w:lineRule="auto"/>
              <w:rPr>
                <w:rFonts w:eastAsia="Times New Roman" w:cs="Times New Roman"/>
                <w:sz w:val="20"/>
                <w:szCs w:val="20"/>
              </w:rPr>
            </w:pPr>
            <w:r w:rsidRPr="00134236">
              <w:rPr>
                <w:rFonts w:eastAsia="Times New Roman" w:cs="Times New Roman"/>
                <w:sz w:val="20"/>
                <w:szCs w:val="20"/>
              </w:rPr>
              <w:t>African American</w:t>
            </w:r>
          </w:p>
        </w:tc>
        <w:tc>
          <w:tcPr>
            <w:tcW w:w="1035" w:type="dxa"/>
          </w:tcPr>
          <w:p w14:paraId="5DC89541"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0.0%</w:t>
            </w:r>
          </w:p>
        </w:tc>
        <w:tc>
          <w:tcPr>
            <w:tcW w:w="1035" w:type="dxa"/>
          </w:tcPr>
          <w:p w14:paraId="7312CB55"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0.0%</w:t>
            </w:r>
          </w:p>
        </w:tc>
        <w:tc>
          <w:tcPr>
            <w:tcW w:w="1035" w:type="dxa"/>
          </w:tcPr>
          <w:p w14:paraId="330F6B39"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0.0%</w:t>
            </w:r>
          </w:p>
        </w:tc>
        <w:tc>
          <w:tcPr>
            <w:tcW w:w="1035" w:type="dxa"/>
          </w:tcPr>
          <w:p w14:paraId="7191408C"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0.0%</w:t>
            </w:r>
          </w:p>
        </w:tc>
        <w:tc>
          <w:tcPr>
            <w:tcW w:w="1170" w:type="dxa"/>
          </w:tcPr>
          <w:p w14:paraId="6C6628B4"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0.0</w:t>
            </w:r>
          </w:p>
        </w:tc>
        <w:tc>
          <w:tcPr>
            <w:tcW w:w="1188" w:type="dxa"/>
            <w:tcBorders>
              <w:top w:val="single" w:sz="4" w:space="0" w:color="auto"/>
              <w:right w:val="single" w:sz="4" w:space="0" w:color="auto"/>
            </w:tcBorders>
          </w:tcPr>
          <w:p w14:paraId="26346652" w14:textId="77777777" w:rsidR="00134236" w:rsidRPr="00134236" w:rsidRDefault="00134236" w:rsidP="00134236">
            <w:pPr>
              <w:spacing w:after="0" w:line="240" w:lineRule="auto"/>
              <w:jc w:val="center"/>
              <w:rPr>
                <w:rFonts w:eastAsia="Times New Roman" w:cs="Times New Roman"/>
                <w:sz w:val="20"/>
                <w:szCs w:val="20"/>
              </w:rPr>
            </w:pPr>
            <w:r w:rsidRPr="00134236">
              <w:rPr>
                <w:rFonts w:eastAsia="Times New Roman" w:cs="Times New Roman"/>
                <w:sz w:val="20"/>
                <w:szCs w:val="20"/>
              </w:rPr>
              <w:t>2.9%</w:t>
            </w:r>
          </w:p>
        </w:tc>
      </w:tr>
      <w:tr w:rsidR="00134236" w:rsidRPr="00134236" w14:paraId="0278478E" w14:textId="77777777" w:rsidTr="00DF5AC6">
        <w:tc>
          <w:tcPr>
            <w:tcW w:w="3060" w:type="dxa"/>
            <w:tcBorders>
              <w:top w:val="single" w:sz="4" w:space="0" w:color="auto"/>
              <w:left w:val="single" w:sz="4" w:space="0" w:color="auto"/>
            </w:tcBorders>
            <w:shd w:val="clear" w:color="auto" w:fill="D9D9D9" w:themeFill="background1" w:themeFillShade="D9"/>
          </w:tcPr>
          <w:p w14:paraId="7507D4E2" w14:textId="77777777" w:rsidR="00134236" w:rsidRPr="00134236" w:rsidRDefault="00134236" w:rsidP="00134236">
            <w:pPr>
              <w:spacing w:after="0" w:line="240" w:lineRule="auto"/>
              <w:rPr>
                <w:rFonts w:eastAsia="Times New Roman" w:cs="Times New Roman"/>
                <w:sz w:val="20"/>
                <w:szCs w:val="20"/>
              </w:rPr>
            </w:pPr>
            <w:r w:rsidRPr="00134236">
              <w:rPr>
                <w:rFonts w:eastAsia="Times New Roman" w:cs="Times New Roman"/>
                <w:sz w:val="20"/>
                <w:szCs w:val="20"/>
              </w:rPr>
              <w:t>Asian</w:t>
            </w:r>
          </w:p>
        </w:tc>
        <w:tc>
          <w:tcPr>
            <w:tcW w:w="1035" w:type="dxa"/>
            <w:shd w:val="clear" w:color="auto" w:fill="D9D9D9" w:themeFill="background1" w:themeFillShade="D9"/>
          </w:tcPr>
          <w:p w14:paraId="487EE3A7"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0.0%</w:t>
            </w:r>
          </w:p>
        </w:tc>
        <w:tc>
          <w:tcPr>
            <w:tcW w:w="1035" w:type="dxa"/>
            <w:shd w:val="clear" w:color="auto" w:fill="D9D9D9" w:themeFill="background1" w:themeFillShade="D9"/>
          </w:tcPr>
          <w:p w14:paraId="46F059C1"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0.0%</w:t>
            </w:r>
          </w:p>
        </w:tc>
        <w:tc>
          <w:tcPr>
            <w:tcW w:w="1035" w:type="dxa"/>
            <w:shd w:val="clear" w:color="auto" w:fill="D9D9D9" w:themeFill="background1" w:themeFillShade="D9"/>
          </w:tcPr>
          <w:p w14:paraId="0DB02406"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0.0%</w:t>
            </w:r>
          </w:p>
        </w:tc>
        <w:tc>
          <w:tcPr>
            <w:tcW w:w="1035" w:type="dxa"/>
            <w:shd w:val="clear" w:color="auto" w:fill="D9D9D9" w:themeFill="background1" w:themeFillShade="D9"/>
          </w:tcPr>
          <w:p w14:paraId="3962A4AA"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0.0%</w:t>
            </w:r>
          </w:p>
        </w:tc>
        <w:tc>
          <w:tcPr>
            <w:tcW w:w="1170" w:type="dxa"/>
            <w:shd w:val="clear" w:color="auto" w:fill="D9D9D9" w:themeFill="background1" w:themeFillShade="D9"/>
          </w:tcPr>
          <w:p w14:paraId="1853E73A"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0.0</w:t>
            </w:r>
          </w:p>
        </w:tc>
        <w:tc>
          <w:tcPr>
            <w:tcW w:w="1188" w:type="dxa"/>
            <w:tcBorders>
              <w:top w:val="single" w:sz="4" w:space="0" w:color="auto"/>
              <w:right w:val="single" w:sz="4" w:space="0" w:color="auto"/>
            </w:tcBorders>
            <w:shd w:val="clear" w:color="auto" w:fill="D9D9D9" w:themeFill="background1" w:themeFillShade="D9"/>
          </w:tcPr>
          <w:p w14:paraId="65DA4AE6" w14:textId="77777777" w:rsidR="00134236" w:rsidRPr="00134236" w:rsidRDefault="00134236" w:rsidP="00134236">
            <w:pPr>
              <w:spacing w:after="0" w:line="240" w:lineRule="auto"/>
              <w:jc w:val="center"/>
              <w:rPr>
                <w:rFonts w:eastAsia="Times New Roman" w:cs="Times New Roman"/>
                <w:sz w:val="20"/>
                <w:szCs w:val="20"/>
              </w:rPr>
            </w:pPr>
            <w:r w:rsidRPr="00134236">
              <w:rPr>
                <w:rFonts w:eastAsia="Times New Roman" w:cs="Times New Roman"/>
                <w:sz w:val="20"/>
                <w:szCs w:val="20"/>
              </w:rPr>
              <w:t>0.6%</w:t>
            </w:r>
          </w:p>
        </w:tc>
      </w:tr>
      <w:tr w:rsidR="00134236" w:rsidRPr="00134236" w14:paraId="6C5D02D6" w14:textId="77777777" w:rsidTr="00DF5AC6">
        <w:tc>
          <w:tcPr>
            <w:tcW w:w="3060" w:type="dxa"/>
            <w:tcBorders>
              <w:top w:val="single" w:sz="4" w:space="0" w:color="auto"/>
              <w:left w:val="single" w:sz="4" w:space="0" w:color="auto"/>
            </w:tcBorders>
          </w:tcPr>
          <w:p w14:paraId="5B5DB893" w14:textId="77777777" w:rsidR="00134236" w:rsidRPr="00134236" w:rsidRDefault="00134236" w:rsidP="00134236">
            <w:pPr>
              <w:spacing w:after="0" w:line="240" w:lineRule="auto"/>
              <w:rPr>
                <w:rFonts w:eastAsia="Times New Roman" w:cs="Times New Roman"/>
                <w:sz w:val="20"/>
                <w:szCs w:val="20"/>
              </w:rPr>
            </w:pPr>
            <w:r w:rsidRPr="00134236">
              <w:rPr>
                <w:rFonts w:eastAsia="Times New Roman" w:cs="Times New Roman"/>
                <w:sz w:val="20"/>
                <w:szCs w:val="20"/>
              </w:rPr>
              <w:t>Hispanic or Latino</w:t>
            </w:r>
          </w:p>
        </w:tc>
        <w:tc>
          <w:tcPr>
            <w:tcW w:w="1035" w:type="dxa"/>
          </w:tcPr>
          <w:p w14:paraId="357EBCC4"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0.0%</w:t>
            </w:r>
          </w:p>
        </w:tc>
        <w:tc>
          <w:tcPr>
            <w:tcW w:w="1035" w:type="dxa"/>
          </w:tcPr>
          <w:p w14:paraId="5A1C821E"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0.0%</w:t>
            </w:r>
          </w:p>
        </w:tc>
        <w:tc>
          <w:tcPr>
            <w:tcW w:w="1035" w:type="dxa"/>
          </w:tcPr>
          <w:p w14:paraId="12B8ADB7"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3.7%</w:t>
            </w:r>
          </w:p>
        </w:tc>
        <w:tc>
          <w:tcPr>
            <w:tcW w:w="1035" w:type="dxa"/>
          </w:tcPr>
          <w:p w14:paraId="51ECFFC6"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0.0%</w:t>
            </w:r>
          </w:p>
        </w:tc>
        <w:tc>
          <w:tcPr>
            <w:tcW w:w="1170" w:type="dxa"/>
          </w:tcPr>
          <w:p w14:paraId="0C1D34E9"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0.0</w:t>
            </w:r>
          </w:p>
        </w:tc>
        <w:tc>
          <w:tcPr>
            <w:tcW w:w="1188" w:type="dxa"/>
            <w:tcBorders>
              <w:top w:val="single" w:sz="4" w:space="0" w:color="auto"/>
              <w:right w:val="single" w:sz="4" w:space="0" w:color="auto"/>
            </w:tcBorders>
          </w:tcPr>
          <w:p w14:paraId="57838A49" w14:textId="77777777" w:rsidR="00134236" w:rsidRPr="00134236" w:rsidRDefault="00134236" w:rsidP="00134236">
            <w:pPr>
              <w:spacing w:after="0" w:line="240" w:lineRule="auto"/>
              <w:jc w:val="center"/>
              <w:rPr>
                <w:rFonts w:eastAsia="Times New Roman" w:cs="Times New Roman"/>
                <w:sz w:val="20"/>
                <w:szCs w:val="20"/>
              </w:rPr>
            </w:pPr>
            <w:r w:rsidRPr="00134236">
              <w:rPr>
                <w:rFonts w:eastAsia="Times New Roman" w:cs="Times New Roman"/>
                <w:sz w:val="20"/>
                <w:szCs w:val="20"/>
              </w:rPr>
              <w:t>4.2%</w:t>
            </w:r>
          </w:p>
        </w:tc>
      </w:tr>
      <w:tr w:rsidR="00134236" w:rsidRPr="00134236" w14:paraId="4EEBD5F1" w14:textId="77777777" w:rsidTr="00DF5AC6">
        <w:tc>
          <w:tcPr>
            <w:tcW w:w="3060" w:type="dxa"/>
            <w:tcBorders>
              <w:top w:val="single" w:sz="4" w:space="0" w:color="auto"/>
              <w:left w:val="single" w:sz="4" w:space="0" w:color="auto"/>
            </w:tcBorders>
            <w:shd w:val="clear" w:color="auto" w:fill="D9D9D9" w:themeFill="background1" w:themeFillShade="D9"/>
          </w:tcPr>
          <w:p w14:paraId="4742B04C" w14:textId="77777777" w:rsidR="00134236" w:rsidRPr="00134236" w:rsidRDefault="00134236" w:rsidP="00134236">
            <w:pPr>
              <w:spacing w:after="0" w:line="240" w:lineRule="auto"/>
              <w:rPr>
                <w:rFonts w:eastAsia="Times New Roman" w:cs="Times New Roman"/>
                <w:sz w:val="20"/>
                <w:szCs w:val="20"/>
              </w:rPr>
            </w:pPr>
            <w:r w:rsidRPr="00134236">
              <w:rPr>
                <w:rFonts w:eastAsia="Times New Roman" w:cs="Times New Roman"/>
                <w:sz w:val="20"/>
                <w:szCs w:val="20"/>
              </w:rPr>
              <w:t>Multi-Race, non-Hispanic or Latino</w:t>
            </w:r>
          </w:p>
        </w:tc>
        <w:tc>
          <w:tcPr>
            <w:tcW w:w="1035" w:type="dxa"/>
            <w:shd w:val="clear" w:color="auto" w:fill="D9D9D9" w:themeFill="background1" w:themeFillShade="D9"/>
          </w:tcPr>
          <w:p w14:paraId="64722475"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0.0%</w:t>
            </w:r>
          </w:p>
        </w:tc>
        <w:tc>
          <w:tcPr>
            <w:tcW w:w="1035" w:type="dxa"/>
            <w:shd w:val="clear" w:color="auto" w:fill="D9D9D9" w:themeFill="background1" w:themeFillShade="D9"/>
          </w:tcPr>
          <w:p w14:paraId="09ED75F9"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0.0%</w:t>
            </w:r>
          </w:p>
        </w:tc>
        <w:tc>
          <w:tcPr>
            <w:tcW w:w="1035" w:type="dxa"/>
            <w:shd w:val="clear" w:color="auto" w:fill="D9D9D9" w:themeFill="background1" w:themeFillShade="D9"/>
          </w:tcPr>
          <w:p w14:paraId="75D38049"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0.0%</w:t>
            </w:r>
          </w:p>
        </w:tc>
        <w:tc>
          <w:tcPr>
            <w:tcW w:w="1035" w:type="dxa"/>
            <w:shd w:val="clear" w:color="auto" w:fill="D9D9D9" w:themeFill="background1" w:themeFillShade="D9"/>
          </w:tcPr>
          <w:p w14:paraId="4DED5E84"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0.0%</w:t>
            </w:r>
          </w:p>
        </w:tc>
        <w:tc>
          <w:tcPr>
            <w:tcW w:w="1170" w:type="dxa"/>
            <w:shd w:val="clear" w:color="auto" w:fill="D9D9D9" w:themeFill="background1" w:themeFillShade="D9"/>
          </w:tcPr>
          <w:p w14:paraId="264FBA4F"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0.0</w:t>
            </w:r>
          </w:p>
        </w:tc>
        <w:tc>
          <w:tcPr>
            <w:tcW w:w="1188" w:type="dxa"/>
            <w:tcBorders>
              <w:top w:val="single" w:sz="4" w:space="0" w:color="auto"/>
              <w:right w:val="single" w:sz="4" w:space="0" w:color="auto"/>
            </w:tcBorders>
            <w:shd w:val="clear" w:color="auto" w:fill="D9D9D9" w:themeFill="background1" w:themeFillShade="D9"/>
          </w:tcPr>
          <w:p w14:paraId="5BAB1FB2" w14:textId="77777777" w:rsidR="00134236" w:rsidRPr="00134236" w:rsidRDefault="00134236" w:rsidP="00134236">
            <w:pPr>
              <w:spacing w:after="0" w:line="240" w:lineRule="auto"/>
              <w:jc w:val="center"/>
              <w:rPr>
                <w:rFonts w:eastAsia="Times New Roman" w:cs="Times New Roman"/>
                <w:sz w:val="20"/>
                <w:szCs w:val="20"/>
              </w:rPr>
            </w:pPr>
            <w:r w:rsidRPr="00134236">
              <w:rPr>
                <w:rFonts w:eastAsia="Times New Roman" w:cs="Times New Roman"/>
                <w:sz w:val="20"/>
                <w:szCs w:val="20"/>
              </w:rPr>
              <w:t>1.7%</w:t>
            </w:r>
          </w:p>
        </w:tc>
      </w:tr>
      <w:tr w:rsidR="00134236" w:rsidRPr="00134236" w14:paraId="7B6F58FD" w14:textId="77777777" w:rsidTr="00DF5AC6">
        <w:tc>
          <w:tcPr>
            <w:tcW w:w="3060" w:type="dxa"/>
            <w:tcBorders>
              <w:top w:val="single" w:sz="4" w:space="0" w:color="auto"/>
              <w:left w:val="single" w:sz="4" w:space="0" w:color="auto"/>
            </w:tcBorders>
          </w:tcPr>
          <w:p w14:paraId="487B5611" w14:textId="77777777" w:rsidR="00134236" w:rsidRPr="00134236" w:rsidRDefault="00134236" w:rsidP="00134236">
            <w:pPr>
              <w:spacing w:after="0" w:line="240" w:lineRule="auto"/>
              <w:rPr>
                <w:rFonts w:eastAsia="Times New Roman" w:cs="Times New Roman"/>
                <w:sz w:val="20"/>
                <w:szCs w:val="20"/>
              </w:rPr>
            </w:pPr>
            <w:r w:rsidRPr="00134236">
              <w:rPr>
                <w:rFonts w:eastAsia="Times New Roman" w:cs="Times New Roman"/>
                <w:sz w:val="20"/>
                <w:szCs w:val="20"/>
              </w:rPr>
              <w:t>White</w:t>
            </w:r>
          </w:p>
        </w:tc>
        <w:tc>
          <w:tcPr>
            <w:tcW w:w="1035" w:type="dxa"/>
          </w:tcPr>
          <w:p w14:paraId="3EA1AA02"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0.8%</w:t>
            </w:r>
          </w:p>
        </w:tc>
        <w:tc>
          <w:tcPr>
            <w:tcW w:w="1035" w:type="dxa"/>
          </w:tcPr>
          <w:p w14:paraId="5B03F4C7"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0.2%</w:t>
            </w:r>
          </w:p>
        </w:tc>
        <w:tc>
          <w:tcPr>
            <w:tcW w:w="1035" w:type="dxa"/>
          </w:tcPr>
          <w:p w14:paraId="41D25F45"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0.5%</w:t>
            </w:r>
          </w:p>
        </w:tc>
        <w:tc>
          <w:tcPr>
            <w:tcW w:w="1035" w:type="dxa"/>
          </w:tcPr>
          <w:p w14:paraId="3E9D9FE6"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0.2%</w:t>
            </w:r>
          </w:p>
        </w:tc>
        <w:tc>
          <w:tcPr>
            <w:tcW w:w="1170" w:type="dxa"/>
          </w:tcPr>
          <w:p w14:paraId="400C1F7C"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-0.6</w:t>
            </w:r>
          </w:p>
        </w:tc>
        <w:tc>
          <w:tcPr>
            <w:tcW w:w="1188" w:type="dxa"/>
            <w:tcBorders>
              <w:top w:val="single" w:sz="4" w:space="0" w:color="auto"/>
              <w:right w:val="single" w:sz="4" w:space="0" w:color="auto"/>
            </w:tcBorders>
          </w:tcPr>
          <w:p w14:paraId="2C20A539" w14:textId="77777777" w:rsidR="00134236" w:rsidRPr="00134236" w:rsidRDefault="00134236" w:rsidP="00134236">
            <w:pPr>
              <w:spacing w:after="0" w:line="240" w:lineRule="auto"/>
              <w:jc w:val="center"/>
              <w:rPr>
                <w:rFonts w:eastAsia="Times New Roman" w:cs="Times New Roman"/>
                <w:sz w:val="20"/>
                <w:szCs w:val="20"/>
              </w:rPr>
            </w:pPr>
            <w:r w:rsidRPr="00134236">
              <w:rPr>
                <w:rFonts w:eastAsia="Times New Roman" w:cs="Times New Roman"/>
                <w:sz w:val="20"/>
                <w:szCs w:val="20"/>
              </w:rPr>
              <w:t>1.1%</w:t>
            </w:r>
          </w:p>
        </w:tc>
      </w:tr>
      <w:tr w:rsidR="00134236" w:rsidRPr="00134236" w14:paraId="4847A8F8" w14:textId="77777777" w:rsidTr="00DF5AC6">
        <w:tc>
          <w:tcPr>
            <w:tcW w:w="3060" w:type="dxa"/>
            <w:tcBorders>
              <w:top w:val="single" w:sz="4" w:space="0" w:color="auto"/>
              <w:left w:val="single" w:sz="4" w:space="0" w:color="auto"/>
              <w:bottom w:val="single" w:sz="4" w:space="0" w:color="auto"/>
            </w:tcBorders>
            <w:shd w:val="clear" w:color="auto" w:fill="D9D9D9" w:themeFill="background1" w:themeFillShade="D9"/>
          </w:tcPr>
          <w:p w14:paraId="79B5E794" w14:textId="0428E234" w:rsidR="00134236" w:rsidRPr="00134236" w:rsidRDefault="00134236" w:rsidP="00282F1F">
            <w:pPr>
              <w:spacing w:after="0" w:line="240" w:lineRule="auto"/>
              <w:rPr>
                <w:rFonts w:eastAsia="Times New Roman" w:cs="Times New Roman"/>
                <w:sz w:val="20"/>
                <w:szCs w:val="20"/>
              </w:rPr>
            </w:pPr>
            <w:r w:rsidRPr="00134236">
              <w:rPr>
                <w:rFonts w:eastAsia="Times New Roman" w:cs="Times New Roman"/>
                <w:sz w:val="20"/>
                <w:szCs w:val="20"/>
              </w:rPr>
              <w:t xml:space="preserve">All </w:t>
            </w:r>
          </w:p>
        </w:tc>
        <w:tc>
          <w:tcPr>
            <w:tcW w:w="1035" w:type="dxa"/>
            <w:tcBorders>
              <w:bottom w:val="single" w:sz="4" w:space="0" w:color="auto"/>
            </w:tcBorders>
            <w:shd w:val="clear" w:color="auto" w:fill="D9D9D9" w:themeFill="background1" w:themeFillShade="D9"/>
          </w:tcPr>
          <w:p w14:paraId="52821AC4"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0.7%</w:t>
            </w:r>
          </w:p>
        </w:tc>
        <w:tc>
          <w:tcPr>
            <w:tcW w:w="1035" w:type="dxa"/>
            <w:tcBorders>
              <w:bottom w:val="single" w:sz="4" w:space="0" w:color="auto"/>
            </w:tcBorders>
            <w:shd w:val="clear" w:color="auto" w:fill="D9D9D9" w:themeFill="background1" w:themeFillShade="D9"/>
          </w:tcPr>
          <w:p w14:paraId="6449B0BC"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0.2%</w:t>
            </w:r>
          </w:p>
        </w:tc>
        <w:tc>
          <w:tcPr>
            <w:tcW w:w="1035" w:type="dxa"/>
            <w:tcBorders>
              <w:bottom w:val="single" w:sz="4" w:space="0" w:color="auto"/>
            </w:tcBorders>
            <w:shd w:val="clear" w:color="auto" w:fill="D9D9D9" w:themeFill="background1" w:themeFillShade="D9"/>
          </w:tcPr>
          <w:p w14:paraId="7A0E0CD6"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0.5%</w:t>
            </w:r>
          </w:p>
        </w:tc>
        <w:tc>
          <w:tcPr>
            <w:tcW w:w="1035" w:type="dxa"/>
            <w:tcBorders>
              <w:bottom w:val="single" w:sz="4" w:space="0" w:color="auto"/>
            </w:tcBorders>
            <w:shd w:val="clear" w:color="auto" w:fill="D9D9D9" w:themeFill="background1" w:themeFillShade="D9"/>
          </w:tcPr>
          <w:p w14:paraId="080F6734"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0.2%</w:t>
            </w:r>
          </w:p>
        </w:tc>
        <w:tc>
          <w:tcPr>
            <w:tcW w:w="1170" w:type="dxa"/>
            <w:tcBorders>
              <w:bottom w:val="single" w:sz="4" w:space="0" w:color="auto"/>
            </w:tcBorders>
            <w:shd w:val="clear" w:color="auto" w:fill="D9D9D9" w:themeFill="background1" w:themeFillShade="D9"/>
          </w:tcPr>
          <w:p w14:paraId="51F6FA4D" w14:textId="77777777" w:rsidR="00134236" w:rsidRPr="00134236" w:rsidRDefault="00134236" w:rsidP="00134236">
            <w:pPr>
              <w:spacing w:after="0" w:line="240" w:lineRule="auto"/>
              <w:jc w:val="center"/>
              <w:rPr>
                <w:rFonts w:ascii="Calibri" w:hAnsi="Calibri"/>
                <w:sz w:val="20"/>
                <w:szCs w:val="20"/>
              </w:rPr>
            </w:pPr>
            <w:r w:rsidRPr="00134236">
              <w:rPr>
                <w:rFonts w:ascii="Calibri" w:hAnsi="Calibri"/>
                <w:sz w:val="20"/>
                <w:szCs w:val="20"/>
              </w:rPr>
              <w:t>-0.5</w:t>
            </w:r>
          </w:p>
        </w:tc>
        <w:tc>
          <w:tcPr>
            <w:tcW w:w="1188" w:type="dxa"/>
            <w:tcBorders>
              <w:top w:val="single" w:sz="4" w:space="0" w:color="auto"/>
              <w:bottom w:val="single" w:sz="4" w:space="0" w:color="auto"/>
              <w:right w:val="single" w:sz="4" w:space="0" w:color="auto"/>
            </w:tcBorders>
            <w:shd w:val="clear" w:color="auto" w:fill="D9D9D9" w:themeFill="background1" w:themeFillShade="D9"/>
          </w:tcPr>
          <w:p w14:paraId="0AED2F99" w14:textId="77777777" w:rsidR="00134236" w:rsidRPr="00134236" w:rsidRDefault="00134236" w:rsidP="00134236">
            <w:pPr>
              <w:spacing w:after="0" w:line="240" w:lineRule="auto"/>
              <w:jc w:val="center"/>
              <w:rPr>
                <w:rFonts w:eastAsia="Times New Roman" w:cs="Times New Roman"/>
                <w:sz w:val="20"/>
                <w:szCs w:val="20"/>
              </w:rPr>
            </w:pPr>
            <w:r w:rsidRPr="00134236">
              <w:rPr>
                <w:rFonts w:eastAsia="Times New Roman" w:cs="Times New Roman"/>
                <w:sz w:val="20"/>
                <w:szCs w:val="20"/>
              </w:rPr>
              <w:t>1.8%</w:t>
            </w:r>
          </w:p>
        </w:tc>
      </w:tr>
      <w:tr w:rsidR="00134236" w:rsidRPr="002C382C" w14:paraId="678BC7D5" w14:textId="77777777" w:rsidTr="00DF5AC6">
        <w:tc>
          <w:tcPr>
            <w:tcW w:w="9558" w:type="dxa"/>
            <w:gridSpan w:val="7"/>
            <w:tcBorders>
              <w:top w:val="single" w:sz="4" w:space="0" w:color="auto"/>
              <w:left w:val="nil"/>
              <w:bottom w:val="nil"/>
              <w:right w:val="nil"/>
            </w:tcBorders>
            <w:shd w:val="clear" w:color="auto" w:fill="auto"/>
          </w:tcPr>
          <w:p w14:paraId="002A0844" w14:textId="2F7A9273" w:rsidR="00134236" w:rsidRPr="00E22258" w:rsidRDefault="00134236" w:rsidP="00E22258">
            <w:pPr>
              <w:spacing w:before="60" w:after="0" w:line="240" w:lineRule="auto"/>
              <w:rPr>
                <w:rFonts w:eastAsia="Times New Roman" w:cs="Times New Roman"/>
                <w:sz w:val="18"/>
                <w:szCs w:val="18"/>
              </w:rPr>
            </w:pPr>
            <w:r w:rsidRPr="00E22258">
              <w:rPr>
                <w:rFonts w:eastAsia="Times New Roman" w:cs="Times New Roman"/>
                <w:sz w:val="18"/>
                <w:szCs w:val="18"/>
              </w:rPr>
              <w:t>*Dropout rates for students from</w:t>
            </w:r>
            <w:r w:rsidRPr="00E22258">
              <w:rPr>
                <w:sz w:val="18"/>
                <w:szCs w:val="18"/>
              </w:rPr>
              <w:t xml:space="preserve"> low income families used for 2014 rates.</w:t>
            </w:r>
          </w:p>
        </w:tc>
      </w:tr>
    </w:tbl>
    <w:p w14:paraId="787E19E2" w14:textId="77777777" w:rsidR="00134236" w:rsidRPr="00E22258" w:rsidRDefault="00134236" w:rsidP="00134236">
      <w:pPr>
        <w:spacing w:after="0" w:line="240" w:lineRule="auto"/>
        <w:rPr>
          <w:rFonts w:eastAsia="Times New Roman" w:cs="Times New Roman"/>
          <w:sz w:val="18"/>
          <w:szCs w:val="18"/>
        </w:rPr>
      </w:pPr>
    </w:p>
    <w:p w14:paraId="4DDB0E95" w14:textId="77777777" w:rsidR="00134236" w:rsidRPr="00E22258" w:rsidRDefault="00134236" w:rsidP="00134236">
      <w:pPr>
        <w:rPr>
          <w:sz w:val="18"/>
          <w:szCs w:val="18"/>
        </w:rPr>
      </w:pPr>
    </w:p>
    <w:p w14:paraId="49D8EA5A" w14:textId="1DE76932" w:rsidR="007C01ED" w:rsidRPr="00E06CDE" w:rsidRDefault="000C1441" w:rsidP="007C01ED">
      <w:pPr>
        <w:pStyle w:val="Section"/>
        <w:tabs>
          <w:tab w:val="left" w:pos="360"/>
          <w:tab w:val="left" w:pos="720"/>
          <w:tab w:val="left" w:pos="1080"/>
          <w:tab w:val="left" w:pos="1440"/>
          <w:tab w:val="left" w:pos="1800"/>
          <w:tab w:val="left" w:pos="2160"/>
          <w:tab w:val="left" w:pos="2520"/>
          <w:tab w:val="left" w:pos="2880"/>
        </w:tabs>
        <w:outlineLvl w:val="0"/>
      </w:pPr>
      <w:bookmarkStart w:id="9" w:name="_Toc532556046"/>
      <w:bookmarkStart w:id="10" w:name="_Toc350870261"/>
      <w:r>
        <w:lastRenderedPageBreak/>
        <w:t xml:space="preserve">Curriculum </w:t>
      </w:r>
      <w:r w:rsidR="004C0A56">
        <w:t>and Instruction</w:t>
      </w:r>
      <w:bookmarkEnd w:id="9"/>
    </w:p>
    <w:p w14:paraId="21A35191" w14:textId="77777777" w:rsidR="00631031" w:rsidRDefault="00631031" w:rsidP="00631031">
      <w:pPr>
        <w:pStyle w:val="Subsection"/>
        <w:tabs>
          <w:tab w:val="left" w:pos="360"/>
          <w:tab w:val="left" w:pos="720"/>
          <w:tab w:val="left" w:pos="1080"/>
          <w:tab w:val="left" w:pos="1440"/>
          <w:tab w:val="left" w:pos="1800"/>
          <w:tab w:val="left" w:pos="2160"/>
          <w:tab w:val="left" w:pos="2520"/>
          <w:tab w:val="left" w:pos="2880"/>
        </w:tabs>
        <w:spacing w:before="0"/>
      </w:pPr>
      <w:r>
        <w:t>Contextual Background</w:t>
      </w:r>
    </w:p>
    <w:p w14:paraId="1C801AF2" w14:textId="0F43236A" w:rsidR="00175B9D" w:rsidRDefault="00175B9D" w:rsidP="00175B9D">
      <w:pPr>
        <w:rPr>
          <w:rFonts w:cstheme="minorHAnsi"/>
        </w:rPr>
      </w:pPr>
      <w:r w:rsidRPr="009C3F19">
        <w:rPr>
          <w:rFonts w:cstheme="minorHAnsi"/>
        </w:rPr>
        <w:t>The district has</w:t>
      </w:r>
      <w:r>
        <w:rPr>
          <w:rFonts w:cstheme="minorHAnsi"/>
        </w:rPr>
        <w:t xml:space="preserve"> </w:t>
      </w:r>
      <w:r w:rsidR="002350D1">
        <w:rPr>
          <w:rFonts w:cstheme="minorHAnsi"/>
        </w:rPr>
        <w:t>established</w:t>
      </w:r>
      <w:r w:rsidRPr="009C3F19">
        <w:rPr>
          <w:rFonts w:cstheme="minorHAnsi"/>
        </w:rPr>
        <w:t xml:space="preserve"> </w:t>
      </w:r>
      <w:r w:rsidR="00D97907">
        <w:rPr>
          <w:rFonts w:cstheme="minorHAnsi"/>
        </w:rPr>
        <w:t xml:space="preserve">an </w:t>
      </w:r>
      <w:r w:rsidRPr="009C3F19">
        <w:rPr>
          <w:rFonts w:cstheme="minorHAnsi"/>
        </w:rPr>
        <w:t xml:space="preserve">instructional leadership team (ILT) to oversee all </w:t>
      </w:r>
      <w:r w:rsidR="005E33EA">
        <w:rPr>
          <w:rFonts w:cstheme="minorHAnsi"/>
        </w:rPr>
        <w:t>curricul</w:t>
      </w:r>
      <w:r w:rsidR="00D97907">
        <w:rPr>
          <w:rFonts w:cstheme="minorHAnsi"/>
        </w:rPr>
        <w:t>ar</w:t>
      </w:r>
      <w:r w:rsidR="00D97907" w:rsidRPr="009C3F19">
        <w:rPr>
          <w:rFonts w:cstheme="minorHAnsi"/>
        </w:rPr>
        <w:t xml:space="preserve"> </w:t>
      </w:r>
      <w:r w:rsidRPr="009C3F19">
        <w:rPr>
          <w:rFonts w:cstheme="minorHAnsi"/>
        </w:rPr>
        <w:t>and instructional practices.  Led by the assistant superintendent, this team is composed of</w:t>
      </w:r>
      <w:r w:rsidR="00FB6A4F">
        <w:rPr>
          <w:rFonts w:cstheme="minorHAnsi"/>
        </w:rPr>
        <w:t xml:space="preserve"> the superintendent, </w:t>
      </w:r>
      <w:r w:rsidRPr="009C3F19">
        <w:rPr>
          <w:rFonts w:cstheme="minorHAnsi"/>
        </w:rPr>
        <w:t xml:space="preserve"> </w:t>
      </w:r>
      <w:r w:rsidR="00FB6A4F">
        <w:rPr>
          <w:rFonts w:cstheme="minorHAnsi"/>
        </w:rPr>
        <w:t>six</w:t>
      </w:r>
      <w:r w:rsidRPr="009C3F19">
        <w:rPr>
          <w:rFonts w:cstheme="minorHAnsi"/>
        </w:rPr>
        <w:t xml:space="preserve"> principals,</w:t>
      </w:r>
      <w:r w:rsidR="00FB6A4F">
        <w:rPr>
          <w:rFonts w:cstheme="minorHAnsi"/>
        </w:rPr>
        <w:t xml:space="preserve"> four assistant principals,</w:t>
      </w:r>
      <w:r w:rsidRPr="009C3F19">
        <w:rPr>
          <w:rFonts w:cstheme="minorHAnsi"/>
        </w:rPr>
        <w:t xml:space="preserve"> curriculum coordinators</w:t>
      </w:r>
      <w:r w:rsidR="00CF7CE1">
        <w:rPr>
          <w:rFonts w:cstheme="minorHAnsi"/>
        </w:rPr>
        <w:t xml:space="preserve"> (</w:t>
      </w:r>
      <w:r w:rsidR="00CF7CE1" w:rsidRPr="009C3F19">
        <w:rPr>
          <w:rFonts w:cstheme="minorHAnsi"/>
        </w:rPr>
        <w:t xml:space="preserve">grades </w:t>
      </w:r>
      <w:r w:rsidR="00CF7CE1">
        <w:rPr>
          <w:rFonts w:cstheme="minorHAnsi"/>
        </w:rPr>
        <w:t>5</w:t>
      </w:r>
      <w:r w:rsidR="001D2855">
        <w:rPr>
          <w:rFonts w:cstheme="minorHAnsi"/>
        </w:rPr>
        <w:t>–</w:t>
      </w:r>
      <w:r w:rsidR="00CF7CE1">
        <w:rPr>
          <w:rFonts w:cstheme="minorHAnsi"/>
        </w:rPr>
        <w:t>12)</w:t>
      </w:r>
      <w:r w:rsidRPr="009C3F19">
        <w:rPr>
          <w:rFonts w:cstheme="minorHAnsi"/>
        </w:rPr>
        <w:t xml:space="preserve">, </w:t>
      </w:r>
      <w:r w:rsidR="00CF7CE1">
        <w:rPr>
          <w:rFonts w:cstheme="minorHAnsi"/>
        </w:rPr>
        <w:t xml:space="preserve">the </w:t>
      </w:r>
      <w:r w:rsidR="007F3393">
        <w:rPr>
          <w:rFonts w:cstheme="minorHAnsi"/>
        </w:rPr>
        <w:t xml:space="preserve">administrator </w:t>
      </w:r>
      <w:r>
        <w:rPr>
          <w:rFonts w:cstheme="minorHAnsi"/>
        </w:rPr>
        <w:t xml:space="preserve">of special education and student services, </w:t>
      </w:r>
      <w:r w:rsidR="00FB6A4F">
        <w:t xml:space="preserve">the director of METCO (Metropolitan Council for Educational Opportunity), </w:t>
      </w:r>
      <w:r w:rsidRPr="009C3F19">
        <w:rPr>
          <w:rFonts w:cstheme="minorHAnsi"/>
        </w:rPr>
        <w:t xml:space="preserve">and </w:t>
      </w:r>
      <w:r w:rsidR="00D97907">
        <w:rPr>
          <w:rFonts w:cstheme="minorHAnsi"/>
        </w:rPr>
        <w:t xml:space="preserve">the </w:t>
      </w:r>
      <w:r w:rsidRPr="009C3F19">
        <w:rPr>
          <w:rFonts w:cstheme="minorHAnsi"/>
        </w:rPr>
        <w:t xml:space="preserve">directors of performing and visual arts, guidance, and health/athletics.  </w:t>
      </w:r>
    </w:p>
    <w:p w14:paraId="25D94610" w14:textId="77777777" w:rsidR="000C62FD" w:rsidRDefault="001F0F6A" w:rsidP="00175B9D">
      <w:pPr>
        <w:rPr>
          <w:rFonts w:cstheme="minorHAnsi"/>
          <w:i/>
        </w:rPr>
      </w:pPr>
      <w:r w:rsidRPr="001F0F6A">
        <w:rPr>
          <w:rFonts w:cstheme="minorHAnsi"/>
          <w:i/>
        </w:rPr>
        <w:t>Curriculum</w:t>
      </w:r>
    </w:p>
    <w:p w14:paraId="799664E4" w14:textId="1B041305" w:rsidR="00175B9D" w:rsidRPr="000A54FE" w:rsidRDefault="00175B9D" w:rsidP="00175B9D">
      <w:pPr>
        <w:rPr>
          <w:rFonts w:cstheme="minorHAnsi"/>
        </w:rPr>
      </w:pPr>
      <w:r w:rsidRPr="009C3F19">
        <w:rPr>
          <w:rFonts w:cstheme="minorHAnsi"/>
        </w:rPr>
        <w:t>At the elementary level, the assistant superintendent</w:t>
      </w:r>
      <w:r w:rsidR="002350D1">
        <w:rPr>
          <w:rFonts w:cstheme="minorHAnsi"/>
        </w:rPr>
        <w:t xml:space="preserve"> and </w:t>
      </w:r>
      <w:r w:rsidRPr="009C3F19">
        <w:rPr>
          <w:rFonts w:cstheme="minorHAnsi"/>
        </w:rPr>
        <w:t>four elementary principals</w:t>
      </w:r>
      <w:r w:rsidR="002350D1">
        <w:rPr>
          <w:rFonts w:cstheme="minorHAnsi"/>
        </w:rPr>
        <w:t xml:space="preserve"> have</w:t>
      </w:r>
      <w:r w:rsidRPr="009C3F19">
        <w:rPr>
          <w:rFonts w:cstheme="minorHAnsi"/>
        </w:rPr>
        <w:t xml:space="preserve"> overall responsibility for curricul</w:t>
      </w:r>
      <w:r w:rsidR="0062348E">
        <w:rPr>
          <w:rFonts w:cstheme="minorHAnsi"/>
        </w:rPr>
        <w:t xml:space="preserve">um oversight. </w:t>
      </w:r>
      <w:r w:rsidRPr="009C3F19">
        <w:rPr>
          <w:rFonts w:cstheme="minorHAnsi"/>
        </w:rPr>
        <w:t>A literacy coach at e</w:t>
      </w:r>
      <w:r w:rsidR="000A54FE">
        <w:rPr>
          <w:rFonts w:cstheme="minorHAnsi"/>
        </w:rPr>
        <w:t xml:space="preserve">ach elementary school and </w:t>
      </w:r>
      <w:r w:rsidRPr="009C3F19">
        <w:rPr>
          <w:rFonts w:cstheme="minorHAnsi"/>
        </w:rPr>
        <w:t>one districtwide math coach assist in supporting curriculum and instruction.  For K</w:t>
      </w:r>
      <w:r w:rsidR="001D2855">
        <w:rPr>
          <w:rFonts w:cstheme="minorHAnsi"/>
        </w:rPr>
        <w:t>–</w:t>
      </w:r>
      <w:r w:rsidRPr="009C3F19">
        <w:rPr>
          <w:rFonts w:cstheme="minorHAnsi"/>
        </w:rPr>
        <w:t>4 lit</w:t>
      </w:r>
      <w:r>
        <w:rPr>
          <w:rFonts w:cstheme="minorHAnsi"/>
        </w:rPr>
        <w:t>eracy, the district uses Readers</w:t>
      </w:r>
      <w:r w:rsidR="0062348E">
        <w:rPr>
          <w:rFonts w:cstheme="minorHAnsi"/>
        </w:rPr>
        <w:t xml:space="preserve"> and Writers Workshop</w:t>
      </w:r>
      <w:r w:rsidR="00CF7CE1">
        <w:rPr>
          <w:rFonts w:cstheme="minorHAnsi"/>
        </w:rPr>
        <w:t>;</w:t>
      </w:r>
      <w:r w:rsidR="00CF7CE1" w:rsidRPr="009C3F19">
        <w:rPr>
          <w:rFonts w:cstheme="minorHAnsi"/>
        </w:rPr>
        <w:t xml:space="preserve"> </w:t>
      </w:r>
      <w:r w:rsidR="00CF7CE1">
        <w:rPr>
          <w:rFonts w:cstheme="minorHAnsi"/>
        </w:rPr>
        <w:t>f</w:t>
      </w:r>
      <w:r w:rsidR="00CF7CE1" w:rsidRPr="009C3F19">
        <w:rPr>
          <w:rFonts w:cstheme="minorHAnsi"/>
        </w:rPr>
        <w:t xml:space="preserve">or </w:t>
      </w:r>
      <w:r w:rsidR="00EF78AB">
        <w:rPr>
          <w:rFonts w:cstheme="minorHAnsi"/>
        </w:rPr>
        <w:t xml:space="preserve">K–4 </w:t>
      </w:r>
      <w:r w:rsidRPr="009C3F19">
        <w:rPr>
          <w:rFonts w:cstheme="minorHAnsi"/>
        </w:rPr>
        <w:t xml:space="preserve">mathematics, </w:t>
      </w:r>
      <w:r w:rsidR="000A54FE">
        <w:rPr>
          <w:rFonts w:cstheme="minorHAnsi"/>
        </w:rPr>
        <w:t xml:space="preserve">Pearson’s </w:t>
      </w:r>
      <w:r w:rsidRPr="009C3F19">
        <w:rPr>
          <w:rFonts w:cstheme="minorHAnsi"/>
        </w:rPr>
        <w:t xml:space="preserve">EnVision </w:t>
      </w:r>
      <w:r>
        <w:rPr>
          <w:rFonts w:cstheme="minorHAnsi"/>
        </w:rPr>
        <w:t>program</w:t>
      </w:r>
      <w:r w:rsidR="00B83E8A">
        <w:rPr>
          <w:rFonts w:cstheme="minorHAnsi"/>
        </w:rPr>
        <w:t xml:space="preserve"> and for </w:t>
      </w:r>
      <w:r w:rsidR="00592C52">
        <w:rPr>
          <w:rFonts w:cstheme="minorHAnsi"/>
        </w:rPr>
        <w:t xml:space="preserve">K–4 </w:t>
      </w:r>
      <w:r w:rsidR="00B83E8A">
        <w:rPr>
          <w:rFonts w:cstheme="minorHAnsi"/>
        </w:rPr>
        <w:t>science, the FOSS and McGraw Hill Science programs</w:t>
      </w:r>
      <w:r w:rsidR="0062348E">
        <w:rPr>
          <w:rFonts w:cstheme="minorHAnsi"/>
        </w:rPr>
        <w:t>.</w:t>
      </w:r>
      <w:r w:rsidRPr="009C3F19">
        <w:rPr>
          <w:rFonts w:cstheme="minorHAnsi"/>
        </w:rPr>
        <w:t xml:space="preserve"> </w:t>
      </w:r>
      <w:r w:rsidR="00CF7CE1">
        <w:rPr>
          <w:rFonts w:cstheme="minorHAnsi"/>
        </w:rPr>
        <w:t>At the time of the onsite review in March 2018, t</w:t>
      </w:r>
      <w:r w:rsidR="00CF7CE1" w:rsidRPr="009C3F19">
        <w:rPr>
          <w:rFonts w:cstheme="minorHAnsi"/>
        </w:rPr>
        <w:t xml:space="preserve">he </w:t>
      </w:r>
      <w:r w:rsidRPr="009C3F19">
        <w:rPr>
          <w:rFonts w:cstheme="minorHAnsi"/>
        </w:rPr>
        <w:t xml:space="preserve">district </w:t>
      </w:r>
      <w:r w:rsidR="00CF7CE1">
        <w:rPr>
          <w:rFonts w:cstheme="minorHAnsi"/>
        </w:rPr>
        <w:t>was</w:t>
      </w:r>
      <w:r w:rsidRPr="009C3F19">
        <w:rPr>
          <w:rFonts w:cstheme="minorHAnsi"/>
        </w:rPr>
        <w:t xml:space="preserve"> piloting new/updated s</w:t>
      </w:r>
      <w:r w:rsidR="000A54FE">
        <w:rPr>
          <w:rFonts w:cstheme="minorHAnsi"/>
        </w:rPr>
        <w:t>cience programs</w:t>
      </w:r>
      <w:r w:rsidR="0062348E">
        <w:rPr>
          <w:rFonts w:cstheme="minorHAnsi"/>
        </w:rPr>
        <w:t xml:space="preserve">. </w:t>
      </w:r>
      <w:r w:rsidR="00596A34">
        <w:rPr>
          <w:rFonts w:cstheme="minorHAnsi"/>
        </w:rPr>
        <w:t>S</w:t>
      </w:r>
      <w:r w:rsidRPr="009C3F19">
        <w:rPr>
          <w:rFonts w:cstheme="minorHAnsi"/>
        </w:rPr>
        <w:t>chool</w:t>
      </w:r>
      <w:r w:rsidR="00BE0035">
        <w:rPr>
          <w:rFonts w:cstheme="minorHAnsi"/>
        </w:rPr>
        <w:t>-</w:t>
      </w:r>
      <w:r w:rsidRPr="009C3F19">
        <w:rPr>
          <w:rFonts w:cstheme="minorHAnsi"/>
        </w:rPr>
        <w:t xml:space="preserve"> and </w:t>
      </w:r>
      <w:r w:rsidR="00BE0035" w:rsidRPr="009C3F19">
        <w:rPr>
          <w:rFonts w:cstheme="minorHAnsi"/>
        </w:rPr>
        <w:t>grade</w:t>
      </w:r>
      <w:r w:rsidR="00BE0035">
        <w:rPr>
          <w:rFonts w:cstheme="minorHAnsi"/>
        </w:rPr>
        <w:t>-</w:t>
      </w:r>
      <w:r w:rsidRPr="009C3F19">
        <w:rPr>
          <w:rFonts w:cstheme="minorHAnsi"/>
        </w:rPr>
        <w:t>based professional learning community</w:t>
      </w:r>
      <w:r w:rsidR="0062348E">
        <w:rPr>
          <w:rFonts w:cstheme="minorHAnsi"/>
        </w:rPr>
        <w:t xml:space="preserve"> (PLC)</w:t>
      </w:r>
      <w:r w:rsidRPr="009C3F19">
        <w:rPr>
          <w:rFonts w:cstheme="minorHAnsi"/>
        </w:rPr>
        <w:t xml:space="preserve"> meetings with teachers, coaches, and team leaders</w:t>
      </w:r>
      <w:r w:rsidR="00596A34">
        <w:rPr>
          <w:rFonts w:cstheme="minorHAnsi"/>
        </w:rPr>
        <w:t xml:space="preserve"> help ensure f</w:t>
      </w:r>
      <w:r w:rsidR="00596A34" w:rsidRPr="009C3F19">
        <w:rPr>
          <w:rFonts w:cstheme="minorHAnsi"/>
        </w:rPr>
        <w:t xml:space="preserve">idelity to the </w:t>
      </w:r>
      <w:r w:rsidR="00596A34">
        <w:rPr>
          <w:rFonts w:cstheme="minorHAnsi"/>
        </w:rPr>
        <w:t xml:space="preserve">written </w:t>
      </w:r>
      <w:r w:rsidR="00596A34" w:rsidRPr="009C3F19">
        <w:rPr>
          <w:rFonts w:cstheme="minorHAnsi"/>
        </w:rPr>
        <w:t>curriculum</w:t>
      </w:r>
      <w:r w:rsidRPr="009C3F19">
        <w:rPr>
          <w:rFonts w:cstheme="minorHAnsi"/>
        </w:rPr>
        <w:t xml:space="preserve">.  The curriculum coordinators </w:t>
      </w:r>
      <w:r w:rsidR="00CF7CE1">
        <w:rPr>
          <w:rFonts w:cstheme="minorHAnsi"/>
        </w:rPr>
        <w:t>(</w:t>
      </w:r>
      <w:r w:rsidR="00CF7CE1" w:rsidRPr="009C3F19">
        <w:rPr>
          <w:rFonts w:cstheme="minorHAnsi"/>
        </w:rPr>
        <w:t xml:space="preserve">grades </w:t>
      </w:r>
      <w:r w:rsidR="00CF7CE1">
        <w:rPr>
          <w:rFonts w:cstheme="minorHAnsi"/>
        </w:rPr>
        <w:t>5</w:t>
      </w:r>
      <w:r w:rsidR="001D2855">
        <w:rPr>
          <w:rFonts w:cstheme="minorHAnsi"/>
        </w:rPr>
        <w:t>–</w:t>
      </w:r>
      <w:r w:rsidR="00CF7CE1">
        <w:rPr>
          <w:rFonts w:cstheme="minorHAnsi"/>
        </w:rPr>
        <w:t>12)</w:t>
      </w:r>
      <w:r w:rsidR="00CF7CE1" w:rsidRPr="009C3F19">
        <w:rPr>
          <w:rFonts w:cstheme="minorHAnsi"/>
        </w:rPr>
        <w:t xml:space="preserve"> </w:t>
      </w:r>
      <w:r w:rsidRPr="009C3F19">
        <w:rPr>
          <w:rFonts w:cstheme="minorHAnsi"/>
        </w:rPr>
        <w:t>have monthly meeting</w:t>
      </w:r>
      <w:r w:rsidR="0062348E">
        <w:rPr>
          <w:rFonts w:cstheme="minorHAnsi"/>
        </w:rPr>
        <w:t>s</w:t>
      </w:r>
      <w:r w:rsidRPr="009C3F19">
        <w:rPr>
          <w:rFonts w:cstheme="minorHAnsi"/>
        </w:rPr>
        <w:t xml:space="preserve"> with the elementary coaches to help ensure vertical </w:t>
      </w:r>
      <w:r w:rsidR="000A54FE">
        <w:rPr>
          <w:rFonts w:cstheme="minorHAnsi"/>
        </w:rPr>
        <w:t>alignment</w:t>
      </w:r>
      <w:r w:rsidRPr="009C3F19">
        <w:rPr>
          <w:rFonts w:cstheme="minorHAnsi"/>
        </w:rPr>
        <w:t>.</w:t>
      </w:r>
    </w:p>
    <w:p w14:paraId="19A97AC3" w14:textId="1DB245DE" w:rsidR="00175B9D" w:rsidRPr="009C3F19" w:rsidRDefault="000A54FE" w:rsidP="00175B9D">
      <w:pPr>
        <w:rPr>
          <w:rFonts w:cstheme="minorHAnsi"/>
        </w:rPr>
      </w:pPr>
      <w:r>
        <w:rPr>
          <w:rFonts w:cstheme="minorHAnsi"/>
        </w:rPr>
        <w:t>A</w:t>
      </w:r>
      <w:r w:rsidR="00175B9D" w:rsidRPr="009C3F19">
        <w:rPr>
          <w:rFonts w:cstheme="minorHAnsi"/>
        </w:rPr>
        <w:t xml:space="preserve">t the middle school, the curriculum coordinators </w:t>
      </w:r>
      <w:r w:rsidR="00CF7CE1">
        <w:rPr>
          <w:rFonts w:cstheme="minorHAnsi"/>
        </w:rPr>
        <w:t>(</w:t>
      </w:r>
      <w:r w:rsidR="00CF7CE1" w:rsidRPr="009C3F19">
        <w:rPr>
          <w:rFonts w:cstheme="minorHAnsi"/>
        </w:rPr>
        <w:t xml:space="preserve">grades </w:t>
      </w:r>
      <w:r w:rsidR="001D2855">
        <w:rPr>
          <w:rFonts w:cstheme="minorHAnsi"/>
        </w:rPr>
        <w:t>5</w:t>
      </w:r>
      <w:r w:rsidR="001D2855">
        <w:rPr>
          <w:rFonts w:cstheme="minorHAnsi"/>
        </w:rPr>
        <w:softHyphen/>
      </w:r>
      <w:r w:rsidR="001D2855">
        <w:rPr>
          <w:rFonts w:cstheme="minorHAnsi"/>
        </w:rPr>
        <w:softHyphen/>
        <w:t>–12</w:t>
      </w:r>
      <w:r w:rsidR="00CF7CE1">
        <w:rPr>
          <w:rFonts w:cstheme="minorHAnsi"/>
        </w:rPr>
        <w:t xml:space="preserve">) </w:t>
      </w:r>
      <w:r w:rsidR="00175B9D" w:rsidRPr="009C3F19">
        <w:rPr>
          <w:rFonts w:cstheme="minorHAnsi"/>
        </w:rPr>
        <w:t xml:space="preserve">maintain overall responsibility for curriculum development, revision, and alignment with the Massachusetts </w:t>
      </w:r>
      <w:r w:rsidR="00175B9D">
        <w:rPr>
          <w:rFonts w:cstheme="minorHAnsi"/>
        </w:rPr>
        <w:t>f</w:t>
      </w:r>
      <w:r w:rsidR="0062348E">
        <w:rPr>
          <w:rFonts w:cstheme="minorHAnsi"/>
        </w:rPr>
        <w:t>rameworks.</w:t>
      </w:r>
      <w:r w:rsidR="00175B9D" w:rsidRPr="009C3F19">
        <w:rPr>
          <w:rFonts w:cstheme="minorHAnsi"/>
        </w:rPr>
        <w:t xml:space="preserve"> For ELA, the district uses </w:t>
      </w:r>
      <w:r w:rsidR="0062348E">
        <w:rPr>
          <w:rFonts w:cstheme="minorHAnsi"/>
        </w:rPr>
        <w:t xml:space="preserve">Pearson’s </w:t>
      </w:r>
      <w:r w:rsidR="00175B9D" w:rsidRPr="009C3F19">
        <w:rPr>
          <w:rFonts w:cstheme="minorHAnsi"/>
        </w:rPr>
        <w:t>Ready Gen (grade 5) and My Per</w:t>
      </w:r>
      <w:r w:rsidR="0062348E">
        <w:rPr>
          <w:rFonts w:cstheme="minorHAnsi"/>
        </w:rPr>
        <w:t>spectives (grades 6</w:t>
      </w:r>
      <w:r w:rsidR="001D2855">
        <w:rPr>
          <w:rFonts w:cstheme="minorHAnsi"/>
        </w:rPr>
        <w:t>–</w:t>
      </w:r>
      <w:r w:rsidR="0062348E">
        <w:rPr>
          <w:rFonts w:cstheme="minorHAnsi"/>
        </w:rPr>
        <w:t>8) programs</w:t>
      </w:r>
      <w:r w:rsidR="00175B9D" w:rsidRPr="009C3F19">
        <w:rPr>
          <w:rFonts w:cstheme="minorHAnsi"/>
        </w:rPr>
        <w:t xml:space="preserve">; in mathematics, </w:t>
      </w:r>
      <w:r w:rsidR="0062348E">
        <w:rPr>
          <w:rFonts w:cstheme="minorHAnsi"/>
        </w:rPr>
        <w:t>Pearson’s</w:t>
      </w:r>
      <w:r w:rsidR="00175B9D" w:rsidRPr="009C3F19">
        <w:rPr>
          <w:rFonts w:cstheme="minorHAnsi"/>
        </w:rPr>
        <w:t xml:space="preserve"> EnVision</w:t>
      </w:r>
      <w:r w:rsidR="00175B9D">
        <w:rPr>
          <w:rFonts w:cstheme="minorHAnsi"/>
        </w:rPr>
        <w:t xml:space="preserve"> program</w:t>
      </w:r>
      <w:r w:rsidR="006964C0">
        <w:rPr>
          <w:rFonts w:cstheme="minorHAnsi"/>
        </w:rPr>
        <w:t>.</w:t>
      </w:r>
      <w:r w:rsidR="006964C0" w:rsidRPr="009C3F19">
        <w:rPr>
          <w:rFonts w:cstheme="minorHAnsi"/>
        </w:rPr>
        <w:t xml:space="preserve"> </w:t>
      </w:r>
      <w:r w:rsidR="006964C0" w:rsidRPr="005B0E60">
        <w:rPr>
          <w:rFonts w:cstheme="minorHAnsi"/>
        </w:rPr>
        <w:t>I</w:t>
      </w:r>
      <w:r w:rsidR="00175B9D" w:rsidRPr="005B0E60">
        <w:rPr>
          <w:rFonts w:cstheme="minorHAnsi"/>
        </w:rPr>
        <w:t>n science</w:t>
      </w:r>
      <w:r w:rsidR="00BE0035" w:rsidRPr="005B0E60">
        <w:rPr>
          <w:rFonts w:cstheme="minorHAnsi"/>
        </w:rPr>
        <w:t>,</w:t>
      </w:r>
      <w:r w:rsidR="00175B9D" w:rsidRPr="005B0E60">
        <w:rPr>
          <w:rFonts w:cstheme="minorHAnsi"/>
        </w:rPr>
        <w:t xml:space="preserve"> the district uses </w:t>
      </w:r>
      <w:r w:rsidR="0062348E" w:rsidRPr="005B0E60">
        <w:rPr>
          <w:rFonts w:cstheme="minorHAnsi"/>
        </w:rPr>
        <w:t xml:space="preserve">McGraw Hill’s </w:t>
      </w:r>
      <w:r w:rsidR="00175B9D" w:rsidRPr="005B0E60">
        <w:rPr>
          <w:rFonts w:cstheme="minorHAnsi"/>
        </w:rPr>
        <w:t>Inspire</w:t>
      </w:r>
      <w:r w:rsidR="0062348E" w:rsidRPr="005B0E60">
        <w:rPr>
          <w:rFonts w:cstheme="minorHAnsi"/>
        </w:rPr>
        <w:t xml:space="preserve"> program</w:t>
      </w:r>
      <w:r w:rsidR="00592C52" w:rsidRPr="005B0E60">
        <w:rPr>
          <w:rFonts w:cstheme="minorHAnsi"/>
        </w:rPr>
        <w:t xml:space="preserve"> (grades 5–8)</w:t>
      </w:r>
      <w:r w:rsidR="00175B9D" w:rsidRPr="005B0E60">
        <w:rPr>
          <w:rFonts w:cstheme="minorHAnsi"/>
        </w:rPr>
        <w:t>.</w:t>
      </w:r>
      <w:r w:rsidR="00175B9D" w:rsidRPr="009C3F19">
        <w:rPr>
          <w:rFonts w:cstheme="minorHAnsi"/>
        </w:rPr>
        <w:t xml:space="preserve"> Fidelity to the </w:t>
      </w:r>
      <w:r w:rsidR="004F3224">
        <w:rPr>
          <w:rFonts w:cstheme="minorHAnsi"/>
        </w:rPr>
        <w:t>written</w:t>
      </w:r>
      <w:r w:rsidR="001D2855">
        <w:rPr>
          <w:rFonts w:cstheme="minorHAnsi"/>
        </w:rPr>
        <w:t xml:space="preserve"> </w:t>
      </w:r>
      <w:r w:rsidR="00175B9D" w:rsidRPr="009C3F19">
        <w:rPr>
          <w:rFonts w:cstheme="minorHAnsi"/>
        </w:rPr>
        <w:t xml:space="preserve">curriculum is ensured via </w:t>
      </w:r>
      <w:r>
        <w:rPr>
          <w:rFonts w:cstheme="minorHAnsi"/>
        </w:rPr>
        <w:t>PLC</w:t>
      </w:r>
      <w:r w:rsidR="00175B9D" w:rsidRPr="009C3F19">
        <w:rPr>
          <w:rFonts w:cstheme="minorHAnsi"/>
        </w:rPr>
        <w:t xml:space="preserve"> meetings with content area teachers and curriculum coordinators </w:t>
      </w:r>
      <w:r w:rsidR="00D17F3F">
        <w:rPr>
          <w:rFonts w:cstheme="minorHAnsi"/>
        </w:rPr>
        <w:t>twice</w:t>
      </w:r>
      <w:r w:rsidR="00D17F3F" w:rsidRPr="009C3F19">
        <w:rPr>
          <w:rFonts w:cstheme="minorHAnsi"/>
        </w:rPr>
        <w:t xml:space="preserve"> </w:t>
      </w:r>
      <w:r w:rsidR="00175B9D" w:rsidRPr="009C3F19">
        <w:rPr>
          <w:rFonts w:cstheme="minorHAnsi"/>
        </w:rPr>
        <w:t>within each six-day cycle.</w:t>
      </w:r>
    </w:p>
    <w:p w14:paraId="15D74F1A" w14:textId="1821E27C" w:rsidR="00175B9D" w:rsidRPr="009C3F19" w:rsidRDefault="00175B9D" w:rsidP="00175B9D">
      <w:pPr>
        <w:rPr>
          <w:rFonts w:cstheme="minorHAnsi"/>
        </w:rPr>
      </w:pPr>
      <w:r w:rsidRPr="009C3F19">
        <w:rPr>
          <w:rFonts w:cstheme="minorHAnsi"/>
        </w:rPr>
        <w:t xml:space="preserve">At </w:t>
      </w:r>
      <w:r w:rsidR="000A54FE">
        <w:rPr>
          <w:rFonts w:cstheme="minorHAnsi"/>
        </w:rPr>
        <w:t>the high school</w:t>
      </w:r>
      <w:r w:rsidRPr="009C3F19">
        <w:rPr>
          <w:rFonts w:cstheme="minorHAnsi"/>
        </w:rPr>
        <w:t xml:space="preserve">, the curriculum coordinators maintain overall responsibility for curriculum development, revision, and alignment with the Massachusetts </w:t>
      </w:r>
      <w:r>
        <w:rPr>
          <w:rFonts w:cstheme="minorHAnsi"/>
        </w:rPr>
        <w:t>f</w:t>
      </w:r>
      <w:r w:rsidR="0062348E">
        <w:rPr>
          <w:rFonts w:cstheme="minorHAnsi"/>
        </w:rPr>
        <w:t xml:space="preserve">rameworks. </w:t>
      </w:r>
      <w:r w:rsidR="00C82703">
        <w:rPr>
          <w:rFonts w:cstheme="minorHAnsi"/>
        </w:rPr>
        <w:t>Curriculum coordinators</w:t>
      </w:r>
      <w:r w:rsidR="00592C52">
        <w:rPr>
          <w:rFonts w:cstheme="minorHAnsi"/>
        </w:rPr>
        <w:t>, who meet</w:t>
      </w:r>
      <w:r w:rsidR="00C82703">
        <w:rPr>
          <w:rFonts w:cstheme="minorHAnsi"/>
        </w:rPr>
        <w:t xml:space="preserve"> </w:t>
      </w:r>
      <w:r w:rsidR="00D17F3F">
        <w:rPr>
          <w:rFonts w:cstheme="minorHAnsi"/>
        </w:rPr>
        <w:t>once each cycle</w:t>
      </w:r>
      <w:r w:rsidR="00592C52">
        <w:rPr>
          <w:rFonts w:cstheme="minorHAnsi"/>
        </w:rPr>
        <w:t xml:space="preserve">, </w:t>
      </w:r>
      <w:r w:rsidR="00C82703">
        <w:rPr>
          <w:rFonts w:cstheme="minorHAnsi"/>
        </w:rPr>
        <w:t xml:space="preserve">ensure fidelity to the written curriculum. </w:t>
      </w:r>
      <w:r w:rsidRPr="009C3F19">
        <w:rPr>
          <w:rFonts w:cstheme="minorHAnsi"/>
        </w:rPr>
        <w:t xml:space="preserve">The high school </w:t>
      </w:r>
      <w:r w:rsidR="00F758AC" w:rsidRPr="009C3F19">
        <w:rPr>
          <w:rFonts w:cstheme="minorHAnsi"/>
        </w:rPr>
        <w:t>u</w:t>
      </w:r>
      <w:r w:rsidR="00F758AC">
        <w:rPr>
          <w:rFonts w:cstheme="minorHAnsi"/>
        </w:rPr>
        <w:t>s</w:t>
      </w:r>
      <w:r w:rsidR="00F758AC" w:rsidRPr="009C3F19">
        <w:rPr>
          <w:rFonts w:cstheme="minorHAnsi"/>
        </w:rPr>
        <w:t xml:space="preserve">es </w:t>
      </w:r>
      <w:r w:rsidR="0062348E">
        <w:rPr>
          <w:rFonts w:cstheme="minorHAnsi"/>
        </w:rPr>
        <w:t>Pearson’s</w:t>
      </w:r>
      <w:r>
        <w:rPr>
          <w:rFonts w:cstheme="minorHAnsi"/>
        </w:rPr>
        <w:t xml:space="preserve"> </w:t>
      </w:r>
      <w:r w:rsidRPr="009C3F19">
        <w:rPr>
          <w:rFonts w:cstheme="minorHAnsi"/>
        </w:rPr>
        <w:t xml:space="preserve">My Perspectives </w:t>
      </w:r>
      <w:r>
        <w:rPr>
          <w:rFonts w:cstheme="minorHAnsi"/>
        </w:rPr>
        <w:t xml:space="preserve">program </w:t>
      </w:r>
      <w:r w:rsidRPr="009C3F19">
        <w:rPr>
          <w:rFonts w:cstheme="minorHAnsi"/>
        </w:rPr>
        <w:t>for its core ELA curriculum, and Pearson</w:t>
      </w:r>
      <w:r w:rsidR="0062348E">
        <w:rPr>
          <w:rFonts w:cstheme="minorHAnsi"/>
        </w:rPr>
        <w:t>’s</w:t>
      </w:r>
      <w:r w:rsidRPr="009C3F19">
        <w:rPr>
          <w:rFonts w:cstheme="minorHAnsi"/>
        </w:rPr>
        <w:t xml:space="preserve"> EnVisi</w:t>
      </w:r>
      <w:r w:rsidR="000A54FE">
        <w:rPr>
          <w:rFonts w:cstheme="minorHAnsi"/>
        </w:rPr>
        <w:t xml:space="preserve">on for Algebra I and Geometry. </w:t>
      </w:r>
      <w:r w:rsidRPr="009C3F19">
        <w:rPr>
          <w:rFonts w:cstheme="minorHAnsi"/>
        </w:rPr>
        <w:t>While the high school</w:t>
      </w:r>
      <w:r w:rsidR="00F758AC">
        <w:rPr>
          <w:rFonts w:cstheme="minorHAnsi"/>
        </w:rPr>
        <w:t xml:space="preserve"> has PLCs</w:t>
      </w:r>
      <w:r w:rsidRPr="009C3F19">
        <w:rPr>
          <w:rFonts w:cstheme="minorHAnsi"/>
        </w:rPr>
        <w:t>, in-school scheduling makes it difficult in some cases</w:t>
      </w:r>
      <w:r>
        <w:rPr>
          <w:rFonts w:cstheme="minorHAnsi"/>
        </w:rPr>
        <w:t>,</w:t>
      </w:r>
      <w:r w:rsidRPr="009C3F19">
        <w:rPr>
          <w:rFonts w:cstheme="minorHAnsi"/>
        </w:rPr>
        <w:t xml:space="preserve"> such as in algebra I</w:t>
      </w:r>
      <w:r>
        <w:rPr>
          <w:rFonts w:cstheme="minorHAnsi"/>
        </w:rPr>
        <w:t>,</w:t>
      </w:r>
      <w:r w:rsidRPr="009C3F19">
        <w:rPr>
          <w:rFonts w:cstheme="minorHAnsi"/>
        </w:rPr>
        <w:t xml:space="preserve"> for all teachers of a particular s</w:t>
      </w:r>
      <w:r w:rsidR="0062348E">
        <w:rPr>
          <w:rFonts w:cstheme="minorHAnsi"/>
        </w:rPr>
        <w:t xml:space="preserve">ubject to meet simultaneously. </w:t>
      </w:r>
      <w:r w:rsidRPr="009C3F19">
        <w:rPr>
          <w:rFonts w:cstheme="minorHAnsi"/>
        </w:rPr>
        <w:t>In these cases, the curriculum coordinators meet and work</w:t>
      </w:r>
      <w:r w:rsidR="000A54FE">
        <w:rPr>
          <w:rFonts w:cstheme="minorHAnsi"/>
        </w:rPr>
        <w:t xml:space="preserve"> with the respective teachers.</w:t>
      </w:r>
      <w:r w:rsidRPr="009C3F19">
        <w:rPr>
          <w:rFonts w:cstheme="minorHAnsi"/>
        </w:rPr>
        <w:t xml:space="preserve">  </w:t>
      </w:r>
    </w:p>
    <w:p w14:paraId="6D42AAF4" w14:textId="76183E39" w:rsidR="001F0F6A" w:rsidRPr="001F0F6A" w:rsidRDefault="001F0F6A" w:rsidP="001F0F6A">
      <w:pPr>
        <w:rPr>
          <w:rFonts w:cstheme="minorHAnsi"/>
          <w:i/>
        </w:rPr>
      </w:pPr>
      <w:r>
        <w:rPr>
          <w:rFonts w:cstheme="minorHAnsi"/>
          <w:i/>
        </w:rPr>
        <w:t>Instruction</w:t>
      </w:r>
    </w:p>
    <w:p w14:paraId="1E6CC2AC" w14:textId="109678B9" w:rsidR="001F0F6A" w:rsidRDefault="001F6404" w:rsidP="001F0F6A">
      <w:pPr>
        <w:pStyle w:val="CommentText"/>
        <w:spacing w:line="276" w:lineRule="auto"/>
        <w:rPr>
          <w:sz w:val="22"/>
          <w:szCs w:val="22"/>
        </w:rPr>
      </w:pPr>
      <w:r w:rsidRPr="0033670F">
        <w:rPr>
          <w:sz w:val="22"/>
          <w:szCs w:val="22"/>
        </w:rPr>
        <w:t xml:space="preserve">The </w:t>
      </w:r>
      <w:r w:rsidR="004F3224" w:rsidRPr="00C0681E">
        <w:rPr>
          <w:sz w:val="22"/>
          <w:szCs w:val="22"/>
        </w:rPr>
        <w:t>district-</w:t>
      </w:r>
      <w:r w:rsidRPr="000C77C7">
        <w:rPr>
          <w:sz w:val="22"/>
          <w:szCs w:val="22"/>
        </w:rPr>
        <w:t xml:space="preserve">level </w:t>
      </w:r>
      <w:r w:rsidR="001F0F6A" w:rsidRPr="000C77C7">
        <w:rPr>
          <w:sz w:val="22"/>
          <w:szCs w:val="22"/>
        </w:rPr>
        <w:t xml:space="preserve">ILT </w:t>
      </w:r>
      <w:r w:rsidR="00401A5D" w:rsidRPr="00E22258">
        <w:rPr>
          <w:sz w:val="22"/>
          <w:szCs w:val="22"/>
        </w:rPr>
        <w:t>oversees</w:t>
      </w:r>
      <w:r w:rsidR="001F0F6A" w:rsidRPr="0033670F">
        <w:rPr>
          <w:sz w:val="22"/>
          <w:szCs w:val="22"/>
        </w:rPr>
        <w:t xml:space="preserve"> instru</w:t>
      </w:r>
      <w:r w:rsidR="000C62FD" w:rsidRPr="0033670F">
        <w:rPr>
          <w:sz w:val="22"/>
          <w:szCs w:val="22"/>
        </w:rPr>
        <w:t>ction</w:t>
      </w:r>
      <w:r w:rsidR="000C62FD" w:rsidRPr="00C0681E">
        <w:rPr>
          <w:sz w:val="22"/>
          <w:szCs w:val="22"/>
        </w:rPr>
        <w:t xml:space="preserve"> </w:t>
      </w:r>
      <w:r w:rsidR="00401A5D" w:rsidRPr="00E22258">
        <w:rPr>
          <w:sz w:val="22"/>
          <w:szCs w:val="22"/>
        </w:rPr>
        <w:t xml:space="preserve">in </w:t>
      </w:r>
      <w:r w:rsidR="000C62FD" w:rsidRPr="0033670F">
        <w:rPr>
          <w:sz w:val="22"/>
          <w:szCs w:val="22"/>
        </w:rPr>
        <w:t>the district</w:t>
      </w:r>
      <w:r w:rsidR="000C62FD" w:rsidRPr="000C77C7">
        <w:rPr>
          <w:sz w:val="22"/>
          <w:szCs w:val="22"/>
        </w:rPr>
        <w:t>.</w:t>
      </w:r>
      <w:r w:rsidR="004A78E7">
        <w:rPr>
          <w:sz w:val="22"/>
          <w:szCs w:val="22"/>
        </w:rPr>
        <w:t xml:space="preserve"> E</w:t>
      </w:r>
      <w:r w:rsidR="000C62FD">
        <w:rPr>
          <w:sz w:val="22"/>
          <w:szCs w:val="22"/>
        </w:rPr>
        <w:t xml:space="preserve">ach school </w:t>
      </w:r>
      <w:r>
        <w:rPr>
          <w:sz w:val="22"/>
          <w:szCs w:val="22"/>
        </w:rPr>
        <w:t xml:space="preserve">also </w:t>
      </w:r>
      <w:r w:rsidR="000C62FD">
        <w:rPr>
          <w:sz w:val="22"/>
          <w:szCs w:val="22"/>
        </w:rPr>
        <w:t xml:space="preserve">has an ILT to disseminate </w:t>
      </w:r>
      <w:r w:rsidR="001F0F6A">
        <w:rPr>
          <w:sz w:val="22"/>
          <w:szCs w:val="22"/>
        </w:rPr>
        <w:t>t</w:t>
      </w:r>
      <w:r w:rsidR="004A78E7">
        <w:rPr>
          <w:sz w:val="22"/>
          <w:szCs w:val="22"/>
        </w:rPr>
        <w:t xml:space="preserve">he </w:t>
      </w:r>
      <w:r w:rsidR="003A22EA">
        <w:rPr>
          <w:sz w:val="22"/>
          <w:szCs w:val="22"/>
        </w:rPr>
        <w:t>district’s strategic plan</w:t>
      </w:r>
      <w:r w:rsidR="001A4A44">
        <w:rPr>
          <w:sz w:val="22"/>
          <w:szCs w:val="22"/>
        </w:rPr>
        <w:t xml:space="preserve"> for teaching and learning</w:t>
      </w:r>
      <w:r w:rsidR="000C77C7">
        <w:rPr>
          <w:sz w:val="22"/>
          <w:szCs w:val="22"/>
        </w:rPr>
        <w:t>,</w:t>
      </w:r>
      <w:r w:rsidR="003A22EA">
        <w:rPr>
          <w:sz w:val="22"/>
          <w:szCs w:val="22"/>
        </w:rPr>
        <w:t xml:space="preserve"> </w:t>
      </w:r>
      <w:r w:rsidR="005B1AC6">
        <w:rPr>
          <w:sz w:val="22"/>
          <w:szCs w:val="22"/>
        </w:rPr>
        <w:t xml:space="preserve">called </w:t>
      </w:r>
      <w:r w:rsidR="004A78E7">
        <w:rPr>
          <w:sz w:val="22"/>
          <w:szCs w:val="22"/>
        </w:rPr>
        <w:t>Instruction</w:t>
      </w:r>
      <w:r>
        <w:rPr>
          <w:sz w:val="22"/>
          <w:szCs w:val="22"/>
        </w:rPr>
        <w:t>al</w:t>
      </w:r>
      <w:r w:rsidR="004A78E7">
        <w:rPr>
          <w:sz w:val="22"/>
          <w:szCs w:val="22"/>
        </w:rPr>
        <w:t xml:space="preserve"> Strategy</w:t>
      </w:r>
      <w:r w:rsidR="003A22EA">
        <w:rPr>
          <w:sz w:val="22"/>
          <w:szCs w:val="22"/>
        </w:rPr>
        <w:t xml:space="preserve"> 2017–2020</w:t>
      </w:r>
      <w:r w:rsidR="000C77C7">
        <w:rPr>
          <w:sz w:val="22"/>
          <w:szCs w:val="22"/>
        </w:rPr>
        <w:t>,</w:t>
      </w:r>
      <w:r w:rsidR="00401A5D">
        <w:rPr>
          <w:sz w:val="22"/>
          <w:szCs w:val="22"/>
        </w:rPr>
        <w:t xml:space="preserve"> and </w:t>
      </w:r>
      <w:r w:rsidR="005B1AC6">
        <w:rPr>
          <w:sz w:val="22"/>
          <w:szCs w:val="22"/>
        </w:rPr>
        <w:t xml:space="preserve">to </w:t>
      </w:r>
      <w:r w:rsidR="00F75738">
        <w:rPr>
          <w:sz w:val="22"/>
          <w:szCs w:val="22"/>
        </w:rPr>
        <w:t>support the district’s instructional goals</w:t>
      </w:r>
      <w:r w:rsidR="000C62FD">
        <w:rPr>
          <w:sz w:val="22"/>
          <w:szCs w:val="22"/>
        </w:rPr>
        <w:t>. R</w:t>
      </w:r>
      <w:r w:rsidR="001F0F6A" w:rsidRPr="003A7564">
        <w:rPr>
          <w:sz w:val="22"/>
          <w:szCs w:val="22"/>
        </w:rPr>
        <w:t xml:space="preserve">esponsibility for instructional leadership rests with the </w:t>
      </w:r>
      <w:r w:rsidR="001F0F6A" w:rsidRPr="003A7564">
        <w:rPr>
          <w:sz w:val="22"/>
          <w:szCs w:val="22"/>
        </w:rPr>
        <w:lastRenderedPageBreak/>
        <w:t xml:space="preserve">principals and assistant principals who regularly conduct </w:t>
      </w:r>
      <w:r w:rsidR="001F0F6A">
        <w:rPr>
          <w:sz w:val="22"/>
          <w:szCs w:val="22"/>
        </w:rPr>
        <w:t xml:space="preserve">classroom observations as well as </w:t>
      </w:r>
      <w:r w:rsidR="001F0F6A" w:rsidRPr="003A7564">
        <w:rPr>
          <w:sz w:val="22"/>
          <w:szCs w:val="22"/>
        </w:rPr>
        <w:t xml:space="preserve">learning walks with the superintendent </w:t>
      </w:r>
      <w:r w:rsidR="001F0F6A">
        <w:rPr>
          <w:sz w:val="22"/>
          <w:szCs w:val="22"/>
        </w:rPr>
        <w:t xml:space="preserve">and ILTs </w:t>
      </w:r>
      <w:r w:rsidR="001F0F6A" w:rsidRPr="003A7564">
        <w:rPr>
          <w:sz w:val="22"/>
          <w:szCs w:val="22"/>
        </w:rPr>
        <w:t xml:space="preserve">to </w:t>
      </w:r>
      <w:r w:rsidR="001F0F6A">
        <w:rPr>
          <w:sz w:val="22"/>
          <w:szCs w:val="22"/>
        </w:rPr>
        <w:t>monitor instructional practi</w:t>
      </w:r>
      <w:r w:rsidR="000C62FD">
        <w:rPr>
          <w:sz w:val="22"/>
          <w:szCs w:val="22"/>
        </w:rPr>
        <w:t xml:space="preserve">ces. </w:t>
      </w:r>
      <w:r w:rsidR="001F0F6A">
        <w:rPr>
          <w:sz w:val="22"/>
          <w:szCs w:val="22"/>
        </w:rPr>
        <w:t xml:space="preserve">At the time of the review in March 2018, the district was focused on five </w:t>
      </w:r>
      <w:r w:rsidR="004A78E7">
        <w:rPr>
          <w:sz w:val="22"/>
          <w:szCs w:val="22"/>
        </w:rPr>
        <w:t>“high leverage instructional practices</w:t>
      </w:r>
      <w:r w:rsidR="001F0F6A">
        <w:rPr>
          <w:sz w:val="22"/>
          <w:szCs w:val="22"/>
        </w:rPr>
        <w:t>:  learning expectations, meeting diverse needs, student engagement, checking for understanding and growth mindset.</w:t>
      </w:r>
      <w:r w:rsidR="004A78E7">
        <w:rPr>
          <w:sz w:val="22"/>
          <w:szCs w:val="22"/>
        </w:rPr>
        <w:t>”</w:t>
      </w:r>
      <w:r w:rsidR="001F0F6A">
        <w:rPr>
          <w:sz w:val="22"/>
          <w:szCs w:val="22"/>
        </w:rPr>
        <w:t xml:space="preserve"> </w:t>
      </w:r>
    </w:p>
    <w:p w14:paraId="353F9334" w14:textId="75799F54" w:rsidR="000C62FD" w:rsidRDefault="000C62FD" w:rsidP="000C62FD">
      <w:pPr>
        <w:pStyle w:val="CommentText"/>
        <w:spacing w:line="276" w:lineRule="auto"/>
        <w:rPr>
          <w:sz w:val="22"/>
          <w:szCs w:val="22"/>
        </w:rPr>
      </w:pPr>
      <w:r>
        <w:rPr>
          <w:sz w:val="22"/>
          <w:szCs w:val="22"/>
        </w:rPr>
        <w:t xml:space="preserve">The district has established an instructional coaching model using its </w:t>
      </w:r>
      <w:r w:rsidR="00F75738">
        <w:rPr>
          <w:sz w:val="22"/>
          <w:szCs w:val="22"/>
        </w:rPr>
        <w:t>four K–</w:t>
      </w:r>
      <w:r w:rsidR="00B83E8A">
        <w:rPr>
          <w:sz w:val="22"/>
          <w:szCs w:val="22"/>
        </w:rPr>
        <w:t>4</w:t>
      </w:r>
      <w:r w:rsidR="00EF78AB">
        <w:rPr>
          <w:sz w:val="22"/>
          <w:szCs w:val="22"/>
        </w:rPr>
        <w:t xml:space="preserve"> </w:t>
      </w:r>
      <w:r>
        <w:rPr>
          <w:sz w:val="22"/>
          <w:szCs w:val="22"/>
        </w:rPr>
        <w:t xml:space="preserve">literacy coaches and its one </w:t>
      </w:r>
      <w:r w:rsidR="007769E5">
        <w:rPr>
          <w:sz w:val="22"/>
          <w:szCs w:val="22"/>
        </w:rPr>
        <w:t>districtwide</w:t>
      </w:r>
      <w:r>
        <w:rPr>
          <w:sz w:val="22"/>
          <w:szCs w:val="22"/>
        </w:rPr>
        <w:t xml:space="preserve"> math coach; all work closely with teachers </w:t>
      </w:r>
      <w:r w:rsidR="005B1AC6">
        <w:rPr>
          <w:sz w:val="22"/>
          <w:szCs w:val="22"/>
        </w:rPr>
        <w:t xml:space="preserve">to </w:t>
      </w:r>
      <w:r>
        <w:rPr>
          <w:sz w:val="22"/>
          <w:szCs w:val="22"/>
        </w:rPr>
        <w:t>demonstrat</w:t>
      </w:r>
      <w:r w:rsidR="005B1AC6">
        <w:rPr>
          <w:sz w:val="22"/>
          <w:szCs w:val="22"/>
        </w:rPr>
        <w:t>e</w:t>
      </w:r>
      <w:r>
        <w:rPr>
          <w:sz w:val="22"/>
          <w:szCs w:val="22"/>
        </w:rPr>
        <w:t>, mo</w:t>
      </w:r>
      <w:r w:rsidR="001F6404">
        <w:rPr>
          <w:sz w:val="22"/>
          <w:szCs w:val="22"/>
        </w:rPr>
        <w:t>del</w:t>
      </w:r>
      <w:r w:rsidR="004F3224">
        <w:rPr>
          <w:sz w:val="22"/>
          <w:szCs w:val="22"/>
        </w:rPr>
        <w:t>,</w:t>
      </w:r>
      <w:r w:rsidR="001F6404">
        <w:rPr>
          <w:sz w:val="22"/>
          <w:szCs w:val="22"/>
        </w:rPr>
        <w:t xml:space="preserve"> and co-teach lessons.</w:t>
      </w:r>
      <w:r>
        <w:rPr>
          <w:sz w:val="22"/>
          <w:szCs w:val="22"/>
        </w:rPr>
        <w:t xml:space="preserve"> In grades 5</w:t>
      </w:r>
      <w:r w:rsidR="001D2855">
        <w:rPr>
          <w:sz w:val="22"/>
          <w:szCs w:val="22"/>
        </w:rPr>
        <w:t>–</w:t>
      </w:r>
      <w:r>
        <w:rPr>
          <w:sz w:val="22"/>
          <w:szCs w:val="22"/>
        </w:rPr>
        <w:t>12, curriculum coordinators support the district’s instructional goals by modeling lessons, conducting learning</w:t>
      </w:r>
      <w:r w:rsidR="004A78E7">
        <w:rPr>
          <w:sz w:val="22"/>
          <w:szCs w:val="22"/>
        </w:rPr>
        <w:t xml:space="preserve"> </w:t>
      </w:r>
      <w:r>
        <w:rPr>
          <w:sz w:val="22"/>
          <w:szCs w:val="22"/>
        </w:rPr>
        <w:t>walks</w:t>
      </w:r>
      <w:r w:rsidR="004F3224">
        <w:rPr>
          <w:sz w:val="22"/>
          <w:szCs w:val="22"/>
        </w:rPr>
        <w:t>,</w:t>
      </w:r>
      <w:r>
        <w:rPr>
          <w:sz w:val="22"/>
          <w:szCs w:val="22"/>
        </w:rPr>
        <w:t xml:space="preserve"> and arranging </w:t>
      </w:r>
      <w:r w:rsidR="004F3224">
        <w:rPr>
          <w:sz w:val="22"/>
          <w:szCs w:val="22"/>
        </w:rPr>
        <w:t>peer-to-</w:t>
      </w:r>
      <w:r>
        <w:rPr>
          <w:sz w:val="22"/>
          <w:szCs w:val="22"/>
        </w:rPr>
        <w:t xml:space="preserve">peer classroom observations.  </w:t>
      </w:r>
      <w:r w:rsidR="00F75738">
        <w:rPr>
          <w:sz w:val="22"/>
          <w:szCs w:val="22"/>
        </w:rPr>
        <w:t xml:space="preserve">Coaches </w:t>
      </w:r>
      <w:r>
        <w:rPr>
          <w:sz w:val="22"/>
          <w:szCs w:val="22"/>
        </w:rPr>
        <w:t xml:space="preserve">and coordinators </w:t>
      </w:r>
      <w:r w:rsidR="00F75738">
        <w:rPr>
          <w:sz w:val="22"/>
          <w:szCs w:val="22"/>
        </w:rPr>
        <w:t xml:space="preserve">do not evaluate </w:t>
      </w:r>
      <w:r>
        <w:rPr>
          <w:sz w:val="22"/>
          <w:szCs w:val="22"/>
        </w:rPr>
        <w:t xml:space="preserve">teachers. Collaborative conversations about </w:t>
      </w:r>
      <w:r w:rsidR="001F6404">
        <w:rPr>
          <w:sz w:val="22"/>
          <w:szCs w:val="22"/>
        </w:rPr>
        <w:t xml:space="preserve">instructional practices </w:t>
      </w:r>
      <w:r w:rsidR="004F3224">
        <w:rPr>
          <w:sz w:val="22"/>
          <w:szCs w:val="22"/>
        </w:rPr>
        <w:t xml:space="preserve">take place </w:t>
      </w:r>
      <w:r w:rsidR="001F6404">
        <w:rPr>
          <w:sz w:val="22"/>
          <w:szCs w:val="22"/>
        </w:rPr>
        <w:t>at</w:t>
      </w:r>
      <w:r>
        <w:rPr>
          <w:sz w:val="22"/>
          <w:szCs w:val="22"/>
        </w:rPr>
        <w:t xml:space="preserve"> </w:t>
      </w:r>
      <w:r w:rsidR="004F3224">
        <w:rPr>
          <w:sz w:val="22"/>
          <w:szCs w:val="22"/>
        </w:rPr>
        <w:t>grade-</w:t>
      </w:r>
      <w:r>
        <w:rPr>
          <w:sz w:val="22"/>
          <w:szCs w:val="22"/>
        </w:rPr>
        <w:t xml:space="preserve">level meetings and in weekly </w:t>
      </w:r>
      <w:r w:rsidR="004F3224">
        <w:rPr>
          <w:sz w:val="22"/>
          <w:szCs w:val="22"/>
        </w:rPr>
        <w:t>K</w:t>
      </w:r>
      <w:r w:rsidR="001D2855">
        <w:rPr>
          <w:sz w:val="22"/>
          <w:szCs w:val="22"/>
        </w:rPr>
        <w:t>–</w:t>
      </w:r>
      <w:r w:rsidR="004F3224">
        <w:rPr>
          <w:sz w:val="22"/>
          <w:szCs w:val="22"/>
        </w:rPr>
        <w:t xml:space="preserve">4 </w:t>
      </w:r>
      <w:r w:rsidR="001F6404">
        <w:rPr>
          <w:sz w:val="22"/>
          <w:szCs w:val="22"/>
        </w:rPr>
        <w:t>PLCs</w:t>
      </w:r>
      <w:r>
        <w:rPr>
          <w:sz w:val="22"/>
          <w:szCs w:val="22"/>
        </w:rPr>
        <w:t xml:space="preserve"> </w:t>
      </w:r>
      <w:r w:rsidR="007769E5">
        <w:rPr>
          <w:sz w:val="22"/>
          <w:szCs w:val="22"/>
        </w:rPr>
        <w:t xml:space="preserve">and </w:t>
      </w:r>
      <w:r>
        <w:rPr>
          <w:sz w:val="22"/>
          <w:szCs w:val="22"/>
        </w:rPr>
        <w:t xml:space="preserve">during </w:t>
      </w:r>
      <w:r w:rsidR="00462C1B">
        <w:rPr>
          <w:sz w:val="22"/>
          <w:szCs w:val="22"/>
        </w:rPr>
        <w:t xml:space="preserve">weekly or </w:t>
      </w:r>
      <w:r>
        <w:rPr>
          <w:sz w:val="22"/>
          <w:szCs w:val="22"/>
        </w:rPr>
        <w:t>bi-weekly PLCs</w:t>
      </w:r>
      <w:r w:rsidR="004F3224">
        <w:rPr>
          <w:sz w:val="22"/>
          <w:szCs w:val="22"/>
        </w:rPr>
        <w:t xml:space="preserve"> </w:t>
      </w:r>
      <w:r w:rsidR="001D2855">
        <w:rPr>
          <w:sz w:val="22"/>
          <w:szCs w:val="22"/>
        </w:rPr>
        <w:t>i</w:t>
      </w:r>
      <w:r w:rsidR="004F3224">
        <w:rPr>
          <w:sz w:val="22"/>
          <w:szCs w:val="22"/>
        </w:rPr>
        <w:t>n grades 5</w:t>
      </w:r>
      <w:r w:rsidR="001D2855">
        <w:rPr>
          <w:sz w:val="22"/>
          <w:szCs w:val="22"/>
        </w:rPr>
        <w:t>–</w:t>
      </w:r>
      <w:r w:rsidR="004F3224">
        <w:rPr>
          <w:sz w:val="22"/>
          <w:szCs w:val="22"/>
        </w:rPr>
        <w:t>12</w:t>
      </w:r>
      <w:r>
        <w:rPr>
          <w:sz w:val="22"/>
          <w:szCs w:val="22"/>
        </w:rPr>
        <w:t xml:space="preserve">.  </w:t>
      </w:r>
    </w:p>
    <w:p w14:paraId="6C7EBFBE" w14:textId="174519DB" w:rsidR="000C62FD" w:rsidRDefault="000C62FD" w:rsidP="000C62FD">
      <w:pPr>
        <w:pStyle w:val="CommentText"/>
        <w:spacing w:line="276" w:lineRule="auto"/>
        <w:rPr>
          <w:sz w:val="22"/>
          <w:szCs w:val="22"/>
        </w:rPr>
      </w:pPr>
      <w:r>
        <w:rPr>
          <w:sz w:val="22"/>
          <w:szCs w:val="22"/>
        </w:rPr>
        <w:t xml:space="preserve">The district uses technology to support instruction with </w:t>
      </w:r>
      <w:r w:rsidR="004F3224">
        <w:rPr>
          <w:sz w:val="22"/>
          <w:szCs w:val="22"/>
        </w:rPr>
        <w:t>one-to-one</w:t>
      </w:r>
      <w:r>
        <w:rPr>
          <w:sz w:val="22"/>
          <w:szCs w:val="22"/>
        </w:rPr>
        <w:t xml:space="preserve"> Chromebooks in grades 3</w:t>
      </w:r>
      <w:r w:rsidR="001D2855">
        <w:rPr>
          <w:sz w:val="22"/>
          <w:szCs w:val="22"/>
        </w:rPr>
        <w:t>–</w:t>
      </w:r>
      <w:r>
        <w:rPr>
          <w:sz w:val="22"/>
          <w:szCs w:val="22"/>
        </w:rPr>
        <w:t>8</w:t>
      </w:r>
      <w:r w:rsidR="004F3224">
        <w:rPr>
          <w:sz w:val="22"/>
          <w:szCs w:val="22"/>
        </w:rPr>
        <w:t>,</w:t>
      </w:r>
      <w:r>
        <w:rPr>
          <w:sz w:val="22"/>
          <w:szCs w:val="22"/>
        </w:rPr>
        <w:t xml:space="preserve"> while </w:t>
      </w:r>
      <w:r w:rsidR="003A22EA">
        <w:rPr>
          <w:sz w:val="22"/>
          <w:szCs w:val="22"/>
        </w:rPr>
        <w:t xml:space="preserve">it follows </w:t>
      </w:r>
      <w:r>
        <w:rPr>
          <w:sz w:val="22"/>
          <w:szCs w:val="22"/>
        </w:rPr>
        <w:t xml:space="preserve">a “bring your own device” policy </w:t>
      </w:r>
      <w:r w:rsidR="00735DC5">
        <w:rPr>
          <w:sz w:val="22"/>
          <w:szCs w:val="22"/>
        </w:rPr>
        <w:t>in grades 9</w:t>
      </w:r>
      <w:r w:rsidR="001D2855">
        <w:rPr>
          <w:sz w:val="22"/>
          <w:szCs w:val="22"/>
        </w:rPr>
        <w:t>–</w:t>
      </w:r>
      <w:r w:rsidR="00735DC5">
        <w:rPr>
          <w:sz w:val="22"/>
          <w:szCs w:val="22"/>
        </w:rPr>
        <w:t>12</w:t>
      </w:r>
      <w:r>
        <w:rPr>
          <w:sz w:val="22"/>
          <w:szCs w:val="22"/>
        </w:rPr>
        <w:t xml:space="preserve">. Chromebooks are readily available to </w:t>
      </w:r>
      <w:r w:rsidR="003A5B3D">
        <w:rPr>
          <w:sz w:val="22"/>
          <w:szCs w:val="22"/>
        </w:rPr>
        <w:t xml:space="preserve">high-school </w:t>
      </w:r>
      <w:r>
        <w:rPr>
          <w:sz w:val="22"/>
          <w:szCs w:val="22"/>
        </w:rPr>
        <w:t>students who do not</w:t>
      </w:r>
      <w:r w:rsidR="001F6404">
        <w:rPr>
          <w:sz w:val="22"/>
          <w:szCs w:val="22"/>
        </w:rPr>
        <w:t xml:space="preserve"> have a device. </w:t>
      </w:r>
      <w:r w:rsidR="00114FE8">
        <w:rPr>
          <w:sz w:val="22"/>
          <w:szCs w:val="22"/>
        </w:rPr>
        <w:t xml:space="preserve">Teachers and students throughout the district communicate via </w:t>
      </w:r>
      <w:r>
        <w:rPr>
          <w:sz w:val="22"/>
          <w:szCs w:val="22"/>
        </w:rPr>
        <w:t xml:space="preserve">Google </w:t>
      </w:r>
      <w:r w:rsidR="00735DC5">
        <w:rPr>
          <w:sz w:val="22"/>
          <w:szCs w:val="22"/>
        </w:rPr>
        <w:t>Classroom</w:t>
      </w:r>
      <w:r>
        <w:rPr>
          <w:sz w:val="22"/>
          <w:szCs w:val="22"/>
        </w:rPr>
        <w:t xml:space="preserve">. </w:t>
      </w:r>
    </w:p>
    <w:p w14:paraId="558ECF69" w14:textId="510EC368" w:rsidR="000C62FD" w:rsidRDefault="000C62FD" w:rsidP="000C62FD">
      <w:pPr>
        <w:pStyle w:val="CommentText"/>
        <w:spacing w:line="276" w:lineRule="auto"/>
        <w:rPr>
          <w:sz w:val="22"/>
          <w:szCs w:val="22"/>
        </w:rPr>
      </w:pPr>
      <w:r>
        <w:rPr>
          <w:sz w:val="22"/>
          <w:szCs w:val="22"/>
        </w:rPr>
        <w:t>The district has developed a new initiative, the Learn Anywhere Project, to support student learning beyond the school walls</w:t>
      </w:r>
      <w:r w:rsidR="00EF78AB">
        <w:rPr>
          <w:sz w:val="22"/>
          <w:szCs w:val="22"/>
        </w:rPr>
        <w:t>, and implemented it in 2017–2018</w:t>
      </w:r>
      <w:r w:rsidR="00387DC4">
        <w:rPr>
          <w:sz w:val="22"/>
          <w:szCs w:val="22"/>
        </w:rPr>
        <w:t>.</w:t>
      </w:r>
      <w:r>
        <w:rPr>
          <w:sz w:val="22"/>
          <w:szCs w:val="22"/>
        </w:rPr>
        <w:t xml:space="preserve"> The project provides distance learning for students when school is cancelled. It also provides online learning and personalized summer learning opportunities for students.  </w:t>
      </w:r>
    </w:p>
    <w:p w14:paraId="1F91508B" w14:textId="77777777" w:rsidR="00631031" w:rsidRPr="00551677" w:rsidRDefault="008F1288" w:rsidP="00631031">
      <w:pPr>
        <w:pStyle w:val="Subsection"/>
        <w:tabs>
          <w:tab w:val="left" w:pos="360"/>
          <w:tab w:val="left" w:pos="720"/>
          <w:tab w:val="left" w:pos="1080"/>
          <w:tab w:val="left" w:pos="1440"/>
          <w:tab w:val="left" w:pos="1800"/>
          <w:tab w:val="left" w:pos="2160"/>
          <w:tab w:val="left" w:pos="2520"/>
          <w:tab w:val="left" w:pos="2880"/>
        </w:tabs>
        <w:spacing w:before="0"/>
        <w:rPr>
          <w:szCs w:val="28"/>
        </w:rPr>
      </w:pPr>
      <w:r w:rsidRPr="008F1288">
        <w:rPr>
          <w:szCs w:val="28"/>
        </w:rPr>
        <w:t>Strength Findings</w:t>
      </w:r>
    </w:p>
    <w:p w14:paraId="3CB99A33" w14:textId="29DE20E8" w:rsidR="00175B9D" w:rsidRPr="00D34770" w:rsidRDefault="0048688E" w:rsidP="00175B9D">
      <w:pPr>
        <w:tabs>
          <w:tab w:val="left" w:pos="360"/>
          <w:tab w:val="left" w:pos="720"/>
          <w:tab w:val="left" w:pos="1080"/>
          <w:tab w:val="left" w:pos="1440"/>
          <w:tab w:val="left" w:pos="1800"/>
          <w:tab w:val="left" w:pos="2160"/>
        </w:tabs>
        <w:ind w:left="360" w:hanging="360"/>
        <w:rPr>
          <w:b/>
          <w:i/>
        </w:rPr>
      </w:pPr>
      <w:r>
        <w:rPr>
          <w:b/>
        </w:rPr>
        <w:t xml:space="preserve">1. </w:t>
      </w:r>
      <w:r>
        <w:rPr>
          <w:b/>
        </w:rPr>
        <w:tab/>
      </w:r>
      <w:r w:rsidR="00175B9D">
        <w:rPr>
          <w:b/>
        </w:rPr>
        <w:t xml:space="preserve">The district has </w:t>
      </w:r>
      <w:r w:rsidR="00F75738">
        <w:rPr>
          <w:b/>
        </w:rPr>
        <w:t xml:space="preserve">established </w:t>
      </w:r>
      <w:r w:rsidR="009671D8">
        <w:rPr>
          <w:b/>
        </w:rPr>
        <w:t>structure</w:t>
      </w:r>
      <w:r w:rsidR="006A5AC1">
        <w:rPr>
          <w:b/>
        </w:rPr>
        <w:t>s</w:t>
      </w:r>
      <w:r w:rsidR="009671D8">
        <w:rPr>
          <w:b/>
        </w:rPr>
        <w:t xml:space="preserve"> </w:t>
      </w:r>
      <w:r w:rsidR="006A5AC1">
        <w:rPr>
          <w:b/>
        </w:rPr>
        <w:t>that support</w:t>
      </w:r>
      <w:r w:rsidR="00175B9D">
        <w:rPr>
          <w:b/>
        </w:rPr>
        <w:t xml:space="preserve"> vertic</w:t>
      </w:r>
      <w:r w:rsidR="009671D8">
        <w:rPr>
          <w:b/>
        </w:rPr>
        <w:t xml:space="preserve">al and horizontal </w:t>
      </w:r>
      <w:r w:rsidR="006A5AC1">
        <w:rPr>
          <w:b/>
        </w:rPr>
        <w:t xml:space="preserve">curricular </w:t>
      </w:r>
      <w:r w:rsidR="004219E0">
        <w:rPr>
          <w:b/>
        </w:rPr>
        <w:t>alignment</w:t>
      </w:r>
      <w:r w:rsidR="00AE7963">
        <w:rPr>
          <w:b/>
        </w:rPr>
        <w:t xml:space="preserve"> </w:t>
      </w:r>
      <w:r w:rsidR="00B4487F">
        <w:rPr>
          <w:b/>
        </w:rPr>
        <w:t>and</w:t>
      </w:r>
      <w:r w:rsidR="006A5AC1">
        <w:rPr>
          <w:b/>
        </w:rPr>
        <w:t xml:space="preserve"> </w:t>
      </w:r>
      <w:r w:rsidR="00B4487F">
        <w:rPr>
          <w:b/>
        </w:rPr>
        <w:t xml:space="preserve">has developed </w:t>
      </w:r>
      <w:r w:rsidR="006A5AC1">
        <w:rPr>
          <w:b/>
        </w:rPr>
        <w:t xml:space="preserve">a </w:t>
      </w:r>
      <w:r w:rsidR="009C39FE">
        <w:rPr>
          <w:b/>
        </w:rPr>
        <w:t>long-range</w:t>
      </w:r>
      <w:r w:rsidR="00B4487F">
        <w:rPr>
          <w:b/>
        </w:rPr>
        <w:t xml:space="preserve"> curriculum revision and mater</w:t>
      </w:r>
      <w:r w:rsidR="006A5AC1">
        <w:rPr>
          <w:b/>
        </w:rPr>
        <w:t xml:space="preserve">ials adoption </w:t>
      </w:r>
      <w:r w:rsidR="00F75738">
        <w:rPr>
          <w:b/>
        </w:rPr>
        <w:t>process</w:t>
      </w:r>
      <w:r w:rsidR="00B4487F">
        <w:rPr>
          <w:b/>
        </w:rPr>
        <w:t xml:space="preserve">. </w:t>
      </w:r>
      <w:r w:rsidR="00B4487F" w:rsidRPr="00D472EA">
        <w:rPr>
          <w:b/>
        </w:rPr>
        <w:t xml:space="preserve">  </w:t>
      </w:r>
    </w:p>
    <w:p w14:paraId="3DFBA4DD" w14:textId="55E23D8B" w:rsidR="00B02A09" w:rsidRPr="00B02A09" w:rsidRDefault="00175B9D" w:rsidP="00FC58CB">
      <w:pPr>
        <w:pStyle w:val="ListParagraph"/>
        <w:numPr>
          <w:ilvl w:val="1"/>
          <w:numId w:val="3"/>
        </w:numPr>
        <w:tabs>
          <w:tab w:val="left" w:pos="360"/>
          <w:tab w:val="left" w:pos="720"/>
          <w:tab w:val="left" w:pos="1080"/>
          <w:tab w:val="left" w:pos="1440"/>
          <w:tab w:val="left" w:pos="1800"/>
          <w:tab w:val="left" w:pos="2160"/>
        </w:tabs>
        <w:ind w:left="720"/>
        <w:contextualSpacing w:val="0"/>
        <w:rPr>
          <w:b/>
          <w:i/>
        </w:rPr>
      </w:pPr>
      <w:r>
        <w:t xml:space="preserve">As </w:t>
      </w:r>
      <w:r w:rsidR="00C53D84">
        <w:t xml:space="preserve">the </w:t>
      </w:r>
      <w:r>
        <w:t>leader of the district’s</w:t>
      </w:r>
      <w:r w:rsidR="001F6404">
        <w:t xml:space="preserve"> </w:t>
      </w:r>
      <w:r w:rsidR="00C53D84">
        <w:t>Instructional Leadership Team (</w:t>
      </w:r>
      <w:r w:rsidR="001F6404">
        <w:t>ILT</w:t>
      </w:r>
      <w:r w:rsidR="00C53D84">
        <w:t>)</w:t>
      </w:r>
      <w:r>
        <w:t>, the assistant superintendent meets monthly with all curriculum coordinators, principals, directors</w:t>
      </w:r>
      <w:r w:rsidR="007F3393">
        <w:t>, and the administrator of special education and student services</w:t>
      </w:r>
      <w:r>
        <w:t xml:space="preserve"> </w:t>
      </w:r>
      <w:r w:rsidR="00C53D84">
        <w:t xml:space="preserve">to </w:t>
      </w:r>
      <w:r w:rsidR="006A5AC1">
        <w:t xml:space="preserve">focus </w:t>
      </w:r>
      <w:r>
        <w:t xml:space="preserve">on curriculum </w:t>
      </w:r>
      <w:r w:rsidR="006A5AC1">
        <w:t>and instruction</w:t>
      </w:r>
      <w:r>
        <w:t xml:space="preserve">. </w:t>
      </w:r>
      <w:r w:rsidR="00B02A09">
        <w:t xml:space="preserve">Meetings with a curricular focus also take place at the </w:t>
      </w:r>
      <w:r w:rsidR="00C53D84">
        <w:t xml:space="preserve">school </w:t>
      </w:r>
      <w:r w:rsidR="00B02A09">
        <w:t>level</w:t>
      </w:r>
      <w:r w:rsidR="00671532">
        <w:t>.</w:t>
      </w:r>
    </w:p>
    <w:p w14:paraId="3B382180" w14:textId="3A6D65E9" w:rsidR="00175B9D" w:rsidRPr="00B02A09" w:rsidRDefault="009671D8" w:rsidP="00C53D84">
      <w:pPr>
        <w:pStyle w:val="ListParagraph"/>
        <w:tabs>
          <w:tab w:val="left" w:pos="360"/>
          <w:tab w:val="left" w:pos="720"/>
          <w:tab w:val="left" w:pos="1080"/>
          <w:tab w:val="left" w:pos="1440"/>
          <w:tab w:val="left" w:pos="1800"/>
          <w:tab w:val="left" w:pos="2160"/>
        </w:tabs>
        <w:ind w:left="1080" w:hanging="360"/>
        <w:contextualSpacing w:val="0"/>
        <w:rPr>
          <w:b/>
          <w:i/>
        </w:rPr>
      </w:pPr>
      <w:r>
        <w:t xml:space="preserve">1. </w:t>
      </w:r>
      <w:r w:rsidR="00C53D84">
        <w:tab/>
      </w:r>
      <w:r w:rsidR="004F2470">
        <w:t>C</w:t>
      </w:r>
      <w:r w:rsidR="00175B9D">
        <w:t xml:space="preserve">urriculum coordinators </w:t>
      </w:r>
      <w:r w:rsidR="004F2470">
        <w:t>(grades 5</w:t>
      </w:r>
      <w:r w:rsidR="00F75738">
        <w:t>–</w:t>
      </w:r>
      <w:r w:rsidR="004F2470">
        <w:t xml:space="preserve">12) </w:t>
      </w:r>
      <w:r w:rsidR="00175B9D">
        <w:t>for ELA, math, science, and world langu</w:t>
      </w:r>
      <w:r w:rsidR="001F6404">
        <w:t xml:space="preserve">age </w:t>
      </w:r>
      <w:r w:rsidR="00175B9D">
        <w:t>oversee the development, revision, and implementation of curriculum in their respective content areas.</w:t>
      </w:r>
      <w:r>
        <w:t xml:space="preserve">  </w:t>
      </w:r>
      <w:r w:rsidR="004F2470">
        <w:t xml:space="preserve">A review of district documents </w:t>
      </w:r>
      <w:r w:rsidR="00BC6F9A">
        <w:t xml:space="preserve">indicated </w:t>
      </w:r>
      <w:r w:rsidR="004F2470">
        <w:t>that</w:t>
      </w:r>
      <w:r w:rsidR="00BC6F9A">
        <w:t xml:space="preserve"> c</w:t>
      </w:r>
      <w:r w:rsidR="004F2470">
        <w:t xml:space="preserve">urriculum coordinators </w:t>
      </w:r>
      <w:r w:rsidR="00BC6F9A">
        <w:t xml:space="preserve">were </w:t>
      </w:r>
      <w:r w:rsidR="004F2470">
        <w:t xml:space="preserve">responsible for ensuring that the curriculum </w:t>
      </w:r>
      <w:r w:rsidR="00BC6F9A">
        <w:t xml:space="preserve">was </w:t>
      </w:r>
      <w:r w:rsidR="004F2470">
        <w:t>aligned with the Massachusetts frameworks, and for curriculum mapping, coaching, supporting peer modeling, meeting with principals, and providing budgetary input.</w:t>
      </w:r>
    </w:p>
    <w:p w14:paraId="441A9EEF" w14:textId="2AB73406" w:rsidR="001626AA" w:rsidRPr="00C703ED" w:rsidRDefault="006A5AC1" w:rsidP="0061022C">
      <w:pPr>
        <w:tabs>
          <w:tab w:val="left" w:pos="0"/>
          <w:tab w:val="left" w:pos="360"/>
          <w:tab w:val="left" w:pos="720"/>
          <w:tab w:val="left" w:pos="1080"/>
          <w:tab w:val="left" w:pos="1440"/>
          <w:tab w:val="left" w:pos="1800"/>
          <w:tab w:val="left" w:pos="2160"/>
        </w:tabs>
        <w:ind w:left="1530" w:hanging="450"/>
      </w:pPr>
      <w:r>
        <w:t xml:space="preserve">a.  </w:t>
      </w:r>
      <w:r w:rsidR="001626AA">
        <w:t xml:space="preserve">  </w:t>
      </w:r>
      <w:r w:rsidR="001626AA" w:rsidRPr="0023504E">
        <w:t xml:space="preserve"> </w:t>
      </w:r>
      <w:r w:rsidR="000702A6">
        <w:t xml:space="preserve">A document review </w:t>
      </w:r>
      <w:r w:rsidR="004F2470">
        <w:t xml:space="preserve">indicated that the four </w:t>
      </w:r>
      <w:r w:rsidR="00F75738">
        <w:t xml:space="preserve">curriculum </w:t>
      </w:r>
      <w:r w:rsidR="004F2470">
        <w:t>coordinators reported directly to the assistant superintendent.</w:t>
      </w:r>
    </w:p>
    <w:p w14:paraId="47023944" w14:textId="1D19E9E3" w:rsidR="00175B9D" w:rsidRDefault="00671532" w:rsidP="00BC6F9A">
      <w:pPr>
        <w:tabs>
          <w:tab w:val="left" w:pos="0"/>
          <w:tab w:val="left" w:pos="360"/>
          <w:tab w:val="left" w:pos="720"/>
          <w:tab w:val="left" w:pos="1080"/>
          <w:tab w:val="left" w:pos="1440"/>
          <w:tab w:val="left" w:pos="1800"/>
          <w:tab w:val="left" w:pos="2160"/>
        </w:tabs>
        <w:ind w:left="1080" w:hanging="360"/>
      </w:pPr>
      <w:r>
        <w:lastRenderedPageBreak/>
        <w:t xml:space="preserve"> </w:t>
      </w:r>
      <w:r w:rsidR="009671D8">
        <w:t xml:space="preserve">2. </w:t>
      </w:r>
      <w:r w:rsidR="00B4487F">
        <w:t xml:space="preserve"> </w:t>
      </w:r>
      <w:r w:rsidR="00BC6F9A">
        <w:tab/>
        <w:t xml:space="preserve">At the four elementary schools, literacy </w:t>
      </w:r>
      <w:r w:rsidR="006A5AC1">
        <w:t>coaches provide f</w:t>
      </w:r>
      <w:r w:rsidR="00175B9D">
        <w:t>urther support with curriculum</w:t>
      </w:r>
      <w:r w:rsidR="00B02A09">
        <w:t xml:space="preserve"> implementation and fidelity; the </w:t>
      </w:r>
      <w:r w:rsidR="00BC6F9A">
        <w:t xml:space="preserve">district has </w:t>
      </w:r>
      <w:r w:rsidR="00F75738">
        <w:t>one</w:t>
      </w:r>
      <w:r w:rsidR="00175B9D">
        <w:t xml:space="preserve"> districtwide math coach.</w:t>
      </w:r>
    </w:p>
    <w:p w14:paraId="3B5BC72F" w14:textId="206EB5FB" w:rsidR="00175B9D" w:rsidRDefault="00175B9D" w:rsidP="00FC58CB">
      <w:pPr>
        <w:pStyle w:val="ListParagraph"/>
        <w:numPr>
          <w:ilvl w:val="3"/>
          <w:numId w:val="3"/>
        </w:numPr>
        <w:tabs>
          <w:tab w:val="left" w:pos="0"/>
          <w:tab w:val="left" w:pos="360"/>
          <w:tab w:val="left" w:pos="720"/>
          <w:tab w:val="left" w:pos="1080"/>
          <w:tab w:val="left" w:pos="1440"/>
          <w:tab w:val="left" w:pos="1800"/>
          <w:tab w:val="left" w:pos="2160"/>
          <w:tab w:val="left" w:pos="2520"/>
        </w:tabs>
        <w:ind w:left="1440"/>
        <w:contextualSpacing w:val="0"/>
      </w:pPr>
      <w:r>
        <w:t xml:space="preserve">The literacy coach from each school meets in a </w:t>
      </w:r>
      <w:r w:rsidR="007E2029">
        <w:t>professional learning community (</w:t>
      </w:r>
      <w:r>
        <w:t>PLC</w:t>
      </w:r>
      <w:r w:rsidR="007E2029">
        <w:t>)</w:t>
      </w:r>
      <w:r>
        <w:t xml:space="preserve"> with the curriculum coordinators to ensure vertical alignment of the curriculum. </w:t>
      </w:r>
    </w:p>
    <w:p w14:paraId="16227B6C" w14:textId="41835698" w:rsidR="00BC6F9A" w:rsidRDefault="00BC6F9A" w:rsidP="00FC58CB">
      <w:pPr>
        <w:pStyle w:val="ListParagraph"/>
        <w:numPr>
          <w:ilvl w:val="3"/>
          <w:numId w:val="3"/>
        </w:numPr>
        <w:tabs>
          <w:tab w:val="left" w:pos="0"/>
          <w:tab w:val="left" w:pos="360"/>
          <w:tab w:val="left" w:pos="720"/>
          <w:tab w:val="left" w:pos="1080"/>
          <w:tab w:val="left" w:pos="1440"/>
          <w:tab w:val="left" w:pos="1800"/>
          <w:tab w:val="left" w:pos="2160"/>
          <w:tab w:val="left" w:pos="2520"/>
        </w:tabs>
        <w:ind w:left="1440"/>
        <w:contextualSpacing w:val="0"/>
      </w:pPr>
      <w:r>
        <w:t>Each literacy coach also provides professional development and lesson modeling to individual teachers or groups as needed.</w:t>
      </w:r>
    </w:p>
    <w:p w14:paraId="4AF53BFA" w14:textId="6FCE212F" w:rsidR="00175B9D" w:rsidRDefault="001626AA" w:rsidP="00FC58CB">
      <w:pPr>
        <w:pStyle w:val="ListParagraph"/>
        <w:numPr>
          <w:ilvl w:val="3"/>
          <w:numId w:val="3"/>
        </w:numPr>
        <w:tabs>
          <w:tab w:val="left" w:pos="0"/>
          <w:tab w:val="left" w:pos="360"/>
          <w:tab w:val="left" w:pos="720"/>
          <w:tab w:val="left" w:pos="1080"/>
          <w:tab w:val="left" w:pos="1440"/>
          <w:tab w:val="left" w:pos="1800"/>
          <w:tab w:val="left" w:pos="2160"/>
          <w:tab w:val="left" w:pos="2520"/>
        </w:tabs>
        <w:ind w:left="1440"/>
        <w:contextualSpacing w:val="0"/>
      </w:pPr>
      <w:r>
        <w:t>Elementary coaches</w:t>
      </w:r>
      <w:r w:rsidR="00175B9D">
        <w:t xml:space="preserve"> stated that they </w:t>
      </w:r>
      <w:r w:rsidR="00BC6F9A">
        <w:t xml:space="preserve">also met </w:t>
      </w:r>
      <w:r w:rsidR="00175B9D">
        <w:t xml:space="preserve">once per six-day cycle to discuss the needs of teachers and students, and the implementation of the new reading program.  </w:t>
      </w:r>
    </w:p>
    <w:p w14:paraId="062F0526" w14:textId="326DA533" w:rsidR="00175B9D" w:rsidRDefault="00175B9D" w:rsidP="00FC58CB">
      <w:pPr>
        <w:pStyle w:val="ListParagraph"/>
        <w:numPr>
          <w:ilvl w:val="3"/>
          <w:numId w:val="3"/>
        </w:numPr>
        <w:tabs>
          <w:tab w:val="left" w:pos="0"/>
          <w:tab w:val="left" w:pos="360"/>
          <w:tab w:val="left" w:pos="720"/>
          <w:tab w:val="left" w:pos="1080"/>
          <w:tab w:val="left" w:pos="1440"/>
          <w:tab w:val="left" w:pos="1800"/>
          <w:tab w:val="left" w:pos="2160"/>
        </w:tabs>
        <w:ind w:left="1440"/>
        <w:contextualSpacing w:val="0"/>
      </w:pPr>
      <w:r>
        <w:t>The districtwide mat</w:t>
      </w:r>
      <w:r w:rsidR="00255109">
        <w:t xml:space="preserve">h coach meets with </w:t>
      </w:r>
      <w:r w:rsidR="00BC6F9A">
        <w:t>grade-</w:t>
      </w:r>
      <w:r>
        <w:t>level PLC</w:t>
      </w:r>
      <w:r w:rsidR="001626AA">
        <w:t xml:space="preserve">s as needed and as time permits. </w:t>
      </w:r>
      <w:r>
        <w:t xml:space="preserve">This coach also provides professional development </w:t>
      </w:r>
      <w:r w:rsidR="007E2029">
        <w:t xml:space="preserve">(PD) </w:t>
      </w:r>
      <w:r>
        <w:t>and lesson modeling to individual teachers or groups</w:t>
      </w:r>
      <w:r w:rsidR="00E63E3A">
        <w:t>,</w:t>
      </w:r>
      <w:r>
        <w:t xml:space="preserve"> as warranted.</w:t>
      </w:r>
    </w:p>
    <w:p w14:paraId="29640963" w14:textId="740FE61D" w:rsidR="001626AA" w:rsidRDefault="00C217A4" w:rsidP="00E22258">
      <w:pPr>
        <w:tabs>
          <w:tab w:val="left" w:pos="0"/>
          <w:tab w:val="left" w:pos="360"/>
          <w:tab w:val="left" w:pos="720"/>
          <w:tab w:val="left" w:pos="1080"/>
          <w:tab w:val="left" w:pos="1800"/>
          <w:tab w:val="left" w:pos="2160"/>
        </w:tabs>
        <w:ind w:left="1170" w:hanging="450"/>
      </w:pPr>
      <w:r>
        <w:t xml:space="preserve"> </w:t>
      </w:r>
      <w:r w:rsidR="001626AA">
        <w:t xml:space="preserve">3. </w:t>
      </w:r>
      <w:r w:rsidR="00255109">
        <w:t xml:space="preserve"> </w:t>
      </w:r>
      <w:r>
        <w:tab/>
      </w:r>
      <w:r w:rsidR="001626AA">
        <w:t xml:space="preserve">The </w:t>
      </w:r>
      <w:r w:rsidR="009C0FE6">
        <w:t>high-</w:t>
      </w:r>
      <w:r w:rsidR="001626AA">
        <w:t>school</w:t>
      </w:r>
      <w:r w:rsidR="001F6404">
        <w:t xml:space="preserve"> </w:t>
      </w:r>
      <w:r w:rsidR="00BC6F9A">
        <w:t>ILT</w:t>
      </w:r>
      <w:r w:rsidR="000C77C7">
        <w:t>,</w:t>
      </w:r>
      <w:r w:rsidR="00255109">
        <w:t xml:space="preserve"> </w:t>
      </w:r>
      <w:r w:rsidR="001626AA">
        <w:t xml:space="preserve">composed </w:t>
      </w:r>
      <w:r w:rsidR="00255109">
        <w:t>of the curriculum coordinators,</w:t>
      </w:r>
      <w:r w:rsidR="009C0FE6">
        <w:t xml:space="preserve"> </w:t>
      </w:r>
      <w:r w:rsidR="001626AA">
        <w:t>the principal, and department heads</w:t>
      </w:r>
      <w:r w:rsidR="00BC6F9A">
        <w:t>,</w:t>
      </w:r>
      <w:r w:rsidR="001626AA">
        <w:t xml:space="preserve"> meet</w:t>
      </w:r>
      <w:r w:rsidR="001F6404">
        <w:t>s</w:t>
      </w:r>
      <w:r w:rsidR="001626AA">
        <w:t xml:space="preserve"> once every six days.</w:t>
      </w:r>
    </w:p>
    <w:p w14:paraId="7DC8EE5B" w14:textId="3BEA21AF" w:rsidR="001626AA" w:rsidRDefault="00255109" w:rsidP="00077DC2">
      <w:pPr>
        <w:pStyle w:val="ListParagraph"/>
        <w:tabs>
          <w:tab w:val="left" w:pos="0"/>
          <w:tab w:val="left" w:pos="360"/>
          <w:tab w:val="left" w:pos="1080"/>
          <w:tab w:val="left" w:pos="1440"/>
          <w:tab w:val="left" w:pos="1800"/>
          <w:tab w:val="left" w:pos="2160"/>
        </w:tabs>
        <w:ind w:left="1440" w:hanging="360"/>
        <w:contextualSpacing w:val="0"/>
      </w:pPr>
      <w:r>
        <w:t xml:space="preserve">a. </w:t>
      </w:r>
      <w:r w:rsidR="00BC6F9A">
        <w:tab/>
      </w:r>
      <w:r w:rsidR="001626AA">
        <w:t xml:space="preserve">The curriculum coordinators meet with principals and </w:t>
      </w:r>
      <w:r w:rsidR="00A934CC">
        <w:t>high-</w:t>
      </w:r>
      <w:r w:rsidR="001626AA">
        <w:t xml:space="preserve">school department coordinators to help ensure effective delivery of the curriculum and provide </w:t>
      </w:r>
      <w:r w:rsidR="007E2029">
        <w:t>PD</w:t>
      </w:r>
      <w:r w:rsidR="001626AA">
        <w:t xml:space="preserve"> in each content area</w:t>
      </w:r>
      <w:r w:rsidR="00E63E3A">
        <w:t>,</w:t>
      </w:r>
      <w:r w:rsidR="001626AA">
        <w:t xml:space="preserve"> as warranted.</w:t>
      </w:r>
    </w:p>
    <w:p w14:paraId="66415E7C" w14:textId="4CC3F873" w:rsidR="00175B9D" w:rsidRPr="006A5AC1" w:rsidRDefault="00255109" w:rsidP="00BC6F9A">
      <w:pPr>
        <w:pStyle w:val="ListParagraph"/>
        <w:tabs>
          <w:tab w:val="left" w:pos="0"/>
          <w:tab w:val="left" w:pos="360"/>
          <w:tab w:val="left" w:pos="1080"/>
          <w:tab w:val="left" w:pos="1440"/>
          <w:tab w:val="left" w:pos="1800"/>
          <w:tab w:val="left" w:pos="2160"/>
        </w:tabs>
        <w:ind w:left="1440" w:hanging="360"/>
        <w:contextualSpacing w:val="0"/>
      </w:pPr>
      <w:r>
        <w:t xml:space="preserve">b. </w:t>
      </w:r>
      <w:r w:rsidR="00BC6F9A">
        <w:tab/>
      </w:r>
      <w:r w:rsidR="001626AA">
        <w:t xml:space="preserve">The curriculum coordinators meet once per month with the elementary literacy coaches and the </w:t>
      </w:r>
      <w:r w:rsidR="00A934CC">
        <w:t xml:space="preserve">districtwide </w:t>
      </w:r>
      <w:r w:rsidR="001626AA">
        <w:t>math coach to help ensure horizontal alignment of curriculum and instruction in preparation for the transition to grade 5 at the middle school.</w:t>
      </w:r>
    </w:p>
    <w:p w14:paraId="74D2AE5C" w14:textId="68913B53" w:rsidR="00175B9D" w:rsidRDefault="00671532" w:rsidP="002E3328">
      <w:pPr>
        <w:tabs>
          <w:tab w:val="left" w:pos="360"/>
          <w:tab w:val="left" w:pos="720"/>
          <w:tab w:val="left" w:pos="1080"/>
          <w:tab w:val="left" w:pos="1440"/>
          <w:tab w:val="left" w:pos="1800"/>
          <w:tab w:val="left" w:pos="2160"/>
        </w:tabs>
        <w:ind w:left="720" w:hanging="360"/>
      </w:pPr>
      <w:r w:rsidRPr="004219E0">
        <w:rPr>
          <w:b/>
        </w:rPr>
        <w:t>B.</w:t>
      </w:r>
      <w:r>
        <w:t xml:space="preserve"> </w:t>
      </w:r>
      <w:r w:rsidR="00E63E3A">
        <w:tab/>
      </w:r>
      <w:r w:rsidR="00E63E3A" w:rsidRPr="0033670F">
        <w:t>A document review indicated that</w:t>
      </w:r>
      <w:r w:rsidR="006A5AC1" w:rsidRPr="004D1D55">
        <w:t xml:space="preserve"> t</w:t>
      </w:r>
      <w:r w:rsidR="00175B9D" w:rsidRPr="00C0681E">
        <w:t>h</w:t>
      </w:r>
      <w:r w:rsidRPr="00E50F58">
        <w:t>e district</w:t>
      </w:r>
      <w:r w:rsidR="007E2029" w:rsidRPr="00E22258">
        <w:t>’s</w:t>
      </w:r>
      <w:r w:rsidRPr="0033670F">
        <w:t xml:space="preserve"> </w:t>
      </w:r>
      <w:r w:rsidR="00483FA1">
        <w:t xml:space="preserve">strategic plan, </w:t>
      </w:r>
      <w:r w:rsidR="009669FB" w:rsidRPr="00E50F58">
        <w:t>Instructional S</w:t>
      </w:r>
      <w:r w:rsidR="006A5AC1" w:rsidRPr="00E50F58">
        <w:t>trategy</w:t>
      </w:r>
      <w:r w:rsidR="009669FB" w:rsidRPr="00E50F58">
        <w:t xml:space="preserve"> 2017</w:t>
      </w:r>
      <w:r w:rsidR="00C15626" w:rsidRPr="00E50F58">
        <w:t>–</w:t>
      </w:r>
      <w:r w:rsidR="004F3224" w:rsidRPr="00E50F58">
        <w:t>2020</w:t>
      </w:r>
      <w:r w:rsidR="00483FA1">
        <w:t>,</w:t>
      </w:r>
      <w:r w:rsidR="004F3224" w:rsidRPr="00E50F58">
        <w:t xml:space="preserve"> </w:t>
      </w:r>
      <w:r w:rsidRPr="0033670F">
        <w:t>includes</w:t>
      </w:r>
      <w:r w:rsidR="00175B9D" w:rsidRPr="004D1D55">
        <w:t xml:space="preserve"> </w:t>
      </w:r>
      <w:r w:rsidR="00175B9D" w:rsidRPr="00E50F58">
        <w:t xml:space="preserve">curriculum revision and materials </w:t>
      </w:r>
      <w:r w:rsidR="006A5AC1" w:rsidRPr="00E50F58">
        <w:t xml:space="preserve">adoption </w:t>
      </w:r>
      <w:r w:rsidR="007E2029" w:rsidRPr="00E22258">
        <w:t>initiatives and action plans</w:t>
      </w:r>
      <w:r w:rsidR="00E63E3A" w:rsidRPr="0033670F">
        <w:t>.</w:t>
      </w:r>
      <w:r w:rsidR="00175B9D" w:rsidRPr="006A5AC1">
        <w:t xml:space="preserve"> </w:t>
      </w:r>
      <w:r w:rsidR="00483FA1">
        <w:t>(See the Strength finding below.)</w:t>
      </w:r>
    </w:p>
    <w:p w14:paraId="1E6AD0BE" w14:textId="5C367D81" w:rsidR="00B02A09" w:rsidRDefault="00B02A09" w:rsidP="00671532">
      <w:pPr>
        <w:tabs>
          <w:tab w:val="left" w:pos="360"/>
          <w:tab w:val="left" w:pos="1080"/>
          <w:tab w:val="left" w:pos="1440"/>
          <w:tab w:val="left" w:pos="1800"/>
          <w:tab w:val="left" w:pos="2160"/>
        </w:tabs>
        <w:ind w:left="720"/>
      </w:pPr>
      <w:r>
        <w:t xml:space="preserve">1. </w:t>
      </w:r>
      <w:r w:rsidR="002E3328">
        <w:tab/>
      </w:r>
      <w:r>
        <w:t>For the 2017</w:t>
      </w:r>
      <w:r w:rsidR="007103A9">
        <w:t>–</w:t>
      </w:r>
      <w:r>
        <w:t>2018 school year, the curriculum</w:t>
      </w:r>
      <w:r w:rsidR="00900FC7">
        <w:t>-related</w:t>
      </w:r>
      <w:r w:rsidR="004A78E7">
        <w:t xml:space="preserve"> </w:t>
      </w:r>
      <w:r w:rsidR="007E2029">
        <w:t xml:space="preserve">initiatives </w:t>
      </w:r>
      <w:r w:rsidR="004A78E7">
        <w:t>we</w:t>
      </w:r>
      <w:r>
        <w:t xml:space="preserve">re:  </w:t>
      </w:r>
    </w:p>
    <w:p w14:paraId="50B9810C" w14:textId="3179B154" w:rsidR="00B02A09" w:rsidRDefault="00175B9D" w:rsidP="00FC58CB">
      <w:pPr>
        <w:pStyle w:val="ListParagraph"/>
        <w:numPr>
          <w:ilvl w:val="0"/>
          <w:numId w:val="15"/>
        </w:numPr>
        <w:tabs>
          <w:tab w:val="left" w:pos="360"/>
          <w:tab w:val="left" w:pos="720"/>
          <w:tab w:val="left" w:pos="1080"/>
          <w:tab w:val="left" w:pos="1440"/>
          <w:tab w:val="left" w:pos="1800"/>
          <w:tab w:val="left" w:pos="2160"/>
        </w:tabs>
        <w:ind w:left="1440"/>
        <w:contextualSpacing w:val="0"/>
      </w:pPr>
      <w:r>
        <w:t xml:space="preserve">implement consistent, </w:t>
      </w:r>
      <w:r w:rsidR="00E63E3A">
        <w:t>high-</w:t>
      </w:r>
      <w:r>
        <w:t>quality, standards-aligned curriculum and assess</w:t>
      </w:r>
      <w:r w:rsidR="00B02A09">
        <w:t>ments in ELA, math, and science</w:t>
      </w:r>
      <w:r>
        <w:t xml:space="preserve"> </w:t>
      </w:r>
    </w:p>
    <w:p w14:paraId="324CBD6C" w14:textId="2494B9D6" w:rsidR="00B02A09" w:rsidRDefault="00175B9D" w:rsidP="00FC58CB">
      <w:pPr>
        <w:pStyle w:val="ListParagraph"/>
        <w:numPr>
          <w:ilvl w:val="0"/>
          <w:numId w:val="15"/>
        </w:numPr>
        <w:tabs>
          <w:tab w:val="left" w:pos="360"/>
          <w:tab w:val="left" w:pos="720"/>
          <w:tab w:val="left" w:pos="1080"/>
          <w:tab w:val="left" w:pos="1440"/>
          <w:tab w:val="left" w:pos="1800"/>
          <w:tab w:val="left" w:pos="2160"/>
        </w:tabs>
        <w:ind w:left="1440"/>
        <w:contextualSpacing w:val="0"/>
      </w:pPr>
      <w:r>
        <w:t>review and research world language frameworks and curriculum to mak</w:t>
      </w:r>
      <w:r w:rsidR="00B02A09">
        <w:t>e recommendations for 2018</w:t>
      </w:r>
      <w:r w:rsidR="00C15626">
        <w:t>–</w:t>
      </w:r>
      <w:r w:rsidR="00B02A09">
        <w:t>2019</w:t>
      </w:r>
      <w:r>
        <w:t xml:space="preserve"> </w:t>
      </w:r>
      <w:r w:rsidR="001F6404">
        <w:t>and</w:t>
      </w:r>
    </w:p>
    <w:p w14:paraId="00F8AD15" w14:textId="7B5AC584" w:rsidR="00175B9D" w:rsidRDefault="00175B9D" w:rsidP="00FC58CB">
      <w:pPr>
        <w:pStyle w:val="ListParagraph"/>
        <w:numPr>
          <w:ilvl w:val="0"/>
          <w:numId w:val="15"/>
        </w:numPr>
        <w:tabs>
          <w:tab w:val="left" w:pos="360"/>
          <w:tab w:val="left" w:pos="720"/>
          <w:tab w:val="left" w:pos="1080"/>
          <w:tab w:val="left" w:pos="1440"/>
          <w:tab w:val="left" w:pos="1800"/>
          <w:tab w:val="left" w:pos="2160"/>
        </w:tabs>
        <w:ind w:left="1440"/>
        <w:contextualSpacing w:val="0"/>
      </w:pPr>
      <w:r>
        <w:t>integrate 21</w:t>
      </w:r>
      <w:r w:rsidRPr="00B02A09">
        <w:rPr>
          <w:vertAlign w:val="superscript"/>
        </w:rPr>
        <w:t>st</w:t>
      </w:r>
      <w:r>
        <w:t xml:space="preserve"> century digital learning tools to enrich and personalize the student learning experience.</w:t>
      </w:r>
    </w:p>
    <w:p w14:paraId="5F14C0B7" w14:textId="0794C29E" w:rsidR="00175B9D" w:rsidRDefault="0061022C" w:rsidP="0061022C">
      <w:pPr>
        <w:tabs>
          <w:tab w:val="left" w:pos="360"/>
          <w:tab w:val="left" w:pos="720"/>
          <w:tab w:val="left" w:pos="1080"/>
          <w:tab w:val="left" w:pos="1440"/>
          <w:tab w:val="left" w:pos="1800"/>
          <w:tab w:val="left" w:pos="2160"/>
        </w:tabs>
        <w:ind w:left="1080" w:hanging="1080"/>
      </w:pPr>
      <w:r w:rsidRPr="00E22258">
        <w:tab/>
      </w:r>
      <w:r w:rsidRPr="00E22258">
        <w:tab/>
      </w:r>
      <w:r w:rsidR="00B02A09" w:rsidRPr="0033670F">
        <w:t xml:space="preserve">2.  </w:t>
      </w:r>
      <w:r w:rsidR="00E63E3A" w:rsidRPr="0033670F">
        <w:tab/>
      </w:r>
      <w:r w:rsidR="00664597" w:rsidRPr="004D1D55">
        <w:t>T</w:t>
      </w:r>
      <w:r w:rsidR="001F6404" w:rsidRPr="004D1D55">
        <w:t xml:space="preserve">he </w:t>
      </w:r>
      <w:r w:rsidR="00175B9D" w:rsidRPr="004B150A">
        <w:t xml:space="preserve">action plans </w:t>
      </w:r>
      <w:r w:rsidR="007E2029" w:rsidRPr="00E22258">
        <w:t>include</w:t>
      </w:r>
      <w:r w:rsidR="007E2029" w:rsidRPr="0033670F">
        <w:t xml:space="preserve"> </w:t>
      </w:r>
      <w:r w:rsidR="00664597" w:rsidRPr="00C0681E">
        <w:t xml:space="preserve">staff responsible </w:t>
      </w:r>
      <w:r w:rsidR="00664597" w:rsidRPr="004B150A">
        <w:t xml:space="preserve">for </w:t>
      </w:r>
      <w:r w:rsidR="00175B9D" w:rsidRPr="004B150A">
        <w:t>each action step within the curriculum section.</w:t>
      </w:r>
    </w:p>
    <w:p w14:paraId="3A320E44" w14:textId="65D84917" w:rsidR="00175B9D" w:rsidRDefault="0061022C" w:rsidP="0061022C">
      <w:pPr>
        <w:tabs>
          <w:tab w:val="left" w:pos="360"/>
          <w:tab w:val="left" w:pos="720"/>
          <w:tab w:val="left" w:pos="1080"/>
          <w:tab w:val="left" w:pos="1440"/>
          <w:tab w:val="left" w:pos="1800"/>
          <w:tab w:val="left" w:pos="2160"/>
        </w:tabs>
        <w:ind w:left="1080" w:hanging="1080"/>
      </w:pPr>
      <w:r>
        <w:lastRenderedPageBreak/>
        <w:tab/>
      </w:r>
      <w:r>
        <w:tab/>
      </w:r>
      <w:r w:rsidR="00671532">
        <w:t>3.</w:t>
      </w:r>
      <w:r w:rsidR="00E63E3A">
        <w:tab/>
      </w:r>
      <w:r w:rsidR="00664597">
        <w:t xml:space="preserve">At the time of the review in March 2018, the </w:t>
      </w:r>
      <w:r w:rsidR="00175B9D">
        <w:t xml:space="preserve">district </w:t>
      </w:r>
      <w:r w:rsidR="00664597">
        <w:t xml:space="preserve">planned in the summer 2018 to conduct curriculum workshops </w:t>
      </w:r>
      <w:r w:rsidR="00175B9D">
        <w:t xml:space="preserve">for teachers to review curriculum alignment with the </w:t>
      </w:r>
      <w:r w:rsidR="00664597">
        <w:t>current</w:t>
      </w:r>
      <w:r w:rsidR="00175B9D">
        <w:t xml:space="preserve"> frameworks.</w:t>
      </w:r>
    </w:p>
    <w:p w14:paraId="2D5A0738" w14:textId="4F89F3AB" w:rsidR="00175B9D" w:rsidRDefault="0061022C" w:rsidP="0061022C">
      <w:pPr>
        <w:tabs>
          <w:tab w:val="left" w:pos="360"/>
          <w:tab w:val="left" w:pos="720"/>
          <w:tab w:val="left" w:pos="1080"/>
          <w:tab w:val="left" w:pos="1440"/>
          <w:tab w:val="left" w:pos="1800"/>
          <w:tab w:val="left" w:pos="2160"/>
        </w:tabs>
        <w:ind w:left="1080" w:hanging="1080"/>
      </w:pPr>
      <w:r>
        <w:tab/>
      </w:r>
      <w:r>
        <w:tab/>
      </w:r>
      <w:r w:rsidR="00671532">
        <w:t xml:space="preserve">4. </w:t>
      </w:r>
      <w:r w:rsidR="00E63E3A">
        <w:tab/>
      </w:r>
      <w:r w:rsidR="001F6404">
        <w:t>T</w:t>
      </w:r>
      <w:r w:rsidR="00175B9D">
        <w:t xml:space="preserve">he district closely monitors </w:t>
      </w:r>
      <w:r w:rsidR="00832833">
        <w:t>the</w:t>
      </w:r>
      <w:r w:rsidR="007F4734">
        <w:t xml:space="preserve"> </w:t>
      </w:r>
      <w:r w:rsidR="00175B9D">
        <w:t xml:space="preserve">progress </w:t>
      </w:r>
      <w:r w:rsidR="007F4734">
        <w:t xml:space="preserve">that </w:t>
      </w:r>
      <w:r w:rsidR="00175B9D">
        <w:t>it has achi</w:t>
      </w:r>
      <w:r w:rsidR="001F6404">
        <w:t>eved in relation to each curricular</w:t>
      </w:r>
      <w:r w:rsidR="00671532">
        <w:t xml:space="preserve"> goal and action step </w:t>
      </w:r>
      <w:r w:rsidR="00832833">
        <w:t xml:space="preserve">and </w:t>
      </w:r>
      <w:r w:rsidR="00671532">
        <w:t>color-</w:t>
      </w:r>
      <w:r w:rsidR="00175B9D">
        <w:t>cod</w:t>
      </w:r>
      <w:r w:rsidR="00832833">
        <w:t>es</w:t>
      </w:r>
      <w:r w:rsidR="00175B9D">
        <w:t xml:space="preserve"> progress as green, yellow, or red. </w:t>
      </w:r>
    </w:p>
    <w:p w14:paraId="71D3B1E1" w14:textId="49F3A4AB" w:rsidR="00175B9D" w:rsidRDefault="00671532" w:rsidP="002E3328">
      <w:pPr>
        <w:tabs>
          <w:tab w:val="left" w:pos="720"/>
          <w:tab w:val="left" w:pos="1080"/>
          <w:tab w:val="left" w:pos="1440"/>
          <w:tab w:val="left" w:pos="1800"/>
          <w:tab w:val="left" w:pos="2160"/>
        </w:tabs>
        <w:ind w:left="720" w:hanging="360"/>
      </w:pPr>
      <w:r w:rsidRPr="001F6404">
        <w:rPr>
          <w:b/>
        </w:rPr>
        <w:t>C</w:t>
      </w:r>
      <w:r>
        <w:t xml:space="preserve">. </w:t>
      </w:r>
      <w:r w:rsidR="002E3328">
        <w:tab/>
      </w:r>
      <w:r w:rsidR="00175B9D">
        <w:t xml:space="preserve">The district has a </w:t>
      </w:r>
      <w:r w:rsidR="002E3328">
        <w:t>long-</w:t>
      </w:r>
      <w:r w:rsidR="00175B9D">
        <w:t xml:space="preserve">range </w:t>
      </w:r>
      <w:r w:rsidR="002E3328">
        <w:t xml:space="preserve">plan </w:t>
      </w:r>
      <w:r w:rsidR="00832833">
        <w:t xml:space="preserve">(2013–2022) </w:t>
      </w:r>
      <w:r w:rsidR="00E83D50">
        <w:t xml:space="preserve">and process </w:t>
      </w:r>
      <w:r w:rsidR="00175B9D">
        <w:t xml:space="preserve">for </w:t>
      </w:r>
      <w:r w:rsidR="005922AB">
        <w:t xml:space="preserve">revising </w:t>
      </w:r>
      <w:r w:rsidR="00175B9D">
        <w:t>curriculum and updating</w:t>
      </w:r>
      <w:r w:rsidR="004219E0">
        <w:t xml:space="preserve"> </w:t>
      </w:r>
      <w:r w:rsidR="00175B9D">
        <w:t xml:space="preserve">instructional materials.  </w:t>
      </w:r>
      <w:r w:rsidR="00175B9D" w:rsidRPr="00C5110A">
        <w:t xml:space="preserve"> </w:t>
      </w:r>
    </w:p>
    <w:p w14:paraId="615BE9F7" w14:textId="5712216B" w:rsidR="00175B9D" w:rsidRDefault="00290691" w:rsidP="002E3328">
      <w:pPr>
        <w:tabs>
          <w:tab w:val="left" w:pos="360"/>
          <w:tab w:val="left" w:pos="720"/>
          <w:tab w:val="left" w:pos="1080"/>
          <w:tab w:val="left" w:pos="1440"/>
          <w:tab w:val="left" w:pos="1800"/>
          <w:tab w:val="left" w:pos="2160"/>
        </w:tabs>
        <w:ind w:left="1080" w:hanging="360"/>
      </w:pPr>
      <w:r>
        <w:t>1</w:t>
      </w:r>
      <w:r w:rsidR="00671532">
        <w:t xml:space="preserve">. </w:t>
      </w:r>
      <w:r w:rsidR="002E3328">
        <w:tab/>
      </w:r>
      <w:r w:rsidR="00175B9D">
        <w:t>The district</w:t>
      </w:r>
      <w:r w:rsidR="002E3328">
        <w:t>’s</w:t>
      </w:r>
      <w:r w:rsidR="00175B9D">
        <w:t xml:space="preserve"> curriculum revision plan has five phases: research and review</w:t>
      </w:r>
      <w:r w:rsidR="00E83D50">
        <w:t xml:space="preserve"> current standards and district instructional practices</w:t>
      </w:r>
      <w:r w:rsidR="00175B9D">
        <w:t xml:space="preserve">; </w:t>
      </w:r>
      <w:r w:rsidR="00E83D50">
        <w:t xml:space="preserve">identify </w:t>
      </w:r>
      <w:r w:rsidR="00175B9D">
        <w:t>appropriate materials and instruction; implementation; implementation, monitor</w:t>
      </w:r>
      <w:r w:rsidR="00E83D50">
        <w:t xml:space="preserve"> student growth</w:t>
      </w:r>
      <w:r w:rsidR="00175B9D">
        <w:t>, and adjust</w:t>
      </w:r>
      <w:r w:rsidR="00E83D50">
        <w:t xml:space="preserve"> materials</w:t>
      </w:r>
      <w:r w:rsidR="00175B9D">
        <w:t xml:space="preserve">; and assessment and evaluation of improvements. </w:t>
      </w:r>
    </w:p>
    <w:p w14:paraId="1E2B91DB" w14:textId="6FA80FD5" w:rsidR="00175B9D" w:rsidRDefault="00290691" w:rsidP="002E3328">
      <w:pPr>
        <w:tabs>
          <w:tab w:val="left" w:pos="360"/>
          <w:tab w:val="left" w:pos="720"/>
          <w:tab w:val="left" w:pos="1080"/>
          <w:tab w:val="left" w:pos="1440"/>
          <w:tab w:val="left" w:pos="1800"/>
          <w:tab w:val="left" w:pos="2160"/>
        </w:tabs>
        <w:ind w:left="1080" w:hanging="360"/>
      </w:pPr>
      <w:r>
        <w:t>2</w:t>
      </w:r>
      <w:r w:rsidR="00671532">
        <w:t xml:space="preserve">. </w:t>
      </w:r>
      <w:r w:rsidR="002E3328">
        <w:tab/>
      </w:r>
      <w:r w:rsidR="00671532">
        <w:t>School administrators said that with the support of the town,</w:t>
      </w:r>
      <w:r w:rsidR="00175B9D">
        <w:t xml:space="preserve"> the </w:t>
      </w:r>
      <w:r w:rsidR="00671532">
        <w:t xml:space="preserve">district </w:t>
      </w:r>
      <w:r w:rsidR="00175B9D">
        <w:t>has</w:t>
      </w:r>
      <w:r>
        <w:t xml:space="preserve"> been able to stay</w:t>
      </w:r>
      <w:r w:rsidR="00175B9D">
        <w:t xml:space="preserve"> true to its materials adoption</w:t>
      </w:r>
      <w:r w:rsidR="00671532">
        <w:t xml:space="preserve"> plan</w:t>
      </w:r>
      <w:r w:rsidR="00175B9D">
        <w:t xml:space="preserve">. </w:t>
      </w:r>
    </w:p>
    <w:p w14:paraId="4BF81C85" w14:textId="604F97A7" w:rsidR="00B4487F" w:rsidRDefault="007E2029" w:rsidP="007E2029">
      <w:pPr>
        <w:tabs>
          <w:tab w:val="left" w:pos="360"/>
          <w:tab w:val="left" w:pos="720"/>
          <w:tab w:val="left" w:pos="1080"/>
          <w:tab w:val="left" w:pos="1440"/>
          <w:tab w:val="left" w:pos="1800"/>
          <w:tab w:val="left" w:pos="2160"/>
        </w:tabs>
        <w:ind w:left="810" w:hanging="810"/>
      </w:pPr>
      <w:r>
        <w:tab/>
      </w:r>
      <w:r w:rsidRPr="007E2029">
        <w:rPr>
          <w:b/>
        </w:rPr>
        <w:t>D</w:t>
      </w:r>
      <w:r w:rsidR="00290691" w:rsidRPr="00290691">
        <w:t xml:space="preserve">.  </w:t>
      </w:r>
      <w:r w:rsidR="00581250">
        <w:tab/>
      </w:r>
      <w:r w:rsidR="00581250">
        <w:tab/>
      </w:r>
      <w:r w:rsidR="00B4487F" w:rsidRPr="00290691">
        <w:t xml:space="preserve">Teachers </w:t>
      </w:r>
      <w:r w:rsidR="003650E5">
        <w:t>said that the district’s Instructional S</w:t>
      </w:r>
      <w:r w:rsidR="00B4487F" w:rsidRPr="00290691">
        <w:t>trategy and curriculum revision plan</w:t>
      </w:r>
      <w:r>
        <w:t>s</w:t>
      </w:r>
      <w:r w:rsidR="00B4487F" w:rsidRPr="00290691">
        <w:t xml:space="preserve"> </w:t>
      </w:r>
      <w:r w:rsidRPr="00290691">
        <w:t>help</w:t>
      </w:r>
      <w:r>
        <w:t>ed</w:t>
      </w:r>
      <w:r w:rsidRPr="00290691">
        <w:t xml:space="preserve"> </w:t>
      </w:r>
      <w:r w:rsidR="00290691" w:rsidRPr="00290691">
        <w:t xml:space="preserve">them to be focused in their work, </w:t>
      </w:r>
      <w:r>
        <w:t xml:space="preserve">to </w:t>
      </w:r>
      <w:r w:rsidR="00290691" w:rsidRPr="00290691">
        <w:t xml:space="preserve">receive targeted </w:t>
      </w:r>
      <w:r>
        <w:t>PD</w:t>
      </w:r>
      <w:r w:rsidR="00290691" w:rsidRPr="00290691">
        <w:t xml:space="preserve">, and </w:t>
      </w:r>
      <w:r>
        <w:t xml:space="preserve">to </w:t>
      </w:r>
      <w:r w:rsidR="00290691" w:rsidRPr="00290691">
        <w:t>participate in</w:t>
      </w:r>
      <w:r w:rsidR="003650E5">
        <w:t xml:space="preserve"> PLC</w:t>
      </w:r>
      <w:r w:rsidR="00B4487F" w:rsidRPr="00290691">
        <w:t xml:space="preserve">s </w:t>
      </w:r>
      <w:r w:rsidR="00290691" w:rsidRPr="00290691">
        <w:t xml:space="preserve">that are </w:t>
      </w:r>
      <w:r w:rsidR="005922AB">
        <w:t>“</w:t>
      </w:r>
      <w:r w:rsidR="00B4487F" w:rsidRPr="00290691">
        <w:t>connected to student growth.</w:t>
      </w:r>
      <w:r w:rsidR="005922AB">
        <w:t>”</w:t>
      </w:r>
    </w:p>
    <w:p w14:paraId="34CAFD37" w14:textId="62248863" w:rsidR="00AE7963" w:rsidRDefault="00175B9D" w:rsidP="00175B9D">
      <w:pPr>
        <w:tabs>
          <w:tab w:val="left" w:pos="360"/>
          <w:tab w:val="left" w:pos="720"/>
          <w:tab w:val="left" w:pos="1080"/>
          <w:tab w:val="left" w:pos="1440"/>
          <w:tab w:val="left" w:pos="1800"/>
          <w:tab w:val="left" w:pos="2160"/>
          <w:tab w:val="left" w:pos="2520"/>
          <w:tab w:val="left" w:pos="2880"/>
        </w:tabs>
      </w:pPr>
      <w:r w:rsidRPr="00F731AA">
        <w:rPr>
          <w:b/>
        </w:rPr>
        <w:t>Impact</w:t>
      </w:r>
      <w:r w:rsidRPr="00BA3A76">
        <w:t xml:space="preserve">: </w:t>
      </w:r>
      <w:r w:rsidR="00290691">
        <w:t xml:space="preserve">The district’s organizational structures support strong curricular alignment, consistent delivery, and a continuously improving curriculum. </w:t>
      </w:r>
      <w:r w:rsidR="00483FA1">
        <w:t xml:space="preserve">The district’s curricular leadership structure facilitates communication </w:t>
      </w:r>
      <w:r w:rsidR="00290691">
        <w:t>among all instructional staff</w:t>
      </w:r>
      <w:r w:rsidR="0077129A">
        <w:t>.</w:t>
      </w:r>
      <w:r w:rsidR="00290691">
        <w:t xml:space="preserve"> </w:t>
      </w:r>
      <w:r>
        <w:t xml:space="preserve">The development </w:t>
      </w:r>
      <w:r w:rsidR="002E3328">
        <w:t xml:space="preserve">of </w:t>
      </w:r>
      <w:r>
        <w:t xml:space="preserve">and adherence to a curriculum review cycle </w:t>
      </w:r>
      <w:r w:rsidR="00483FA1">
        <w:t xml:space="preserve">likely </w:t>
      </w:r>
      <w:r>
        <w:t>assists in the development and maintenance of a strong instructional program with relevant materials pro</w:t>
      </w:r>
      <w:r w:rsidR="003650E5">
        <w:t xml:space="preserve">moting </w:t>
      </w:r>
      <w:r w:rsidR="00483FA1">
        <w:t xml:space="preserve">improved </w:t>
      </w:r>
      <w:r w:rsidR="003650E5">
        <w:t>student learning.</w:t>
      </w:r>
      <w:r>
        <w:t xml:space="preserve"> </w:t>
      </w:r>
    </w:p>
    <w:p w14:paraId="6A6102EA" w14:textId="50885D2B" w:rsidR="00AE7963" w:rsidRPr="00D34770" w:rsidRDefault="00AE7963" w:rsidP="00AE7963">
      <w:pPr>
        <w:tabs>
          <w:tab w:val="left" w:pos="360"/>
          <w:tab w:val="left" w:pos="720"/>
          <w:tab w:val="left" w:pos="1080"/>
          <w:tab w:val="left" w:pos="1440"/>
          <w:tab w:val="left" w:pos="1800"/>
          <w:tab w:val="left" w:pos="2160"/>
        </w:tabs>
        <w:ind w:left="360" w:hanging="360"/>
        <w:rPr>
          <w:b/>
          <w:i/>
        </w:rPr>
      </w:pPr>
      <w:r>
        <w:rPr>
          <w:b/>
        </w:rPr>
        <w:t xml:space="preserve">2. </w:t>
      </w:r>
      <w:r>
        <w:rPr>
          <w:b/>
        </w:rPr>
        <w:tab/>
      </w:r>
      <w:r w:rsidRPr="006F118B">
        <w:rPr>
          <w:b/>
        </w:rPr>
        <w:t>The district has developed an</w:t>
      </w:r>
      <w:r w:rsidR="000F68EE" w:rsidRPr="006F118B">
        <w:rPr>
          <w:b/>
        </w:rPr>
        <w:t>d</w:t>
      </w:r>
      <w:r w:rsidRPr="006F118B">
        <w:rPr>
          <w:b/>
        </w:rPr>
        <w:t xml:space="preserve"> articulated </w:t>
      </w:r>
      <w:r w:rsidR="000F68EE" w:rsidRPr="006F118B">
        <w:rPr>
          <w:b/>
        </w:rPr>
        <w:t xml:space="preserve">a </w:t>
      </w:r>
      <w:r w:rsidR="005922AB" w:rsidRPr="006F118B">
        <w:rPr>
          <w:b/>
        </w:rPr>
        <w:t xml:space="preserve">strategic </w:t>
      </w:r>
      <w:r w:rsidR="004219E0" w:rsidRPr="006F118B">
        <w:rPr>
          <w:b/>
        </w:rPr>
        <w:t>plan</w:t>
      </w:r>
      <w:r w:rsidRPr="006F118B">
        <w:rPr>
          <w:b/>
        </w:rPr>
        <w:t xml:space="preserve"> for hig</w:t>
      </w:r>
      <w:r w:rsidR="004219E0" w:rsidRPr="006F118B">
        <w:rPr>
          <w:b/>
        </w:rPr>
        <w:t>h</w:t>
      </w:r>
      <w:r w:rsidR="000F68EE" w:rsidRPr="006F118B">
        <w:rPr>
          <w:b/>
        </w:rPr>
        <w:t>-</w:t>
      </w:r>
      <w:r w:rsidR="004219E0" w:rsidRPr="006F118B">
        <w:rPr>
          <w:b/>
        </w:rPr>
        <w:t>quality teaching and learning</w:t>
      </w:r>
      <w:r w:rsidRPr="006F118B">
        <w:rPr>
          <w:b/>
        </w:rPr>
        <w:t xml:space="preserve"> known as the Instructional Strategy</w:t>
      </w:r>
      <w:r w:rsidR="005922AB" w:rsidRPr="006F118B">
        <w:rPr>
          <w:b/>
        </w:rPr>
        <w:t xml:space="preserve"> 2017–2020</w:t>
      </w:r>
      <w:r w:rsidR="004219E0" w:rsidRPr="006F118B">
        <w:rPr>
          <w:b/>
        </w:rPr>
        <w:t>. It is</w:t>
      </w:r>
      <w:r w:rsidRPr="006F118B">
        <w:rPr>
          <w:b/>
        </w:rPr>
        <w:t xml:space="preserve"> supported by a well-aligned professional development plan.</w:t>
      </w:r>
      <w:r>
        <w:rPr>
          <w:b/>
        </w:rPr>
        <w:t xml:space="preserve">  </w:t>
      </w:r>
    </w:p>
    <w:p w14:paraId="26B9C657" w14:textId="0857044C" w:rsidR="00AE7963" w:rsidRDefault="00AE7963" w:rsidP="003245F2">
      <w:pPr>
        <w:tabs>
          <w:tab w:val="left" w:pos="360"/>
          <w:tab w:val="left" w:pos="720"/>
          <w:tab w:val="left" w:pos="1080"/>
          <w:tab w:val="left" w:pos="1440"/>
          <w:tab w:val="left" w:pos="1800"/>
          <w:tab w:val="left" w:pos="2160"/>
        </w:tabs>
        <w:ind w:left="720" w:hanging="360"/>
      </w:pPr>
      <w:r w:rsidRPr="00DE2C48">
        <w:rPr>
          <w:b/>
        </w:rPr>
        <w:t>A.</w:t>
      </w:r>
      <w:r>
        <w:t xml:space="preserve"> </w:t>
      </w:r>
      <w:r w:rsidR="004D3BB6">
        <w:tab/>
      </w:r>
      <w:r>
        <w:t xml:space="preserve">The district’s </w:t>
      </w:r>
      <w:r w:rsidR="004219E0">
        <w:t>Instructional Strategy 2017</w:t>
      </w:r>
      <w:r w:rsidR="00C15626">
        <w:t>–</w:t>
      </w:r>
      <w:r w:rsidR="004219E0">
        <w:t>2020</w:t>
      </w:r>
      <w:r>
        <w:t xml:space="preserve"> outlines the </w:t>
      </w:r>
      <w:r w:rsidR="00CC1798">
        <w:t xml:space="preserve">district’s </w:t>
      </w:r>
      <w:r>
        <w:t xml:space="preserve">teaching and learning objectives and initiatives as well as its </w:t>
      </w:r>
      <w:r w:rsidRPr="008E2222">
        <w:t xml:space="preserve">core values, vision, </w:t>
      </w:r>
      <w:r w:rsidR="00CC1798">
        <w:t xml:space="preserve">and </w:t>
      </w:r>
      <w:r w:rsidRPr="008E2222">
        <w:t>mission</w:t>
      </w:r>
      <w:r>
        <w:t>.</w:t>
      </w:r>
      <w:r w:rsidR="00B75F2A">
        <w:t xml:space="preserve">  </w:t>
      </w:r>
      <w:r>
        <w:t>The district</w:t>
      </w:r>
      <w:r w:rsidR="00CC1798">
        <w:t>’s</w:t>
      </w:r>
      <w:r>
        <w:t xml:space="preserve"> teaching </w:t>
      </w:r>
      <w:r w:rsidR="00483FA1">
        <w:t xml:space="preserve">and learning </w:t>
      </w:r>
      <w:r>
        <w:t>action plan</w:t>
      </w:r>
      <w:r w:rsidR="00483FA1">
        <w:t>s</w:t>
      </w:r>
      <w:r>
        <w:t xml:space="preserve"> </w:t>
      </w:r>
      <w:r w:rsidR="00483FA1">
        <w:t xml:space="preserve">for quality teaching, rigorous curriculum, and individualized student learning </w:t>
      </w:r>
      <w:r>
        <w:t>detail ho</w:t>
      </w:r>
      <w:r w:rsidR="00B75F2A">
        <w:t>w the strategy will be realized</w:t>
      </w:r>
      <w:r>
        <w:t>.</w:t>
      </w:r>
    </w:p>
    <w:p w14:paraId="727F78F9" w14:textId="1F0D746B" w:rsidR="000F68EE" w:rsidRPr="00E22258" w:rsidRDefault="000F68EE" w:rsidP="003245F2">
      <w:pPr>
        <w:tabs>
          <w:tab w:val="left" w:pos="360"/>
          <w:tab w:val="left" w:pos="720"/>
          <w:tab w:val="left" w:pos="1080"/>
          <w:tab w:val="left" w:pos="1440"/>
          <w:tab w:val="left" w:pos="1800"/>
          <w:tab w:val="left" w:pos="2160"/>
        </w:tabs>
        <w:ind w:left="720" w:hanging="360"/>
        <w:rPr>
          <w:i/>
        </w:rPr>
      </w:pPr>
      <w:r>
        <w:rPr>
          <w:b/>
        </w:rPr>
        <w:tab/>
      </w:r>
      <w:r w:rsidRPr="00E22258">
        <w:t>1.</w:t>
      </w:r>
      <w:r>
        <w:tab/>
      </w:r>
      <w:r w:rsidRPr="0074022B">
        <w:t xml:space="preserve">The </w:t>
      </w:r>
      <w:r>
        <w:t xml:space="preserve">document states that the district’s vision and core values emphasize a love of </w:t>
      </w:r>
      <w:r>
        <w:tab/>
        <w:t>learning and a culture of respect and caring.</w:t>
      </w:r>
    </w:p>
    <w:p w14:paraId="1217E8DE" w14:textId="59732BAF" w:rsidR="00B75F2A" w:rsidRDefault="005922AB" w:rsidP="003245F2">
      <w:pPr>
        <w:tabs>
          <w:tab w:val="left" w:pos="360"/>
          <w:tab w:val="left" w:pos="720"/>
          <w:tab w:val="left" w:pos="1080"/>
          <w:tab w:val="left" w:pos="1440"/>
          <w:tab w:val="left" w:pos="1800"/>
          <w:tab w:val="left" w:pos="2160"/>
        </w:tabs>
        <w:ind w:left="1080" w:hanging="360"/>
      </w:pPr>
      <w:r>
        <w:t>2</w:t>
      </w:r>
      <w:r w:rsidR="004219E0">
        <w:t xml:space="preserve">. </w:t>
      </w:r>
      <w:r w:rsidR="004D3BB6">
        <w:tab/>
      </w:r>
      <w:r w:rsidR="00B77D83">
        <w:t>T</w:t>
      </w:r>
      <w:r w:rsidR="00B75F2A">
        <w:t xml:space="preserve">he Instructional Strategy </w:t>
      </w:r>
      <w:r w:rsidR="00B77D83">
        <w:t xml:space="preserve">links </w:t>
      </w:r>
      <w:r w:rsidR="00AE7963">
        <w:t xml:space="preserve">the district’s </w:t>
      </w:r>
      <w:r w:rsidR="00AE7963" w:rsidRPr="000C1D96">
        <w:t xml:space="preserve">teaching and </w:t>
      </w:r>
      <w:r w:rsidR="00AE7963" w:rsidRPr="009669FB">
        <w:t xml:space="preserve">learning </w:t>
      </w:r>
      <w:r w:rsidR="00DE2C48" w:rsidRPr="009669FB">
        <w:t>objectives</w:t>
      </w:r>
      <w:r w:rsidR="00C65400">
        <w:t xml:space="preserve"> </w:t>
      </w:r>
      <w:r w:rsidR="00AE7963" w:rsidRPr="000C1D96">
        <w:t>to three</w:t>
      </w:r>
      <w:r w:rsidR="009669FB">
        <w:t xml:space="preserve"> annually developed</w:t>
      </w:r>
      <w:r w:rsidR="00AE7963" w:rsidRPr="000C1D96">
        <w:t xml:space="preserve"> initiatives.</w:t>
      </w:r>
      <w:r w:rsidR="00DE2C48">
        <w:t xml:space="preserve"> </w:t>
      </w:r>
    </w:p>
    <w:p w14:paraId="43E2B639" w14:textId="31982F72" w:rsidR="00AE7963" w:rsidRDefault="004D3BB6" w:rsidP="003245F2">
      <w:pPr>
        <w:tabs>
          <w:tab w:val="left" w:pos="360"/>
          <w:tab w:val="left" w:pos="720"/>
          <w:tab w:val="left" w:pos="1080"/>
          <w:tab w:val="left" w:pos="1440"/>
          <w:tab w:val="left" w:pos="1800"/>
          <w:tab w:val="left" w:pos="2160"/>
        </w:tabs>
        <w:ind w:left="1440" w:hanging="1440"/>
      </w:pPr>
      <w:r>
        <w:lastRenderedPageBreak/>
        <w:tab/>
      </w:r>
      <w:r>
        <w:tab/>
      </w:r>
      <w:r>
        <w:tab/>
      </w:r>
      <w:r w:rsidR="00C65400">
        <w:t xml:space="preserve">a. </w:t>
      </w:r>
      <w:r>
        <w:tab/>
      </w:r>
      <w:r w:rsidR="00B75F2A">
        <w:t>In 2017</w:t>
      </w:r>
      <w:r w:rsidR="00C15626">
        <w:t>–</w:t>
      </w:r>
      <w:r w:rsidR="00B75F2A">
        <w:t>2018, the</w:t>
      </w:r>
      <w:r w:rsidR="00DE2C48">
        <w:t xml:space="preserve"> </w:t>
      </w:r>
      <w:r w:rsidR="00F04F65" w:rsidRPr="009669FB">
        <w:t xml:space="preserve">initiatives </w:t>
      </w:r>
      <w:r w:rsidR="00483FA1">
        <w:t xml:space="preserve">for quality teaching </w:t>
      </w:r>
      <w:r w:rsidR="009669FB">
        <w:t>we</w:t>
      </w:r>
      <w:r w:rsidR="00AE7963" w:rsidRPr="009669FB">
        <w:t>re</w:t>
      </w:r>
      <w:r w:rsidR="00AE7963" w:rsidRPr="00ED249B">
        <w:t>:  fostering educator growth through quality feedback, providing job-emb</w:t>
      </w:r>
      <w:r w:rsidR="00DE2C48">
        <w:t>edded professional development</w:t>
      </w:r>
      <w:r w:rsidR="00B77D83">
        <w:t xml:space="preserve"> (PD)</w:t>
      </w:r>
      <w:r w:rsidR="00B75F2A">
        <w:t>,</w:t>
      </w:r>
      <w:r w:rsidR="00DE2C48">
        <w:t xml:space="preserve"> </w:t>
      </w:r>
      <w:r w:rsidR="00AE7963" w:rsidRPr="00ED249B">
        <w:t xml:space="preserve">and building </w:t>
      </w:r>
      <w:r w:rsidR="00B77D83">
        <w:t xml:space="preserve">the </w:t>
      </w:r>
      <w:r w:rsidR="00AE7963" w:rsidRPr="00ED249B">
        <w:t xml:space="preserve">capacity of each school with five </w:t>
      </w:r>
      <w:r w:rsidR="00B77D83" w:rsidRPr="00ED249B">
        <w:t>high</w:t>
      </w:r>
      <w:r w:rsidR="00B77D83">
        <w:t>-</w:t>
      </w:r>
      <w:r w:rsidR="00AE7963" w:rsidRPr="00ED249B">
        <w:t>leverage instructional practices</w:t>
      </w:r>
      <w:r w:rsidR="00AE7963">
        <w:t>.</w:t>
      </w:r>
      <w:r w:rsidR="00AE7963" w:rsidRPr="00ED249B">
        <w:t xml:space="preserve"> </w:t>
      </w:r>
    </w:p>
    <w:p w14:paraId="3833277A" w14:textId="320DFAB0" w:rsidR="00F04F65" w:rsidRDefault="004D3BB6" w:rsidP="003245F2">
      <w:pPr>
        <w:tabs>
          <w:tab w:val="left" w:pos="360"/>
          <w:tab w:val="left" w:pos="720"/>
          <w:tab w:val="left" w:pos="1080"/>
          <w:tab w:val="left" w:pos="1440"/>
          <w:tab w:val="left" w:pos="1800"/>
          <w:tab w:val="left" w:pos="2160"/>
        </w:tabs>
        <w:ind w:left="1440" w:hanging="1440"/>
      </w:pPr>
      <w:r>
        <w:tab/>
      </w:r>
      <w:r>
        <w:tab/>
      </w:r>
      <w:r>
        <w:tab/>
      </w:r>
      <w:r w:rsidR="00C65400">
        <w:t xml:space="preserve">b. </w:t>
      </w:r>
      <w:r>
        <w:tab/>
      </w:r>
      <w:r w:rsidR="00F04F65">
        <w:t>T</w:t>
      </w:r>
      <w:r w:rsidR="00B75F2A">
        <w:t xml:space="preserve">he five </w:t>
      </w:r>
      <w:r w:rsidR="00B77D83">
        <w:t>high-</w:t>
      </w:r>
      <w:r w:rsidR="00B75F2A">
        <w:t xml:space="preserve">leverage </w:t>
      </w:r>
      <w:r w:rsidR="00B75F2A" w:rsidRPr="009669FB">
        <w:t>instructional practices</w:t>
      </w:r>
      <w:r w:rsidR="00B75F2A" w:rsidRPr="009669FB">
        <w:rPr>
          <w:b/>
          <w:i/>
        </w:rPr>
        <w:t xml:space="preserve"> </w:t>
      </w:r>
      <w:r w:rsidR="00483FA1">
        <w:t>are</w:t>
      </w:r>
      <w:r w:rsidR="00483FA1">
        <w:rPr>
          <w:b/>
          <w:i/>
        </w:rPr>
        <w:t xml:space="preserve"> </w:t>
      </w:r>
      <w:r w:rsidR="00B75F2A">
        <w:t xml:space="preserve">learning </w:t>
      </w:r>
      <w:r w:rsidR="00AE7963">
        <w:t>expectations, meeting diverse needs, student engagement, checking for understanding</w:t>
      </w:r>
      <w:r w:rsidR="008C206F">
        <w:t>,</w:t>
      </w:r>
      <w:r w:rsidR="00AE7963">
        <w:t xml:space="preserve"> and growth mindset. </w:t>
      </w:r>
      <w:r w:rsidR="008C206F">
        <w:t>School leaders and teachers across the district identified t</w:t>
      </w:r>
      <w:r w:rsidR="008C206F" w:rsidRPr="00D608D4">
        <w:t>he</w:t>
      </w:r>
      <w:r w:rsidR="008C206F">
        <w:t>se</w:t>
      </w:r>
      <w:r w:rsidR="008C206F" w:rsidRPr="00D608D4">
        <w:t xml:space="preserve"> </w:t>
      </w:r>
      <w:r w:rsidR="00AE7963" w:rsidRPr="00D608D4">
        <w:t xml:space="preserve">five </w:t>
      </w:r>
      <w:r w:rsidR="008C206F" w:rsidRPr="00D608D4">
        <w:t>high</w:t>
      </w:r>
      <w:r w:rsidR="008C206F">
        <w:t>-</w:t>
      </w:r>
      <w:r w:rsidR="00AE7963" w:rsidRPr="00D608D4">
        <w:t>leverage instructional practices</w:t>
      </w:r>
      <w:r w:rsidR="00F04F65">
        <w:t xml:space="preserve"> as </w:t>
      </w:r>
      <w:r w:rsidR="009669FB">
        <w:t xml:space="preserve">the district’s </w:t>
      </w:r>
      <w:r w:rsidR="00AE7963" w:rsidRPr="00A82D55">
        <w:t>instructional expectations</w:t>
      </w:r>
      <w:r w:rsidR="00AE7963">
        <w:t xml:space="preserve">. </w:t>
      </w:r>
    </w:p>
    <w:p w14:paraId="03C361E2" w14:textId="2ABFDC82" w:rsidR="00AE7963" w:rsidRDefault="004D3BB6" w:rsidP="00084945">
      <w:pPr>
        <w:tabs>
          <w:tab w:val="left" w:pos="360"/>
          <w:tab w:val="left" w:pos="720"/>
          <w:tab w:val="left" w:pos="1080"/>
          <w:tab w:val="left" w:pos="1440"/>
          <w:tab w:val="left" w:pos="1800"/>
          <w:tab w:val="left" w:pos="2160"/>
        </w:tabs>
        <w:ind w:left="1800" w:hanging="1800"/>
      </w:pPr>
      <w:r>
        <w:tab/>
      </w:r>
      <w:r>
        <w:tab/>
      </w:r>
      <w:r>
        <w:tab/>
      </w:r>
      <w:r w:rsidR="00084945">
        <w:tab/>
      </w:r>
      <w:r w:rsidR="009669FB">
        <w:t>i</w:t>
      </w:r>
      <w:r w:rsidR="00F04F65">
        <w:t xml:space="preserve">. </w:t>
      </w:r>
      <w:r w:rsidR="00AE7963">
        <w:t xml:space="preserve"> </w:t>
      </w:r>
      <w:r>
        <w:tab/>
      </w:r>
      <w:r w:rsidR="00EF78AB">
        <w:t>T</w:t>
      </w:r>
      <w:r w:rsidR="00AE7963" w:rsidRPr="00E83E5D">
        <w:t xml:space="preserve">he five </w:t>
      </w:r>
      <w:r w:rsidR="00725972" w:rsidRPr="00E83E5D">
        <w:t>high</w:t>
      </w:r>
      <w:r w:rsidR="00725972">
        <w:t>-</w:t>
      </w:r>
      <w:r w:rsidR="00AE7963" w:rsidRPr="00E83E5D">
        <w:t>leverag</w:t>
      </w:r>
      <w:r w:rsidR="00F04F65">
        <w:t xml:space="preserve">e instructional practices </w:t>
      </w:r>
      <w:r w:rsidR="00EF78AB">
        <w:t xml:space="preserve">are </w:t>
      </w:r>
      <w:r w:rsidR="00AE7963" w:rsidRPr="00E83E5D">
        <w:t xml:space="preserve">aligned </w:t>
      </w:r>
      <w:r w:rsidR="00725972">
        <w:t>with</w:t>
      </w:r>
      <w:r w:rsidR="00725972" w:rsidRPr="00E83E5D">
        <w:t xml:space="preserve"> </w:t>
      </w:r>
      <w:r w:rsidR="00AE7963" w:rsidRPr="00E83E5D">
        <w:t>the Massa</w:t>
      </w:r>
      <w:r w:rsidR="00941DE9">
        <w:t xml:space="preserve">chusetts educator </w:t>
      </w:r>
      <w:r w:rsidR="00AE7963" w:rsidRPr="00E83E5D">
        <w:t>evaluation rubric.</w:t>
      </w:r>
      <w:r w:rsidR="00F04F65">
        <w:t xml:space="preserve"> Evaluators </w:t>
      </w:r>
      <w:r w:rsidR="00AE7963" w:rsidRPr="00E83E5D">
        <w:t xml:space="preserve">participate in monthly </w:t>
      </w:r>
      <w:r w:rsidR="00725972">
        <w:t>PD</w:t>
      </w:r>
      <w:r w:rsidR="00AE7963" w:rsidRPr="00E83E5D">
        <w:t xml:space="preserve"> </w:t>
      </w:r>
      <w:r w:rsidR="00725972">
        <w:t>to</w:t>
      </w:r>
      <w:r w:rsidR="00725972" w:rsidRPr="00E83E5D">
        <w:t xml:space="preserve"> calibrat</w:t>
      </w:r>
      <w:r w:rsidR="00725972">
        <w:t xml:space="preserve">e expectations about </w:t>
      </w:r>
      <w:r w:rsidR="00AE7963" w:rsidRPr="00E83E5D">
        <w:t xml:space="preserve">these five </w:t>
      </w:r>
      <w:r w:rsidR="00725972" w:rsidRPr="00E83E5D">
        <w:t>high</w:t>
      </w:r>
      <w:r w:rsidR="00725972">
        <w:t>-</w:t>
      </w:r>
      <w:r w:rsidR="00AE7963" w:rsidRPr="00E83E5D">
        <w:t xml:space="preserve">leverage instructional practices. </w:t>
      </w:r>
    </w:p>
    <w:p w14:paraId="798ED265" w14:textId="2EA41C15" w:rsidR="00AE7963" w:rsidRDefault="004D3BB6" w:rsidP="00725972">
      <w:pPr>
        <w:tabs>
          <w:tab w:val="left" w:pos="360"/>
          <w:tab w:val="left" w:pos="720"/>
          <w:tab w:val="left" w:pos="1080"/>
          <w:tab w:val="left" w:pos="1440"/>
          <w:tab w:val="left" w:pos="1800"/>
          <w:tab w:val="left" w:pos="2160"/>
        </w:tabs>
        <w:ind w:left="1800" w:hanging="1800"/>
      </w:pPr>
      <w:r>
        <w:tab/>
      </w:r>
      <w:r>
        <w:tab/>
      </w:r>
      <w:r>
        <w:tab/>
      </w:r>
      <w:r w:rsidR="00725972">
        <w:tab/>
      </w:r>
      <w:r w:rsidR="009669FB">
        <w:t>ii</w:t>
      </w:r>
      <w:r w:rsidR="00941DE9">
        <w:t xml:space="preserve">. </w:t>
      </w:r>
      <w:r>
        <w:tab/>
      </w:r>
      <w:r w:rsidR="001049D3">
        <w:t>Principals</w:t>
      </w:r>
      <w:r w:rsidR="00AE7963">
        <w:t xml:space="preserve"> and teachers </w:t>
      </w:r>
      <w:r w:rsidR="00725972">
        <w:t xml:space="preserve">stated </w:t>
      </w:r>
      <w:r w:rsidR="00AE7963">
        <w:t>that evaluators conduct</w:t>
      </w:r>
      <w:r w:rsidR="00171DCA">
        <w:t>ed</w:t>
      </w:r>
      <w:r w:rsidR="00AE7963">
        <w:t xml:space="preserve"> six </w:t>
      </w:r>
      <w:r w:rsidR="00171DCA">
        <w:t xml:space="preserve">observations </w:t>
      </w:r>
      <w:r w:rsidR="00AE7963">
        <w:t xml:space="preserve">per year to provide </w:t>
      </w:r>
      <w:r w:rsidR="00171DCA">
        <w:t xml:space="preserve">targeted and </w:t>
      </w:r>
      <w:r w:rsidR="00AE7963">
        <w:t>actionable feedback to teachers on these practices.</w:t>
      </w:r>
    </w:p>
    <w:p w14:paraId="772A6ED7" w14:textId="22824BF7" w:rsidR="00AE7963" w:rsidRDefault="004D3BB6" w:rsidP="00725972">
      <w:pPr>
        <w:tabs>
          <w:tab w:val="left" w:pos="360"/>
          <w:tab w:val="left" w:pos="720"/>
          <w:tab w:val="left" w:pos="1080"/>
          <w:tab w:val="left" w:pos="1440"/>
          <w:tab w:val="left" w:pos="1800"/>
          <w:tab w:val="left" w:pos="2160"/>
        </w:tabs>
        <w:ind w:left="1800" w:hanging="1800"/>
      </w:pPr>
      <w:r>
        <w:tab/>
      </w:r>
      <w:r>
        <w:tab/>
      </w:r>
      <w:r>
        <w:tab/>
      </w:r>
      <w:r w:rsidR="00725972">
        <w:tab/>
      </w:r>
      <w:r w:rsidR="009669FB">
        <w:t>iii</w:t>
      </w:r>
      <w:r w:rsidR="00941DE9">
        <w:t xml:space="preserve">. </w:t>
      </w:r>
      <w:r>
        <w:tab/>
      </w:r>
      <w:r w:rsidR="00AE7963" w:rsidRPr="00543E93">
        <w:t xml:space="preserve">Each </w:t>
      </w:r>
      <w:r w:rsidR="00AE7963">
        <w:t xml:space="preserve">district </w:t>
      </w:r>
      <w:r w:rsidR="00AE7963" w:rsidRPr="00543E93">
        <w:t>school</w:t>
      </w:r>
      <w:r w:rsidR="00941DE9">
        <w:t xml:space="preserve"> </w:t>
      </w:r>
      <w:r w:rsidR="00AE7963" w:rsidRPr="00543E93">
        <w:t xml:space="preserve">identified one of the five </w:t>
      </w:r>
      <w:r w:rsidR="00171DCA" w:rsidRPr="00543E93">
        <w:t>high</w:t>
      </w:r>
      <w:r w:rsidR="00171DCA">
        <w:t>-</w:t>
      </w:r>
      <w:r w:rsidR="00AE7963" w:rsidRPr="00543E93">
        <w:t>leverage instructional practices to target during the 2017</w:t>
      </w:r>
      <w:r w:rsidR="0033670F">
        <w:t>–</w:t>
      </w:r>
      <w:r w:rsidR="00AE7963" w:rsidRPr="00543E93">
        <w:t xml:space="preserve">2018 school year. For example, </w:t>
      </w:r>
      <w:r w:rsidR="00171DCA">
        <w:t>during 2017</w:t>
      </w:r>
      <w:r w:rsidR="005F5321">
        <w:t>–</w:t>
      </w:r>
      <w:r w:rsidR="00171DCA">
        <w:t>2018</w:t>
      </w:r>
      <w:r w:rsidR="00483FA1">
        <w:t>,</w:t>
      </w:r>
      <w:r w:rsidR="00171DCA">
        <w:t xml:space="preserve"> </w:t>
      </w:r>
      <w:r w:rsidR="00AE7963" w:rsidRPr="00543E93">
        <w:t>several elementary s</w:t>
      </w:r>
      <w:r w:rsidR="00941DE9">
        <w:t xml:space="preserve">chools </w:t>
      </w:r>
      <w:r w:rsidR="00171DCA">
        <w:t xml:space="preserve">were </w:t>
      </w:r>
      <w:r w:rsidR="00941DE9">
        <w:t xml:space="preserve">focusing on meeting </w:t>
      </w:r>
      <w:r w:rsidR="00AE7963" w:rsidRPr="00543E93">
        <w:t xml:space="preserve">diverse needs while the middle school </w:t>
      </w:r>
      <w:r w:rsidR="00171DCA">
        <w:t xml:space="preserve">was </w:t>
      </w:r>
      <w:r w:rsidR="00AE7963" w:rsidRPr="00543E93">
        <w:t xml:space="preserve">focusing on student engagement. </w:t>
      </w:r>
    </w:p>
    <w:p w14:paraId="5E8C1460" w14:textId="399D299C" w:rsidR="004D3BB6" w:rsidRDefault="004D3BB6" w:rsidP="00725972">
      <w:pPr>
        <w:tabs>
          <w:tab w:val="left" w:pos="360"/>
          <w:tab w:val="left" w:pos="720"/>
          <w:tab w:val="left" w:pos="1080"/>
          <w:tab w:val="left" w:pos="1440"/>
          <w:tab w:val="left" w:pos="1800"/>
          <w:tab w:val="left" w:pos="2160"/>
        </w:tabs>
        <w:ind w:left="1800" w:hanging="1800"/>
      </w:pPr>
      <w:r>
        <w:tab/>
      </w:r>
      <w:r>
        <w:tab/>
      </w:r>
      <w:r>
        <w:tab/>
      </w:r>
      <w:r w:rsidR="00725972">
        <w:tab/>
      </w:r>
      <w:r w:rsidR="009669FB">
        <w:t>i</w:t>
      </w:r>
      <w:r w:rsidR="00C65400">
        <w:t>v.</w:t>
      </w:r>
      <w:r w:rsidR="009669FB">
        <w:t xml:space="preserve"> </w:t>
      </w:r>
      <w:r>
        <w:tab/>
      </w:r>
      <w:r w:rsidR="00AE7963" w:rsidRPr="00543E93">
        <w:t xml:space="preserve">The superintendent and </w:t>
      </w:r>
      <w:r w:rsidR="00171DCA">
        <w:t xml:space="preserve">the </w:t>
      </w:r>
      <w:r w:rsidR="00AE7963" w:rsidRPr="00543E93">
        <w:t xml:space="preserve">principals </w:t>
      </w:r>
      <w:r w:rsidR="00171DCA">
        <w:t xml:space="preserve">told the team that they </w:t>
      </w:r>
      <w:r w:rsidR="00AE7963" w:rsidRPr="00543E93">
        <w:t>conduct</w:t>
      </w:r>
      <w:r w:rsidR="00171DCA">
        <w:t>ed</w:t>
      </w:r>
      <w:r w:rsidR="00AE7963" w:rsidRPr="00543E93">
        <w:t xml:space="preserve"> monthly learning walks to monitor and track the implementation of the five </w:t>
      </w:r>
      <w:r w:rsidR="00171DCA" w:rsidRPr="00543E93">
        <w:t>high</w:t>
      </w:r>
      <w:r w:rsidR="00171DCA">
        <w:t>-</w:t>
      </w:r>
      <w:r w:rsidR="00AE7963" w:rsidRPr="00543E93">
        <w:t>leverage</w:t>
      </w:r>
      <w:r w:rsidR="00AE7963">
        <w:t xml:space="preserve"> instructional </w:t>
      </w:r>
      <w:r w:rsidR="00AE7963" w:rsidRPr="00543E93">
        <w:t>practices.</w:t>
      </w:r>
    </w:p>
    <w:p w14:paraId="194195D0" w14:textId="070CCC6D" w:rsidR="000F68EE" w:rsidRDefault="000F68EE" w:rsidP="000F68EE">
      <w:pPr>
        <w:tabs>
          <w:tab w:val="left" w:pos="360"/>
          <w:tab w:val="left" w:pos="720"/>
          <w:tab w:val="left" w:pos="1080"/>
          <w:tab w:val="left" w:pos="1440"/>
          <w:tab w:val="left" w:pos="1800"/>
          <w:tab w:val="left" w:pos="2160"/>
        </w:tabs>
        <w:ind w:left="1080" w:hanging="1080"/>
      </w:pPr>
      <w:r>
        <w:tab/>
      </w:r>
      <w:r>
        <w:tab/>
      </w:r>
      <w:r w:rsidR="005922AB">
        <w:t>3</w:t>
      </w:r>
      <w:r>
        <w:t>.</w:t>
      </w:r>
      <w:r>
        <w:tab/>
        <w:t>T</w:t>
      </w:r>
      <w:r w:rsidRPr="00704063">
        <w:t xml:space="preserve">he district’s instructional leadership </w:t>
      </w:r>
      <w:r>
        <w:t>team (ILT) updates the Instructional Strategy annually</w:t>
      </w:r>
      <w:r w:rsidRPr="00704063">
        <w:t xml:space="preserve">.  </w:t>
      </w:r>
    </w:p>
    <w:p w14:paraId="62C90F2B" w14:textId="7546BE70" w:rsidR="005922AB" w:rsidRDefault="005922AB" w:rsidP="005922AB">
      <w:pPr>
        <w:tabs>
          <w:tab w:val="left" w:pos="360"/>
          <w:tab w:val="left" w:pos="720"/>
          <w:tab w:val="left" w:pos="1080"/>
          <w:tab w:val="left" w:pos="1440"/>
          <w:tab w:val="left" w:pos="1800"/>
          <w:tab w:val="left" w:pos="2160"/>
        </w:tabs>
        <w:ind w:left="720" w:hanging="720"/>
      </w:pPr>
      <w:r>
        <w:tab/>
      </w:r>
      <w:r w:rsidRPr="00E22258">
        <w:rPr>
          <w:b/>
        </w:rPr>
        <w:t>B.</w:t>
      </w:r>
      <w:r>
        <w:t xml:space="preserve"> </w:t>
      </w:r>
      <w:r>
        <w:tab/>
        <w:t>Interviews with district leaders, school leaders, and teachers indicated that the Instructional Strategy was viewed throughout the district as the guiding document for teaching and learning and that it included the district’s vision and core values.</w:t>
      </w:r>
    </w:p>
    <w:p w14:paraId="238DBEC8" w14:textId="28607461" w:rsidR="00AE7963" w:rsidRPr="00745EDF" w:rsidRDefault="00937130" w:rsidP="004D3BB6">
      <w:pPr>
        <w:tabs>
          <w:tab w:val="left" w:pos="360"/>
          <w:tab w:val="left" w:pos="720"/>
          <w:tab w:val="left" w:pos="1080"/>
          <w:tab w:val="left" w:pos="1440"/>
          <w:tab w:val="left" w:pos="1800"/>
          <w:tab w:val="left" w:pos="2160"/>
        </w:tabs>
        <w:ind w:left="720" w:hanging="360"/>
      </w:pPr>
      <w:r>
        <w:rPr>
          <w:b/>
        </w:rPr>
        <w:t>C</w:t>
      </w:r>
      <w:r w:rsidR="00AE7963" w:rsidRPr="00745EDF">
        <w:rPr>
          <w:b/>
        </w:rPr>
        <w:t>.</w:t>
      </w:r>
      <w:r w:rsidR="00AE7963">
        <w:rPr>
          <w:b/>
        </w:rPr>
        <w:t xml:space="preserve"> </w:t>
      </w:r>
      <w:r w:rsidR="004D3BB6">
        <w:rPr>
          <w:b/>
        </w:rPr>
        <w:tab/>
      </w:r>
      <w:r w:rsidR="004A12D2">
        <w:t>T</w:t>
      </w:r>
      <w:r w:rsidR="00AE7963" w:rsidRPr="00745EDF">
        <w:t xml:space="preserve">he </w:t>
      </w:r>
      <w:r w:rsidR="00401A5D">
        <w:t xml:space="preserve">Instructional Strategy’s </w:t>
      </w:r>
      <w:r w:rsidR="004A12D2">
        <w:t xml:space="preserve">teaching and learning </w:t>
      </w:r>
      <w:r w:rsidR="00AE7963" w:rsidRPr="00745EDF">
        <w:t xml:space="preserve">objectives and initiatives </w:t>
      </w:r>
      <w:r w:rsidR="004A12D2">
        <w:t>guide t</w:t>
      </w:r>
      <w:r w:rsidR="004A12D2" w:rsidRPr="00745EDF">
        <w:t xml:space="preserve">he district’s </w:t>
      </w:r>
      <w:r w:rsidR="00171DCA">
        <w:t>PD</w:t>
      </w:r>
      <w:r w:rsidR="009669FB">
        <w:t xml:space="preserve"> </w:t>
      </w:r>
      <w:r>
        <w:t>offerings</w:t>
      </w:r>
      <w:r w:rsidR="009669FB">
        <w:t>.</w:t>
      </w:r>
    </w:p>
    <w:p w14:paraId="0FDCB31C" w14:textId="0FD05450" w:rsidR="00AE7963" w:rsidRDefault="00AE7963" w:rsidP="00171DCA">
      <w:pPr>
        <w:tabs>
          <w:tab w:val="left" w:pos="720"/>
          <w:tab w:val="left" w:pos="1080"/>
          <w:tab w:val="left" w:pos="1440"/>
          <w:tab w:val="left" w:pos="1800"/>
          <w:tab w:val="left" w:pos="2160"/>
        </w:tabs>
        <w:ind w:left="1080" w:hanging="360"/>
      </w:pPr>
      <w:r w:rsidRPr="00EC5D74">
        <w:t>1.</w:t>
      </w:r>
      <w:r>
        <w:t xml:space="preserve">   </w:t>
      </w:r>
      <w:r w:rsidR="00171DCA">
        <w:tab/>
        <w:t>An interview with</w:t>
      </w:r>
      <w:r w:rsidRPr="00745EDF">
        <w:t xml:space="preserve"> the superintendent and a </w:t>
      </w:r>
      <w:r w:rsidR="00171DCA">
        <w:t xml:space="preserve">document </w:t>
      </w:r>
      <w:r w:rsidRPr="00745EDF">
        <w:t xml:space="preserve">review </w:t>
      </w:r>
      <w:r w:rsidR="00171DCA">
        <w:t>indicated that</w:t>
      </w:r>
      <w:r w:rsidR="00171DCA" w:rsidRPr="00745EDF">
        <w:t xml:space="preserve"> </w:t>
      </w:r>
      <w:r w:rsidRPr="00745EDF">
        <w:t xml:space="preserve">all </w:t>
      </w:r>
      <w:r w:rsidR="00171DCA">
        <w:t>PD</w:t>
      </w:r>
      <w:r w:rsidRPr="00745EDF">
        <w:t xml:space="preserve"> for evaluators, principals</w:t>
      </w:r>
      <w:r w:rsidR="00171DCA">
        <w:t>,</w:t>
      </w:r>
      <w:r w:rsidRPr="00745EDF">
        <w:t xml:space="preserve"> and teachers </w:t>
      </w:r>
      <w:r w:rsidR="00171DCA">
        <w:t>was</w:t>
      </w:r>
      <w:r w:rsidR="00171DCA" w:rsidRPr="00745EDF">
        <w:t xml:space="preserve"> </w:t>
      </w:r>
      <w:r w:rsidRPr="00745EDF">
        <w:t>linked to the Instructional Strategy</w:t>
      </w:r>
      <w:r w:rsidR="008C1C2F">
        <w:t xml:space="preserve">’s </w:t>
      </w:r>
      <w:r w:rsidR="008C1C2F" w:rsidRPr="00EC5D74">
        <w:t>objectives of quality</w:t>
      </w:r>
      <w:r w:rsidR="008C1C2F" w:rsidRPr="008C1C2F">
        <w:t xml:space="preserve"> </w:t>
      </w:r>
      <w:r w:rsidR="008C1C2F" w:rsidRPr="00EC5D74">
        <w:t>teaching, rigorous curriculum</w:t>
      </w:r>
      <w:r w:rsidR="00937130">
        <w:t>,</w:t>
      </w:r>
      <w:r w:rsidR="008C1C2F" w:rsidRPr="00EC5D74">
        <w:t xml:space="preserve"> and individualized student </w:t>
      </w:r>
      <w:r w:rsidR="008C1C2F">
        <w:t>learning</w:t>
      </w:r>
      <w:r w:rsidRPr="00745EDF">
        <w:t xml:space="preserve">. </w:t>
      </w:r>
    </w:p>
    <w:p w14:paraId="6490E425" w14:textId="1E1F584D" w:rsidR="00AE7963" w:rsidRPr="00AC37FC" w:rsidRDefault="00AE7963" w:rsidP="003245F2">
      <w:pPr>
        <w:tabs>
          <w:tab w:val="left" w:pos="0"/>
          <w:tab w:val="left" w:pos="360"/>
          <w:tab w:val="left" w:pos="720"/>
          <w:tab w:val="left" w:pos="1080"/>
          <w:tab w:val="left" w:pos="1440"/>
          <w:tab w:val="left" w:pos="1800"/>
          <w:tab w:val="left" w:pos="2160"/>
        </w:tabs>
        <w:ind w:left="1080" w:hanging="1079"/>
      </w:pPr>
      <w:r>
        <w:t xml:space="preserve">             </w:t>
      </w:r>
      <w:r w:rsidR="00166C3A">
        <w:t xml:space="preserve"> </w:t>
      </w:r>
      <w:r w:rsidR="008C1C2F">
        <w:t>2.</w:t>
      </w:r>
      <w:r w:rsidR="00166C3A">
        <w:tab/>
      </w:r>
      <w:r w:rsidRPr="00AC37FC">
        <w:t xml:space="preserve">Along with </w:t>
      </w:r>
      <w:r w:rsidR="008C1C2F" w:rsidRPr="00AC37FC">
        <w:t>district</w:t>
      </w:r>
      <w:r w:rsidR="008C1C2F">
        <w:t>-</w:t>
      </w:r>
      <w:r w:rsidRPr="00AC37FC">
        <w:t xml:space="preserve">based </w:t>
      </w:r>
      <w:r w:rsidR="008C1C2F">
        <w:t>PD</w:t>
      </w:r>
      <w:r w:rsidRPr="00AC37FC">
        <w:t xml:space="preserve"> and outside opportunities, the dis</w:t>
      </w:r>
      <w:r w:rsidR="004A78E7">
        <w:t>trict provides school-based and</w:t>
      </w:r>
      <w:r w:rsidRPr="00AC37FC">
        <w:t xml:space="preserve"> job embedded </w:t>
      </w:r>
      <w:r w:rsidR="00401A5D">
        <w:t>PD</w:t>
      </w:r>
      <w:r w:rsidR="00937130">
        <w:t>, which</w:t>
      </w:r>
      <w:r w:rsidRPr="00AC37FC">
        <w:t xml:space="preserve"> also </w:t>
      </w:r>
      <w:r w:rsidR="00937130">
        <w:t xml:space="preserve">are </w:t>
      </w:r>
      <w:r w:rsidRPr="00AC37FC">
        <w:t xml:space="preserve">connected to </w:t>
      </w:r>
      <w:r w:rsidR="004A78E7">
        <w:t>the Instructional Strategy</w:t>
      </w:r>
      <w:r w:rsidR="003245F2">
        <w:t>.</w:t>
      </w:r>
      <w:r w:rsidRPr="00AC37FC">
        <w:t xml:space="preserve"> </w:t>
      </w:r>
    </w:p>
    <w:p w14:paraId="01CB3C45" w14:textId="55CC012D" w:rsidR="00AE7963" w:rsidRDefault="00AE7963" w:rsidP="003245F2">
      <w:pPr>
        <w:pStyle w:val="ListParagraph"/>
        <w:tabs>
          <w:tab w:val="left" w:pos="360"/>
          <w:tab w:val="left" w:pos="720"/>
          <w:tab w:val="left" w:pos="1080"/>
          <w:tab w:val="left" w:pos="1800"/>
          <w:tab w:val="left" w:pos="2160"/>
        </w:tabs>
        <w:ind w:left="0"/>
        <w:contextualSpacing w:val="0"/>
      </w:pPr>
      <w:r w:rsidRPr="00013362">
        <w:rPr>
          <w:b/>
        </w:rPr>
        <w:t>Impact:</w:t>
      </w:r>
      <w:r>
        <w:rPr>
          <w:b/>
        </w:rPr>
        <w:t xml:space="preserve">  </w:t>
      </w:r>
      <w:r>
        <w:t xml:space="preserve">By developing a coherent </w:t>
      </w:r>
      <w:r w:rsidR="008C1C2F">
        <w:t xml:space="preserve">strategic plan </w:t>
      </w:r>
      <w:r>
        <w:t>linking the district’s strategic teaching and learning goals with its vision, mission, and core va</w:t>
      </w:r>
      <w:r w:rsidR="00C93518">
        <w:t>lues</w:t>
      </w:r>
      <w:r w:rsidR="00BE56B2">
        <w:t xml:space="preserve"> and by closely aligning </w:t>
      </w:r>
      <w:r>
        <w:t xml:space="preserve">its </w:t>
      </w:r>
      <w:r w:rsidR="008C1C2F">
        <w:t>PD</w:t>
      </w:r>
      <w:r>
        <w:t xml:space="preserve"> plan </w:t>
      </w:r>
      <w:r w:rsidR="008C1C2F">
        <w:t xml:space="preserve">with the strategic plan’s </w:t>
      </w:r>
      <w:r>
        <w:t xml:space="preserve">objectives, the district has </w:t>
      </w:r>
      <w:r w:rsidR="001049D3">
        <w:t>fostered</w:t>
      </w:r>
      <w:r>
        <w:t xml:space="preserve"> shared </w:t>
      </w:r>
      <w:r w:rsidR="001049D3">
        <w:t>responsibility among educators and educational leaders</w:t>
      </w:r>
      <w:r>
        <w:t xml:space="preserve"> </w:t>
      </w:r>
      <w:r w:rsidR="001049D3">
        <w:t xml:space="preserve">for </w:t>
      </w:r>
      <w:r>
        <w:t>student learning.</w:t>
      </w:r>
    </w:p>
    <w:p w14:paraId="3D2107A2" w14:textId="30A3F80B" w:rsidR="00FC5CD3" w:rsidRDefault="00FC5CD3" w:rsidP="003507DC">
      <w:pPr>
        <w:pStyle w:val="ListParagraph"/>
        <w:tabs>
          <w:tab w:val="left" w:pos="360"/>
          <w:tab w:val="left" w:pos="720"/>
          <w:tab w:val="left" w:pos="1080"/>
          <w:tab w:val="left" w:pos="1440"/>
          <w:tab w:val="left" w:pos="1800"/>
          <w:tab w:val="left" w:pos="2160"/>
        </w:tabs>
        <w:ind w:left="360" w:hanging="360"/>
        <w:contextualSpacing w:val="0"/>
        <w:rPr>
          <w:b/>
        </w:rPr>
      </w:pPr>
      <w:r>
        <w:rPr>
          <w:b/>
        </w:rPr>
        <w:lastRenderedPageBreak/>
        <w:t>3.</w:t>
      </w:r>
      <w:r>
        <w:rPr>
          <w:b/>
        </w:rPr>
        <w:tab/>
      </w:r>
      <w:r w:rsidRPr="008825DB">
        <w:rPr>
          <w:b/>
        </w:rPr>
        <w:t xml:space="preserve">In observed classrooms, </w:t>
      </w:r>
      <w:r w:rsidR="003507DC" w:rsidRPr="008825DB">
        <w:rPr>
          <w:b/>
        </w:rPr>
        <w:t>routines and supports were in place to ensure appropriate student behavior and classroom climate was conducive to teaching and learning.</w:t>
      </w:r>
    </w:p>
    <w:p w14:paraId="0BF64453" w14:textId="4E67AA91" w:rsidR="00FC5CD3" w:rsidRDefault="00FC5CD3" w:rsidP="00FC5CD3">
      <w:pPr>
        <w:pStyle w:val="ListParagraph"/>
        <w:tabs>
          <w:tab w:val="left" w:pos="360"/>
          <w:tab w:val="left" w:pos="720"/>
          <w:tab w:val="left" w:pos="1080"/>
          <w:tab w:val="left" w:pos="1440"/>
          <w:tab w:val="left" w:pos="1800"/>
          <w:tab w:val="left" w:pos="2160"/>
          <w:tab w:val="left" w:pos="2520"/>
        </w:tabs>
        <w:ind w:hanging="360"/>
        <w:contextualSpacing w:val="0"/>
      </w:pPr>
      <w:r w:rsidRPr="00E22258">
        <w:rPr>
          <w:b/>
        </w:rPr>
        <w:t>A</w:t>
      </w:r>
      <w:r w:rsidRPr="00E22258">
        <w:t>.</w:t>
      </w:r>
      <w:r w:rsidRPr="00B819E0">
        <w:rPr>
          <w:b/>
        </w:rPr>
        <w:t xml:space="preserve"> </w:t>
      </w:r>
      <w:r>
        <w:rPr>
          <w:b/>
        </w:rPr>
        <w:tab/>
      </w:r>
      <w:r>
        <w:t>The review team found sufficient and compelling evidence of classroom routines and positive supports in place to ensure that students behave appropriately (characteristic #11) i</w:t>
      </w:r>
      <w:r w:rsidRPr="00B819E0">
        <w:t>n</w:t>
      </w:r>
      <w:r>
        <w:t xml:space="preserve"> 95 percent of </w:t>
      </w:r>
      <w:r w:rsidR="00200E9D">
        <w:t xml:space="preserve">observed </w:t>
      </w:r>
      <w:r>
        <w:t xml:space="preserve">elementary classrooms, in 87 percent of </w:t>
      </w:r>
      <w:r w:rsidR="00200E9D">
        <w:t xml:space="preserve">observed </w:t>
      </w:r>
      <w:r>
        <w:t xml:space="preserve">middle-school classrooms, and in 84 percent of </w:t>
      </w:r>
      <w:r w:rsidR="00200E9D">
        <w:t xml:space="preserve">observed </w:t>
      </w:r>
      <w:r>
        <w:t xml:space="preserve">high-school classrooms. </w:t>
      </w:r>
    </w:p>
    <w:p w14:paraId="55AAB58D" w14:textId="00EAEB66" w:rsidR="00FC5CD3" w:rsidRDefault="00FC5CD3" w:rsidP="00166C3A">
      <w:pPr>
        <w:tabs>
          <w:tab w:val="left" w:pos="360"/>
          <w:tab w:val="left" w:pos="720"/>
          <w:tab w:val="left" w:pos="1080"/>
          <w:tab w:val="left" w:pos="1440"/>
          <w:tab w:val="left" w:pos="1800"/>
        </w:tabs>
        <w:ind w:left="1080" w:hanging="360"/>
      </w:pPr>
      <w:r>
        <w:t>1.</w:t>
      </w:r>
      <w:r>
        <w:tab/>
        <w:t xml:space="preserve">At all levels, the review team noted that in almost all observed classes the routines were consistent and effective. </w:t>
      </w:r>
    </w:p>
    <w:p w14:paraId="01A7D349" w14:textId="648E3629" w:rsidR="00FC5CD3" w:rsidRDefault="00FC5CD3" w:rsidP="00937130">
      <w:pPr>
        <w:tabs>
          <w:tab w:val="left" w:pos="360"/>
          <w:tab w:val="left" w:pos="720"/>
          <w:tab w:val="left" w:pos="1080"/>
          <w:tab w:val="left" w:pos="1440"/>
          <w:tab w:val="left" w:pos="1800"/>
        </w:tabs>
        <w:ind w:left="1440" w:hanging="1440"/>
      </w:pPr>
      <w:r>
        <w:tab/>
      </w:r>
      <w:r>
        <w:tab/>
      </w:r>
      <w:r w:rsidR="00166C3A">
        <w:tab/>
      </w:r>
      <w:r>
        <w:t>a.</w:t>
      </w:r>
      <w:r w:rsidR="003507DC">
        <w:tab/>
      </w:r>
      <w:r>
        <w:t>There were few disruptions in lessons</w:t>
      </w:r>
      <w:r w:rsidR="004D1D55">
        <w:t>;</w:t>
      </w:r>
      <w:r>
        <w:t xml:space="preserve"> when </w:t>
      </w:r>
      <w:r w:rsidR="004D1D55">
        <w:t xml:space="preserve">disruptions </w:t>
      </w:r>
      <w:r>
        <w:t>took place, teachers positively redirected students. At the elementary level, transitions took place seamlessly. Middle- and high-school students arrived to class on time and in an orderly manner.</w:t>
      </w:r>
    </w:p>
    <w:p w14:paraId="1E6154AA" w14:textId="210668B1" w:rsidR="00FC5CD3" w:rsidRDefault="00FC5CD3" w:rsidP="00166C3A">
      <w:pPr>
        <w:tabs>
          <w:tab w:val="left" w:pos="360"/>
          <w:tab w:val="left" w:pos="720"/>
          <w:tab w:val="left" w:pos="1080"/>
          <w:tab w:val="left" w:pos="1440"/>
          <w:tab w:val="left" w:pos="1800"/>
        </w:tabs>
        <w:ind w:left="720" w:hanging="360"/>
      </w:pPr>
      <w:r w:rsidRPr="00E22258">
        <w:rPr>
          <w:b/>
        </w:rPr>
        <w:t>B</w:t>
      </w:r>
      <w:r>
        <w:t>.</w:t>
      </w:r>
      <w:r>
        <w:tab/>
        <w:t xml:space="preserve">Observers </w:t>
      </w:r>
      <w:r w:rsidRPr="00D15F62">
        <w:t>found sufficient</w:t>
      </w:r>
      <w:r>
        <w:t xml:space="preserve"> and </w:t>
      </w:r>
      <w:r w:rsidRPr="00D15F62">
        <w:t>compelling e</w:t>
      </w:r>
      <w:r>
        <w:t>vidence that classroom climate wa</w:t>
      </w:r>
      <w:r w:rsidRPr="00D15F62">
        <w:t>s conducive to teaching and learning</w:t>
      </w:r>
      <w:r>
        <w:t xml:space="preserve"> in 95 percent of elementary classrooms, in 92 percent of middle-school classrooms, and in 84 percent of high-school classrooms.</w:t>
      </w:r>
    </w:p>
    <w:p w14:paraId="2A803311" w14:textId="77777777" w:rsidR="00FC5CD3" w:rsidRDefault="00FC5CD3" w:rsidP="00FC5CD3">
      <w:pPr>
        <w:pStyle w:val="ListParagraph"/>
        <w:tabs>
          <w:tab w:val="left" w:pos="360"/>
          <w:tab w:val="left" w:pos="720"/>
          <w:tab w:val="left" w:pos="1080"/>
          <w:tab w:val="left" w:pos="1440"/>
          <w:tab w:val="left" w:pos="1800"/>
          <w:tab w:val="left" w:pos="2160"/>
          <w:tab w:val="left" w:pos="2520"/>
        </w:tabs>
        <w:ind w:left="1080" w:hanging="1080"/>
        <w:contextualSpacing w:val="0"/>
      </w:pPr>
      <w:r>
        <w:tab/>
      </w:r>
      <w:r>
        <w:tab/>
        <w:t>1.</w:t>
      </w:r>
      <w:r>
        <w:tab/>
        <w:t xml:space="preserve">Overall, the review team found that students and teachers across the district have respectful relationships. </w:t>
      </w:r>
    </w:p>
    <w:p w14:paraId="68C83D56" w14:textId="6FA67FF1" w:rsidR="00FC5CD3" w:rsidRDefault="00FC5CD3" w:rsidP="00FC5CD3">
      <w:pPr>
        <w:pStyle w:val="ListParagraph"/>
        <w:tabs>
          <w:tab w:val="left" w:pos="360"/>
          <w:tab w:val="left" w:pos="720"/>
          <w:tab w:val="left" w:pos="1080"/>
          <w:tab w:val="left" w:pos="1440"/>
          <w:tab w:val="left" w:pos="1800"/>
          <w:tab w:val="left" w:pos="2160"/>
          <w:tab w:val="left" w:pos="2520"/>
        </w:tabs>
        <w:ind w:left="1440" w:hanging="1440"/>
        <w:contextualSpacing w:val="0"/>
      </w:pPr>
      <w:r>
        <w:tab/>
      </w:r>
      <w:r>
        <w:tab/>
      </w:r>
      <w:r>
        <w:tab/>
        <w:t>a.</w:t>
      </w:r>
      <w:r>
        <w:tab/>
        <w:t xml:space="preserve">In observed classrooms, students and teachers used respectful language and conducted classroom discourse in polite and positive tones. </w:t>
      </w:r>
      <w:r w:rsidRPr="00A47650">
        <w:t>The review team characterized classroom environments as caring, supportive, joyful, and friendly with students having a seriousness of purpose.</w:t>
      </w:r>
    </w:p>
    <w:p w14:paraId="1F1BF7A4" w14:textId="7B849502" w:rsidR="0064304E" w:rsidRPr="00E22258" w:rsidRDefault="0064304E" w:rsidP="00E22258">
      <w:pPr>
        <w:pStyle w:val="ListParagraph"/>
        <w:tabs>
          <w:tab w:val="left" w:pos="360"/>
          <w:tab w:val="left" w:pos="720"/>
          <w:tab w:val="left" w:pos="1080"/>
          <w:tab w:val="left" w:pos="1440"/>
          <w:tab w:val="left" w:pos="1800"/>
          <w:tab w:val="left" w:pos="2160"/>
          <w:tab w:val="left" w:pos="2520"/>
        </w:tabs>
        <w:ind w:left="0"/>
        <w:contextualSpacing w:val="0"/>
      </w:pPr>
      <w:r>
        <w:rPr>
          <w:b/>
        </w:rPr>
        <w:t xml:space="preserve">Impact: </w:t>
      </w:r>
      <w:r w:rsidR="0043603C" w:rsidRPr="00E22258">
        <w:t>Supportive routines and respectful relationships promote high levels of student engagement and responsibility.</w:t>
      </w:r>
    </w:p>
    <w:p w14:paraId="6CD3CF92" w14:textId="497CA7C4" w:rsidR="00AE7963" w:rsidRDefault="00AE7963" w:rsidP="00AE7963">
      <w:pPr>
        <w:pStyle w:val="ListParagraph"/>
        <w:tabs>
          <w:tab w:val="left" w:pos="360"/>
          <w:tab w:val="left" w:pos="720"/>
          <w:tab w:val="left" w:pos="1080"/>
          <w:tab w:val="left" w:pos="1800"/>
          <w:tab w:val="left" w:pos="2160"/>
        </w:tabs>
        <w:contextualSpacing w:val="0"/>
        <w:jc w:val="center"/>
        <w:rPr>
          <w:u w:val="single"/>
        </w:rPr>
      </w:pPr>
    </w:p>
    <w:p w14:paraId="4E3CDC79" w14:textId="0F01B4FE" w:rsidR="00A810CC" w:rsidRDefault="00A810CC" w:rsidP="00AE7963">
      <w:pPr>
        <w:pStyle w:val="ListParagraph"/>
        <w:tabs>
          <w:tab w:val="left" w:pos="360"/>
          <w:tab w:val="left" w:pos="720"/>
          <w:tab w:val="left" w:pos="1080"/>
          <w:tab w:val="left" w:pos="1800"/>
          <w:tab w:val="left" w:pos="2160"/>
        </w:tabs>
        <w:contextualSpacing w:val="0"/>
        <w:jc w:val="center"/>
        <w:rPr>
          <w:u w:val="single"/>
        </w:rPr>
      </w:pPr>
    </w:p>
    <w:p w14:paraId="4F893922" w14:textId="0102D9B5" w:rsidR="00A810CC" w:rsidRDefault="00A810CC" w:rsidP="00AE7963">
      <w:pPr>
        <w:pStyle w:val="ListParagraph"/>
        <w:tabs>
          <w:tab w:val="left" w:pos="360"/>
          <w:tab w:val="left" w:pos="720"/>
          <w:tab w:val="left" w:pos="1080"/>
          <w:tab w:val="left" w:pos="1800"/>
          <w:tab w:val="left" w:pos="2160"/>
        </w:tabs>
        <w:contextualSpacing w:val="0"/>
        <w:jc w:val="center"/>
        <w:rPr>
          <w:u w:val="single"/>
        </w:rPr>
      </w:pPr>
    </w:p>
    <w:p w14:paraId="656692CC" w14:textId="0AA990EE" w:rsidR="00A810CC" w:rsidRDefault="00A810CC" w:rsidP="00AE7963">
      <w:pPr>
        <w:pStyle w:val="ListParagraph"/>
        <w:tabs>
          <w:tab w:val="left" w:pos="360"/>
          <w:tab w:val="left" w:pos="720"/>
          <w:tab w:val="left" w:pos="1080"/>
          <w:tab w:val="left" w:pos="1800"/>
          <w:tab w:val="left" w:pos="2160"/>
        </w:tabs>
        <w:contextualSpacing w:val="0"/>
        <w:jc w:val="center"/>
        <w:rPr>
          <w:u w:val="single"/>
        </w:rPr>
      </w:pPr>
    </w:p>
    <w:p w14:paraId="2629A805" w14:textId="4E8054F3" w:rsidR="00A810CC" w:rsidRDefault="00A810CC" w:rsidP="00AE7963">
      <w:pPr>
        <w:pStyle w:val="ListParagraph"/>
        <w:tabs>
          <w:tab w:val="left" w:pos="360"/>
          <w:tab w:val="left" w:pos="720"/>
          <w:tab w:val="left" w:pos="1080"/>
          <w:tab w:val="left" w:pos="1800"/>
          <w:tab w:val="left" w:pos="2160"/>
        </w:tabs>
        <w:contextualSpacing w:val="0"/>
        <w:jc w:val="center"/>
        <w:rPr>
          <w:u w:val="single"/>
        </w:rPr>
      </w:pPr>
    </w:p>
    <w:p w14:paraId="2C47D5C1" w14:textId="1E161757" w:rsidR="00A810CC" w:rsidRDefault="00A810CC" w:rsidP="00AE7963">
      <w:pPr>
        <w:pStyle w:val="ListParagraph"/>
        <w:tabs>
          <w:tab w:val="left" w:pos="360"/>
          <w:tab w:val="left" w:pos="720"/>
          <w:tab w:val="left" w:pos="1080"/>
          <w:tab w:val="left" w:pos="1800"/>
          <w:tab w:val="left" w:pos="2160"/>
        </w:tabs>
        <w:contextualSpacing w:val="0"/>
        <w:jc w:val="center"/>
        <w:rPr>
          <w:u w:val="single"/>
        </w:rPr>
      </w:pPr>
    </w:p>
    <w:p w14:paraId="508A37C6" w14:textId="219DFD02" w:rsidR="00A810CC" w:rsidRDefault="00A810CC" w:rsidP="00AE7963">
      <w:pPr>
        <w:pStyle w:val="ListParagraph"/>
        <w:tabs>
          <w:tab w:val="left" w:pos="360"/>
          <w:tab w:val="left" w:pos="720"/>
          <w:tab w:val="left" w:pos="1080"/>
          <w:tab w:val="left" w:pos="1800"/>
          <w:tab w:val="left" w:pos="2160"/>
        </w:tabs>
        <w:contextualSpacing w:val="0"/>
        <w:jc w:val="center"/>
        <w:rPr>
          <w:u w:val="single"/>
        </w:rPr>
      </w:pPr>
    </w:p>
    <w:p w14:paraId="44FFF019" w14:textId="57ED0214" w:rsidR="00A810CC" w:rsidRDefault="00A810CC" w:rsidP="00AE7963">
      <w:pPr>
        <w:pStyle w:val="ListParagraph"/>
        <w:tabs>
          <w:tab w:val="left" w:pos="360"/>
          <w:tab w:val="left" w:pos="720"/>
          <w:tab w:val="left" w:pos="1080"/>
          <w:tab w:val="left" w:pos="1800"/>
          <w:tab w:val="left" w:pos="2160"/>
        </w:tabs>
        <w:contextualSpacing w:val="0"/>
        <w:jc w:val="center"/>
        <w:rPr>
          <w:u w:val="single"/>
        </w:rPr>
      </w:pPr>
    </w:p>
    <w:p w14:paraId="3A75A649" w14:textId="77777777" w:rsidR="00A810CC" w:rsidRPr="00013362" w:rsidRDefault="00A810CC" w:rsidP="00AE7963">
      <w:pPr>
        <w:pStyle w:val="ListParagraph"/>
        <w:tabs>
          <w:tab w:val="left" w:pos="360"/>
          <w:tab w:val="left" w:pos="720"/>
          <w:tab w:val="left" w:pos="1080"/>
          <w:tab w:val="left" w:pos="1800"/>
          <w:tab w:val="left" w:pos="2160"/>
        </w:tabs>
        <w:contextualSpacing w:val="0"/>
        <w:jc w:val="center"/>
        <w:rPr>
          <w:u w:val="single"/>
        </w:rPr>
      </w:pPr>
    </w:p>
    <w:p w14:paraId="33E7E23B" w14:textId="77777777" w:rsidR="00631031" w:rsidRPr="00551677" w:rsidRDefault="008F1288" w:rsidP="00631031">
      <w:pPr>
        <w:tabs>
          <w:tab w:val="left" w:pos="360"/>
          <w:tab w:val="left" w:pos="720"/>
          <w:tab w:val="left" w:pos="1080"/>
          <w:tab w:val="left" w:pos="1440"/>
          <w:tab w:val="left" w:pos="1800"/>
          <w:tab w:val="left" w:pos="2160"/>
          <w:tab w:val="left" w:pos="2520"/>
          <w:tab w:val="left" w:pos="2880"/>
        </w:tabs>
        <w:rPr>
          <w:b/>
          <w:sz w:val="28"/>
          <w:szCs w:val="28"/>
        </w:rPr>
      </w:pPr>
      <w:r w:rsidRPr="008F1288">
        <w:rPr>
          <w:b/>
          <w:sz w:val="28"/>
          <w:szCs w:val="28"/>
        </w:rPr>
        <w:lastRenderedPageBreak/>
        <w:t>Challenges and Areas for Growth</w:t>
      </w:r>
    </w:p>
    <w:p w14:paraId="445158C8" w14:textId="3CBF8057" w:rsidR="00A810CC" w:rsidRDefault="005A4DAC" w:rsidP="00A810CC">
      <w:pPr>
        <w:tabs>
          <w:tab w:val="left" w:pos="360"/>
          <w:tab w:val="left" w:pos="720"/>
          <w:tab w:val="left" w:pos="1080"/>
          <w:tab w:val="left" w:pos="1440"/>
          <w:tab w:val="left" w:pos="1800"/>
        </w:tabs>
        <w:ind w:left="360" w:hanging="360"/>
        <w:rPr>
          <w:b/>
        </w:rPr>
      </w:pPr>
      <w:r>
        <w:rPr>
          <w:b/>
        </w:rPr>
        <w:t>4</w:t>
      </w:r>
      <w:r w:rsidR="00C53BC0">
        <w:rPr>
          <w:b/>
        </w:rPr>
        <w:t xml:space="preserve">. </w:t>
      </w:r>
      <w:r w:rsidR="00D90D79">
        <w:rPr>
          <w:b/>
        </w:rPr>
        <w:tab/>
      </w:r>
      <w:r w:rsidR="00D40656">
        <w:rPr>
          <w:b/>
        </w:rPr>
        <w:t>I</w:t>
      </w:r>
      <w:r w:rsidR="00AD7EAF">
        <w:rPr>
          <w:b/>
        </w:rPr>
        <w:t>n observed classrooms</w:t>
      </w:r>
      <w:r w:rsidR="00B27EA7">
        <w:rPr>
          <w:b/>
        </w:rPr>
        <w:t xml:space="preserve"> districtwide</w:t>
      </w:r>
      <w:r w:rsidR="00AD7EAF">
        <w:rPr>
          <w:b/>
        </w:rPr>
        <w:t xml:space="preserve"> </w:t>
      </w:r>
      <w:r w:rsidR="00C53BC0" w:rsidRPr="00C53BC0">
        <w:rPr>
          <w:b/>
        </w:rPr>
        <w:t xml:space="preserve">the review team found </w:t>
      </w:r>
      <w:r w:rsidR="00551683" w:rsidRPr="00C53BC0">
        <w:rPr>
          <w:b/>
        </w:rPr>
        <w:t xml:space="preserve">that </w:t>
      </w:r>
      <w:r w:rsidR="00551683">
        <w:rPr>
          <w:b/>
        </w:rPr>
        <w:t>practices</w:t>
      </w:r>
      <w:r w:rsidR="00200E9D">
        <w:rPr>
          <w:b/>
        </w:rPr>
        <w:t xml:space="preserve"> related to </w:t>
      </w:r>
      <w:r w:rsidR="00D40656">
        <w:rPr>
          <w:b/>
        </w:rPr>
        <w:t>setting learning expectations</w:t>
      </w:r>
      <w:r w:rsidR="004F3A34">
        <w:rPr>
          <w:b/>
        </w:rPr>
        <w:t xml:space="preserve"> </w:t>
      </w:r>
      <w:r w:rsidR="00D40656">
        <w:rPr>
          <w:b/>
        </w:rPr>
        <w:t xml:space="preserve">and checking for understanding </w:t>
      </w:r>
      <w:r w:rsidR="004F3A34">
        <w:rPr>
          <w:b/>
        </w:rPr>
        <w:t>were</w:t>
      </w:r>
      <w:r w:rsidR="00C53BC0" w:rsidRPr="00C53BC0">
        <w:rPr>
          <w:b/>
        </w:rPr>
        <w:t xml:space="preserve"> </w:t>
      </w:r>
      <w:r w:rsidR="006F481E">
        <w:rPr>
          <w:b/>
        </w:rPr>
        <w:t xml:space="preserve">not </w:t>
      </w:r>
      <w:r w:rsidR="00C53BC0" w:rsidRPr="00C53BC0">
        <w:rPr>
          <w:b/>
        </w:rPr>
        <w:t>implemented consistently.</w:t>
      </w:r>
    </w:p>
    <w:p w14:paraId="652393D7" w14:textId="12B1A69C" w:rsidR="0074493C" w:rsidRPr="00610DC8" w:rsidRDefault="00B50024" w:rsidP="00A810CC">
      <w:pPr>
        <w:tabs>
          <w:tab w:val="left" w:pos="360"/>
          <w:tab w:val="left" w:pos="720"/>
          <w:tab w:val="left" w:pos="1080"/>
          <w:tab w:val="left" w:pos="1440"/>
          <w:tab w:val="left" w:pos="1800"/>
        </w:tabs>
        <w:ind w:left="360" w:hanging="360"/>
        <w:rPr>
          <w:i/>
        </w:rPr>
      </w:pPr>
      <w:r>
        <w:tab/>
      </w:r>
      <w:r w:rsidR="00C53BC0" w:rsidRPr="00B50024">
        <w:rPr>
          <w:b/>
        </w:rPr>
        <w:t>A.</w:t>
      </w:r>
      <w:r w:rsidR="00C53BC0">
        <w:t xml:space="preserve"> </w:t>
      </w:r>
      <w:r>
        <w:tab/>
      </w:r>
      <w:r w:rsidRPr="00E22258">
        <w:rPr>
          <w:b/>
        </w:rPr>
        <w:t>Focus Ar</w:t>
      </w:r>
      <w:r w:rsidR="0074493C" w:rsidRPr="00E22258">
        <w:rPr>
          <w:b/>
        </w:rPr>
        <w:t>ea #1: Learning Objectives and Expectations</w:t>
      </w:r>
      <w:r w:rsidR="0074493C">
        <w:t xml:space="preserve"> In most observed classrooms,</w:t>
      </w:r>
      <w:r w:rsidR="006B180C">
        <w:t xml:space="preserve"> </w:t>
      </w:r>
      <w:r w:rsidR="0074493C">
        <w:t xml:space="preserve">teachers </w:t>
      </w:r>
      <w:r w:rsidR="006B180C">
        <w:t>explained lesson content with fluency and effectively placed the lesson in a larger context</w:t>
      </w:r>
      <w:r w:rsidR="0074493C">
        <w:t xml:space="preserve">. </w:t>
      </w:r>
    </w:p>
    <w:p w14:paraId="348ED95F" w14:textId="433ECDE3" w:rsidR="00C53BC0" w:rsidRDefault="00610DC8" w:rsidP="0096781C">
      <w:pPr>
        <w:tabs>
          <w:tab w:val="left" w:pos="360"/>
          <w:tab w:val="left" w:pos="720"/>
          <w:tab w:val="left" w:pos="1080"/>
          <w:tab w:val="left" w:pos="1440"/>
          <w:tab w:val="left" w:pos="1800"/>
          <w:tab w:val="left" w:pos="2160"/>
        </w:tabs>
        <w:ind w:left="1080" w:hanging="1080"/>
      </w:pPr>
      <w:r>
        <w:tab/>
      </w:r>
      <w:r>
        <w:tab/>
      </w:r>
      <w:r w:rsidR="006B180C">
        <w:t>1.</w:t>
      </w:r>
      <w:r w:rsidR="006B180C">
        <w:tab/>
      </w:r>
      <w:r w:rsidR="00C53BC0">
        <w:t>The review team found that teachers demonstrated sufficient</w:t>
      </w:r>
      <w:r w:rsidR="006B180C">
        <w:t xml:space="preserve"> and </w:t>
      </w:r>
      <w:r w:rsidR="00C53BC0">
        <w:t xml:space="preserve">compelling evidence of knowledge of the subject matter </w:t>
      </w:r>
      <w:r w:rsidR="006B180C">
        <w:t xml:space="preserve">(characteristic #1) </w:t>
      </w:r>
      <w:r w:rsidR="00C53BC0">
        <w:t xml:space="preserve">in 100 percent of </w:t>
      </w:r>
      <w:r w:rsidR="006B180C">
        <w:t xml:space="preserve">observed </w:t>
      </w:r>
      <w:r w:rsidR="00C53BC0">
        <w:t xml:space="preserve">elementary classes, </w:t>
      </w:r>
      <w:r w:rsidR="00520114">
        <w:t xml:space="preserve">in 65 percent of middle-school classes, and in </w:t>
      </w:r>
      <w:r w:rsidR="00C53BC0">
        <w:t xml:space="preserve">92 percent of </w:t>
      </w:r>
      <w:r w:rsidR="006B180C">
        <w:t>high-</w:t>
      </w:r>
      <w:r w:rsidR="00C53BC0">
        <w:t>school classes.</w:t>
      </w:r>
      <w:r w:rsidR="006B180C">
        <w:t xml:space="preserve"> </w:t>
      </w:r>
    </w:p>
    <w:p w14:paraId="6735F324" w14:textId="14CA478C" w:rsidR="00C53BC0" w:rsidRPr="00C30A3B" w:rsidRDefault="00610DC8" w:rsidP="00166C3A">
      <w:pPr>
        <w:tabs>
          <w:tab w:val="left" w:pos="360"/>
          <w:tab w:val="left" w:pos="720"/>
          <w:tab w:val="left" w:pos="1080"/>
          <w:tab w:val="left" w:pos="1440"/>
          <w:tab w:val="left" w:pos="1800"/>
          <w:tab w:val="left" w:pos="2160"/>
        </w:tabs>
        <w:ind w:left="1440" w:hanging="1440"/>
      </w:pPr>
      <w:r>
        <w:tab/>
      </w:r>
      <w:r>
        <w:tab/>
      </w:r>
      <w:r w:rsidR="00166C3A">
        <w:tab/>
      </w:r>
      <w:r w:rsidR="006B180C">
        <w:t>a</w:t>
      </w:r>
      <w:r w:rsidR="00C53BC0">
        <w:t xml:space="preserve">. </w:t>
      </w:r>
      <w:r>
        <w:tab/>
      </w:r>
      <w:r w:rsidR="00C53BC0">
        <w:t>For example, in a grade 4 math</w:t>
      </w:r>
      <w:r w:rsidR="00430539">
        <w:t>ematics</w:t>
      </w:r>
      <w:r w:rsidR="00C53BC0">
        <w:t xml:space="preserve"> class, the teacher explained and modeled different techniques on simplifying equivalent fractions using </w:t>
      </w:r>
      <w:r w:rsidR="00520114">
        <w:t>think-out-</w:t>
      </w:r>
      <w:r w:rsidR="00C53BC0">
        <w:t>loud strategies to identify common mistakes.</w:t>
      </w:r>
      <w:r w:rsidR="00C53BC0" w:rsidRPr="00C30A3B">
        <w:t xml:space="preserve"> </w:t>
      </w:r>
    </w:p>
    <w:p w14:paraId="01705BFC" w14:textId="082F204F" w:rsidR="00520114" w:rsidRDefault="00610DC8" w:rsidP="00166C3A">
      <w:pPr>
        <w:tabs>
          <w:tab w:val="left" w:pos="360"/>
          <w:tab w:val="left" w:pos="720"/>
          <w:tab w:val="left" w:pos="1080"/>
          <w:tab w:val="left" w:pos="1440"/>
          <w:tab w:val="left" w:pos="1800"/>
          <w:tab w:val="left" w:pos="2160"/>
        </w:tabs>
        <w:ind w:left="1440" w:hanging="1440"/>
      </w:pPr>
      <w:r>
        <w:tab/>
      </w:r>
      <w:r>
        <w:tab/>
      </w:r>
      <w:r w:rsidR="00166C3A">
        <w:tab/>
      </w:r>
      <w:r w:rsidR="006B180C">
        <w:t>b</w:t>
      </w:r>
      <w:r w:rsidR="00C53BC0">
        <w:t xml:space="preserve">. </w:t>
      </w:r>
      <w:r>
        <w:tab/>
      </w:r>
      <w:r w:rsidR="00C53BC0">
        <w:t>In a grade 8 science class, before students watched a video</w:t>
      </w:r>
      <w:r w:rsidR="00520114">
        <w:t xml:space="preserve"> about </w:t>
      </w:r>
      <w:r w:rsidR="00D06214">
        <w:t xml:space="preserve">climate change in </w:t>
      </w:r>
      <w:r w:rsidR="00520114">
        <w:t>Antarctica</w:t>
      </w:r>
      <w:r w:rsidR="00C53BC0">
        <w:t>, the teacher set the content of the video in a larger context to ensure student understanding.</w:t>
      </w:r>
      <w:r w:rsidR="00731EF3">
        <w:t xml:space="preserve"> </w:t>
      </w:r>
    </w:p>
    <w:p w14:paraId="1BBD9FEB" w14:textId="539450F5" w:rsidR="00C53BC0" w:rsidRDefault="00520114" w:rsidP="00166C3A">
      <w:pPr>
        <w:tabs>
          <w:tab w:val="left" w:pos="360"/>
          <w:tab w:val="left" w:pos="720"/>
          <w:tab w:val="left" w:pos="1080"/>
          <w:tab w:val="left" w:pos="1440"/>
          <w:tab w:val="left" w:pos="1800"/>
          <w:tab w:val="left" w:pos="2160"/>
        </w:tabs>
        <w:ind w:left="1440" w:hanging="1440"/>
      </w:pPr>
      <w:r>
        <w:tab/>
      </w:r>
      <w:r>
        <w:tab/>
      </w:r>
      <w:r w:rsidR="00166C3A">
        <w:tab/>
      </w:r>
      <w:r>
        <w:t>c.</w:t>
      </w:r>
      <w:r>
        <w:tab/>
      </w:r>
      <w:r w:rsidR="00731EF3">
        <w:t>I</w:t>
      </w:r>
      <w:r w:rsidR="00C53BC0">
        <w:t>n a grade 11 history class, the teacher provided the context for what students were studying and why.</w:t>
      </w:r>
    </w:p>
    <w:p w14:paraId="0447B973" w14:textId="2997D8EA" w:rsidR="00C53BC0" w:rsidRDefault="006B180C" w:rsidP="0096781C">
      <w:pPr>
        <w:tabs>
          <w:tab w:val="left" w:pos="360"/>
          <w:tab w:val="left" w:pos="720"/>
          <w:tab w:val="left" w:pos="1080"/>
          <w:tab w:val="left" w:pos="1440"/>
          <w:tab w:val="left" w:pos="1800"/>
          <w:tab w:val="left" w:pos="2160"/>
        </w:tabs>
        <w:ind w:left="1080" w:hanging="360"/>
      </w:pPr>
      <w:r>
        <w:t>2</w:t>
      </w:r>
      <w:r w:rsidR="00C53BC0">
        <w:t xml:space="preserve">. </w:t>
      </w:r>
      <w:r w:rsidR="00166C3A">
        <w:tab/>
      </w:r>
      <w:r w:rsidR="00C53BC0">
        <w:t xml:space="preserve">In 76 percent of </w:t>
      </w:r>
      <w:r>
        <w:t xml:space="preserve">observed </w:t>
      </w:r>
      <w:r w:rsidR="00C53BC0">
        <w:t xml:space="preserve">elementary classes, </w:t>
      </w:r>
      <w:r>
        <w:t xml:space="preserve">in </w:t>
      </w:r>
      <w:r w:rsidR="00A20FF7">
        <w:t xml:space="preserve">only </w:t>
      </w:r>
      <w:r>
        <w:t xml:space="preserve">48 percent of middle-school classes, and in </w:t>
      </w:r>
      <w:r w:rsidR="00C53BC0">
        <w:t xml:space="preserve">73 percent of </w:t>
      </w:r>
      <w:r w:rsidR="00161142">
        <w:t>high-</w:t>
      </w:r>
      <w:r w:rsidR="00C53BC0">
        <w:t xml:space="preserve">school classes, </w:t>
      </w:r>
      <w:r>
        <w:t>observers noted</w:t>
      </w:r>
      <w:r w:rsidR="00C53BC0">
        <w:t xml:space="preserve"> sufficient</w:t>
      </w:r>
      <w:r>
        <w:t xml:space="preserve"> and </w:t>
      </w:r>
      <w:r w:rsidR="00C53BC0">
        <w:t>compelling evidence that the teacher ensured that students understood what they were learning and why</w:t>
      </w:r>
      <w:r>
        <w:t xml:space="preserve"> (characteristic </w:t>
      </w:r>
      <w:r w:rsidR="008D7213">
        <w:t>#2).</w:t>
      </w:r>
      <w:r w:rsidR="00A810CC">
        <w:t xml:space="preserve"> </w:t>
      </w:r>
      <w:r w:rsidR="008D7213">
        <w:t>D</w:t>
      </w:r>
      <w:r w:rsidR="008D7213" w:rsidRPr="00353F21">
        <w:t>istrictwide the review team did not</w:t>
      </w:r>
      <w:r w:rsidR="008D7213">
        <w:t xml:space="preserve"> observe the consistent use of </w:t>
      </w:r>
      <w:r w:rsidR="008D7213" w:rsidRPr="00353F21">
        <w:t>posted daily objectives, “I can” statements</w:t>
      </w:r>
      <w:r w:rsidR="008D7213">
        <w:t>,</w:t>
      </w:r>
      <w:r w:rsidR="008D7213" w:rsidRPr="00353F21">
        <w:t xml:space="preserve"> or s</w:t>
      </w:r>
      <w:r w:rsidR="008D7213">
        <w:t>tandards. In observed classrooms a</w:t>
      </w:r>
      <w:r w:rsidR="008D7213" w:rsidRPr="00353F21">
        <w:t>t the middle and high schools</w:t>
      </w:r>
      <w:r w:rsidR="008D7213">
        <w:t>,</w:t>
      </w:r>
      <w:r w:rsidR="008D7213" w:rsidDel="00025891">
        <w:t xml:space="preserve"> </w:t>
      </w:r>
      <w:r w:rsidR="008D7213">
        <w:t xml:space="preserve">review </w:t>
      </w:r>
      <w:r w:rsidR="008D7213" w:rsidRPr="00353F21">
        <w:t xml:space="preserve">team </w:t>
      </w:r>
      <w:r w:rsidR="008D7213">
        <w:t>members did not find</w:t>
      </w:r>
      <w:r w:rsidR="008D7213" w:rsidRPr="00353F21">
        <w:t xml:space="preserve"> the consistent use of essential qu</w:t>
      </w:r>
      <w:r w:rsidR="008D7213">
        <w:t>estions and agendas</w:t>
      </w:r>
      <w:r w:rsidR="008D7213" w:rsidRPr="00353F21">
        <w:t>.</w:t>
      </w:r>
      <w:r w:rsidR="00731EF3" w:rsidRPr="00353F21">
        <w:t xml:space="preserve">  </w:t>
      </w:r>
    </w:p>
    <w:p w14:paraId="4EA2278D" w14:textId="1FB3C107" w:rsidR="00C53BC0" w:rsidRDefault="00001095" w:rsidP="0096781C">
      <w:pPr>
        <w:pStyle w:val="ListParagraph"/>
        <w:tabs>
          <w:tab w:val="left" w:pos="360"/>
          <w:tab w:val="left" w:pos="720"/>
          <w:tab w:val="left" w:pos="1080"/>
          <w:tab w:val="left" w:pos="1440"/>
          <w:tab w:val="left" w:pos="1800"/>
        </w:tabs>
        <w:ind w:left="1440" w:hanging="360"/>
        <w:contextualSpacing w:val="0"/>
      </w:pPr>
      <w:r>
        <w:t>a</w:t>
      </w:r>
      <w:r w:rsidR="00731EF3">
        <w:t xml:space="preserve">. </w:t>
      </w:r>
      <w:r w:rsidR="00166C3A">
        <w:tab/>
      </w:r>
      <w:r w:rsidR="00C53BC0">
        <w:t xml:space="preserve">In elementary and </w:t>
      </w:r>
      <w:r w:rsidR="00161142">
        <w:t>high-</w:t>
      </w:r>
      <w:r w:rsidR="00C53BC0">
        <w:t xml:space="preserve">school classes where teachers ensured that students understood what they were learning and why, students were able to restate the learning objective to review team members and </w:t>
      </w:r>
      <w:r w:rsidR="00161142">
        <w:t xml:space="preserve">to </w:t>
      </w:r>
      <w:r w:rsidR="00C53BC0">
        <w:t>tell why it was important. For example, students in a grade 2 math class told review team members that they were measuring classroom objects using centime</w:t>
      </w:r>
      <w:r w:rsidR="00731EF3">
        <w:t xml:space="preserve">ters and meters to learn about </w:t>
      </w:r>
      <w:r w:rsidR="00C53BC0">
        <w:t xml:space="preserve">measurement using the metric system. In a grade 10 ELA class, students stated </w:t>
      </w:r>
      <w:r w:rsidR="003573F3">
        <w:t xml:space="preserve">that </w:t>
      </w:r>
      <w:r w:rsidR="00C53BC0">
        <w:t>the objective of the less</w:t>
      </w:r>
      <w:r w:rsidR="00A04EB3">
        <w:t>on was to create an outline and</w:t>
      </w:r>
      <w:r w:rsidR="00C53BC0">
        <w:t xml:space="preserve"> explain why they were doing it.</w:t>
      </w:r>
    </w:p>
    <w:p w14:paraId="0D80341A" w14:textId="158C1636" w:rsidR="00C53BC0" w:rsidRDefault="00001095" w:rsidP="0096781C">
      <w:pPr>
        <w:pStyle w:val="ListParagraph"/>
        <w:tabs>
          <w:tab w:val="left" w:pos="360"/>
          <w:tab w:val="left" w:pos="720"/>
          <w:tab w:val="left" w:pos="1080"/>
          <w:tab w:val="left" w:pos="1440"/>
          <w:tab w:val="left" w:pos="1800"/>
        </w:tabs>
        <w:ind w:left="1440" w:hanging="360"/>
        <w:contextualSpacing w:val="0"/>
      </w:pPr>
      <w:r>
        <w:t>b</w:t>
      </w:r>
      <w:r w:rsidR="00731EF3">
        <w:t xml:space="preserve">. </w:t>
      </w:r>
      <w:r w:rsidR="00166C3A">
        <w:tab/>
      </w:r>
      <w:r w:rsidR="00C53BC0">
        <w:t xml:space="preserve">In </w:t>
      </w:r>
      <w:r w:rsidR="00161142">
        <w:t>a majority</w:t>
      </w:r>
      <w:r w:rsidR="00C53BC0">
        <w:t xml:space="preserve"> of </w:t>
      </w:r>
      <w:r w:rsidR="00161142">
        <w:t>observed middle-</w:t>
      </w:r>
      <w:r w:rsidR="00C53BC0">
        <w:t xml:space="preserve">school classes, learning objectives were not displayed or articulated </w:t>
      </w:r>
      <w:r w:rsidR="00731EF3">
        <w:t>by the teacher during the</w:t>
      </w:r>
      <w:r w:rsidR="00C53BC0">
        <w:t xml:space="preserve"> observation. </w:t>
      </w:r>
    </w:p>
    <w:p w14:paraId="0A5B81CC" w14:textId="780F612B" w:rsidR="00C53BC0" w:rsidRDefault="001435FC" w:rsidP="00E22258">
      <w:pPr>
        <w:tabs>
          <w:tab w:val="left" w:pos="360"/>
          <w:tab w:val="left" w:pos="720"/>
          <w:tab w:val="left" w:pos="1080"/>
          <w:tab w:val="left" w:pos="1440"/>
          <w:tab w:val="left" w:pos="1800"/>
          <w:tab w:val="left" w:pos="2160"/>
        </w:tabs>
        <w:ind w:left="1080" w:hanging="720"/>
      </w:pPr>
      <w:r>
        <w:tab/>
      </w:r>
      <w:r w:rsidR="00001095">
        <w:t>3.</w:t>
      </w:r>
      <w:r w:rsidR="00001095">
        <w:tab/>
      </w:r>
      <w:r w:rsidR="00C53BC0">
        <w:t>The review team observed sufficient</w:t>
      </w:r>
      <w:r w:rsidR="00161142">
        <w:t xml:space="preserve"> and </w:t>
      </w:r>
      <w:r w:rsidR="00C53BC0">
        <w:t xml:space="preserve">compelling evidence that </w:t>
      </w:r>
      <w:r w:rsidR="00161142">
        <w:t xml:space="preserve">appropriate </w:t>
      </w:r>
      <w:r w:rsidR="00C53BC0">
        <w:t>classroom activities were well matched to learning object</w:t>
      </w:r>
      <w:r w:rsidR="00B27EA7">
        <w:t>ive</w:t>
      </w:r>
      <w:r w:rsidR="00C53BC0">
        <w:t xml:space="preserve">s </w:t>
      </w:r>
      <w:r w:rsidR="00161142">
        <w:t>(characteristic #3)</w:t>
      </w:r>
      <w:r w:rsidR="00EE24D9">
        <w:t xml:space="preserve"> </w:t>
      </w:r>
      <w:r w:rsidR="00C53BC0">
        <w:t xml:space="preserve">in 95 percent of </w:t>
      </w:r>
      <w:r w:rsidR="00EE24D9">
        <w:lastRenderedPageBreak/>
        <w:t xml:space="preserve">observed </w:t>
      </w:r>
      <w:r w:rsidR="00C53BC0">
        <w:t xml:space="preserve">elementary classes, </w:t>
      </w:r>
      <w:r w:rsidR="00EE24D9">
        <w:t xml:space="preserve">in </w:t>
      </w:r>
      <w:r w:rsidR="00C53BC0">
        <w:t xml:space="preserve">61 percent of </w:t>
      </w:r>
      <w:r w:rsidR="00EE24D9">
        <w:t>middle-</w:t>
      </w:r>
      <w:r w:rsidR="00C53BC0">
        <w:t>school classes</w:t>
      </w:r>
      <w:r w:rsidR="00EE24D9">
        <w:t>,</w:t>
      </w:r>
      <w:r w:rsidR="00C53BC0">
        <w:t xml:space="preserve"> and </w:t>
      </w:r>
      <w:r w:rsidR="00EE24D9">
        <w:t xml:space="preserve">in </w:t>
      </w:r>
      <w:r w:rsidR="00C53BC0">
        <w:t xml:space="preserve">61 percent of </w:t>
      </w:r>
      <w:r w:rsidR="00EE24D9">
        <w:t>high-</w:t>
      </w:r>
      <w:r w:rsidR="00C53BC0">
        <w:t xml:space="preserve">school classes. </w:t>
      </w:r>
    </w:p>
    <w:p w14:paraId="738F12FF" w14:textId="5DB7E77F" w:rsidR="00C53BC0" w:rsidRDefault="001435FC" w:rsidP="00551683">
      <w:pPr>
        <w:tabs>
          <w:tab w:val="left" w:pos="360"/>
          <w:tab w:val="left" w:pos="720"/>
          <w:tab w:val="left" w:pos="1080"/>
          <w:tab w:val="left" w:pos="1440"/>
          <w:tab w:val="left" w:pos="1800"/>
        </w:tabs>
        <w:ind w:left="1440" w:hanging="720"/>
      </w:pPr>
      <w:r>
        <w:tab/>
      </w:r>
      <w:r w:rsidR="00001095">
        <w:t>a.</w:t>
      </w:r>
      <w:r w:rsidR="00001095">
        <w:tab/>
      </w:r>
      <w:r w:rsidR="00C53BC0">
        <w:t>At the elementary level, ELA lessons reflected the various com</w:t>
      </w:r>
      <w:r w:rsidR="00731EF3">
        <w:t xml:space="preserve">ponents of the </w:t>
      </w:r>
      <w:r w:rsidR="00025891">
        <w:t>Workshop Model</w:t>
      </w:r>
      <w:r w:rsidR="00731EF3">
        <w:t xml:space="preserve">. </w:t>
      </w:r>
      <w:r w:rsidR="00C53BC0">
        <w:t>These included mini-lessons, independent work, conferencing</w:t>
      </w:r>
      <w:r w:rsidR="00731EF3">
        <w:t>,</w:t>
      </w:r>
      <w:r w:rsidR="00C53BC0">
        <w:t xml:space="preserve"> and sharing</w:t>
      </w:r>
      <w:r w:rsidR="00731EF3">
        <w:t>,</w:t>
      </w:r>
      <w:r w:rsidR="00C53BC0">
        <w:t xml:space="preserve"> which all supported lesson objectives.</w:t>
      </w:r>
      <w:r w:rsidR="002146A4">
        <w:t xml:space="preserve"> </w:t>
      </w:r>
    </w:p>
    <w:p w14:paraId="52D8C110" w14:textId="0635D632" w:rsidR="00C53BC0" w:rsidRDefault="001435FC" w:rsidP="00551683">
      <w:pPr>
        <w:tabs>
          <w:tab w:val="left" w:pos="360"/>
          <w:tab w:val="left" w:pos="720"/>
          <w:tab w:val="left" w:pos="1080"/>
          <w:tab w:val="left" w:pos="1440"/>
          <w:tab w:val="left" w:pos="1800"/>
        </w:tabs>
        <w:ind w:left="1440" w:hanging="720"/>
      </w:pPr>
      <w:r>
        <w:tab/>
      </w:r>
      <w:r w:rsidR="00001095">
        <w:t>b.</w:t>
      </w:r>
      <w:r w:rsidR="00001095">
        <w:tab/>
      </w:r>
      <w:r w:rsidR="00C53BC0">
        <w:t>In a grade 10 co-taught math</w:t>
      </w:r>
      <w:r w:rsidR="008C6282">
        <w:t>ematics</w:t>
      </w:r>
      <w:r w:rsidR="00C53BC0">
        <w:t xml:space="preserve"> class, the lesson on interior angles included </w:t>
      </w:r>
      <w:r w:rsidR="00984AD6">
        <w:t>large-</w:t>
      </w:r>
      <w:r w:rsidR="00C53BC0">
        <w:t xml:space="preserve">group and </w:t>
      </w:r>
      <w:r w:rsidR="00984AD6">
        <w:t>small-</w:t>
      </w:r>
      <w:r w:rsidR="00C53BC0">
        <w:t xml:space="preserve">group work, culminating in students working on an online math game on angles.  </w:t>
      </w:r>
    </w:p>
    <w:p w14:paraId="6073698A" w14:textId="63CF0B40" w:rsidR="00C53BC0" w:rsidRDefault="00C53BC0" w:rsidP="00551683">
      <w:pPr>
        <w:tabs>
          <w:tab w:val="left" w:pos="0"/>
          <w:tab w:val="left" w:pos="360"/>
          <w:tab w:val="left" w:pos="720"/>
          <w:tab w:val="left" w:pos="1080"/>
          <w:tab w:val="left" w:pos="1440"/>
          <w:tab w:val="left" w:pos="1800"/>
          <w:tab w:val="left" w:pos="2160"/>
        </w:tabs>
        <w:ind w:left="1800" w:hanging="1080"/>
      </w:pPr>
      <w:r>
        <w:tab/>
      </w:r>
      <w:r w:rsidR="001435FC">
        <w:tab/>
      </w:r>
      <w:r w:rsidR="00001095">
        <w:t>i</w:t>
      </w:r>
      <w:r w:rsidR="002146A4">
        <w:t xml:space="preserve">. </w:t>
      </w:r>
      <w:r w:rsidR="00166C3A">
        <w:tab/>
      </w:r>
      <w:r w:rsidR="002146A4">
        <w:t xml:space="preserve">In contrast, </w:t>
      </w:r>
      <w:r w:rsidR="007E3B63">
        <w:t>in</w:t>
      </w:r>
      <w:r w:rsidR="003573F3">
        <w:t xml:space="preserve"> some classrooms</w:t>
      </w:r>
      <w:r w:rsidR="002146A4">
        <w:t xml:space="preserve"> </w:t>
      </w:r>
      <w:r w:rsidR="003573F3">
        <w:t xml:space="preserve">the </w:t>
      </w:r>
      <w:r w:rsidR="00445DDC">
        <w:t xml:space="preserve">students </w:t>
      </w:r>
      <w:r w:rsidR="007D7EAD">
        <w:t>were</w:t>
      </w:r>
      <w:r w:rsidR="00445DDC">
        <w:t xml:space="preserve"> not</w:t>
      </w:r>
      <w:r w:rsidR="007D7EAD">
        <w:t xml:space="preserve"> involved in activities beyond taking notes and answering questions.</w:t>
      </w:r>
    </w:p>
    <w:p w14:paraId="46A4AE18" w14:textId="428B0519" w:rsidR="00C53BC0" w:rsidRDefault="00001095" w:rsidP="00E22258">
      <w:pPr>
        <w:tabs>
          <w:tab w:val="left" w:pos="360"/>
          <w:tab w:val="left" w:pos="720"/>
          <w:tab w:val="left" w:pos="1080"/>
          <w:tab w:val="left" w:pos="1440"/>
          <w:tab w:val="left" w:pos="1800"/>
          <w:tab w:val="left" w:pos="2160"/>
        </w:tabs>
        <w:ind w:left="1080" w:hanging="360"/>
      </w:pPr>
      <w:r>
        <w:t>4.</w:t>
      </w:r>
      <w:r>
        <w:tab/>
      </w:r>
      <w:r w:rsidR="00C53BC0">
        <w:t>In 91 p</w:t>
      </w:r>
      <w:r w:rsidR="002146A4">
        <w:t xml:space="preserve">ercent of </w:t>
      </w:r>
      <w:r>
        <w:t xml:space="preserve">observed </w:t>
      </w:r>
      <w:r w:rsidR="002146A4">
        <w:t>elementary classes,</w:t>
      </w:r>
      <w:r w:rsidR="00C53BC0">
        <w:t xml:space="preserve"> </w:t>
      </w:r>
      <w:r>
        <w:t xml:space="preserve">in </w:t>
      </w:r>
      <w:r w:rsidR="00C53BC0">
        <w:t xml:space="preserve">61 percent of </w:t>
      </w:r>
      <w:r>
        <w:t>middle-</w:t>
      </w:r>
      <w:r w:rsidR="00C53BC0">
        <w:t>school classes</w:t>
      </w:r>
      <w:r>
        <w:t>,</w:t>
      </w:r>
      <w:r w:rsidR="00C53BC0">
        <w:t xml:space="preserve"> and </w:t>
      </w:r>
      <w:r w:rsidR="007E3B63">
        <w:t xml:space="preserve">in </w:t>
      </w:r>
      <w:r w:rsidR="00C53BC0">
        <w:t xml:space="preserve">61 percent of </w:t>
      </w:r>
      <w:r>
        <w:t>high-</w:t>
      </w:r>
      <w:r w:rsidR="00C53BC0">
        <w:t>school classes, the review team found sufficient</w:t>
      </w:r>
      <w:r>
        <w:t xml:space="preserve"> and </w:t>
      </w:r>
      <w:r w:rsidR="00C53BC0">
        <w:t>compelling evidence that teachers conducted frequent checks for student understanding, provided feedback to students</w:t>
      </w:r>
      <w:r>
        <w:t>,</w:t>
      </w:r>
      <w:r w:rsidR="00C53BC0">
        <w:t xml:space="preserve"> and adjusted instruction</w:t>
      </w:r>
      <w:r>
        <w:t xml:space="preserve"> (characteristic #4)</w:t>
      </w:r>
      <w:r w:rsidR="00C53BC0">
        <w:t xml:space="preserve">.  </w:t>
      </w:r>
    </w:p>
    <w:p w14:paraId="36B7BC31" w14:textId="676C6E11" w:rsidR="00C53BC0" w:rsidRDefault="001435FC" w:rsidP="00E22258">
      <w:pPr>
        <w:tabs>
          <w:tab w:val="left" w:pos="360"/>
          <w:tab w:val="left" w:pos="720"/>
          <w:tab w:val="left" w:pos="1080"/>
          <w:tab w:val="left" w:pos="1440"/>
          <w:tab w:val="left" w:pos="1800"/>
        </w:tabs>
        <w:ind w:left="1440" w:hanging="720"/>
      </w:pPr>
      <w:r>
        <w:tab/>
      </w:r>
      <w:r w:rsidR="00001095">
        <w:t>a.</w:t>
      </w:r>
      <w:r w:rsidR="007E3B63">
        <w:tab/>
      </w:r>
      <w:r w:rsidR="00C53BC0">
        <w:t>At the elementary level</w:t>
      </w:r>
      <w:r w:rsidR="003573F3">
        <w:t>,</w:t>
      </w:r>
      <w:r w:rsidR="00C53BC0">
        <w:t xml:space="preserve"> teachers conducted frequent checks for understanding by circulating </w:t>
      </w:r>
      <w:r w:rsidR="008C6282">
        <w:t xml:space="preserve">around </w:t>
      </w:r>
      <w:r w:rsidR="00C53BC0">
        <w:t>the room</w:t>
      </w:r>
      <w:r w:rsidR="008C6282">
        <w:t>,</w:t>
      </w:r>
      <w:r w:rsidR="00C53BC0">
        <w:t xml:space="preserve"> checking in with sma</w:t>
      </w:r>
      <w:r w:rsidR="008C6282">
        <w:t>ll groups or individual students,</w:t>
      </w:r>
      <w:r w:rsidR="00C53BC0">
        <w:t xml:space="preserve"> pr</w:t>
      </w:r>
      <w:r w:rsidR="008C6282">
        <w:t>oviding feedback or re-teaching</w:t>
      </w:r>
      <w:r w:rsidR="00C53BC0">
        <w:t xml:space="preserve"> in conferences</w:t>
      </w:r>
      <w:r w:rsidR="008C6282">
        <w:t>,</w:t>
      </w:r>
      <w:r w:rsidR="00C53BC0">
        <w:t xml:space="preserve"> </w:t>
      </w:r>
      <w:r w:rsidR="008C6282">
        <w:t>targeting questions, and</w:t>
      </w:r>
      <w:r w:rsidR="00C53BC0">
        <w:t xml:space="preserve"> </w:t>
      </w:r>
      <w:r w:rsidR="00DC5A45">
        <w:t xml:space="preserve">using </w:t>
      </w:r>
      <w:r w:rsidR="00C53BC0">
        <w:t>strategies such as thumbs up/thumbs down and think-pair-share.</w:t>
      </w:r>
    </w:p>
    <w:p w14:paraId="41BB65BD" w14:textId="6B513D44" w:rsidR="00C53BC0" w:rsidRDefault="001435FC" w:rsidP="00E22258">
      <w:pPr>
        <w:tabs>
          <w:tab w:val="left" w:pos="360"/>
          <w:tab w:val="left" w:pos="720"/>
          <w:tab w:val="left" w:pos="1080"/>
          <w:tab w:val="left" w:pos="1440"/>
          <w:tab w:val="left" w:pos="1800"/>
        </w:tabs>
        <w:ind w:left="1440" w:hanging="720"/>
      </w:pPr>
      <w:r>
        <w:tab/>
      </w:r>
      <w:r w:rsidR="00001095">
        <w:t>b.</w:t>
      </w:r>
      <w:r w:rsidR="00520114">
        <w:tab/>
      </w:r>
      <w:r w:rsidR="00C53BC0">
        <w:t>At the middle</w:t>
      </w:r>
      <w:r w:rsidR="00DC5A45">
        <w:t>-</w:t>
      </w:r>
      <w:r w:rsidR="00C53BC0">
        <w:t xml:space="preserve"> and </w:t>
      </w:r>
      <w:r w:rsidR="00DC5A45">
        <w:t>high-</w:t>
      </w:r>
      <w:r w:rsidR="00C53BC0">
        <w:t>school levels, the review team observed teachers checking for understanding with questions</w:t>
      </w:r>
      <w:r w:rsidR="008C6282">
        <w:t>,</w:t>
      </w:r>
      <w:r w:rsidR="00C53BC0">
        <w:t xml:space="preserve"> circulating</w:t>
      </w:r>
      <w:r w:rsidR="008C6282">
        <w:t xml:space="preserve"> around</w:t>
      </w:r>
      <w:r w:rsidR="00C53BC0">
        <w:t xml:space="preserve"> the room checking on groups or individual students and providing feedback and/or re-</w:t>
      </w:r>
      <w:r w:rsidR="008C6282">
        <w:t xml:space="preserve">teaching. </w:t>
      </w:r>
      <w:r w:rsidR="00DC5A45">
        <w:t xml:space="preserve">For example, in </w:t>
      </w:r>
      <w:r w:rsidR="00C53BC0">
        <w:t>a grade 12 math</w:t>
      </w:r>
      <w:r w:rsidR="008C6282">
        <w:t>ematics</w:t>
      </w:r>
      <w:r w:rsidR="00E630AF">
        <w:t xml:space="preserve"> class</w:t>
      </w:r>
      <w:r w:rsidR="00C53BC0">
        <w:t xml:space="preserve"> students used individual whiteboards to display their work enabling the teacher to immediately check their understanding.</w:t>
      </w:r>
    </w:p>
    <w:p w14:paraId="4D3AD781" w14:textId="58232F89" w:rsidR="00C53BC0" w:rsidRDefault="001435FC" w:rsidP="00551683">
      <w:pPr>
        <w:tabs>
          <w:tab w:val="left" w:pos="1170"/>
          <w:tab w:val="left" w:pos="1440"/>
          <w:tab w:val="left" w:pos="1800"/>
          <w:tab w:val="left" w:pos="2160"/>
        </w:tabs>
        <w:ind w:left="1800" w:hanging="630"/>
      </w:pPr>
      <w:r>
        <w:tab/>
      </w:r>
      <w:r w:rsidR="00001095">
        <w:t>i</w:t>
      </w:r>
      <w:r w:rsidR="00E630AF">
        <w:t xml:space="preserve">. </w:t>
      </w:r>
      <w:r w:rsidR="00520114">
        <w:tab/>
      </w:r>
      <w:r w:rsidR="00E630AF">
        <w:t>However</w:t>
      </w:r>
      <w:r w:rsidR="00DC5A45">
        <w:t>,</w:t>
      </w:r>
      <w:r w:rsidR="00C53BC0" w:rsidRPr="003306B6">
        <w:t xml:space="preserve"> </w:t>
      </w:r>
      <w:r w:rsidR="00DC5A45">
        <w:t xml:space="preserve">some </w:t>
      </w:r>
      <w:r w:rsidR="00C53BC0">
        <w:t xml:space="preserve">teachers at the </w:t>
      </w:r>
      <w:r w:rsidR="00C53BC0" w:rsidRPr="003306B6">
        <w:t xml:space="preserve">middle and </w:t>
      </w:r>
      <w:r w:rsidR="00DC5A45" w:rsidRPr="003306B6">
        <w:t>high</w:t>
      </w:r>
      <w:r w:rsidR="00DC5A45">
        <w:t>-</w:t>
      </w:r>
      <w:r w:rsidR="00C53BC0" w:rsidRPr="003306B6">
        <w:t>school l</w:t>
      </w:r>
      <w:r w:rsidR="008C6282">
        <w:t xml:space="preserve">evels missed </w:t>
      </w:r>
      <w:r w:rsidR="00C53BC0">
        <w:t>opportunities to check for understanding</w:t>
      </w:r>
      <w:r w:rsidR="008C6282">
        <w:t xml:space="preserve"> when they used </w:t>
      </w:r>
      <w:r w:rsidR="00DC5A45">
        <w:t>closed-</w:t>
      </w:r>
      <w:r w:rsidR="008C6282">
        <w:t xml:space="preserve">ended </w:t>
      </w:r>
      <w:r w:rsidR="00C53BC0">
        <w:t xml:space="preserve">questions </w:t>
      </w:r>
      <w:r w:rsidR="00DC5A45">
        <w:t xml:space="preserve">and did </w:t>
      </w:r>
      <w:r w:rsidR="00C53BC0">
        <w:t>no</w:t>
      </w:r>
      <w:r w:rsidR="00DC5A45">
        <w:t>t</w:t>
      </w:r>
      <w:r w:rsidR="00C53BC0">
        <w:t xml:space="preserve"> </w:t>
      </w:r>
      <w:r w:rsidR="00DC5A45">
        <w:t xml:space="preserve">probe </w:t>
      </w:r>
      <w:r w:rsidR="00C53BC0">
        <w:t>to ensure student understanding</w:t>
      </w:r>
      <w:r w:rsidR="00E630AF">
        <w:t xml:space="preserve">, or when they were </w:t>
      </w:r>
      <w:r w:rsidR="00DC5A45">
        <w:t>accepted</w:t>
      </w:r>
      <w:r w:rsidR="00E630AF">
        <w:t xml:space="preserve"> </w:t>
      </w:r>
      <w:r w:rsidR="00C53BC0">
        <w:t>unison short answer</w:t>
      </w:r>
      <w:r w:rsidR="00DC5A45">
        <w:t>s</w:t>
      </w:r>
      <w:r w:rsidR="00C53BC0">
        <w:t xml:space="preserve"> </w:t>
      </w:r>
      <w:r w:rsidR="00E630AF">
        <w:t>rather than checking with individual</w:t>
      </w:r>
      <w:r w:rsidR="005D78B1">
        <w:t xml:space="preserve"> student</w:t>
      </w:r>
      <w:r w:rsidR="00E630AF">
        <w:t>s</w:t>
      </w:r>
      <w:r w:rsidR="00C53BC0">
        <w:t>.</w:t>
      </w:r>
      <w:r w:rsidR="00C53BC0" w:rsidRPr="003306B6">
        <w:t xml:space="preserve">  </w:t>
      </w:r>
    </w:p>
    <w:p w14:paraId="09A14F06" w14:textId="10D5119E" w:rsidR="000849E1" w:rsidRDefault="00B623DF" w:rsidP="00E630AF">
      <w:pPr>
        <w:tabs>
          <w:tab w:val="left" w:pos="0"/>
          <w:tab w:val="left" w:pos="360"/>
          <w:tab w:val="left" w:pos="720"/>
          <w:tab w:val="left" w:pos="1440"/>
          <w:tab w:val="left" w:pos="1800"/>
          <w:tab w:val="left" w:pos="2160"/>
        </w:tabs>
      </w:pPr>
      <w:r w:rsidRPr="00F731AA">
        <w:rPr>
          <w:b/>
        </w:rPr>
        <w:t>Impact</w:t>
      </w:r>
      <w:r w:rsidRPr="00BA3A76">
        <w:t xml:space="preserve">: </w:t>
      </w:r>
      <w:r>
        <w:t xml:space="preserve">When teachers do not set clear learning objectives and expectations, match appropriate activities to learning objectives, and routinely check for understanding, provide feedback, and adjust instruction, students do not understand what they are learning and why and teachers miss opportunities to improve their practice. </w:t>
      </w:r>
      <w:r w:rsidR="000849E1">
        <w:t xml:space="preserve"> </w:t>
      </w:r>
    </w:p>
    <w:p w14:paraId="4EDA163D" w14:textId="663BB44F" w:rsidR="00021C01" w:rsidRDefault="00021C01" w:rsidP="00E630AF">
      <w:pPr>
        <w:tabs>
          <w:tab w:val="left" w:pos="0"/>
          <w:tab w:val="left" w:pos="360"/>
          <w:tab w:val="left" w:pos="720"/>
          <w:tab w:val="left" w:pos="1440"/>
          <w:tab w:val="left" w:pos="1800"/>
          <w:tab w:val="left" w:pos="2160"/>
        </w:tabs>
      </w:pPr>
    </w:p>
    <w:p w14:paraId="1B812925" w14:textId="77777777" w:rsidR="00021C01" w:rsidRDefault="00021C01" w:rsidP="00E630AF">
      <w:pPr>
        <w:tabs>
          <w:tab w:val="left" w:pos="0"/>
          <w:tab w:val="left" w:pos="360"/>
          <w:tab w:val="left" w:pos="720"/>
          <w:tab w:val="left" w:pos="1440"/>
          <w:tab w:val="left" w:pos="1800"/>
          <w:tab w:val="left" w:pos="2160"/>
        </w:tabs>
      </w:pPr>
    </w:p>
    <w:p w14:paraId="5E067EE1" w14:textId="7D15C397" w:rsidR="00C53BC0" w:rsidRPr="008C6282" w:rsidRDefault="005A4DAC" w:rsidP="006229AC">
      <w:pPr>
        <w:tabs>
          <w:tab w:val="left" w:pos="360"/>
          <w:tab w:val="left" w:pos="720"/>
          <w:tab w:val="left" w:pos="1080"/>
          <w:tab w:val="left" w:pos="1440"/>
          <w:tab w:val="left" w:pos="1800"/>
        </w:tabs>
        <w:ind w:left="360" w:hanging="360"/>
        <w:rPr>
          <w:b/>
        </w:rPr>
      </w:pPr>
      <w:r>
        <w:rPr>
          <w:b/>
        </w:rPr>
        <w:lastRenderedPageBreak/>
        <w:t>5</w:t>
      </w:r>
      <w:r w:rsidR="008C6282" w:rsidRPr="008C6282">
        <w:rPr>
          <w:b/>
        </w:rPr>
        <w:t xml:space="preserve">. </w:t>
      </w:r>
      <w:r w:rsidR="006229AC">
        <w:rPr>
          <w:b/>
        </w:rPr>
        <w:tab/>
      </w:r>
      <w:r w:rsidR="00A1793D">
        <w:rPr>
          <w:b/>
        </w:rPr>
        <w:t>I</w:t>
      </w:r>
      <w:r w:rsidR="003D014A">
        <w:rPr>
          <w:b/>
        </w:rPr>
        <w:t>n observed classrooms</w:t>
      </w:r>
      <w:r w:rsidR="00A1793D">
        <w:rPr>
          <w:b/>
        </w:rPr>
        <w:t>,</w:t>
      </w:r>
      <w:r w:rsidR="003D014A">
        <w:rPr>
          <w:b/>
        </w:rPr>
        <w:t xml:space="preserve"> </w:t>
      </w:r>
      <w:r w:rsidR="00C53BC0" w:rsidRPr="008C6282">
        <w:rPr>
          <w:b/>
        </w:rPr>
        <w:t xml:space="preserve">the review team </w:t>
      </w:r>
      <w:r w:rsidR="00A20FF7">
        <w:rPr>
          <w:b/>
        </w:rPr>
        <w:t xml:space="preserve">noted </w:t>
      </w:r>
      <w:r w:rsidR="006F481E">
        <w:rPr>
          <w:b/>
        </w:rPr>
        <w:t xml:space="preserve">a higher incidence of </w:t>
      </w:r>
      <w:r w:rsidR="00C53BC0" w:rsidRPr="008C6282">
        <w:rPr>
          <w:b/>
        </w:rPr>
        <w:t xml:space="preserve">students </w:t>
      </w:r>
      <w:r w:rsidR="006F481E">
        <w:rPr>
          <w:b/>
        </w:rPr>
        <w:t>assuming</w:t>
      </w:r>
      <w:r w:rsidR="00C53BC0" w:rsidRPr="008C6282">
        <w:rPr>
          <w:b/>
        </w:rPr>
        <w:t xml:space="preserve"> resp</w:t>
      </w:r>
      <w:r w:rsidR="004F3A34">
        <w:rPr>
          <w:b/>
        </w:rPr>
        <w:t>onsibility for their learning</w:t>
      </w:r>
      <w:r w:rsidR="006F481E">
        <w:rPr>
          <w:b/>
        </w:rPr>
        <w:t xml:space="preserve"> and being engaged in the lesson </w:t>
      </w:r>
      <w:r w:rsidR="006F481E" w:rsidRPr="008C6282">
        <w:rPr>
          <w:b/>
        </w:rPr>
        <w:t>a</w:t>
      </w:r>
      <w:r w:rsidR="006F481E">
        <w:rPr>
          <w:b/>
        </w:rPr>
        <w:t>t the elementary and high-school levels</w:t>
      </w:r>
      <w:r w:rsidR="000D7F3D">
        <w:rPr>
          <w:b/>
        </w:rPr>
        <w:t xml:space="preserve"> than at the middle-school level</w:t>
      </w:r>
      <w:r w:rsidR="004F3A34">
        <w:rPr>
          <w:b/>
        </w:rPr>
        <w:t xml:space="preserve">. </w:t>
      </w:r>
    </w:p>
    <w:p w14:paraId="08A87B06" w14:textId="5125664E" w:rsidR="007A607F" w:rsidRPr="002A57E3" w:rsidRDefault="003F70C4" w:rsidP="00FC58CB">
      <w:pPr>
        <w:pStyle w:val="ListParagraph"/>
        <w:numPr>
          <w:ilvl w:val="0"/>
          <w:numId w:val="16"/>
        </w:numPr>
        <w:tabs>
          <w:tab w:val="left" w:pos="360"/>
          <w:tab w:val="left" w:pos="720"/>
          <w:tab w:val="left" w:pos="1080"/>
          <w:tab w:val="left" w:pos="1440"/>
          <w:tab w:val="left" w:pos="1800"/>
          <w:tab w:val="left" w:pos="2160"/>
        </w:tabs>
        <w:contextualSpacing w:val="0"/>
      </w:pPr>
      <w:r w:rsidRPr="00E22258">
        <w:rPr>
          <w:b/>
        </w:rPr>
        <w:t>Focus Area #2: Student Engagement &amp; Higher-Order Thinking</w:t>
      </w:r>
      <w:r>
        <w:rPr>
          <w:b/>
        </w:rPr>
        <w:t xml:space="preserve"> </w:t>
      </w:r>
      <w:r w:rsidR="00B94716" w:rsidRPr="00E22258">
        <w:t>In observed classrooms</w:t>
      </w:r>
      <w:r w:rsidR="00B94716">
        <w:rPr>
          <w:b/>
        </w:rPr>
        <w:t xml:space="preserve"> </w:t>
      </w:r>
      <w:r w:rsidR="00B94716">
        <w:t>d</w:t>
      </w:r>
      <w:r w:rsidR="00B94716" w:rsidRPr="002A57E3">
        <w:t>istrictwide</w:t>
      </w:r>
      <w:r w:rsidR="00B94716">
        <w:t>,</w:t>
      </w:r>
      <w:r w:rsidR="00B94716" w:rsidRPr="002A57E3">
        <w:t xml:space="preserve"> </w:t>
      </w:r>
      <w:r w:rsidR="002A57E3" w:rsidRPr="002A57E3">
        <w:t>students were not consistently engaged in higher-order thinking and communicating their ideas and thinking with other.</w:t>
      </w:r>
    </w:p>
    <w:p w14:paraId="3A3E56AE" w14:textId="66306D43" w:rsidR="00C53BC0" w:rsidRDefault="007A607F" w:rsidP="00F16B11">
      <w:pPr>
        <w:pStyle w:val="ListParagraph"/>
        <w:tabs>
          <w:tab w:val="left" w:pos="360"/>
          <w:tab w:val="left" w:pos="720"/>
          <w:tab w:val="left" w:pos="1080"/>
          <w:tab w:val="left" w:pos="1440"/>
          <w:tab w:val="left" w:pos="1800"/>
          <w:tab w:val="left" w:pos="2160"/>
          <w:tab w:val="left" w:pos="6120"/>
        </w:tabs>
        <w:ind w:left="1080" w:hanging="360"/>
        <w:contextualSpacing w:val="0"/>
      </w:pPr>
      <w:r>
        <w:t>1.</w:t>
      </w:r>
      <w:r>
        <w:tab/>
      </w:r>
      <w:r w:rsidR="00C53BC0">
        <w:t>The review team found sufficient</w:t>
      </w:r>
      <w:r>
        <w:t xml:space="preserve"> and </w:t>
      </w:r>
      <w:r w:rsidR="00C53BC0">
        <w:t xml:space="preserve">compelling evidence of students taking responsibility for their learning </w:t>
      </w:r>
      <w:r>
        <w:t xml:space="preserve">(characteristic #5) </w:t>
      </w:r>
      <w:r w:rsidR="00C53BC0">
        <w:t xml:space="preserve">in 90 percent of </w:t>
      </w:r>
      <w:r w:rsidR="003D014A">
        <w:t xml:space="preserve">observed </w:t>
      </w:r>
      <w:r w:rsidR="00C53BC0">
        <w:t xml:space="preserve">elementary classes, </w:t>
      </w:r>
      <w:r w:rsidR="003D014A">
        <w:t xml:space="preserve">in </w:t>
      </w:r>
      <w:r w:rsidR="00C53BC0">
        <w:t>52 percent of middle</w:t>
      </w:r>
      <w:r w:rsidR="003D014A">
        <w:t>-</w:t>
      </w:r>
      <w:r w:rsidR="00C53BC0">
        <w:t>school classes</w:t>
      </w:r>
      <w:r w:rsidR="003D014A">
        <w:t>,</w:t>
      </w:r>
      <w:r w:rsidR="00C53BC0">
        <w:t xml:space="preserve"> and </w:t>
      </w:r>
      <w:r w:rsidR="00B94716">
        <w:t xml:space="preserve">in </w:t>
      </w:r>
      <w:r w:rsidR="00C53BC0">
        <w:t xml:space="preserve">62 percent of </w:t>
      </w:r>
      <w:r w:rsidR="003D014A">
        <w:t>high-</w:t>
      </w:r>
      <w:r w:rsidR="00C53BC0">
        <w:t>school classes.</w:t>
      </w:r>
    </w:p>
    <w:p w14:paraId="04901BFE" w14:textId="0CE0B7D8" w:rsidR="00C53BC0" w:rsidRPr="00C30A3B" w:rsidRDefault="000266C0" w:rsidP="00F16B11">
      <w:pPr>
        <w:tabs>
          <w:tab w:val="left" w:pos="360"/>
          <w:tab w:val="left" w:pos="720"/>
          <w:tab w:val="left" w:pos="1080"/>
          <w:tab w:val="left" w:pos="1440"/>
          <w:tab w:val="left" w:pos="1800"/>
          <w:tab w:val="left" w:pos="2160"/>
        </w:tabs>
        <w:ind w:left="1440" w:hanging="360"/>
      </w:pPr>
      <w:r>
        <w:t>a</w:t>
      </w:r>
      <w:r w:rsidR="004F3A34">
        <w:t xml:space="preserve">. </w:t>
      </w:r>
      <w:r w:rsidR="0003413C">
        <w:tab/>
      </w:r>
      <w:r w:rsidR="00C53BC0">
        <w:t xml:space="preserve">In almost all </w:t>
      </w:r>
      <w:r w:rsidR="003D014A">
        <w:t xml:space="preserve">observed </w:t>
      </w:r>
      <w:r w:rsidR="00C53BC0">
        <w:t>elementary classes, students took responsibility for their own learning with the teac</w:t>
      </w:r>
      <w:r w:rsidR="004F3A34">
        <w:t xml:space="preserve">her acting as the facilitator. </w:t>
      </w:r>
      <w:r w:rsidR="00C53BC0">
        <w:t>The review team noted multiple examples of studen</w:t>
      </w:r>
      <w:r w:rsidR="00B7182B">
        <w:t>ts as active, engaged learners,</w:t>
      </w:r>
      <w:r w:rsidR="004F3A34">
        <w:t xml:space="preserve"> working </w:t>
      </w:r>
      <w:r w:rsidR="00C53BC0">
        <w:t>independently,</w:t>
      </w:r>
      <w:r w:rsidR="004F3A34">
        <w:t xml:space="preserve"> in pairs, in small groups</w:t>
      </w:r>
      <w:r w:rsidR="003D014A">
        <w:t>,</w:t>
      </w:r>
      <w:r w:rsidR="004F3A34">
        <w:t xml:space="preserve"> and</w:t>
      </w:r>
      <w:r w:rsidR="00C53BC0">
        <w:t xml:space="preserve"> </w:t>
      </w:r>
      <w:r w:rsidR="003D014A">
        <w:t xml:space="preserve">in </w:t>
      </w:r>
      <w:r w:rsidR="00C53BC0">
        <w:t xml:space="preserve">large groups.  </w:t>
      </w:r>
      <w:r w:rsidR="003D014A">
        <w:t xml:space="preserve">Students </w:t>
      </w:r>
      <w:r w:rsidR="00C53BC0">
        <w:t>worked on projects, created poems and essays, edited their writing</w:t>
      </w:r>
      <w:r w:rsidR="003D014A">
        <w:t>,</w:t>
      </w:r>
      <w:r w:rsidR="00C53BC0">
        <w:t xml:space="preserve"> and supported each other’s learning.</w:t>
      </w:r>
      <w:r w:rsidR="00C53BC0" w:rsidRPr="00C30A3B">
        <w:t xml:space="preserve"> </w:t>
      </w:r>
    </w:p>
    <w:p w14:paraId="278E9D64" w14:textId="29F6432B" w:rsidR="00C53BC0" w:rsidRDefault="000266C0" w:rsidP="00F16B11">
      <w:pPr>
        <w:tabs>
          <w:tab w:val="left" w:pos="360"/>
          <w:tab w:val="left" w:pos="720"/>
          <w:tab w:val="left" w:pos="1080"/>
          <w:tab w:val="left" w:pos="1440"/>
          <w:tab w:val="left" w:pos="1800"/>
          <w:tab w:val="left" w:pos="2160"/>
        </w:tabs>
        <w:ind w:left="1440" w:hanging="360"/>
      </w:pPr>
      <w:r>
        <w:t>b</w:t>
      </w:r>
      <w:r w:rsidR="004F3A34">
        <w:t xml:space="preserve">. </w:t>
      </w:r>
      <w:r w:rsidR="00166C3A">
        <w:tab/>
      </w:r>
      <w:r w:rsidR="00C53BC0">
        <w:t xml:space="preserve">In </w:t>
      </w:r>
      <w:r w:rsidR="0003413C">
        <w:t xml:space="preserve">many </w:t>
      </w:r>
      <w:r w:rsidR="003D014A">
        <w:t xml:space="preserve">observed </w:t>
      </w:r>
      <w:r w:rsidR="0003413C">
        <w:t>middle-</w:t>
      </w:r>
      <w:r w:rsidR="00C53BC0">
        <w:t xml:space="preserve">school and </w:t>
      </w:r>
      <w:r w:rsidR="0003413C">
        <w:t>high-</w:t>
      </w:r>
      <w:r w:rsidR="00C53BC0">
        <w:t>school classes, the team noted students taking responsibility for the</w:t>
      </w:r>
      <w:r w:rsidR="00B7182B">
        <w:t>ir</w:t>
      </w:r>
      <w:r w:rsidR="00C53BC0">
        <w:t xml:space="preserve"> learning by working independently, in pairs</w:t>
      </w:r>
      <w:r w:rsidR="003D014A">
        <w:t>,</w:t>
      </w:r>
      <w:r w:rsidR="00C53BC0">
        <w:t xml:space="preserve"> or in small groups with teachers </w:t>
      </w:r>
      <w:r w:rsidR="004F3A34">
        <w:t>acting as facilitators.</w:t>
      </w:r>
      <w:r w:rsidR="00C53BC0">
        <w:t xml:space="preserve"> </w:t>
      </w:r>
      <w:r w:rsidR="00D42F8D">
        <w:t xml:space="preserve">For example, in </w:t>
      </w:r>
      <w:r w:rsidR="00C53BC0">
        <w:t xml:space="preserve">a grade 5 ELA class, students discussed the elements of a story using </w:t>
      </w:r>
      <w:r w:rsidR="007D7EAD">
        <w:t>academic vocabulary</w:t>
      </w:r>
      <w:r w:rsidR="00C53BC0">
        <w:t xml:space="preserve"> while the teacher moved from gro</w:t>
      </w:r>
      <w:r w:rsidR="004F3A34">
        <w:t>up to group.</w:t>
      </w:r>
      <w:r w:rsidR="00C53BC0">
        <w:t xml:space="preserve"> In a grade 10 math</w:t>
      </w:r>
      <w:r w:rsidR="004F3A34">
        <w:t>ematics</w:t>
      </w:r>
      <w:r w:rsidR="00B7182B">
        <w:t xml:space="preserve"> class</w:t>
      </w:r>
      <w:r w:rsidR="003D014A">
        <w:t>,</w:t>
      </w:r>
      <w:r w:rsidR="00C53BC0">
        <w:t xml:space="preserve"> students worked in pairs and used </w:t>
      </w:r>
      <w:r w:rsidR="007D7EAD">
        <w:t>appropriate math vocabulary</w:t>
      </w:r>
      <w:r w:rsidR="00C53BC0">
        <w:t xml:space="preserve"> while they </w:t>
      </w:r>
      <w:r w:rsidR="007D7EAD">
        <w:t xml:space="preserve">simplifying </w:t>
      </w:r>
      <w:r w:rsidR="00C53BC0">
        <w:t>radical expression</w:t>
      </w:r>
      <w:r w:rsidR="007D7EAD">
        <w:t>s</w:t>
      </w:r>
      <w:r w:rsidR="00C53BC0">
        <w:t xml:space="preserve">.  </w:t>
      </w:r>
      <w:r w:rsidR="00DB1EAC">
        <w:t>I</w:t>
      </w:r>
      <w:r w:rsidR="00C53BC0">
        <w:t>n a grade 12 ELA class,</w:t>
      </w:r>
      <w:r w:rsidR="00B7182B">
        <w:t xml:space="preserve"> working in pairs</w:t>
      </w:r>
      <w:r w:rsidR="00C53BC0">
        <w:t xml:space="preserve"> </w:t>
      </w:r>
      <w:r w:rsidR="00BF3E30">
        <w:t xml:space="preserve">students </w:t>
      </w:r>
      <w:r w:rsidR="00C53BC0">
        <w:t xml:space="preserve">prepared and led an in-depth discussion of the literary elements in two chapters of a text </w:t>
      </w:r>
      <w:r w:rsidR="00DB1EAC">
        <w:t xml:space="preserve">that </w:t>
      </w:r>
      <w:r w:rsidR="00C53BC0">
        <w:t>the class was reading.</w:t>
      </w:r>
    </w:p>
    <w:p w14:paraId="2538CF0F" w14:textId="45D51304" w:rsidR="00C53BC0" w:rsidRPr="006E06A2" w:rsidRDefault="000266C0" w:rsidP="00F16B11">
      <w:pPr>
        <w:pStyle w:val="ListParagraph"/>
        <w:tabs>
          <w:tab w:val="left" w:pos="360"/>
          <w:tab w:val="left" w:pos="720"/>
          <w:tab w:val="left" w:pos="1080"/>
          <w:tab w:val="left" w:pos="1440"/>
          <w:tab w:val="left" w:pos="1800"/>
          <w:tab w:val="left" w:pos="2160"/>
        </w:tabs>
        <w:ind w:left="1440" w:hanging="360"/>
        <w:contextualSpacing w:val="0"/>
      </w:pPr>
      <w:r>
        <w:t>c</w:t>
      </w:r>
      <w:r w:rsidR="00C53BC0" w:rsidRPr="006E06A2">
        <w:t>.</w:t>
      </w:r>
      <w:r w:rsidR="00C53BC0" w:rsidRPr="006E06A2">
        <w:tab/>
        <w:t xml:space="preserve">In contrast, </w:t>
      </w:r>
      <w:r w:rsidR="00C53BC0">
        <w:t xml:space="preserve">in </w:t>
      </w:r>
      <w:r w:rsidR="0003413C">
        <w:t>some</w:t>
      </w:r>
      <w:r w:rsidR="00C53BC0">
        <w:t xml:space="preserve"> </w:t>
      </w:r>
      <w:r w:rsidR="00DB1EAC">
        <w:t xml:space="preserve">observed </w:t>
      </w:r>
      <w:r w:rsidR="00C53BC0">
        <w:t>middle</w:t>
      </w:r>
      <w:r w:rsidR="00DB1EAC">
        <w:t>-</w:t>
      </w:r>
      <w:r w:rsidR="00C53BC0">
        <w:t xml:space="preserve"> </w:t>
      </w:r>
      <w:r w:rsidR="00DB1EAC">
        <w:t>and high-</w:t>
      </w:r>
      <w:r w:rsidR="00C53BC0">
        <w:t xml:space="preserve">school classes, </w:t>
      </w:r>
      <w:r w:rsidR="00221B8F">
        <w:t>the team observed</w:t>
      </w:r>
      <w:r w:rsidR="004F3A34">
        <w:t xml:space="preserve"> </w:t>
      </w:r>
      <w:r w:rsidR="00C53BC0">
        <w:t>teacher</w:t>
      </w:r>
      <w:r w:rsidR="00221B8F">
        <w:t>-</w:t>
      </w:r>
      <w:r w:rsidR="00C53BC0">
        <w:t>centered instruction using lectures, notes</w:t>
      </w:r>
      <w:r w:rsidR="00EB1ED5">
        <w:t>,</w:t>
      </w:r>
      <w:r w:rsidR="00C53BC0">
        <w:t xml:space="preserve"> and worksheets</w:t>
      </w:r>
      <w:r w:rsidR="00B7182B">
        <w:t xml:space="preserve">, with </w:t>
      </w:r>
      <w:r w:rsidR="004F3A34">
        <w:t xml:space="preserve">limited opportunities </w:t>
      </w:r>
      <w:r w:rsidR="00A20FF7">
        <w:t xml:space="preserve">for students </w:t>
      </w:r>
      <w:r w:rsidR="004F3A34">
        <w:t>to be actively</w:t>
      </w:r>
      <w:r w:rsidR="00C53BC0">
        <w:t xml:space="preserve"> engaged in learning. Further, the</w:t>
      </w:r>
      <w:r w:rsidR="00C53BC0" w:rsidRPr="006E06A2">
        <w:t xml:space="preserve"> team observe</w:t>
      </w:r>
      <w:r w:rsidR="004F3A34">
        <w:t>d</w:t>
      </w:r>
      <w:r w:rsidR="00C53BC0">
        <w:t xml:space="preserve"> </w:t>
      </w:r>
      <w:r w:rsidR="004F3A34">
        <w:t xml:space="preserve">limited </w:t>
      </w:r>
      <w:r w:rsidR="00C53BC0">
        <w:t xml:space="preserve">strategies </w:t>
      </w:r>
      <w:r w:rsidR="00EB1ED5">
        <w:t xml:space="preserve">to maintain student engagement </w:t>
      </w:r>
      <w:r w:rsidR="00C53BC0">
        <w:t xml:space="preserve">such as </w:t>
      </w:r>
      <w:r w:rsidR="00C53BC0" w:rsidRPr="006E06A2">
        <w:t>the</w:t>
      </w:r>
      <w:r w:rsidR="00C53BC0">
        <w:t xml:space="preserve"> use of </w:t>
      </w:r>
      <w:r w:rsidR="00C53BC0" w:rsidRPr="006E06A2">
        <w:t>cold calling on students.</w:t>
      </w:r>
      <w:r w:rsidR="00C53BC0">
        <w:t xml:space="preserve"> </w:t>
      </w:r>
    </w:p>
    <w:p w14:paraId="0F6C421A" w14:textId="1D659CB3" w:rsidR="00C53BC0" w:rsidRDefault="00166C3A" w:rsidP="00E22258">
      <w:pPr>
        <w:tabs>
          <w:tab w:val="left" w:pos="360"/>
          <w:tab w:val="left" w:pos="720"/>
          <w:tab w:val="left" w:pos="1080"/>
          <w:tab w:val="left" w:pos="1440"/>
          <w:tab w:val="left" w:pos="1800"/>
          <w:tab w:val="left" w:pos="2160"/>
        </w:tabs>
        <w:ind w:left="1080" w:hanging="1080"/>
      </w:pPr>
      <w:r>
        <w:tab/>
      </w:r>
      <w:r>
        <w:tab/>
      </w:r>
      <w:r w:rsidR="000266C0">
        <w:t>2.</w:t>
      </w:r>
      <w:r w:rsidR="00F16B11">
        <w:tab/>
      </w:r>
      <w:r w:rsidR="00C53BC0">
        <w:t xml:space="preserve">The review team found </w:t>
      </w:r>
      <w:r w:rsidR="000266C0">
        <w:t xml:space="preserve">sufficient and compelling evidence of students engaged in tasks that required analysis, problem-solving, evaluation or application of new knowledge (characteristic #6) </w:t>
      </w:r>
      <w:r w:rsidR="00C53BC0">
        <w:t xml:space="preserve">in 71 percent of </w:t>
      </w:r>
      <w:r w:rsidR="000266C0">
        <w:t xml:space="preserve">observed </w:t>
      </w:r>
      <w:r w:rsidR="00C53BC0">
        <w:t xml:space="preserve">elementary classes, </w:t>
      </w:r>
      <w:r w:rsidR="000266C0">
        <w:t>in only 35 percent of middle</w:t>
      </w:r>
      <w:r w:rsidR="0003413C">
        <w:t>-</w:t>
      </w:r>
      <w:r w:rsidR="000266C0">
        <w:t xml:space="preserve">school classes, and in </w:t>
      </w:r>
      <w:r w:rsidR="00C53BC0">
        <w:t xml:space="preserve">73 percent of </w:t>
      </w:r>
      <w:r w:rsidR="0003413C">
        <w:t>high-</w:t>
      </w:r>
      <w:r w:rsidR="00C53BC0">
        <w:t xml:space="preserve">school classes. </w:t>
      </w:r>
    </w:p>
    <w:p w14:paraId="47309625" w14:textId="49E7AEC2" w:rsidR="00C53BC0" w:rsidRPr="00C900C6" w:rsidRDefault="00F16B11" w:rsidP="00E22258">
      <w:pPr>
        <w:tabs>
          <w:tab w:val="left" w:pos="360"/>
          <w:tab w:val="left" w:pos="720"/>
          <w:tab w:val="left" w:pos="1080"/>
          <w:tab w:val="left" w:pos="1440"/>
          <w:tab w:val="left" w:pos="1800"/>
        </w:tabs>
        <w:ind w:left="1440" w:hanging="1440"/>
      </w:pPr>
      <w:r>
        <w:tab/>
      </w:r>
      <w:r w:rsidR="00166C3A">
        <w:tab/>
      </w:r>
      <w:r w:rsidR="00166C3A">
        <w:tab/>
      </w:r>
      <w:r w:rsidR="007217C4">
        <w:t>a.</w:t>
      </w:r>
      <w:r>
        <w:tab/>
      </w:r>
      <w:r w:rsidR="00C53BC0">
        <w:t xml:space="preserve">In </w:t>
      </w:r>
      <w:r w:rsidR="000266C0">
        <w:t xml:space="preserve">most observed </w:t>
      </w:r>
      <w:r w:rsidR="00C53BC0">
        <w:t>elementary math classes, the team noted examples of teachers em</w:t>
      </w:r>
      <w:r w:rsidR="00F1316E">
        <w:t xml:space="preserve">phasizing conceptual thinking. </w:t>
      </w:r>
      <w:r w:rsidR="00C53BC0">
        <w:t xml:space="preserve">Students were frequently asked </w:t>
      </w:r>
      <w:r w:rsidR="00F1316E">
        <w:t>“</w:t>
      </w:r>
      <w:r w:rsidR="00C53BC0">
        <w:t>why</w:t>
      </w:r>
      <w:r w:rsidR="00F1316E">
        <w:t>?”</w:t>
      </w:r>
      <w:r w:rsidR="00C53BC0">
        <w:t xml:space="preserve"> questions and were required to explaining t</w:t>
      </w:r>
      <w:r w:rsidR="00B7182B">
        <w:t xml:space="preserve">heir </w:t>
      </w:r>
      <w:r w:rsidR="00C53BC0">
        <w:t xml:space="preserve">thinking or </w:t>
      </w:r>
      <w:r w:rsidR="00F1316E">
        <w:t xml:space="preserve">develop </w:t>
      </w:r>
      <w:r w:rsidR="00773C21">
        <w:t>problem-</w:t>
      </w:r>
      <w:r w:rsidR="00F1316E">
        <w:t>solving strategies.</w:t>
      </w:r>
      <w:r w:rsidR="00B7182B">
        <w:t xml:space="preserve"> In ELA classes</w:t>
      </w:r>
      <w:r w:rsidR="000266C0">
        <w:t>,</w:t>
      </w:r>
      <w:r w:rsidR="00C53BC0">
        <w:t xml:space="preserve"> students analyzed</w:t>
      </w:r>
      <w:r w:rsidR="00F1316E">
        <w:t>, compared, and contrasted character traits.</w:t>
      </w:r>
    </w:p>
    <w:p w14:paraId="2DFCD3D9" w14:textId="41CE5AD4" w:rsidR="00C53BC0" w:rsidRDefault="00F16B11" w:rsidP="00E22258">
      <w:pPr>
        <w:tabs>
          <w:tab w:val="left" w:pos="360"/>
          <w:tab w:val="left" w:pos="720"/>
          <w:tab w:val="left" w:pos="1080"/>
          <w:tab w:val="left" w:pos="1440"/>
          <w:tab w:val="left" w:pos="1800"/>
        </w:tabs>
        <w:ind w:left="1440" w:hanging="1440"/>
      </w:pPr>
      <w:r>
        <w:lastRenderedPageBreak/>
        <w:tab/>
      </w:r>
      <w:r w:rsidR="00166C3A">
        <w:tab/>
      </w:r>
      <w:r w:rsidR="00166C3A">
        <w:tab/>
      </w:r>
      <w:r w:rsidR="007217C4">
        <w:t>b.</w:t>
      </w:r>
      <w:r>
        <w:tab/>
      </w:r>
      <w:r w:rsidR="00C53BC0">
        <w:t xml:space="preserve">In </w:t>
      </w:r>
      <w:r w:rsidR="000266C0">
        <w:t xml:space="preserve">a majority of observed </w:t>
      </w:r>
      <w:r w:rsidR="0003413C">
        <w:t>high-</w:t>
      </w:r>
      <w:r w:rsidR="00C53BC0">
        <w:t>school classes, students were frequently involved in analysis, synthesis</w:t>
      </w:r>
      <w:r w:rsidR="00B7182B">
        <w:t>,</w:t>
      </w:r>
      <w:r w:rsidR="00C53BC0">
        <w:t xml:space="preserve"> and active problem solving. For example, in a grade 10 math</w:t>
      </w:r>
      <w:r w:rsidR="00F1316E">
        <w:t>ematics</w:t>
      </w:r>
      <w:r w:rsidR="00B7182B">
        <w:t xml:space="preserve"> class</w:t>
      </w:r>
      <w:r w:rsidR="000266C0">
        <w:t>,</w:t>
      </w:r>
      <w:r w:rsidR="00C53BC0">
        <w:t xml:space="preserve"> students analyzed the relationship of angles and si</w:t>
      </w:r>
      <w:r w:rsidR="00B7182B">
        <w:t xml:space="preserve">des of a right triangle. </w:t>
      </w:r>
      <w:r w:rsidR="00F1316E">
        <w:t>I</w:t>
      </w:r>
      <w:r w:rsidR="00C53BC0">
        <w:t>n a grade 12 ELA class, students shared and evaluated inferences made in a discussion and analysis of literary characters in the text.</w:t>
      </w:r>
    </w:p>
    <w:p w14:paraId="5757ED78" w14:textId="63B1A607" w:rsidR="00C53BC0" w:rsidRDefault="00F16B11" w:rsidP="00E22258">
      <w:pPr>
        <w:tabs>
          <w:tab w:val="left" w:pos="360"/>
          <w:tab w:val="left" w:pos="720"/>
          <w:tab w:val="left" w:pos="1080"/>
          <w:tab w:val="left" w:pos="1440"/>
          <w:tab w:val="left" w:pos="1800"/>
        </w:tabs>
        <w:ind w:left="1440" w:hanging="1440"/>
      </w:pPr>
      <w:r>
        <w:tab/>
      </w:r>
      <w:r w:rsidR="00166C3A">
        <w:tab/>
      </w:r>
      <w:r w:rsidR="00166C3A">
        <w:tab/>
      </w:r>
      <w:r w:rsidR="007217C4">
        <w:t>c.</w:t>
      </w:r>
      <w:r>
        <w:tab/>
      </w:r>
      <w:r w:rsidR="00F1316E">
        <w:t xml:space="preserve">In contrast, in </w:t>
      </w:r>
      <w:r w:rsidR="00ED0544">
        <w:t xml:space="preserve">most </w:t>
      </w:r>
      <w:r w:rsidR="000266C0">
        <w:t>observed</w:t>
      </w:r>
      <w:r w:rsidR="00C53BC0">
        <w:t xml:space="preserve"> </w:t>
      </w:r>
      <w:r w:rsidR="00374AE2">
        <w:t>middle-</w:t>
      </w:r>
      <w:r w:rsidR="00C53BC0">
        <w:t xml:space="preserve">school classes, </w:t>
      </w:r>
      <w:r w:rsidR="00F1316E">
        <w:t>teacher-</w:t>
      </w:r>
      <w:r w:rsidR="00C53BC0">
        <w:t xml:space="preserve">directed </w:t>
      </w:r>
      <w:r w:rsidR="00773C21">
        <w:t xml:space="preserve">and </w:t>
      </w:r>
      <w:r w:rsidR="000266C0">
        <w:t>whole-</w:t>
      </w:r>
      <w:r w:rsidR="00C53BC0">
        <w:t xml:space="preserve">class activities prevailed, limiting students’ opportunities to engage in tasks that could develop their </w:t>
      </w:r>
      <w:r w:rsidR="000266C0">
        <w:t>higher-</w:t>
      </w:r>
      <w:r w:rsidR="00C53BC0">
        <w:t xml:space="preserve">order thinking skills, such as applying what </w:t>
      </w:r>
      <w:r w:rsidR="00F1316E">
        <w:t xml:space="preserve">they </w:t>
      </w:r>
      <w:r w:rsidR="000266C0">
        <w:t xml:space="preserve">had </w:t>
      </w:r>
      <w:r w:rsidR="00F1316E">
        <w:t>learn</w:t>
      </w:r>
      <w:r w:rsidR="000266C0">
        <w:t>ed</w:t>
      </w:r>
      <w:r w:rsidR="00F1316E">
        <w:t xml:space="preserve"> to a new situation. </w:t>
      </w:r>
      <w:r w:rsidR="00C53BC0">
        <w:t xml:space="preserve">The team noted </w:t>
      </w:r>
      <w:r w:rsidR="007217C4">
        <w:t xml:space="preserve">that </w:t>
      </w:r>
      <w:r w:rsidR="00C53BC0">
        <w:t xml:space="preserve">questions in these classes often focused on low-level thinking skills. </w:t>
      </w:r>
      <w:r w:rsidR="00B7182B">
        <w:t>For example, s</w:t>
      </w:r>
      <w:r w:rsidR="00C53BC0">
        <w:t>tudents filled in worksheets/packets or copied no</w:t>
      </w:r>
      <w:r w:rsidR="00F1316E">
        <w:t xml:space="preserve">tes from the </w:t>
      </w:r>
      <w:r w:rsidR="000B015E">
        <w:t xml:space="preserve">overhead </w:t>
      </w:r>
      <w:r w:rsidR="00F1316E">
        <w:t>screen into their C</w:t>
      </w:r>
      <w:r w:rsidR="00C53BC0">
        <w:t>hromebooks.</w:t>
      </w:r>
    </w:p>
    <w:p w14:paraId="633DF2ED" w14:textId="4F016B52" w:rsidR="00C53BC0" w:rsidRDefault="007217C4" w:rsidP="00E22258">
      <w:pPr>
        <w:tabs>
          <w:tab w:val="left" w:pos="360"/>
          <w:tab w:val="left" w:pos="720"/>
          <w:tab w:val="left" w:pos="1080"/>
        </w:tabs>
        <w:ind w:left="1080" w:hanging="360"/>
      </w:pPr>
      <w:r>
        <w:t>3.</w:t>
      </w:r>
      <w:r w:rsidR="00F16B11">
        <w:tab/>
      </w:r>
      <w:r>
        <w:t xml:space="preserve">Observers saw sufficient and compelling evidence of students communicating their ideas and thinking about content with each other (characteristic #7) in </w:t>
      </w:r>
      <w:r w:rsidR="00C53BC0">
        <w:t xml:space="preserve">62 percent of elementary classes, </w:t>
      </w:r>
      <w:r>
        <w:t xml:space="preserve">in </w:t>
      </w:r>
      <w:r w:rsidR="003114A8">
        <w:t xml:space="preserve">only </w:t>
      </w:r>
      <w:r w:rsidR="00C53BC0">
        <w:t xml:space="preserve">39 percent of </w:t>
      </w:r>
      <w:r>
        <w:t>middle-</w:t>
      </w:r>
      <w:r w:rsidR="00C53BC0">
        <w:t>school classes</w:t>
      </w:r>
      <w:r>
        <w:t>,</w:t>
      </w:r>
      <w:r w:rsidR="00C53BC0">
        <w:t xml:space="preserve"> and </w:t>
      </w:r>
      <w:r>
        <w:t xml:space="preserve">in </w:t>
      </w:r>
      <w:r w:rsidR="00C53BC0">
        <w:t xml:space="preserve">53 percent of </w:t>
      </w:r>
      <w:r w:rsidR="003114A8">
        <w:t>high-</w:t>
      </w:r>
      <w:r w:rsidR="00C53BC0">
        <w:t>school classes.</w:t>
      </w:r>
      <w:r w:rsidR="00C53BC0" w:rsidRPr="00412451">
        <w:t xml:space="preserve"> </w:t>
      </w:r>
    </w:p>
    <w:p w14:paraId="5A9D623C" w14:textId="4ED76F11" w:rsidR="00C53BC0" w:rsidRDefault="00166C3A" w:rsidP="00E22258">
      <w:pPr>
        <w:tabs>
          <w:tab w:val="left" w:pos="360"/>
          <w:tab w:val="left" w:pos="720"/>
          <w:tab w:val="left" w:pos="1080"/>
        </w:tabs>
        <w:ind w:left="1440" w:hanging="1440"/>
      </w:pPr>
      <w:r>
        <w:tab/>
      </w:r>
      <w:r>
        <w:tab/>
      </w:r>
      <w:r>
        <w:tab/>
      </w:r>
      <w:r w:rsidR="007217C4">
        <w:t>a.</w:t>
      </w:r>
      <w:r w:rsidR="00F16B11">
        <w:tab/>
      </w:r>
      <w:r w:rsidR="00C53BC0">
        <w:t xml:space="preserve">At the elementary level, the review team found that </w:t>
      </w:r>
      <w:r w:rsidR="00374AE2">
        <w:t xml:space="preserve">in the </w:t>
      </w:r>
      <w:r w:rsidR="00C53BC0" w:rsidRPr="00566853">
        <w:t xml:space="preserve">majority of lessons </w:t>
      </w:r>
      <w:r w:rsidR="00C53BC0">
        <w:t>students had opportunities to discuss their</w:t>
      </w:r>
      <w:r w:rsidR="00B7182B">
        <w:t xml:space="preserve"> ideas about content in pairs </w:t>
      </w:r>
      <w:r w:rsidR="00C53BC0">
        <w:t>and in small groups. The review team note</w:t>
      </w:r>
      <w:r w:rsidR="00F1316E">
        <w:t xml:space="preserve">d the frequent use of turn and </w:t>
      </w:r>
      <w:r w:rsidR="00B7182B">
        <w:t xml:space="preserve">talk </w:t>
      </w:r>
      <w:r w:rsidR="00C53BC0">
        <w:t>as a</w:t>
      </w:r>
      <w:r w:rsidR="00F1316E">
        <w:t xml:space="preserve"> </w:t>
      </w:r>
      <w:r w:rsidR="00C53BC0">
        <w:t xml:space="preserve">strategy for </w:t>
      </w:r>
      <w:r w:rsidR="007217C4">
        <w:t>student-to-</w:t>
      </w:r>
      <w:r w:rsidR="00C53BC0">
        <w:t xml:space="preserve">student communication about content.  </w:t>
      </w:r>
    </w:p>
    <w:p w14:paraId="0BE51A76" w14:textId="0D886042" w:rsidR="00C53BC0" w:rsidRPr="000847C0" w:rsidRDefault="00F16B11" w:rsidP="00E22258">
      <w:pPr>
        <w:tabs>
          <w:tab w:val="left" w:pos="360"/>
          <w:tab w:val="left" w:pos="720"/>
          <w:tab w:val="left" w:pos="1080"/>
          <w:tab w:val="left" w:pos="1440"/>
        </w:tabs>
        <w:ind w:left="1440" w:hanging="1440"/>
      </w:pPr>
      <w:r>
        <w:tab/>
      </w:r>
      <w:r w:rsidR="00166C3A">
        <w:tab/>
      </w:r>
      <w:r w:rsidR="00166C3A">
        <w:tab/>
      </w:r>
      <w:r w:rsidR="00B03398">
        <w:t>b.</w:t>
      </w:r>
      <w:r>
        <w:tab/>
      </w:r>
      <w:r w:rsidR="00C53BC0" w:rsidRPr="000847C0">
        <w:t xml:space="preserve">In </w:t>
      </w:r>
      <w:r w:rsidR="00ED0544">
        <w:t>some</w:t>
      </w:r>
      <w:r w:rsidR="00374AE2">
        <w:t xml:space="preserve"> observed</w:t>
      </w:r>
      <w:r w:rsidR="00C53BC0" w:rsidRPr="000847C0">
        <w:t xml:space="preserve"> </w:t>
      </w:r>
      <w:r w:rsidR="00374AE2" w:rsidRPr="000847C0">
        <w:t>middle</w:t>
      </w:r>
      <w:r w:rsidR="00374AE2">
        <w:t>-</w:t>
      </w:r>
      <w:r w:rsidR="00C53BC0" w:rsidRPr="000847C0">
        <w:t>school classe</w:t>
      </w:r>
      <w:r w:rsidR="00364D02">
        <w:t>s</w:t>
      </w:r>
      <w:r w:rsidR="00C53BC0" w:rsidRPr="000847C0">
        <w:t>, students exchanged ideas through peer editing, collaborating on assignments, participating in small</w:t>
      </w:r>
      <w:r w:rsidR="00ED0544">
        <w:t>-</w:t>
      </w:r>
      <w:r w:rsidR="00C53BC0" w:rsidRPr="000847C0">
        <w:t xml:space="preserve"> group discussions</w:t>
      </w:r>
      <w:r w:rsidR="00ED0544">
        <w:t>,</w:t>
      </w:r>
      <w:r w:rsidR="00C53BC0" w:rsidRPr="000847C0">
        <w:t xml:space="preserve"> or duri</w:t>
      </w:r>
      <w:r w:rsidR="000847C0" w:rsidRPr="000847C0">
        <w:t>ng turn and talk opportunities.</w:t>
      </w:r>
      <w:r w:rsidR="00C53BC0" w:rsidRPr="000847C0">
        <w:t xml:space="preserve"> </w:t>
      </w:r>
      <w:r w:rsidR="000847C0">
        <w:t>However,</w:t>
      </w:r>
      <w:r w:rsidR="000847C0" w:rsidRPr="000847C0">
        <w:t xml:space="preserve"> </w:t>
      </w:r>
      <w:r w:rsidR="00ED0544">
        <w:t xml:space="preserve">in most observed </w:t>
      </w:r>
      <w:r w:rsidR="00D42F8D">
        <w:t xml:space="preserve">middle-school </w:t>
      </w:r>
      <w:r w:rsidR="00ED0544">
        <w:t xml:space="preserve">classrooms, </w:t>
      </w:r>
      <w:r w:rsidR="00374AE2" w:rsidRPr="000847C0">
        <w:t>teacher</w:t>
      </w:r>
      <w:r w:rsidR="00374AE2">
        <w:t>-</w:t>
      </w:r>
      <w:r w:rsidR="00C53BC0" w:rsidRPr="000847C0">
        <w:t>directed lessons limited</w:t>
      </w:r>
      <w:r w:rsidR="000847C0" w:rsidRPr="000847C0">
        <w:t xml:space="preserve"> s</w:t>
      </w:r>
      <w:r w:rsidR="00C53BC0" w:rsidRPr="000847C0">
        <w:t>tudent</w:t>
      </w:r>
      <w:r w:rsidR="000847C0" w:rsidRPr="000847C0">
        <w:t>s</w:t>
      </w:r>
      <w:r w:rsidR="00B7182B">
        <w:t>’</w:t>
      </w:r>
      <w:r w:rsidR="000847C0" w:rsidRPr="000847C0">
        <w:t xml:space="preserve"> opportunities</w:t>
      </w:r>
      <w:r w:rsidR="00C53BC0" w:rsidRPr="000847C0">
        <w:t xml:space="preserve"> to </w:t>
      </w:r>
      <w:r w:rsidR="000847C0" w:rsidRPr="000847C0">
        <w:t>share</w:t>
      </w:r>
      <w:r w:rsidR="00C53BC0" w:rsidRPr="000847C0">
        <w:t xml:space="preserve"> ideas. </w:t>
      </w:r>
    </w:p>
    <w:p w14:paraId="5B218A5A" w14:textId="5FBD2124" w:rsidR="00C53BC0" w:rsidRPr="007C36EB" w:rsidRDefault="00F16B11" w:rsidP="00E22258">
      <w:pPr>
        <w:tabs>
          <w:tab w:val="left" w:pos="360"/>
          <w:tab w:val="left" w:pos="720"/>
          <w:tab w:val="left" w:pos="1080"/>
          <w:tab w:val="left" w:pos="1440"/>
          <w:tab w:val="left" w:pos="1800"/>
        </w:tabs>
        <w:ind w:left="1440" w:hanging="1440"/>
      </w:pPr>
      <w:r>
        <w:tab/>
      </w:r>
      <w:r w:rsidR="00166C3A">
        <w:tab/>
      </w:r>
      <w:r w:rsidR="00166C3A">
        <w:tab/>
      </w:r>
      <w:r w:rsidR="00B03398">
        <w:t>c.</w:t>
      </w:r>
      <w:r>
        <w:tab/>
      </w:r>
      <w:r w:rsidR="00ED0544">
        <w:t>In a majority of observed high-school classes,</w:t>
      </w:r>
      <w:r w:rsidR="00ED0544" w:rsidRPr="000847C0">
        <w:t xml:space="preserve"> </w:t>
      </w:r>
      <w:r w:rsidR="00ED0544">
        <w:t>t</w:t>
      </w:r>
      <w:r w:rsidR="00ED0544" w:rsidRPr="000847C0">
        <w:t xml:space="preserve">he </w:t>
      </w:r>
      <w:r w:rsidR="00C53BC0" w:rsidRPr="000847C0">
        <w:t>review team noted examples</w:t>
      </w:r>
      <w:r w:rsidR="000847C0">
        <w:t xml:space="preserve"> of student-to student</w:t>
      </w:r>
      <w:r w:rsidR="00364D02">
        <w:t xml:space="preserve"> </w:t>
      </w:r>
      <w:r w:rsidR="00C53BC0">
        <w:t>exchanges</w:t>
      </w:r>
      <w:r w:rsidR="000847C0">
        <w:t xml:space="preserve">. </w:t>
      </w:r>
      <w:r w:rsidR="00C53BC0">
        <w:t>Students</w:t>
      </w:r>
      <w:r w:rsidR="00B7182B">
        <w:t xml:space="preserve"> collaborated in small groups/</w:t>
      </w:r>
      <w:r w:rsidR="00C53BC0">
        <w:t xml:space="preserve">pairs and exchanged their thinking </w:t>
      </w:r>
      <w:r w:rsidR="000847C0">
        <w:t xml:space="preserve">through a quick turn and talk. </w:t>
      </w:r>
    </w:p>
    <w:p w14:paraId="07BCFF4B" w14:textId="4798D3F6" w:rsidR="00C53BC0" w:rsidRDefault="00166C3A" w:rsidP="00E22258">
      <w:pPr>
        <w:tabs>
          <w:tab w:val="left" w:pos="360"/>
          <w:tab w:val="left" w:pos="720"/>
          <w:tab w:val="left" w:pos="1080"/>
          <w:tab w:val="left" w:pos="1440"/>
          <w:tab w:val="left" w:pos="1800"/>
          <w:tab w:val="left" w:pos="2160"/>
        </w:tabs>
        <w:ind w:left="1080" w:hanging="1080"/>
      </w:pPr>
      <w:r>
        <w:tab/>
      </w:r>
      <w:r>
        <w:tab/>
      </w:r>
      <w:r w:rsidR="009803A0">
        <w:t>4.</w:t>
      </w:r>
      <w:r w:rsidR="009803A0">
        <w:tab/>
      </w:r>
      <w:r w:rsidR="004F35AF">
        <w:t>Observers</w:t>
      </w:r>
      <w:r w:rsidR="00C53BC0">
        <w:t xml:space="preserve"> found sufficient</w:t>
      </w:r>
      <w:r w:rsidR="004F35AF">
        <w:t xml:space="preserve"> and </w:t>
      </w:r>
      <w:r w:rsidR="00C53BC0">
        <w:t xml:space="preserve">compelling evidence that students engaged with meaningful, real-world tasks </w:t>
      </w:r>
      <w:r w:rsidR="004F35AF">
        <w:t xml:space="preserve">(characteristic #8) </w:t>
      </w:r>
      <w:r w:rsidR="00C53BC0">
        <w:t xml:space="preserve">in </w:t>
      </w:r>
      <w:r w:rsidR="004F35AF">
        <w:t xml:space="preserve">58 percent of elementary classrooms, in </w:t>
      </w:r>
      <w:r w:rsidR="00A20FF7">
        <w:t xml:space="preserve">only </w:t>
      </w:r>
      <w:r w:rsidR="004F35AF">
        <w:t xml:space="preserve">39 percent of middle-school classes, and in </w:t>
      </w:r>
      <w:r w:rsidR="00A20FF7">
        <w:t xml:space="preserve">only </w:t>
      </w:r>
      <w:r w:rsidR="004F35AF">
        <w:t>46</w:t>
      </w:r>
      <w:r w:rsidR="00C53BC0">
        <w:t xml:space="preserve"> percent </w:t>
      </w:r>
      <w:r w:rsidR="004F35AF">
        <w:t xml:space="preserve">of high-school </w:t>
      </w:r>
      <w:r w:rsidR="00C53BC0">
        <w:t>classes.</w:t>
      </w:r>
      <w:r w:rsidR="00C53BC0" w:rsidRPr="00FC1F92">
        <w:t xml:space="preserve"> </w:t>
      </w:r>
    </w:p>
    <w:p w14:paraId="789A9FEF" w14:textId="7B678A67" w:rsidR="00C53BC0" w:rsidRDefault="00166C3A" w:rsidP="00482994">
      <w:pPr>
        <w:tabs>
          <w:tab w:val="left" w:pos="360"/>
          <w:tab w:val="left" w:pos="720"/>
          <w:tab w:val="left" w:pos="1080"/>
          <w:tab w:val="left" w:pos="1440"/>
          <w:tab w:val="left" w:pos="1800"/>
          <w:tab w:val="left" w:pos="2160"/>
          <w:tab w:val="left" w:pos="2520"/>
        </w:tabs>
        <w:ind w:left="1440" w:hanging="1440"/>
      </w:pPr>
      <w:r>
        <w:tab/>
      </w:r>
      <w:r>
        <w:tab/>
      </w:r>
      <w:r>
        <w:tab/>
      </w:r>
      <w:r w:rsidR="009803A0">
        <w:t>a</w:t>
      </w:r>
      <w:r w:rsidR="00C53BC0">
        <w:t>.</w:t>
      </w:r>
      <w:r w:rsidR="00C53BC0">
        <w:tab/>
      </w:r>
      <w:r w:rsidR="00482994">
        <w:t>In observed classes districtwide, the review team noted examples of students engaged with real-world tasks. For example, g</w:t>
      </w:r>
      <w:r w:rsidR="00482994" w:rsidRPr="00FC1F92">
        <w:t xml:space="preserve">rade 8 science students made connections </w:t>
      </w:r>
      <w:r w:rsidR="00482994">
        <w:t xml:space="preserve">between the </w:t>
      </w:r>
      <w:r w:rsidR="00482994" w:rsidRPr="00FC1F92">
        <w:t xml:space="preserve">impact </w:t>
      </w:r>
      <w:r w:rsidR="00482994">
        <w:t xml:space="preserve">of </w:t>
      </w:r>
      <w:r w:rsidR="00482994" w:rsidRPr="00FC1F92">
        <w:t>global war</w:t>
      </w:r>
      <w:r w:rsidR="00482994">
        <w:t>ming in Antarctica on penguins/whales and the effects of global warming in New England. I</w:t>
      </w:r>
      <w:r w:rsidR="00482994" w:rsidRPr="00FC1F92">
        <w:t>n a grade 12 ELA class, students led an in-depth discussion grappling with an essential life question.</w:t>
      </w:r>
    </w:p>
    <w:p w14:paraId="32C8F016" w14:textId="47168BFA" w:rsidR="00616A01" w:rsidRPr="00FC1F92" w:rsidRDefault="00166C3A" w:rsidP="00E22258">
      <w:pPr>
        <w:tabs>
          <w:tab w:val="left" w:pos="360"/>
          <w:tab w:val="left" w:pos="720"/>
          <w:tab w:val="left" w:pos="1080"/>
          <w:tab w:val="left" w:pos="1440"/>
          <w:tab w:val="left" w:pos="1800"/>
          <w:tab w:val="left" w:pos="2160"/>
          <w:tab w:val="left" w:pos="2520"/>
          <w:tab w:val="left" w:pos="2880"/>
        </w:tabs>
        <w:ind w:left="1440" w:hanging="1440"/>
      </w:pPr>
      <w:r>
        <w:tab/>
      </w:r>
      <w:r>
        <w:tab/>
      </w:r>
      <w:r>
        <w:tab/>
      </w:r>
      <w:r w:rsidR="009803A0">
        <w:t>b</w:t>
      </w:r>
      <w:r w:rsidR="00616A01">
        <w:t xml:space="preserve">. </w:t>
      </w:r>
      <w:r w:rsidR="00A20FF7">
        <w:tab/>
      </w:r>
      <w:r w:rsidR="004D1D55">
        <w:t>I</w:t>
      </w:r>
      <w:r w:rsidR="00616A01">
        <w:t>n</w:t>
      </w:r>
      <w:r w:rsidR="00616A01" w:rsidRPr="00FC1F92">
        <w:t xml:space="preserve"> </w:t>
      </w:r>
      <w:r w:rsidR="00B1572E">
        <w:t>most</w:t>
      </w:r>
      <w:r w:rsidR="00616A01" w:rsidRPr="00FC1F92">
        <w:t xml:space="preserve"> </w:t>
      </w:r>
      <w:r w:rsidR="00B1572E">
        <w:t xml:space="preserve">observed </w:t>
      </w:r>
      <w:r w:rsidR="00616A01" w:rsidRPr="00FC1F92">
        <w:t>classes di</w:t>
      </w:r>
      <w:r w:rsidR="00616A01">
        <w:t>strict</w:t>
      </w:r>
      <w:r w:rsidR="00B7182B">
        <w:t>wide</w:t>
      </w:r>
      <w:r w:rsidR="00B1572E">
        <w:t>,</w:t>
      </w:r>
      <w:r w:rsidR="00616A01">
        <w:t xml:space="preserve"> </w:t>
      </w:r>
      <w:r w:rsidR="004D1D55">
        <w:t xml:space="preserve">however, </w:t>
      </w:r>
      <w:r w:rsidR="00616A01">
        <w:t xml:space="preserve">the </w:t>
      </w:r>
      <w:r w:rsidR="00B1572E">
        <w:t xml:space="preserve">review team found limited </w:t>
      </w:r>
      <w:r w:rsidR="00616A01" w:rsidRPr="00FC1F92">
        <w:t xml:space="preserve">evidence of </w:t>
      </w:r>
      <w:r w:rsidR="00B7182B">
        <w:t>s</w:t>
      </w:r>
      <w:r w:rsidR="00616A01" w:rsidRPr="00FC1F92">
        <w:t>tudents engaging with meaningful, real</w:t>
      </w:r>
      <w:r w:rsidR="00B1572E">
        <w:t>-</w:t>
      </w:r>
      <w:r w:rsidR="00616A01" w:rsidRPr="00FC1F92">
        <w:t xml:space="preserve">world tasks.  </w:t>
      </w:r>
      <w:r w:rsidR="00616A01">
        <w:t xml:space="preserve">The team noted that </w:t>
      </w:r>
      <w:r w:rsidR="00616A01" w:rsidRPr="00FC1F92">
        <w:t xml:space="preserve">math lessons </w:t>
      </w:r>
      <w:r w:rsidR="00616A01">
        <w:t xml:space="preserve">often missed opportunities to make </w:t>
      </w:r>
      <w:r w:rsidR="00D42F8D">
        <w:t xml:space="preserve">appropriate </w:t>
      </w:r>
      <w:r w:rsidR="00B1572E">
        <w:t>grade-</w:t>
      </w:r>
      <w:r w:rsidR="00616A01">
        <w:t>level conn</w:t>
      </w:r>
      <w:r w:rsidR="00B7182B">
        <w:t xml:space="preserve">ections to </w:t>
      </w:r>
      <w:r w:rsidR="00B1572E">
        <w:t>real-</w:t>
      </w:r>
      <w:r w:rsidR="00B7182B">
        <w:lastRenderedPageBreak/>
        <w:t xml:space="preserve">world </w:t>
      </w:r>
      <w:r w:rsidR="00D42F8D">
        <w:t>issues</w:t>
      </w:r>
      <w:r w:rsidR="00B7182B">
        <w:t>.</w:t>
      </w:r>
      <w:r w:rsidR="00616A01">
        <w:t xml:space="preserve"> Some s</w:t>
      </w:r>
      <w:r w:rsidR="00616A01" w:rsidRPr="00FC1F92">
        <w:t>cience classes</w:t>
      </w:r>
      <w:r w:rsidR="00616A01">
        <w:t xml:space="preserve"> re</w:t>
      </w:r>
      <w:r w:rsidR="00B7182B">
        <w:t xml:space="preserve">lied solely on lectures and note </w:t>
      </w:r>
      <w:r w:rsidR="00616A01">
        <w:t xml:space="preserve">taking instead of </w:t>
      </w:r>
      <w:r w:rsidR="00B7182B">
        <w:t xml:space="preserve">providing </w:t>
      </w:r>
      <w:r w:rsidR="00616A01">
        <w:t>engaging or challenging hands-on experiences for students.</w:t>
      </w:r>
      <w:r w:rsidR="00616A01" w:rsidRPr="00FC1F92">
        <w:t xml:space="preserve"> </w:t>
      </w:r>
    </w:p>
    <w:p w14:paraId="311E8A62" w14:textId="77CE1391" w:rsidR="00C53BC0" w:rsidRDefault="00C53BC0" w:rsidP="00C53BC0">
      <w:pPr>
        <w:tabs>
          <w:tab w:val="left" w:pos="360"/>
          <w:tab w:val="left" w:pos="720"/>
          <w:tab w:val="left" w:pos="1080"/>
          <w:tab w:val="left" w:pos="1440"/>
          <w:tab w:val="left" w:pos="1800"/>
          <w:tab w:val="left" w:pos="2160"/>
        </w:tabs>
      </w:pPr>
      <w:r w:rsidRPr="00F731AA">
        <w:rPr>
          <w:b/>
        </w:rPr>
        <w:t>Impact</w:t>
      </w:r>
      <w:r w:rsidRPr="00BA3A76">
        <w:t xml:space="preserve">: </w:t>
      </w:r>
      <w:r w:rsidR="00B06A96">
        <w:t>High-quality instruction provides</w:t>
      </w:r>
      <w:r>
        <w:t xml:space="preserve"> </w:t>
      </w:r>
      <w:r w:rsidR="00616A01">
        <w:t xml:space="preserve">all </w:t>
      </w:r>
      <w:r>
        <w:t xml:space="preserve">students </w:t>
      </w:r>
      <w:r w:rsidR="00B06A96">
        <w:t xml:space="preserve">with </w:t>
      </w:r>
      <w:r>
        <w:t xml:space="preserve">opportunities to be active, collaborative learners who regularly engage in </w:t>
      </w:r>
      <w:r w:rsidR="00B1572E">
        <w:t>high-</w:t>
      </w:r>
      <w:r>
        <w:t>level thinking skills that have</w:t>
      </w:r>
      <w:r w:rsidR="00C94A52">
        <w:t xml:space="preserve"> connection to the real world. </w:t>
      </w:r>
      <w:r>
        <w:t xml:space="preserve">When these practices are not consistently present districtwide, students may not </w:t>
      </w:r>
      <w:r w:rsidR="00B06A96">
        <w:t>develop</w:t>
      </w:r>
      <w:r>
        <w:t xml:space="preserve"> the </w:t>
      </w:r>
      <w:r w:rsidR="00B06A96">
        <w:t xml:space="preserve">knowledge and </w:t>
      </w:r>
      <w:r>
        <w:t xml:space="preserve">skills needed </w:t>
      </w:r>
      <w:r w:rsidR="00C94A52">
        <w:t xml:space="preserve">to </w:t>
      </w:r>
      <w:r w:rsidR="00C56F64">
        <w:t>succeed</w:t>
      </w:r>
      <w:r w:rsidR="00C94A52">
        <w:t xml:space="preserve"> </w:t>
      </w:r>
      <w:r>
        <w:t>in college, career</w:t>
      </w:r>
      <w:r w:rsidR="00B1572E">
        <w:t>,</w:t>
      </w:r>
      <w:r>
        <w:t xml:space="preserve"> and beyond.  </w:t>
      </w:r>
    </w:p>
    <w:p w14:paraId="7BAF9722" w14:textId="4FD71342" w:rsidR="00C53BC0" w:rsidRPr="00616A01" w:rsidRDefault="005A4DAC" w:rsidP="00C56F64">
      <w:pPr>
        <w:tabs>
          <w:tab w:val="left" w:pos="360"/>
          <w:tab w:val="left" w:pos="1440"/>
          <w:tab w:val="left" w:pos="1800"/>
          <w:tab w:val="left" w:pos="2160"/>
        </w:tabs>
        <w:ind w:left="360" w:hanging="360"/>
        <w:rPr>
          <w:b/>
        </w:rPr>
      </w:pPr>
      <w:r>
        <w:rPr>
          <w:b/>
        </w:rPr>
        <w:t>6</w:t>
      </w:r>
      <w:r w:rsidR="00616A01" w:rsidRPr="00616A01">
        <w:rPr>
          <w:b/>
        </w:rPr>
        <w:t xml:space="preserve">. </w:t>
      </w:r>
      <w:r w:rsidR="00C56F64">
        <w:rPr>
          <w:b/>
        </w:rPr>
        <w:tab/>
      </w:r>
      <w:r w:rsidR="00A1793D">
        <w:rPr>
          <w:b/>
        </w:rPr>
        <w:t>I</w:t>
      </w:r>
      <w:r w:rsidR="002A57E3">
        <w:rPr>
          <w:b/>
        </w:rPr>
        <w:t>n observed classrooms districtwide</w:t>
      </w:r>
      <w:r w:rsidR="00A1793D">
        <w:rPr>
          <w:b/>
        </w:rPr>
        <w:t>,</w:t>
      </w:r>
      <w:r w:rsidR="002A57E3">
        <w:rPr>
          <w:b/>
        </w:rPr>
        <w:t xml:space="preserve"> </w:t>
      </w:r>
      <w:r w:rsidR="00C94A52">
        <w:rPr>
          <w:b/>
        </w:rPr>
        <w:t>i</w:t>
      </w:r>
      <w:r w:rsidR="00C94A52" w:rsidRPr="00616A01">
        <w:rPr>
          <w:b/>
        </w:rPr>
        <w:t xml:space="preserve">nclusive practices </w:t>
      </w:r>
      <w:r w:rsidR="002A57E3">
        <w:rPr>
          <w:b/>
        </w:rPr>
        <w:t xml:space="preserve">were not </w:t>
      </w:r>
      <w:r w:rsidR="00C94A52" w:rsidRPr="00616A01">
        <w:rPr>
          <w:b/>
        </w:rPr>
        <w:t>firmly established</w:t>
      </w:r>
      <w:r w:rsidR="002A57E3">
        <w:rPr>
          <w:b/>
        </w:rPr>
        <w:t>.</w:t>
      </w:r>
      <w:r w:rsidR="00B73388">
        <w:rPr>
          <w:b/>
        </w:rPr>
        <w:t xml:space="preserve">  </w:t>
      </w:r>
      <w:r w:rsidR="00616A01">
        <w:rPr>
          <w:b/>
        </w:rPr>
        <w:t xml:space="preserve"> </w:t>
      </w:r>
    </w:p>
    <w:p w14:paraId="204C3E15" w14:textId="088877BF" w:rsidR="003807EE" w:rsidRDefault="002A57E3" w:rsidP="00FC58CB">
      <w:pPr>
        <w:pStyle w:val="ListParagraph"/>
        <w:numPr>
          <w:ilvl w:val="0"/>
          <w:numId w:val="17"/>
        </w:numPr>
        <w:tabs>
          <w:tab w:val="left" w:pos="360"/>
          <w:tab w:val="left" w:pos="720"/>
        </w:tabs>
        <w:contextualSpacing w:val="0"/>
      </w:pPr>
      <w:r w:rsidRPr="00E22258">
        <w:rPr>
          <w:b/>
        </w:rPr>
        <w:t>Focus Area #3: Inclusive Practice &amp; Classroom Culture</w:t>
      </w:r>
      <w:r>
        <w:t xml:space="preserve"> </w:t>
      </w:r>
      <w:r w:rsidR="003807EE">
        <w:t>In observed classrooms d</w:t>
      </w:r>
      <w:r w:rsidR="003807EE" w:rsidRPr="003807EE">
        <w:t xml:space="preserve">istrictwide, </w:t>
      </w:r>
      <w:r w:rsidR="00E15A5B">
        <w:t>lessons</w:t>
      </w:r>
      <w:r w:rsidR="000D3BB2">
        <w:t xml:space="preserve"> were </w:t>
      </w:r>
      <w:r w:rsidR="00E15A5B">
        <w:t>not consistently designed to support and challenge</w:t>
      </w:r>
      <w:r w:rsidR="000D3BB2">
        <w:t xml:space="preserve"> </w:t>
      </w:r>
      <w:r w:rsidR="00E15A5B">
        <w:t xml:space="preserve">all </w:t>
      </w:r>
      <w:r w:rsidR="000D3BB2">
        <w:t>students</w:t>
      </w:r>
      <w:r w:rsidR="003807EE" w:rsidRPr="003807EE">
        <w:t>.</w:t>
      </w:r>
      <w:r w:rsidR="003807EE">
        <w:rPr>
          <w:b/>
        </w:rPr>
        <w:t xml:space="preserve"> </w:t>
      </w:r>
    </w:p>
    <w:p w14:paraId="1A45E2C6" w14:textId="1C0E05D5" w:rsidR="00C53BC0" w:rsidRDefault="00FE49D0" w:rsidP="00E22258">
      <w:pPr>
        <w:tabs>
          <w:tab w:val="left" w:pos="360"/>
          <w:tab w:val="left" w:pos="720"/>
          <w:tab w:val="left" w:pos="1080"/>
          <w:tab w:val="left" w:pos="1440"/>
        </w:tabs>
        <w:ind w:left="1080" w:hanging="720"/>
      </w:pPr>
      <w:r>
        <w:tab/>
      </w:r>
      <w:r w:rsidR="003807EE">
        <w:t>1.</w:t>
      </w:r>
      <w:r w:rsidR="003807EE">
        <w:tab/>
      </w:r>
      <w:r w:rsidR="00D06214">
        <w:t>The review team found sufficient and compelling evidence that lessons were designed to support students with varied learning needs</w:t>
      </w:r>
      <w:r w:rsidR="00D06214" w:rsidRPr="00E906DB">
        <w:t xml:space="preserve"> </w:t>
      </w:r>
      <w:r w:rsidR="00D06214">
        <w:t>(characteristic # 9) i</w:t>
      </w:r>
      <w:r w:rsidR="00D06214" w:rsidRPr="00E906DB">
        <w:t xml:space="preserve">n </w:t>
      </w:r>
      <w:r w:rsidR="00C53BC0" w:rsidRPr="00E906DB">
        <w:t xml:space="preserve">91 percent of elementary classes, </w:t>
      </w:r>
      <w:r w:rsidR="00D06214">
        <w:t xml:space="preserve">in </w:t>
      </w:r>
      <w:r w:rsidR="003807EE">
        <w:t xml:space="preserve">only </w:t>
      </w:r>
      <w:r w:rsidR="00C53BC0" w:rsidRPr="00F22688">
        <w:t xml:space="preserve">44 </w:t>
      </w:r>
      <w:r w:rsidR="00C53BC0" w:rsidRPr="00E906DB">
        <w:t xml:space="preserve">percent of </w:t>
      </w:r>
      <w:r w:rsidR="00C53BC0">
        <w:t>middle</w:t>
      </w:r>
      <w:r w:rsidR="00D06214">
        <w:t>-</w:t>
      </w:r>
      <w:r w:rsidR="00C53BC0">
        <w:t>school</w:t>
      </w:r>
      <w:r w:rsidR="00C53BC0" w:rsidRPr="00E906DB">
        <w:t xml:space="preserve"> classes</w:t>
      </w:r>
      <w:r w:rsidR="00D06214">
        <w:t>,</w:t>
      </w:r>
      <w:r w:rsidR="00C53BC0" w:rsidRPr="00E906DB">
        <w:t xml:space="preserve"> and </w:t>
      </w:r>
      <w:r w:rsidR="00D06214">
        <w:t xml:space="preserve">in </w:t>
      </w:r>
      <w:r w:rsidR="00C53BC0">
        <w:t xml:space="preserve">54 percent of </w:t>
      </w:r>
      <w:r w:rsidR="00D06214">
        <w:t>high-</w:t>
      </w:r>
      <w:r w:rsidR="00C53BC0">
        <w:t>school classes.</w:t>
      </w:r>
    </w:p>
    <w:p w14:paraId="06197D4E" w14:textId="1075A84B" w:rsidR="00C53BC0" w:rsidRPr="00C30A3B" w:rsidRDefault="002B0C54" w:rsidP="00E22258">
      <w:pPr>
        <w:tabs>
          <w:tab w:val="left" w:pos="360"/>
          <w:tab w:val="left" w:pos="720"/>
          <w:tab w:val="left" w:pos="1080"/>
          <w:tab w:val="left" w:pos="1440"/>
          <w:tab w:val="left" w:pos="1800"/>
          <w:tab w:val="left" w:pos="2160"/>
          <w:tab w:val="left" w:pos="2520"/>
        </w:tabs>
        <w:ind w:left="1440" w:hanging="360"/>
      </w:pPr>
      <w:r>
        <w:t>a.</w:t>
      </w:r>
      <w:r w:rsidR="001435FC">
        <w:tab/>
      </w:r>
      <w:r w:rsidR="003807EE">
        <w:t xml:space="preserve">In observed elementary classrooms, the </w:t>
      </w:r>
      <w:r w:rsidR="00C53BC0">
        <w:t xml:space="preserve">review team </w:t>
      </w:r>
      <w:r w:rsidR="00A23DB4">
        <w:t xml:space="preserve">noted </w:t>
      </w:r>
      <w:r w:rsidR="00C53BC0">
        <w:t xml:space="preserve">examples of </w:t>
      </w:r>
      <w:r w:rsidR="003807EE">
        <w:t xml:space="preserve">lessons </w:t>
      </w:r>
      <w:r w:rsidR="00C53BC0">
        <w:t>meeting the diverse needs of students</w:t>
      </w:r>
      <w:r w:rsidR="003807EE">
        <w:t>,</w:t>
      </w:r>
      <w:r w:rsidR="00C53BC0">
        <w:t xml:space="preserve"> </w:t>
      </w:r>
      <w:r w:rsidR="00C94A52">
        <w:t xml:space="preserve">especially in </w:t>
      </w:r>
      <w:r w:rsidR="00C53BC0">
        <w:t xml:space="preserve">the use of the </w:t>
      </w:r>
      <w:r w:rsidR="003807EE">
        <w:t xml:space="preserve">Workshop Model </w:t>
      </w:r>
      <w:r w:rsidR="00C94A52">
        <w:t>for reading and writing</w:t>
      </w:r>
      <w:r w:rsidR="00E15A5B">
        <w:t xml:space="preserve"> which is used across all elementary schools. By </w:t>
      </w:r>
      <w:r w:rsidR="00C53BC0">
        <w:t xml:space="preserve">design </w:t>
      </w:r>
      <w:r w:rsidR="00C94A52">
        <w:t xml:space="preserve">this model </w:t>
      </w:r>
      <w:r w:rsidR="00C53BC0">
        <w:t>provides differentiated instruction based on f</w:t>
      </w:r>
      <w:r w:rsidR="00B73388">
        <w:t>requent formative assessments. In math, teacher</w:t>
      </w:r>
      <w:r w:rsidR="003807EE">
        <w:t>s’</w:t>
      </w:r>
      <w:r w:rsidR="00C53BC0">
        <w:t xml:space="preserve"> use of common assessments provides student groupings for differentia</w:t>
      </w:r>
      <w:r w:rsidR="00B73388">
        <w:t xml:space="preserve">ted instruction. </w:t>
      </w:r>
      <w:r w:rsidR="00C53BC0">
        <w:t xml:space="preserve">The team also noted that co-teachers were present </w:t>
      </w:r>
      <w:r w:rsidR="00C53BC0" w:rsidRPr="00BA34E3">
        <w:t xml:space="preserve">and other support personnel </w:t>
      </w:r>
      <w:r w:rsidR="00C53BC0">
        <w:t xml:space="preserve">helped to scaffold lessons and make them accessible for all </w:t>
      </w:r>
      <w:r w:rsidR="003807EE">
        <w:t>l</w:t>
      </w:r>
      <w:r w:rsidR="00C53BC0">
        <w:t xml:space="preserve">earners.   </w:t>
      </w:r>
    </w:p>
    <w:p w14:paraId="1AE8D5BB" w14:textId="6DF4EECB" w:rsidR="00C53BC0" w:rsidRDefault="002B0C54" w:rsidP="00E22258">
      <w:pPr>
        <w:tabs>
          <w:tab w:val="left" w:pos="360"/>
          <w:tab w:val="left" w:pos="720"/>
          <w:tab w:val="left" w:pos="1080"/>
          <w:tab w:val="left" w:pos="1440"/>
          <w:tab w:val="left" w:pos="1800"/>
          <w:tab w:val="left" w:pos="2160"/>
        </w:tabs>
        <w:ind w:left="1440" w:hanging="360"/>
      </w:pPr>
      <w:r>
        <w:t>b.</w:t>
      </w:r>
      <w:r>
        <w:tab/>
      </w:r>
      <w:r w:rsidR="00C53BC0" w:rsidRPr="00F22688">
        <w:t xml:space="preserve">In </w:t>
      </w:r>
      <w:r w:rsidR="003807EE">
        <w:t>some observed</w:t>
      </w:r>
      <w:r w:rsidR="00B73388">
        <w:t xml:space="preserve"> </w:t>
      </w:r>
      <w:r w:rsidR="003807EE">
        <w:t>middle-</w:t>
      </w:r>
      <w:r w:rsidR="00B73388">
        <w:t>school classes</w:t>
      </w:r>
      <w:r w:rsidR="00C53BC0">
        <w:t xml:space="preserve">, the </w:t>
      </w:r>
      <w:r w:rsidR="00C53BC0" w:rsidRPr="00F22688">
        <w:t>diverse</w:t>
      </w:r>
      <w:r w:rsidR="00C53BC0">
        <w:t xml:space="preserve"> needs of students were largely met by the presence of </w:t>
      </w:r>
      <w:r w:rsidR="00C53BC0" w:rsidRPr="00F22688">
        <w:t>co-teachers and additional personn</w:t>
      </w:r>
      <w:r w:rsidR="00C94A52">
        <w:t>el to support student learning rather than through differentiation in instruction.</w:t>
      </w:r>
      <w:r w:rsidR="00C53BC0" w:rsidRPr="00F22688">
        <w:t xml:space="preserve"> For example, in a grade 6 ELA class, the co-teacher moved from group to group to assist students who were working</w:t>
      </w:r>
      <w:r w:rsidR="00C53BC0">
        <w:t xml:space="preserve"> on </w:t>
      </w:r>
      <w:r w:rsidR="00C53BC0" w:rsidRPr="00F22688">
        <w:t xml:space="preserve">assignments </w:t>
      </w:r>
      <w:r w:rsidR="00C53BC0">
        <w:t>using</w:t>
      </w:r>
      <w:r w:rsidR="00C53BC0" w:rsidRPr="00F22688">
        <w:t xml:space="preserve"> </w:t>
      </w:r>
      <w:r w:rsidR="00B73388">
        <w:t>G</w:t>
      </w:r>
      <w:r w:rsidR="00C53BC0">
        <w:t xml:space="preserve">oogle </w:t>
      </w:r>
      <w:r w:rsidR="003807EE">
        <w:t xml:space="preserve">Classroom </w:t>
      </w:r>
      <w:r w:rsidR="00C53BC0" w:rsidRPr="00F22688">
        <w:t xml:space="preserve">while the classroom teacher worked with </w:t>
      </w:r>
      <w:r w:rsidR="00C53BC0">
        <w:t>two</w:t>
      </w:r>
      <w:r w:rsidR="00C53BC0" w:rsidRPr="00F22688">
        <w:t xml:space="preserve"> students</w:t>
      </w:r>
      <w:r w:rsidR="00C53BC0">
        <w:t>.</w:t>
      </w:r>
    </w:p>
    <w:p w14:paraId="715C29D8" w14:textId="429A808C" w:rsidR="00C53BC0" w:rsidRPr="00F22688" w:rsidRDefault="00A23DB4" w:rsidP="00AB29EB">
      <w:pPr>
        <w:tabs>
          <w:tab w:val="left" w:pos="360"/>
          <w:tab w:val="left" w:pos="720"/>
          <w:tab w:val="left" w:pos="1080"/>
          <w:tab w:val="left" w:pos="1440"/>
          <w:tab w:val="left" w:pos="1800"/>
          <w:tab w:val="left" w:pos="2160"/>
        </w:tabs>
        <w:ind w:left="1440" w:hanging="360"/>
      </w:pPr>
      <w:r>
        <w:t>c</w:t>
      </w:r>
      <w:r w:rsidR="00B73388">
        <w:t>.</w:t>
      </w:r>
      <w:r w:rsidR="00C94A52">
        <w:t xml:space="preserve"> </w:t>
      </w:r>
      <w:r w:rsidR="00D06214">
        <w:tab/>
      </w:r>
      <w:r>
        <w:t>However, i</w:t>
      </w:r>
      <w:r w:rsidRPr="00F22688">
        <w:t xml:space="preserve">n </w:t>
      </w:r>
      <w:r>
        <w:t>most observed</w:t>
      </w:r>
      <w:r w:rsidR="00C53BC0" w:rsidRPr="00F22688">
        <w:t xml:space="preserve"> </w:t>
      </w:r>
      <w:r w:rsidRPr="00F22688">
        <w:t>middle</w:t>
      </w:r>
      <w:r>
        <w:t>-</w:t>
      </w:r>
      <w:r w:rsidR="00C53BC0" w:rsidRPr="00F22688">
        <w:t>school classes, lessons were minimally or not designed to support students with varied needs.  In these classes, the tasks were not differentiated in process or</w:t>
      </w:r>
      <w:r w:rsidR="00B73388">
        <w:t xml:space="preserve"> product. </w:t>
      </w:r>
      <w:r w:rsidR="00EE22C9">
        <w:t>All s</w:t>
      </w:r>
      <w:r w:rsidR="00EE22C9" w:rsidRPr="00F22688">
        <w:t xml:space="preserve">tudents </w:t>
      </w:r>
      <w:r w:rsidR="00C53BC0" w:rsidRPr="00F22688">
        <w:t xml:space="preserve">worked on the same </w:t>
      </w:r>
      <w:r w:rsidR="00C53BC0">
        <w:t>assignments</w:t>
      </w:r>
      <w:r w:rsidR="00C53BC0" w:rsidRPr="00F22688">
        <w:t xml:space="preserve">.  </w:t>
      </w:r>
    </w:p>
    <w:p w14:paraId="77BE252C" w14:textId="0D228BC6" w:rsidR="00C53BC0" w:rsidRPr="00174174" w:rsidRDefault="00E15A5B" w:rsidP="00E22258">
      <w:pPr>
        <w:tabs>
          <w:tab w:val="left" w:pos="360"/>
          <w:tab w:val="left" w:pos="720"/>
          <w:tab w:val="left" w:pos="1080"/>
          <w:tab w:val="left" w:pos="1440"/>
          <w:tab w:val="left" w:pos="1800"/>
          <w:tab w:val="left" w:pos="2160"/>
        </w:tabs>
        <w:ind w:left="1440" w:hanging="360"/>
      </w:pPr>
      <w:r>
        <w:t>d</w:t>
      </w:r>
      <w:r w:rsidR="002B0C54">
        <w:t>.</w:t>
      </w:r>
      <w:r w:rsidR="002B0C54">
        <w:tab/>
      </w:r>
      <w:r w:rsidR="00C53BC0">
        <w:t xml:space="preserve">In </w:t>
      </w:r>
      <w:r w:rsidR="00EE22C9">
        <w:t>a majority</w:t>
      </w:r>
      <w:r w:rsidR="00C53BC0">
        <w:t xml:space="preserve"> </w:t>
      </w:r>
      <w:r w:rsidR="00EE22C9">
        <w:t>of observed high-</w:t>
      </w:r>
      <w:r w:rsidR="00C53BC0">
        <w:t xml:space="preserve">school classes, the team noted that </w:t>
      </w:r>
      <w:r>
        <w:t xml:space="preserve">co-teachers helped </w:t>
      </w:r>
      <w:r w:rsidR="00C53BC0">
        <w:t>students access the curriculum</w:t>
      </w:r>
      <w:r w:rsidR="00B819E0">
        <w:t>.</w:t>
      </w:r>
      <w:r w:rsidR="00C53BC0">
        <w:t xml:space="preserve"> </w:t>
      </w:r>
    </w:p>
    <w:p w14:paraId="54A503CA" w14:textId="0DF8E801" w:rsidR="00C53BC0" w:rsidRDefault="002B0C54" w:rsidP="00E22258">
      <w:pPr>
        <w:tabs>
          <w:tab w:val="left" w:pos="360"/>
          <w:tab w:val="left" w:pos="720"/>
          <w:tab w:val="left" w:pos="1080"/>
          <w:tab w:val="left" w:pos="1440"/>
          <w:tab w:val="left" w:pos="1800"/>
          <w:tab w:val="left" w:pos="2160"/>
        </w:tabs>
        <w:ind w:left="1080" w:hanging="360"/>
      </w:pPr>
      <w:r>
        <w:t>2.</w:t>
      </w:r>
      <w:r>
        <w:tab/>
      </w:r>
      <w:r w:rsidR="00C53BC0">
        <w:t>The review team found sufficient</w:t>
      </w:r>
      <w:r w:rsidR="00EE22C9">
        <w:t xml:space="preserve"> and </w:t>
      </w:r>
      <w:r w:rsidR="00C53BC0">
        <w:t>compelling evidence that teachers used a variety of instructional strategies</w:t>
      </w:r>
      <w:r w:rsidR="00B819E0">
        <w:t xml:space="preserve"> to meet the needs of learners</w:t>
      </w:r>
      <w:r w:rsidR="00C53BC0">
        <w:t xml:space="preserve"> </w:t>
      </w:r>
      <w:r w:rsidR="00EE22C9">
        <w:t xml:space="preserve">(characteristic #10) </w:t>
      </w:r>
      <w:r w:rsidR="00C53BC0">
        <w:t xml:space="preserve">in 71 percent of </w:t>
      </w:r>
      <w:r w:rsidR="00EE22C9">
        <w:t xml:space="preserve">observed </w:t>
      </w:r>
      <w:r w:rsidR="00C53BC0">
        <w:t xml:space="preserve">elementary classes, </w:t>
      </w:r>
      <w:r w:rsidR="00EE22C9">
        <w:t xml:space="preserve">in only </w:t>
      </w:r>
      <w:r w:rsidR="00C53BC0">
        <w:t xml:space="preserve">30 percent of </w:t>
      </w:r>
      <w:r w:rsidR="00EE22C9">
        <w:t>middle-</w:t>
      </w:r>
      <w:r w:rsidR="00C53BC0">
        <w:t>school classes</w:t>
      </w:r>
      <w:r w:rsidR="00EE22C9">
        <w:t>,</w:t>
      </w:r>
      <w:r w:rsidR="00C53BC0">
        <w:t xml:space="preserve"> and </w:t>
      </w:r>
      <w:r w:rsidR="00EE22C9">
        <w:t xml:space="preserve">in only </w:t>
      </w:r>
      <w:r w:rsidR="00C53BC0">
        <w:t xml:space="preserve">38 percent of </w:t>
      </w:r>
      <w:r w:rsidR="00EE22C9">
        <w:t>high-</w:t>
      </w:r>
      <w:r w:rsidR="00C53BC0">
        <w:t xml:space="preserve">school classes. </w:t>
      </w:r>
    </w:p>
    <w:p w14:paraId="598F517F" w14:textId="7E14B708" w:rsidR="00C53BC0" w:rsidRDefault="00FE49D0" w:rsidP="00AB29EB">
      <w:pPr>
        <w:tabs>
          <w:tab w:val="left" w:pos="360"/>
          <w:tab w:val="left" w:pos="1080"/>
          <w:tab w:val="left" w:pos="1440"/>
          <w:tab w:val="left" w:pos="1800"/>
        </w:tabs>
        <w:ind w:left="1440" w:hanging="1440"/>
      </w:pPr>
      <w:r>
        <w:lastRenderedPageBreak/>
        <w:tab/>
      </w:r>
      <w:r w:rsidR="00B174AB">
        <w:tab/>
      </w:r>
      <w:r w:rsidR="000A1BDA">
        <w:t>a</w:t>
      </w:r>
      <w:r w:rsidR="00B819E0">
        <w:t xml:space="preserve">. </w:t>
      </w:r>
      <w:r w:rsidR="002B0C54">
        <w:tab/>
      </w:r>
      <w:r w:rsidR="00EE22C9">
        <w:t>I</w:t>
      </w:r>
      <w:r w:rsidR="00B819E0">
        <w:t xml:space="preserve">n </w:t>
      </w:r>
      <w:r w:rsidR="00C53BC0">
        <w:t xml:space="preserve">most </w:t>
      </w:r>
      <w:r w:rsidR="00E15A5B">
        <w:t xml:space="preserve">observed </w:t>
      </w:r>
      <w:r w:rsidR="00C53BC0">
        <w:t>elementary classrooms</w:t>
      </w:r>
      <w:r w:rsidR="00E15A5B">
        <w:t>,</w:t>
      </w:r>
      <w:r w:rsidR="00C53BC0">
        <w:t xml:space="preserve"> </w:t>
      </w:r>
      <w:r w:rsidR="00EE22C9">
        <w:t xml:space="preserve">teachers </w:t>
      </w:r>
      <w:r w:rsidR="00B819E0">
        <w:t>used</w:t>
      </w:r>
      <w:r w:rsidR="00C53BC0">
        <w:t xml:space="preserve"> a variet</w:t>
      </w:r>
      <w:r w:rsidR="00B819E0">
        <w:t xml:space="preserve">y of instructional strategies. </w:t>
      </w:r>
      <w:r w:rsidR="00EE22C9">
        <w:t>T</w:t>
      </w:r>
      <w:r w:rsidR="00B819E0">
        <w:t>ypically,</w:t>
      </w:r>
      <w:r w:rsidR="00C53BC0">
        <w:t xml:space="preserve"> in one lesson, students could be in a large group, </w:t>
      </w:r>
      <w:r w:rsidR="00E15A5B">
        <w:t xml:space="preserve">in </w:t>
      </w:r>
      <w:r w:rsidR="00EE22C9">
        <w:t xml:space="preserve">a </w:t>
      </w:r>
      <w:r w:rsidR="00C53BC0">
        <w:t>small group</w:t>
      </w:r>
      <w:r w:rsidR="00EE22C9">
        <w:t>,</w:t>
      </w:r>
      <w:r w:rsidR="00C53BC0">
        <w:t xml:space="preserve"> or in </w:t>
      </w:r>
      <w:r w:rsidR="00B819E0">
        <w:t>pairs or working independently.</w:t>
      </w:r>
      <w:r w:rsidR="00C53BC0">
        <w:t xml:space="preserve"> </w:t>
      </w:r>
      <w:r w:rsidR="00E15A5B">
        <w:t xml:space="preserve">Teachers </w:t>
      </w:r>
      <w:r w:rsidR="00C53BC0">
        <w:t>used multiple, flexible formats which appealed to</w:t>
      </w:r>
      <w:r w:rsidR="00B819E0">
        <w:t xml:space="preserve"> students’ multiple learning modalities.</w:t>
      </w:r>
      <w:r w:rsidR="00C53BC0">
        <w:t xml:space="preserve"> In additio</w:t>
      </w:r>
      <w:r w:rsidR="00B819E0">
        <w:t>n, students used Chromebooks</w:t>
      </w:r>
      <w:r w:rsidR="00C53BC0">
        <w:t xml:space="preserve"> </w:t>
      </w:r>
      <w:r w:rsidR="00EE22C9">
        <w:t>to</w:t>
      </w:r>
      <w:r w:rsidR="00C53BC0">
        <w:t xml:space="preserve"> listen to sto</w:t>
      </w:r>
      <w:r w:rsidR="00B819E0">
        <w:t xml:space="preserve">ries </w:t>
      </w:r>
      <w:r w:rsidR="00EE22C9">
        <w:t>and to</w:t>
      </w:r>
      <w:r w:rsidR="00B819E0">
        <w:t xml:space="preserve"> read them.</w:t>
      </w:r>
    </w:p>
    <w:p w14:paraId="6034E686" w14:textId="6BEC29B9" w:rsidR="000A1BDA" w:rsidRDefault="00FE49D0" w:rsidP="00AB29EB">
      <w:pPr>
        <w:tabs>
          <w:tab w:val="left" w:pos="360"/>
          <w:tab w:val="left" w:pos="1080"/>
          <w:tab w:val="left" w:pos="1440"/>
          <w:tab w:val="left" w:pos="1800"/>
        </w:tabs>
        <w:ind w:left="1440" w:hanging="1440"/>
      </w:pPr>
      <w:r>
        <w:tab/>
      </w:r>
      <w:r w:rsidR="00B174AB">
        <w:tab/>
      </w:r>
      <w:r w:rsidR="000A1BDA">
        <w:t>b.</w:t>
      </w:r>
      <w:r w:rsidR="000A1BDA">
        <w:tab/>
        <w:t xml:space="preserve">At the middle and </w:t>
      </w:r>
      <w:r w:rsidR="000D3BB2">
        <w:t xml:space="preserve">the </w:t>
      </w:r>
      <w:r w:rsidR="000A1BDA">
        <w:t>high school</w:t>
      </w:r>
      <w:r w:rsidR="000D3BB2">
        <w:t>s,</w:t>
      </w:r>
      <w:r w:rsidR="000A1BDA">
        <w:t xml:space="preserve"> the review team observed some examples of well-structured lessons that included multiple formats supporting inclusive practices.  For example, students used Google </w:t>
      </w:r>
      <w:r w:rsidR="000D3BB2">
        <w:t xml:space="preserve">Classroom </w:t>
      </w:r>
      <w:r w:rsidR="000A1BDA">
        <w:t>to conduct peer editing, to collaborate on assignments</w:t>
      </w:r>
      <w:r w:rsidR="000D3BB2">
        <w:t>,</w:t>
      </w:r>
      <w:r w:rsidR="000A1BDA">
        <w:t xml:space="preserve"> or to share notes from </w:t>
      </w:r>
      <w:r w:rsidR="000D3BB2">
        <w:t>student-</w:t>
      </w:r>
      <w:r w:rsidR="000A1BDA">
        <w:t>led discussions.</w:t>
      </w:r>
    </w:p>
    <w:p w14:paraId="6A364B4D" w14:textId="2D7FC519" w:rsidR="00C53BC0" w:rsidRDefault="000A1BDA" w:rsidP="00B174AB">
      <w:pPr>
        <w:tabs>
          <w:tab w:val="left" w:pos="360"/>
          <w:tab w:val="left" w:pos="720"/>
          <w:tab w:val="left" w:pos="1080"/>
          <w:tab w:val="left" w:pos="1440"/>
          <w:tab w:val="left" w:pos="1800"/>
        </w:tabs>
        <w:ind w:left="1440" w:hanging="360"/>
      </w:pPr>
      <w:r>
        <w:t>c</w:t>
      </w:r>
      <w:r w:rsidR="00B819E0">
        <w:t xml:space="preserve">. </w:t>
      </w:r>
      <w:r w:rsidR="002B0C54">
        <w:tab/>
      </w:r>
      <w:r w:rsidR="00C53BC0">
        <w:t xml:space="preserve">In contrast, in </w:t>
      </w:r>
      <w:r w:rsidR="00EE22C9">
        <w:t>most</w:t>
      </w:r>
      <w:r w:rsidR="00C53BC0">
        <w:t xml:space="preserve"> </w:t>
      </w:r>
      <w:r w:rsidR="00EE22C9">
        <w:t xml:space="preserve">observed </w:t>
      </w:r>
      <w:r w:rsidR="00C53BC0">
        <w:t>middle</w:t>
      </w:r>
      <w:r w:rsidR="00EE22C9">
        <w:t>-</w:t>
      </w:r>
      <w:r w:rsidR="00C53BC0">
        <w:t xml:space="preserve"> </w:t>
      </w:r>
      <w:r w:rsidR="00EE22C9">
        <w:t>and high-</w:t>
      </w:r>
      <w:r w:rsidR="00C53BC0">
        <w:t>school classes, teachers relied on te</w:t>
      </w:r>
      <w:r w:rsidR="00EE22C9">
        <w:t>acher-</w:t>
      </w:r>
      <w:r w:rsidR="00B819E0">
        <w:t>directed instruction followed by teacher</w:t>
      </w:r>
      <w:r>
        <w:t>s’</w:t>
      </w:r>
      <w:r w:rsidR="00C53BC0">
        <w:t xml:space="preserve"> questions and </w:t>
      </w:r>
      <w:r w:rsidR="00B819E0">
        <w:t>student</w:t>
      </w:r>
      <w:r>
        <w:t>s’</w:t>
      </w:r>
      <w:r w:rsidR="00B819E0">
        <w:t xml:space="preserve"> </w:t>
      </w:r>
      <w:r w:rsidR="00C53BC0">
        <w:t>answers.</w:t>
      </w:r>
      <w:r w:rsidR="00B819E0">
        <w:t xml:space="preserve"> </w:t>
      </w:r>
      <w:r w:rsidR="00C53BC0">
        <w:t xml:space="preserve">In these classes, students had access to Chromebooks or their own devices, but </w:t>
      </w:r>
      <w:r w:rsidR="002F6C4A">
        <w:t xml:space="preserve">often </w:t>
      </w:r>
      <w:r w:rsidR="00C53BC0">
        <w:t xml:space="preserve">used </w:t>
      </w:r>
      <w:r>
        <w:t xml:space="preserve">them </w:t>
      </w:r>
      <w:r w:rsidR="00F33D68">
        <w:t>to take notes</w:t>
      </w:r>
      <w:r w:rsidR="00C53BC0">
        <w:t xml:space="preserve"> from the </w:t>
      </w:r>
      <w:r w:rsidR="00B819E0">
        <w:t>teacher’s</w:t>
      </w:r>
      <w:r w:rsidR="00F33D68">
        <w:t xml:space="preserve"> notes on the board.</w:t>
      </w:r>
    </w:p>
    <w:p w14:paraId="52258C2D" w14:textId="3A0D3F30" w:rsidR="00175B9D" w:rsidRDefault="00C53BC0" w:rsidP="00374847">
      <w:pPr>
        <w:tabs>
          <w:tab w:val="left" w:pos="360"/>
          <w:tab w:val="left" w:pos="720"/>
          <w:tab w:val="left" w:pos="1080"/>
          <w:tab w:val="left" w:pos="1440"/>
          <w:tab w:val="left" w:pos="1800"/>
          <w:tab w:val="left" w:pos="2160"/>
        </w:tabs>
      </w:pPr>
      <w:r w:rsidRPr="00F731AA">
        <w:rPr>
          <w:b/>
        </w:rPr>
        <w:t>Impact</w:t>
      </w:r>
      <w:r w:rsidR="00021C01">
        <w:t xml:space="preserve">: </w:t>
      </w:r>
      <w:r w:rsidR="00DF275F">
        <w:t xml:space="preserve">When </w:t>
      </w:r>
      <w:r w:rsidR="00CF4D31">
        <w:t xml:space="preserve">inclusive </w:t>
      </w:r>
      <w:r>
        <w:t xml:space="preserve">practices </w:t>
      </w:r>
      <w:r w:rsidR="00DF275F">
        <w:t xml:space="preserve">are </w:t>
      </w:r>
      <w:r w:rsidR="00CF4D31">
        <w:t xml:space="preserve">not </w:t>
      </w:r>
      <w:r>
        <w:t>consisten</w:t>
      </w:r>
      <w:r w:rsidR="00DF275F">
        <w:t xml:space="preserve">tly implemented </w:t>
      </w:r>
      <w:r w:rsidR="00CF4D31">
        <w:t xml:space="preserve">at all levels, </w:t>
      </w:r>
      <w:r w:rsidR="00DF275F">
        <w:t>the district can</w:t>
      </w:r>
      <w:r w:rsidR="00CF4D31">
        <w:t>not</w:t>
      </w:r>
      <w:r>
        <w:t xml:space="preserve"> ensure that all </w:t>
      </w:r>
      <w:r w:rsidR="009412A0">
        <w:t>students---</w:t>
      </w:r>
      <w:r>
        <w:t xml:space="preserve">regardless of learning </w:t>
      </w:r>
      <w:r w:rsidR="009412A0">
        <w:t>needs---</w:t>
      </w:r>
      <w:r w:rsidR="00DF275F">
        <w:t>engage in challenging tasks and are learning</w:t>
      </w:r>
      <w:r w:rsidR="00E15A5B">
        <w:t xml:space="preserve"> to the best of their ability</w:t>
      </w:r>
      <w:r w:rsidR="00DF275F">
        <w:t>.</w:t>
      </w:r>
      <w:r>
        <w:t xml:space="preserve">  </w:t>
      </w:r>
    </w:p>
    <w:p w14:paraId="48FF10B4" w14:textId="77777777" w:rsidR="00AA09A6" w:rsidRDefault="00AA09A6" w:rsidP="00374847">
      <w:pPr>
        <w:tabs>
          <w:tab w:val="left" w:pos="360"/>
          <w:tab w:val="left" w:pos="720"/>
          <w:tab w:val="left" w:pos="1080"/>
          <w:tab w:val="left" w:pos="1440"/>
          <w:tab w:val="left" w:pos="1800"/>
          <w:tab w:val="left" w:pos="2160"/>
        </w:tabs>
      </w:pPr>
    </w:p>
    <w:p w14:paraId="1C1587A0" w14:textId="0316A517" w:rsidR="00175B9D" w:rsidRDefault="00175B9D" w:rsidP="00175B9D">
      <w:pPr>
        <w:tabs>
          <w:tab w:val="left" w:pos="360"/>
          <w:tab w:val="left" w:pos="720"/>
          <w:tab w:val="left" w:pos="1080"/>
          <w:tab w:val="left" w:pos="1440"/>
          <w:tab w:val="left" w:pos="1800"/>
          <w:tab w:val="left" w:pos="2160"/>
        </w:tabs>
        <w:rPr>
          <w:b/>
          <w:sz w:val="28"/>
          <w:szCs w:val="28"/>
        </w:rPr>
      </w:pPr>
      <w:r w:rsidRPr="00224D0A">
        <w:rPr>
          <w:b/>
          <w:sz w:val="28"/>
          <w:szCs w:val="28"/>
        </w:rPr>
        <w:t>Recommendation</w:t>
      </w:r>
      <w:r w:rsidR="004502DD">
        <w:rPr>
          <w:b/>
          <w:sz w:val="28"/>
          <w:szCs w:val="28"/>
        </w:rPr>
        <w:t xml:space="preserve"> </w:t>
      </w:r>
    </w:p>
    <w:p w14:paraId="4627B024" w14:textId="77777777" w:rsidR="002C39E3" w:rsidRPr="003F0F27" w:rsidRDefault="004502DD" w:rsidP="00F76BEE">
      <w:pPr>
        <w:pStyle w:val="ListParagraph"/>
        <w:numPr>
          <w:ilvl w:val="6"/>
          <w:numId w:val="11"/>
        </w:numPr>
        <w:tabs>
          <w:tab w:val="left" w:pos="360"/>
          <w:tab w:val="left" w:pos="720"/>
          <w:tab w:val="left" w:pos="1080"/>
          <w:tab w:val="left" w:pos="1440"/>
          <w:tab w:val="left" w:pos="1800"/>
          <w:tab w:val="left" w:pos="2160"/>
        </w:tabs>
        <w:ind w:left="360"/>
        <w:contextualSpacing w:val="0"/>
        <w:rPr>
          <w:b/>
          <w:i/>
        </w:rPr>
      </w:pPr>
      <w:r w:rsidRPr="003F0F27">
        <w:rPr>
          <w:b/>
        </w:rPr>
        <w:t xml:space="preserve">The district should </w:t>
      </w:r>
      <w:r w:rsidR="002C39E3" w:rsidRPr="003F0F27">
        <w:rPr>
          <w:b/>
        </w:rPr>
        <w:t xml:space="preserve">continue to work to </w:t>
      </w:r>
      <w:r w:rsidRPr="003F0F27">
        <w:rPr>
          <w:b/>
        </w:rPr>
        <w:t>ensure that effective teaching and learning practices are consistently implemented district</w:t>
      </w:r>
      <w:r w:rsidR="002F6C4A" w:rsidRPr="003F0F27">
        <w:rPr>
          <w:b/>
        </w:rPr>
        <w:t xml:space="preserve">wide. </w:t>
      </w:r>
    </w:p>
    <w:p w14:paraId="0E7F4133" w14:textId="5A30EE13" w:rsidR="004502DD" w:rsidRDefault="004502DD" w:rsidP="00E22258">
      <w:pPr>
        <w:pStyle w:val="ListParagraph"/>
        <w:tabs>
          <w:tab w:val="left" w:pos="360"/>
          <w:tab w:val="left" w:pos="720"/>
          <w:tab w:val="left" w:pos="1440"/>
          <w:tab w:val="left" w:pos="1800"/>
          <w:tab w:val="left" w:pos="2160"/>
        </w:tabs>
        <w:ind w:hanging="360"/>
        <w:contextualSpacing w:val="0"/>
      </w:pPr>
      <w:r w:rsidRPr="00B03616">
        <w:rPr>
          <w:b/>
        </w:rPr>
        <w:t>A</w:t>
      </w:r>
      <w:r>
        <w:t xml:space="preserve">. </w:t>
      </w:r>
      <w:r w:rsidR="00FA012C">
        <w:tab/>
      </w:r>
      <w:r>
        <w:t xml:space="preserve">District leaders, directors, principals, assistant principals, curriculum coordinators </w:t>
      </w:r>
      <w:r w:rsidR="00107A7B">
        <w:t xml:space="preserve">in grades 5–12 </w:t>
      </w:r>
      <w:r>
        <w:t xml:space="preserve">and coaches should continue to articulate and monitor the district’s expectations of </w:t>
      </w:r>
      <w:r w:rsidR="00107A7B">
        <w:t>high-</w:t>
      </w:r>
      <w:r>
        <w:t xml:space="preserve">quality teaching and learning practices. Particular attention should be paid to effective practices relating to well-structured lessons, student ownership of learning, </w:t>
      </w:r>
      <w:r w:rsidR="00107A7B">
        <w:t>higher-</w:t>
      </w:r>
      <w:r>
        <w:t xml:space="preserve">order thinking, </w:t>
      </w:r>
      <w:r w:rsidR="00107A7B">
        <w:t xml:space="preserve">and </w:t>
      </w:r>
      <w:r>
        <w:t xml:space="preserve">opportunities </w:t>
      </w:r>
      <w:r w:rsidR="00107A7B">
        <w:t xml:space="preserve">for students </w:t>
      </w:r>
      <w:r>
        <w:t xml:space="preserve">to communicate their thinking and inclusive practices.  </w:t>
      </w:r>
    </w:p>
    <w:p w14:paraId="42F5044A" w14:textId="2966ED1C" w:rsidR="004502DD" w:rsidRDefault="004502DD" w:rsidP="00FA012C">
      <w:pPr>
        <w:tabs>
          <w:tab w:val="left" w:pos="360"/>
          <w:tab w:val="left" w:pos="720"/>
          <w:tab w:val="left" w:pos="1080"/>
          <w:tab w:val="left" w:pos="1440"/>
          <w:tab w:val="left" w:pos="1800"/>
          <w:tab w:val="left" w:pos="2160"/>
        </w:tabs>
        <w:ind w:left="1080" w:hanging="360"/>
      </w:pPr>
      <w:r>
        <w:t xml:space="preserve">1. </w:t>
      </w:r>
      <w:r w:rsidR="00FA012C">
        <w:tab/>
      </w:r>
      <w:r>
        <w:t xml:space="preserve">The district should continue its efforts to fully develop </w:t>
      </w:r>
      <w:r w:rsidR="00107A7B">
        <w:t>high-</w:t>
      </w:r>
      <w:r>
        <w:t xml:space="preserve">quality instructional practices during coaching, in </w:t>
      </w:r>
      <w:r w:rsidR="00107A7B">
        <w:t>grade-</w:t>
      </w:r>
      <w:r>
        <w:t xml:space="preserve">level meetings, in </w:t>
      </w:r>
      <w:r w:rsidR="00107A7B">
        <w:t>professional learning communities</w:t>
      </w:r>
      <w:r>
        <w:t>, during school-based embedded professional development</w:t>
      </w:r>
      <w:r w:rsidR="00107A7B">
        <w:t>,</w:t>
      </w:r>
      <w:r>
        <w:t xml:space="preserve"> and </w:t>
      </w:r>
      <w:r w:rsidR="002F6C4A">
        <w:t xml:space="preserve">in </w:t>
      </w:r>
      <w:r>
        <w:t xml:space="preserve">district professional development opportunities.  </w:t>
      </w:r>
    </w:p>
    <w:p w14:paraId="4CB25EA7" w14:textId="12CD4B18" w:rsidR="004502DD" w:rsidRDefault="003F0F27" w:rsidP="00F76BEE">
      <w:pPr>
        <w:tabs>
          <w:tab w:val="left" w:pos="360"/>
          <w:tab w:val="left" w:pos="720"/>
          <w:tab w:val="left" w:pos="1080"/>
          <w:tab w:val="left" w:pos="1440"/>
          <w:tab w:val="left" w:pos="1800"/>
          <w:tab w:val="left" w:pos="2160"/>
        </w:tabs>
        <w:ind w:left="1080" w:hanging="1080"/>
      </w:pPr>
      <w:r>
        <w:tab/>
      </w:r>
      <w:r w:rsidR="005A4DAC">
        <w:tab/>
        <w:t>2.</w:t>
      </w:r>
      <w:r w:rsidR="005A4DAC">
        <w:tab/>
      </w:r>
      <w:r w:rsidR="004502DD">
        <w:t xml:space="preserve">At the middle school and high school, </w:t>
      </w:r>
      <w:r w:rsidR="00107A7B">
        <w:t>instructional leadership teams</w:t>
      </w:r>
      <w:r w:rsidR="004502DD">
        <w:t xml:space="preserve"> should redouble their efforts to ensure that teachers have a clear understanding of how to ensure student engagement</w:t>
      </w:r>
      <w:r w:rsidR="002F6C4A">
        <w:t xml:space="preserve"> in lessons and routine student-to-</w:t>
      </w:r>
      <w:r w:rsidR="004502DD">
        <w:t>student exchange of thinking.</w:t>
      </w:r>
    </w:p>
    <w:p w14:paraId="71E6095A" w14:textId="0B0C5559" w:rsidR="004502DD" w:rsidRDefault="005A4DAC" w:rsidP="00F76BEE">
      <w:pPr>
        <w:tabs>
          <w:tab w:val="left" w:pos="360"/>
          <w:tab w:val="left" w:pos="720"/>
          <w:tab w:val="left" w:pos="1080"/>
          <w:tab w:val="left" w:pos="1440"/>
          <w:tab w:val="left" w:pos="1800"/>
          <w:tab w:val="left" w:pos="2160"/>
        </w:tabs>
        <w:ind w:left="1080" w:hanging="1080"/>
      </w:pPr>
      <w:r>
        <w:tab/>
      </w:r>
      <w:r w:rsidR="003F0F27">
        <w:tab/>
      </w:r>
      <w:r>
        <w:t>3.</w:t>
      </w:r>
      <w:r>
        <w:tab/>
      </w:r>
      <w:r w:rsidR="004502DD">
        <w:t xml:space="preserve">A shared understanding of what is meant by inclusive practices should be fully developed at the middle school and high school.  </w:t>
      </w:r>
    </w:p>
    <w:p w14:paraId="2101B5FC" w14:textId="6CA306BD" w:rsidR="004502DD" w:rsidRPr="00E2128C" w:rsidRDefault="003F0F27" w:rsidP="00F76BEE">
      <w:pPr>
        <w:tabs>
          <w:tab w:val="left" w:pos="360"/>
          <w:tab w:val="left" w:pos="720"/>
          <w:tab w:val="left" w:pos="1080"/>
          <w:tab w:val="left" w:pos="1440"/>
          <w:tab w:val="left" w:pos="1800"/>
          <w:tab w:val="left" w:pos="2160"/>
        </w:tabs>
        <w:ind w:left="1080" w:hanging="1080"/>
      </w:pPr>
      <w:r>
        <w:lastRenderedPageBreak/>
        <w:tab/>
      </w:r>
      <w:r w:rsidR="005A4DAC">
        <w:tab/>
        <w:t>4.</w:t>
      </w:r>
      <w:r w:rsidR="005A4DAC">
        <w:tab/>
      </w:r>
      <w:r w:rsidR="004502DD">
        <w:t xml:space="preserve">At all levels, teaching strategies to enhance </w:t>
      </w:r>
      <w:r w:rsidR="00107A7B">
        <w:t>higher-</w:t>
      </w:r>
      <w:r w:rsidR="004502DD">
        <w:t>order thinking skills in students should be addressed.</w:t>
      </w:r>
      <w:r w:rsidR="004502DD" w:rsidRPr="00E2128C">
        <w:t xml:space="preserve"> </w:t>
      </w:r>
    </w:p>
    <w:p w14:paraId="59AF5ACA" w14:textId="45466A02" w:rsidR="004502DD" w:rsidRDefault="004502DD" w:rsidP="00FA012C">
      <w:pPr>
        <w:tabs>
          <w:tab w:val="left" w:pos="360"/>
          <w:tab w:val="left" w:pos="720"/>
          <w:tab w:val="left" w:pos="1080"/>
          <w:tab w:val="left" w:pos="1440"/>
          <w:tab w:val="left" w:pos="1800"/>
          <w:tab w:val="left" w:pos="2160"/>
        </w:tabs>
        <w:ind w:left="720" w:hanging="360"/>
      </w:pPr>
      <w:r w:rsidRPr="004502DD">
        <w:rPr>
          <w:b/>
        </w:rPr>
        <w:t>B.</w:t>
      </w:r>
      <w:r>
        <w:t xml:space="preserve"> </w:t>
      </w:r>
      <w:r w:rsidR="00FA012C">
        <w:tab/>
      </w:r>
      <w:r>
        <w:t>The district should continue its practice of conducting learning walks by distri</w:t>
      </w:r>
      <w:r w:rsidR="002F6C4A">
        <w:t xml:space="preserve">ct leaders, principals, coaches </w:t>
      </w:r>
      <w:r>
        <w:t>and coordinators</w:t>
      </w:r>
      <w:r w:rsidR="002F6C4A">
        <w:t>,</w:t>
      </w:r>
      <w:r>
        <w:t xml:space="preserve"> and should build on its practice of including teachers for the purpose of understanding and maintaining </w:t>
      </w:r>
      <w:r w:rsidR="00107A7B">
        <w:t>high-</w:t>
      </w:r>
      <w:r>
        <w:t xml:space="preserve">quality instruction districtwide.  </w:t>
      </w:r>
    </w:p>
    <w:p w14:paraId="373AD3D8" w14:textId="76C56D78" w:rsidR="004502DD" w:rsidRDefault="003F0F27" w:rsidP="00F76BEE">
      <w:pPr>
        <w:tabs>
          <w:tab w:val="left" w:pos="360"/>
          <w:tab w:val="left" w:pos="720"/>
          <w:tab w:val="left" w:pos="1080"/>
          <w:tab w:val="left" w:pos="1440"/>
          <w:tab w:val="left" w:pos="1800"/>
          <w:tab w:val="left" w:pos="2160"/>
        </w:tabs>
        <w:ind w:left="720" w:hanging="720"/>
      </w:pPr>
      <w:r>
        <w:rPr>
          <w:b/>
        </w:rPr>
        <w:tab/>
      </w:r>
      <w:r w:rsidR="005A4DAC" w:rsidRPr="00F76BEE">
        <w:rPr>
          <w:b/>
        </w:rPr>
        <w:t>C.</w:t>
      </w:r>
      <w:r w:rsidR="005A4DAC">
        <w:rPr>
          <w:b/>
        </w:rPr>
        <w:tab/>
      </w:r>
      <w:r w:rsidR="004502DD">
        <w:t xml:space="preserve">The district should continue to identify and learn from existing exemplars of best practices at all levels. </w:t>
      </w:r>
    </w:p>
    <w:p w14:paraId="66DDE4DA" w14:textId="0EC38ADF" w:rsidR="004502DD" w:rsidRDefault="004502DD" w:rsidP="00FA012C">
      <w:pPr>
        <w:tabs>
          <w:tab w:val="left" w:pos="360"/>
          <w:tab w:val="left" w:pos="1080"/>
          <w:tab w:val="left" w:pos="1440"/>
          <w:tab w:val="left" w:pos="1800"/>
          <w:tab w:val="left" w:pos="2160"/>
        </w:tabs>
        <w:ind w:left="1080" w:hanging="360"/>
      </w:pPr>
      <w:r>
        <w:t xml:space="preserve">1. </w:t>
      </w:r>
      <w:r w:rsidR="00FA012C">
        <w:tab/>
      </w:r>
      <w:r>
        <w:t xml:space="preserve">The district should continue to encourage peer observations of classrooms belonging to </w:t>
      </w:r>
      <w:r w:rsidRPr="00FD1C9F">
        <w:t xml:space="preserve">identified </w:t>
      </w:r>
      <w:r>
        <w:t>teacher-leaders for the purpose of reinforcing high</w:t>
      </w:r>
      <w:r w:rsidR="00107A7B">
        <w:t>-</w:t>
      </w:r>
      <w:r>
        <w:t>quality teaching practices.</w:t>
      </w:r>
    </w:p>
    <w:p w14:paraId="69A161CC" w14:textId="395DB78D" w:rsidR="004502DD" w:rsidRDefault="004502DD" w:rsidP="004502DD">
      <w:pPr>
        <w:tabs>
          <w:tab w:val="left" w:pos="-90"/>
          <w:tab w:val="left" w:pos="360"/>
          <w:tab w:val="left" w:pos="1080"/>
          <w:tab w:val="left" w:pos="1440"/>
          <w:tab w:val="left" w:pos="1800"/>
          <w:tab w:val="left" w:pos="2160"/>
        </w:tabs>
      </w:pPr>
      <w:r w:rsidRPr="00802336">
        <w:rPr>
          <w:b/>
        </w:rPr>
        <w:t>Benefits</w:t>
      </w:r>
      <w:r w:rsidRPr="00870959">
        <w:t xml:space="preserve"> from i</w:t>
      </w:r>
      <w:r>
        <w:t xml:space="preserve">mplementing this recommendation will include a deeper understanding and more consistent implementation of </w:t>
      </w:r>
      <w:r w:rsidR="00107A7B">
        <w:t>high-</w:t>
      </w:r>
      <w:r>
        <w:t xml:space="preserve">quality instruction characterized by well-structured lessons, rigor, </w:t>
      </w:r>
      <w:r w:rsidR="005E260C">
        <w:t xml:space="preserve">and </w:t>
      </w:r>
      <w:r>
        <w:t>student ownership of learning in inclusive classroom environments</w:t>
      </w:r>
      <w:r w:rsidR="00745774">
        <w:t>,</w:t>
      </w:r>
      <w:r>
        <w:t xml:space="preserve"> which </w:t>
      </w:r>
      <w:r w:rsidR="00745774">
        <w:t xml:space="preserve">can </w:t>
      </w:r>
      <w:r>
        <w:t xml:space="preserve">lead to improved learning outcomes for all students. </w:t>
      </w:r>
    </w:p>
    <w:p w14:paraId="6F31D0CF" w14:textId="77777777" w:rsidR="004502DD" w:rsidRPr="001D4EB6" w:rsidRDefault="004502DD" w:rsidP="004502DD">
      <w:pPr>
        <w:tabs>
          <w:tab w:val="left" w:pos="360"/>
          <w:tab w:val="left" w:pos="720"/>
          <w:tab w:val="left" w:pos="1080"/>
          <w:tab w:val="left" w:pos="1800"/>
          <w:tab w:val="left" w:pos="2160"/>
        </w:tabs>
        <w:rPr>
          <w:b/>
        </w:rPr>
      </w:pPr>
      <w:r w:rsidRPr="00484242">
        <w:rPr>
          <w:b/>
        </w:rPr>
        <w:t>Recommended resources:</w:t>
      </w:r>
    </w:p>
    <w:p w14:paraId="3DDAFDD3" w14:textId="5B577A7B" w:rsidR="003F0F27" w:rsidRPr="003F0F27" w:rsidRDefault="003F0F27" w:rsidP="00720152">
      <w:pPr>
        <w:numPr>
          <w:ilvl w:val="0"/>
          <w:numId w:val="31"/>
        </w:numPr>
        <w:ind w:left="360"/>
      </w:pPr>
      <w:r w:rsidRPr="003F0F27">
        <w:t xml:space="preserve">ESE’s </w:t>
      </w:r>
      <w:r w:rsidRPr="003F0F27">
        <w:rPr>
          <w:i/>
        </w:rPr>
        <w:t>Learning Walkthrough Implementation Guide</w:t>
      </w:r>
      <w:r w:rsidRPr="003F0F27">
        <w:t xml:space="preserve"> (</w:t>
      </w:r>
      <w:hyperlink r:id="rId24">
        <w:r w:rsidRPr="003F0F27">
          <w:rPr>
            <w:rStyle w:val="Hyperlink"/>
          </w:rPr>
          <w:t>http://www.mass.gov/edu/docs/ese/accountability/dart/walkthrough/implementation-guide.docx</w:t>
        </w:r>
      </w:hyperlink>
      <w:r w:rsidRPr="003F0F27">
        <w:t xml:space="preserve">) is a resource to support instructional leaders in establishing a </w:t>
      </w:r>
      <w:r w:rsidRPr="003F0F27">
        <w:rPr>
          <w:i/>
        </w:rPr>
        <w:t xml:space="preserve">Learning Walkthrough </w:t>
      </w:r>
      <w:r w:rsidRPr="003F0F27">
        <w:t xml:space="preserve">process in a school or district. It is designed to provide guidance to those working in an established culture of collaboration as well as those who are just beginning to observe classrooms and discuss teaching and learning in a focused and actionable manner. </w:t>
      </w:r>
    </w:p>
    <w:p w14:paraId="1548634B" w14:textId="77777777" w:rsidR="003F0F27" w:rsidRPr="003F0F27" w:rsidRDefault="003F0F27" w:rsidP="00720152">
      <w:pPr>
        <w:numPr>
          <w:ilvl w:val="1"/>
          <w:numId w:val="31"/>
        </w:numPr>
        <w:ind w:left="720"/>
      </w:pPr>
      <w:r w:rsidRPr="003F0F27">
        <w:t xml:space="preserve">Appendix 4, </w:t>
      </w:r>
      <w:r w:rsidRPr="003F0F27">
        <w:rPr>
          <w:i/>
        </w:rPr>
        <w:t xml:space="preserve">Characteristics of Standards-Based Teaching and Learning: Continuum of Practice </w:t>
      </w:r>
      <w:r w:rsidRPr="003F0F27">
        <w:t>(</w:t>
      </w:r>
      <w:hyperlink r:id="rId25">
        <w:r w:rsidRPr="003F0F27">
          <w:rPr>
            <w:rStyle w:val="Hyperlink"/>
          </w:rPr>
          <w:t>http://www.mass.gov/edu/docs/ese/accountability/dart/walkthrough/continuum-practice.pdf</w:t>
        </w:r>
      </w:hyperlink>
      <w:r w:rsidRPr="003F0F27">
        <w:t xml:space="preserve">) is a framework that provides a common language or reference point for looking at teaching and learning. </w:t>
      </w:r>
    </w:p>
    <w:p w14:paraId="1515ED58" w14:textId="77777777" w:rsidR="003F0F27" w:rsidRPr="003F0F27" w:rsidRDefault="003F0F27" w:rsidP="00720152">
      <w:pPr>
        <w:numPr>
          <w:ilvl w:val="0"/>
          <w:numId w:val="31"/>
        </w:numPr>
        <w:ind w:left="360"/>
      </w:pPr>
      <w:r w:rsidRPr="003F0F27">
        <w:t xml:space="preserve">ESE’s </w:t>
      </w:r>
      <w:r w:rsidRPr="003F0F27">
        <w:rPr>
          <w:i/>
        </w:rPr>
        <w:t>Calibration Video Library</w:t>
      </w:r>
      <w:r w:rsidRPr="003F0F27">
        <w:t xml:space="preserve"> (</w:t>
      </w:r>
      <w:hyperlink r:id="rId26">
        <w:r w:rsidRPr="003F0F27">
          <w:rPr>
            <w:rStyle w:val="Hyperlink"/>
          </w:rPr>
          <w:t>http://www.doe.mass.edu/edeval/resources/calibration/</w:t>
        </w:r>
      </w:hyperlink>
      <w:r w:rsidRPr="003F0F27">
        <w:t>) is a collection of professionally created videos of classroom instruction produced by the School Improvement Network. These videos depict a range of practice (this is NOT a collection of exemplars) to support within-district calibration activities that promote a shared understanding of instructional quality and rigor.</w:t>
      </w:r>
    </w:p>
    <w:p w14:paraId="053F0C2F" w14:textId="77777777" w:rsidR="003F0F27" w:rsidRPr="003F0F27" w:rsidRDefault="003F0F27" w:rsidP="00720152">
      <w:pPr>
        <w:numPr>
          <w:ilvl w:val="0"/>
          <w:numId w:val="31"/>
        </w:numPr>
        <w:ind w:left="360"/>
      </w:pPr>
      <w:r w:rsidRPr="003F0F27">
        <w:t xml:space="preserve">ESE’s </w:t>
      </w:r>
      <w:r w:rsidRPr="003F0F27">
        <w:rPr>
          <w:i/>
        </w:rPr>
        <w:t>Online Calibration Training Tool</w:t>
      </w:r>
      <w:r w:rsidRPr="003F0F27">
        <w:t xml:space="preserve"> (</w:t>
      </w:r>
      <w:hyperlink r:id="rId27">
        <w:r w:rsidRPr="003F0F27">
          <w:rPr>
            <w:rStyle w:val="Hyperlink"/>
          </w:rPr>
          <w:t>http://www.doe.mass.edu/edeval/resources/calibration/tool/</w:t>
        </w:r>
      </w:hyperlink>
      <w:r w:rsidRPr="003F0F27">
        <w:t>) uses videos of classroom instruction from ESE’s Calibration Video Library to simulate brief, unannounced observations. Groups of educators, such as a district leadership team, watch a video together and then individually assess the educator’s practice related to specific elements from the Model Classroom Teacher Rubric and provide the educator with written feedback. Through real-time data displays, the group members can then see how their conclusions compare to each other, as well educators throughout the state.</w:t>
      </w:r>
    </w:p>
    <w:p w14:paraId="5EC317ED" w14:textId="6FB62106" w:rsidR="003F0F27" w:rsidRDefault="003F0F27" w:rsidP="00720152">
      <w:pPr>
        <w:numPr>
          <w:ilvl w:val="0"/>
          <w:numId w:val="31"/>
        </w:numPr>
        <w:ind w:left="360"/>
      </w:pPr>
      <w:r w:rsidRPr="003F0F27">
        <w:lastRenderedPageBreak/>
        <w:t xml:space="preserve">ESE’s </w:t>
      </w:r>
      <w:r w:rsidRPr="003F0F27">
        <w:rPr>
          <w:i/>
        </w:rPr>
        <w:t xml:space="preserve">"What to Look For" Observation Guides </w:t>
      </w:r>
      <w:r w:rsidRPr="003F0F27">
        <w:rPr>
          <w:b/>
          <w:i/>
        </w:rPr>
        <w:t>(Updated August 2017)</w:t>
      </w:r>
      <w:r w:rsidRPr="003F0F27">
        <w:t xml:space="preserve"> (</w:t>
      </w:r>
      <w:hyperlink r:id="rId28">
        <w:r w:rsidRPr="003F0F27">
          <w:rPr>
            <w:rStyle w:val="Hyperlink"/>
          </w:rPr>
          <w:t>http://www.doe.mass.edu/candi/observation/</w:t>
        </w:r>
      </w:hyperlink>
      <w:r w:rsidRPr="003F0F27">
        <w:t>) describe what observers should expect to see in a classroom at a particular grade level in a specific subject area. This includes the knowledge and skills students should be learning and using (as reflected in state learning standards) and best practices related to classroom curriculum, instruction, and assessment for each subject area. The guides are not designed to replace any evaluation system or tools districts currently use, but are a resource to help classroom observers efficiently identify what teachers and students should be experiencing in specific subjects and grade levels.</w:t>
      </w:r>
    </w:p>
    <w:p w14:paraId="391DC9FB" w14:textId="7C7F9F5D" w:rsidR="00103FFB" w:rsidRDefault="00103FFB" w:rsidP="00720152">
      <w:pPr>
        <w:pStyle w:val="ListParagraph"/>
        <w:numPr>
          <w:ilvl w:val="0"/>
          <w:numId w:val="31"/>
        </w:numPr>
        <w:ind w:left="360"/>
        <w:contextualSpacing w:val="0"/>
      </w:pPr>
      <w:r w:rsidRPr="00103FFB">
        <w:t>The Educator Effectiveness Guidebook for Inclusive Practice (</w:t>
      </w:r>
      <w:hyperlink r:id="rId29" w:history="1">
        <w:r w:rsidRPr="00FC5540">
          <w:rPr>
            <w:rStyle w:val="Hyperlink"/>
          </w:rPr>
          <w:t>http://www.doe.mass.edu/edeval/guidebook/</w:t>
        </w:r>
      </w:hyperlink>
      <w:r w:rsidRPr="00103FFB">
        <w:t>) includes tools for districts, schools, and educators that are aligned to the MA Educator Evaluation Framework and promote evidence-based best practices for inclusion following the principles of Universal Design for Learning, Positive Behavior Interventions and Supports, and Social and Emotional Learning.</w:t>
      </w:r>
    </w:p>
    <w:p w14:paraId="4786B460" w14:textId="6AA1B71D" w:rsidR="003F0F27" w:rsidRDefault="003F0F27" w:rsidP="00F76BEE"/>
    <w:p w14:paraId="58FAC859" w14:textId="413C68A3" w:rsidR="003F0F27" w:rsidRDefault="003F0F27" w:rsidP="00F76BEE"/>
    <w:p w14:paraId="4586FA26" w14:textId="13FB2886" w:rsidR="003F0F27" w:rsidRDefault="003F0F27" w:rsidP="00F76BEE"/>
    <w:p w14:paraId="10684FB1" w14:textId="53DF4F12" w:rsidR="008E314D" w:rsidRDefault="000C1441" w:rsidP="00F76BEE">
      <w:pPr>
        <w:pStyle w:val="Section"/>
        <w:tabs>
          <w:tab w:val="left" w:pos="360"/>
          <w:tab w:val="left" w:pos="720"/>
          <w:tab w:val="left" w:pos="1080"/>
          <w:tab w:val="left" w:pos="1440"/>
          <w:tab w:val="left" w:pos="1800"/>
          <w:tab w:val="left" w:pos="2160"/>
          <w:tab w:val="left" w:pos="2520"/>
          <w:tab w:val="left" w:pos="2880"/>
        </w:tabs>
        <w:outlineLvl w:val="0"/>
      </w:pPr>
      <w:bookmarkStart w:id="11" w:name="_Toc532556047"/>
      <w:bookmarkEnd w:id="10"/>
      <w:r>
        <w:lastRenderedPageBreak/>
        <w:t>Assessment</w:t>
      </w:r>
      <w:bookmarkEnd w:id="11"/>
    </w:p>
    <w:p w14:paraId="0CC5FBD7" w14:textId="77777777" w:rsidR="003D325B" w:rsidRDefault="003D325B" w:rsidP="007C01ED">
      <w:pPr>
        <w:pStyle w:val="Subsection"/>
        <w:tabs>
          <w:tab w:val="left" w:pos="360"/>
          <w:tab w:val="left" w:pos="720"/>
          <w:tab w:val="left" w:pos="1080"/>
          <w:tab w:val="left" w:pos="1440"/>
          <w:tab w:val="left" w:pos="1800"/>
          <w:tab w:val="left" w:pos="2160"/>
          <w:tab w:val="left" w:pos="2520"/>
          <w:tab w:val="left" w:pos="2880"/>
        </w:tabs>
        <w:spacing w:before="0"/>
      </w:pPr>
      <w:r>
        <w:t>Contextual Background</w:t>
      </w:r>
    </w:p>
    <w:p w14:paraId="4B4AF112" w14:textId="6A527D8C" w:rsidR="00DB398B" w:rsidRDefault="00C61D6A" w:rsidP="00C61D6A">
      <w:pPr>
        <w:pStyle w:val="CommentText"/>
        <w:spacing w:line="276" w:lineRule="auto"/>
        <w:rPr>
          <w:rFonts w:cstheme="minorHAnsi"/>
          <w:sz w:val="22"/>
          <w:szCs w:val="22"/>
        </w:rPr>
      </w:pPr>
      <w:r>
        <w:rPr>
          <w:rFonts w:cstheme="minorHAnsi"/>
          <w:sz w:val="22"/>
          <w:szCs w:val="22"/>
        </w:rPr>
        <w:t>District assessment practice</w:t>
      </w:r>
      <w:r w:rsidR="00C96727">
        <w:rPr>
          <w:rFonts w:cstheme="minorHAnsi"/>
          <w:sz w:val="22"/>
          <w:szCs w:val="22"/>
        </w:rPr>
        <w:t xml:space="preserve">s are </w:t>
      </w:r>
      <w:r w:rsidR="00807628">
        <w:rPr>
          <w:rFonts w:cstheme="minorHAnsi"/>
          <w:sz w:val="22"/>
          <w:szCs w:val="22"/>
        </w:rPr>
        <w:t>well</w:t>
      </w:r>
      <w:r>
        <w:rPr>
          <w:rFonts w:cstheme="minorHAnsi"/>
          <w:sz w:val="22"/>
          <w:szCs w:val="22"/>
        </w:rPr>
        <w:t xml:space="preserve"> </w:t>
      </w:r>
      <w:r w:rsidR="00F33D68">
        <w:rPr>
          <w:rFonts w:cstheme="minorHAnsi"/>
          <w:sz w:val="22"/>
          <w:szCs w:val="22"/>
        </w:rPr>
        <w:t xml:space="preserve">structured and implemented </w:t>
      </w:r>
      <w:r w:rsidR="00C96727">
        <w:rPr>
          <w:rFonts w:cstheme="minorHAnsi"/>
          <w:sz w:val="22"/>
          <w:szCs w:val="22"/>
        </w:rPr>
        <w:t xml:space="preserve">at the elementary level, with </w:t>
      </w:r>
      <w:r w:rsidR="00930890">
        <w:rPr>
          <w:rFonts w:cstheme="minorHAnsi"/>
          <w:sz w:val="22"/>
          <w:szCs w:val="22"/>
        </w:rPr>
        <w:t>middle-</w:t>
      </w:r>
      <w:r w:rsidR="00C96727">
        <w:rPr>
          <w:rFonts w:cstheme="minorHAnsi"/>
          <w:sz w:val="22"/>
          <w:szCs w:val="22"/>
        </w:rPr>
        <w:t xml:space="preserve">school and </w:t>
      </w:r>
      <w:r w:rsidR="00930890">
        <w:rPr>
          <w:rFonts w:cstheme="minorHAnsi"/>
          <w:sz w:val="22"/>
          <w:szCs w:val="22"/>
        </w:rPr>
        <w:t>high-</w:t>
      </w:r>
      <w:r w:rsidR="00C96727">
        <w:rPr>
          <w:rFonts w:cstheme="minorHAnsi"/>
          <w:sz w:val="22"/>
          <w:szCs w:val="22"/>
        </w:rPr>
        <w:t>school data collec</w:t>
      </w:r>
      <w:r w:rsidR="00CC20AF">
        <w:rPr>
          <w:rFonts w:cstheme="minorHAnsi"/>
          <w:sz w:val="22"/>
          <w:szCs w:val="22"/>
        </w:rPr>
        <w:t>t</w:t>
      </w:r>
      <w:r w:rsidR="00DB398B">
        <w:rPr>
          <w:rFonts w:cstheme="minorHAnsi"/>
          <w:sz w:val="22"/>
          <w:szCs w:val="22"/>
        </w:rPr>
        <w:t>ion and dissemination practices and protocols</w:t>
      </w:r>
      <w:r w:rsidR="00CC20AF">
        <w:rPr>
          <w:rFonts w:cstheme="minorHAnsi"/>
          <w:sz w:val="22"/>
          <w:szCs w:val="22"/>
        </w:rPr>
        <w:t xml:space="preserve"> in place but not consistently implemented</w:t>
      </w:r>
      <w:r w:rsidR="00C96727">
        <w:rPr>
          <w:rFonts w:cstheme="minorHAnsi"/>
          <w:sz w:val="22"/>
          <w:szCs w:val="22"/>
        </w:rPr>
        <w:t xml:space="preserve">. </w:t>
      </w:r>
      <w:r w:rsidR="00930890">
        <w:rPr>
          <w:sz w:val="22"/>
          <w:szCs w:val="22"/>
        </w:rPr>
        <w:t>E</w:t>
      </w:r>
      <w:r w:rsidR="00C96727">
        <w:rPr>
          <w:sz w:val="22"/>
          <w:szCs w:val="22"/>
        </w:rPr>
        <w:t>lementary</w:t>
      </w:r>
      <w:r w:rsidR="00930890">
        <w:rPr>
          <w:sz w:val="22"/>
          <w:szCs w:val="22"/>
        </w:rPr>
        <w:t>-</w:t>
      </w:r>
      <w:r w:rsidR="00C96727">
        <w:rPr>
          <w:sz w:val="22"/>
          <w:szCs w:val="22"/>
        </w:rPr>
        <w:t>school teachers work</w:t>
      </w:r>
      <w:r w:rsidR="00930890">
        <w:rPr>
          <w:sz w:val="22"/>
          <w:szCs w:val="22"/>
        </w:rPr>
        <w:t xml:space="preserve"> </w:t>
      </w:r>
      <w:r w:rsidR="00C96727">
        <w:rPr>
          <w:sz w:val="22"/>
          <w:szCs w:val="22"/>
        </w:rPr>
        <w:t>together in profess</w:t>
      </w:r>
      <w:r w:rsidR="00870C3A">
        <w:rPr>
          <w:sz w:val="22"/>
          <w:szCs w:val="22"/>
        </w:rPr>
        <w:t>ional learning communities (PLC</w:t>
      </w:r>
      <w:r w:rsidR="00C96727">
        <w:rPr>
          <w:sz w:val="22"/>
          <w:szCs w:val="22"/>
        </w:rPr>
        <w:t xml:space="preserve">s) at least once </w:t>
      </w:r>
      <w:r w:rsidR="00C96727" w:rsidRPr="00F66933">
        <w:rPr>
          <w:sz w:val="22"/>
          <w:szCs w:val="22"/>
        </w:rPr>
        <w:t>every six-day</w:t>
      </w:r>
      <w:r w:rsidR="00C96727">
        <w:rPr>
          <w:sz w:val="22"/>
          <w:szCs w:val="22"/>
        </w:rPr>
        <w:t xml:space="preserve"> cycle</w:t>
      </w:r>
      <w:r w:rsidR="00720152">
        <w:rPr>
          <w:sz w:val="22"/>
          <w:szCs w:val="22"/>
        </w:rPr>
        <w:t xml:space="preserve"> </w:t>
      </w:r>
      <w:r w:rsidR="00C96727">
        <w:rPr>
          <w:sz w:val="22"/>
          <w:szCs w:val="22"/>
        </w:rPr>
        <w:t xml:space="preserve">to look at student work, </w:t>
      </w:r>
      <w:r w:rsidR="00870C3A">
        <w:rPr>
          <w:sz w:val="22"/>
          <w:szCs w:val="22"/>
        </w:rPr>
        <w:t xml:space="preserve">and to </w:t>
      </w:r>
      <w:r w:rsidR="00C96727">
        <w:rPr>
          <w:sz w:val="22"/>
          <w:szCs w:val="22"/>
        </w:rPr>
        <w:t xml:space="preserve">share rubrics and formative and benchmarking test results. They consult with each other about flexible groupings for reading and math and </w:t>
      </w:r>
      <w:r w:rsidR="00930890">
        <w:rPr>
          <w:sz w:val="22"/>
          <w:szCs w:val="22"/>
        </w:rPr>
        <w:t xml:space="preserve">using </w:t>
      </w:r>
      <w:r w:rsidR="00C96727">
        <w:rPr>
          <w:sz w:val="22"/>
          <w:szCs w:val="22"/>
        </w:rPr>
        <w:t xml:space="preserve">data </w:t>
      </w:r>
      <w:r w:rsidR="00930890">
        <w:rPr>
          <w:sz w:val="22"/>
          <w:szCs w:val="22"/>
        </w:rPr>
        <w:t>to inform</w:t>
      </w:r>
      <w:r w:rsidR="00C96727">
        <w:rPr>
          <w:sz w:val="22"/>
          <w:szCs w:val="22"/>
        </w:rPr>
        <w:t xml:space="preserve"> </w:t>
      </w:r>
      <w:r w:rsidR="00930890">
        <w:rPr>
          <w:sz w:val="22"/>
          <w:szCs w:val="22"/>
        </w:rPr>
        <w:t>instruction</w:t>
      </w:r>
      <w:r w:rsidR="00C96727">
        <w:rPr>
          <w:sz w:val="22"/>
          <w:szCs w:val="22"/>
        </w:rPr>
        <w:t xml:space="preserve">. </w:t>
      </w:r>
      <w:r>
        <w:rPr>
          <w:rFonts w:cstheme="minorHAnsi"/>
          <w:sz w:val="22"/>
          <w:szCs w:val="22"/>
        </w:rPr>
        <w:t xml:space="preserve">While </w:t>
      </w:r>
      <w:r w:rsidR="00930890">
        <w:rPr>
          <w:rFonts w:cstheme="minorHAnsi"/>
          <w:sz w:val="22"/>
          <w:szCs w:val="22"/>
        </w:rPr>
        <w:t xml:space="preserve">educators throughout the district routinely use </w:t>
      </w:r>
      <w:r>
        <w:rPr>
          <w:rFonts w:cstheme="minorHAnsi"/>
          <w:sz w:val="22"/>
          <w:szCs w:val="22"/>
        </w:rPr>
        <w:t>data to assess student</w:t>
      </w:r>
      <w:r w:rsidR="00930890">
        <w:rPr>
          <w:rFonts w:cstheme="minorHAnsi"/>
          <w:sz w:val="22"/>
          <w:szCs w:val="22"/>
        </w:rPr>
        <w:t>s’</w:t>
      </w:r>
      <w:r>
        <w:rPr>
          <w:rFonts w:cstheme="minorHAnsi"/>
          <w:sz w:val="22"/>
          <w:szCs w:val="22"/>
        </w:rPr>
        <w:t xml:space="preserve"> progress and </w:t>
      </w:r>
      <w:r w:rsidR="004A12D2">
        <w:rPr>
          <w:rFonts w:cstheme="minorHAnsi"/>
          <w:sz w:val="22"/>
          <w:szCs w:val="22"/>
        </w:rPr>
        <w:t>implement</w:t>
      </w:r>
      <w:r>
        <w:rPr>
          <w:rFonts w:cstheme="minorHAnsi"/>
          <w:sz w:val="22"/>
          <w:szCs w:val="22"/>
        </w:rPr>
        <w:t xml:space="preserve"> interventions, </w:t>
      </w:r>
      <w:r w:rsidR="00930890">
        <w:rPr>
          <w:rFonts w:cstheme="minorHAnsi"/>
          <w:sz w:val="22"/>
          <w:szCs w:val="22"/>
        </w:rPr>
        <w:t>they</w:t>
      </w:r>
      <w:r w:rsidR="004A12D2">
        <w:rPr>
          <w:rFonts w:cstheme="minorHAnsi"/>
          <w:sz w:val="22"/>
          <w:szCs w:val="22"/>
        </w:rPr>
        <w:t xml:space="preserve"> </w:t>
      </w:r>
      <w:r w:rsidR="00930890">
        <w:rPr>
          <w:rFonts w:cstheme="minorHAnsi"/>
          <w:sz w:val="22"/>
          <w:szCs w:val="22"/>
        </w:rPr>
        <w:t>do</w:t>
      </w:r>
      <w:r>
        <w:rPr>
          <w:rFonts w:cstheme="minorHAnsi"/>
          <w:sz w:val="22"/>
          <w:szCs w:val="22"/>
        </w:rPr>
        <w:t xml:space="preserve"> </w:t>
      </w:r>
      <w:r w:rsidR="00930890">
        <w:rPr>
          <w:rFonts w:cstheme="minorHAnsi"/>
          <w:sz w:val="22"/>
          <w:szCs w:val="22"/>
        </w:rPr>
        <w:t xml:space="preserve">not </w:t>
      </w:r>
      <w:r w:rsidR="00CC20AF">
        <w:rPr>
          <w:rFonts w:cstheme="minorHAnsi"/>
          <w:sz w:val="22"/>
          <w:szCs w:val="22"/>
        </w:rPr>
        <w:t xml:space="preserve">routinely </w:t>
      </w:r>
      <w:r w:rsidR="00930890">
        <w:rPr>
          <w:rFonts w:cstheme="minorHAnsi"/>
          <w:sz w:val="22"/>
          <w:szCs w:val="22"/>
        </w:rPr>
        <w:t xml:space="preserve">use </w:t>
      </w:r>
      <w:r w:rsidR="004A12D2">
        <w:rPr>
          <w:rFonts w:cstheme="minorHAnsi"/>
          <w:sz w:val="22"/>
          <w:szCs w:val="22"/>
        </w:rPr>
        <w:t xml:space="preserve">data to </w:t>
      </w:r>
      <w:r w:rsidR="001157FA">
        <w:rPr>
          <w:rFonts w:cstheme="minorHAnsi"/>
          <w:sz w:val="22"/>
          <w:szCs w:val="22"/>
        </w:rPr>
        <w:t xml:space="preserve">inform </w:t>
      </w:r>
      <w:r w:rsidR="00DB398B">
        <w:rPr>
          <w:rFonts w:cstheme="minorHAnsi"/>
          <w:sz w:val="22"/>
          <w:szCs w:val="22"/>
        </w:rPr>
        <w:t>curriculum and</w:t>
      </w:r>
      <w:r>
        <w:rPr>
          <w:rFonts w:cstheme="minorHAnsi"/>
          <w:sz w:val="22"/>
          <w:szCs w:val="22"/>
        </w:rPr>
        <w:t xml:space="preserve"> instruction. </w:t>
      </w:r>
    </w:p>
    <w:p w14:paraId="5B83CD5E" w14:textId="7941A942" w:rsidR="00C96727" w:rsidRDefault="00DA333B" w:rsidP="00C96727">
      <w:pPr>
        <w:pStyle w:val="CommentText"/>
        <w:spacing w:line="276" w:lineRule="auto"/>
        <w:rPr>
          <w:rFonts w:cstheme="minorHAnsi"/>
          <w:sz w:val="22"/>
          <w:szCs w:val="22"/>
        </w:rPr>
      </w:pPr>
      <w:r>
        <w:rPr>
          <w:rFonts w:cstheme="minorHAnsi"/>
          <w:sz w:val="22"/>
          <w:szCs w:val="22"/>
        </w:rPr>
        <w:t xml:space="preserve">At every level, </w:t>
      </w:r>
      <w:r w:rsidR="004656E5">
        <w:rPr>
          <w:rFonts w:cstheme="minorHAnsi"/>
          <w:sz w:val="22"/>
          <w:szCs w:val="22"/>
        </w:rPr>
        <w:t>t</w:t>
      </w:r>
      <w:r w:rsidR="00930890">
        <w:rPr>
          <w:rFonts w:cstheme="minorHAnsi"/>
          <w:sz w:val="22"/>
          <w:szCs w:val="22"/>
        </w:rPr>
        <w:t xml:space="preserve">he district </w:t>
      </w:r>
      <w:r w:rsidR="004A12D2">
        <w:rPr>
          <w:rFonts w:cstheme="minorHAnsi"/>
          <w:sz w:val="22"/>
          <w:szCs w:val="22"/>
        </w:rPr>
        <w:t>use</w:t>
      </w:r>
      <w:r w:rsidR="00930890">
        <w:rPr>
          <w:rFonts w:cstheme="minorHAnsi"/>
          <w:sz w:val="22"/>
          <w:szCs w:val="22"/>
        </w:rPr>
        <w:t>s</w:t>
      </w:r>
      <w:r w:rsidR="004A12D2">
        <w:rPr>
          <w:rFonts w:cstheme="minorHAnsi"/>
          <w:sz w:val="22"/>
          <w:szCs w:val="22"/>
        </w:rPr>
        <w:t xml:space="preserve"> commercial curricula</w:t>
      </w:r>
      <w:r w:rsidR="00C96727">
        <w:rPr>
          <w:rFonts w:cstheme="minorHAnsi"/>
          <w:sz w:val="22"/>
          <w:szCs w:val="22"/>
        </w:rPr>
        <w:t xml:space="preserve"> </w:t>
      </w:r>
      <w:r w:rsidR="004A12D2">
        <w:rPr>
          <w:rFonts w:cstheme="minorHAnsi"/>
          <w:sz w:val="22"/>
          <w:szCs w:val="22"/>
        </w:rPr>
        <w:t xml:space="preserve">including </w:t>
      </w:r>
      <w:r w:rsidR="00930890">
        <w:rPr>
          <w:rFonts w:cstheme="minorHAnsi"/>
          <w:sz w:val="22"/>
          <w:szCs w:val="22"/>
        </w:rPr>
        <w:t xml:space="preserve">publishers’ </w:t>
      </w:r>
      <w:r w:rsidR="004A12D2">
        <w:rPr>
          <w:rFonts w:cstheme="minorHAnsi"/>
          <w:sz w:val="22"/>
          <w:szCs w:val="22"/>
        </w:rPr>
        <w:t>system</w:t>
      </w:r>
      <w:r w:rsidR="00930890">
        <w:rPr>
          <w:rFonts w:cstheme="minorHAnsi"/>
          <w:sz w:val="22"/>
          <w:szCs w:val="22"/>
        </w:rPr>
        <w:t>s</w:t>
      </w:r>
      <w:r w:rsidR="004A12D2">
        <w:rPr>
          <w:rFonts w:cstheme="minorHAnsi"/>
          <w:sz w:val="22"/>
          <w:szCs w:val="22"/>
        </w:rPr>
        <w:t xml:space="preserve"> of</w:t>
      </w:r>
      <w:r w:rsidR="00C96727">
        <w:rPr>
          <w:rFonts w:cstheme="minorHAnsi"/>
          <w:sz w:val="22"/>
          <w:szCs w:val="22"/>
        </w:rPr>
        <w:t xml:space="preserve"> asse</w:t>
      </w:r>
      <w:r w:rsidR="004A12D2">
        <w:rPr>
          <w:rFonts w:cstheme="minorHAnsi"/>
          <w:sz w:val="22"/>
          <w:szCs w:val="22"/>
        </w:rPr>
        <w:t>ssments</w:t>
      </w:r>
      <w:r w:rsidR="00C96727">
        <w:rPr>
          <w:rFonts w:cstheme="minorHAnsi"/>
          <w:sz w:val="22"/>
          <w:szCs w:val="22"/>
        </w:rPr>
        <w:t xml:space="preserve">. </w:t>
      </w:r>
      <w:r w:rsidR="00C61D6A">
        <w:rPr>
          <w:rFonts w:cstheme="minorHAnsi"/>
          <w:sz w:val="22"/>
          <w:szCs w:val="22"/>
        </w:rPr>
        <w:t xml:space="preserve">At the high school, teachers </w:t>
      </w:r>
      <w:r w:rsidR="004A12D2">
        <w:rPr>
          <w:rFonts w:cstheme="minorHAnsi"/>
          <w:sz w:val="22"/>
          <w:szCs w:val="22"/>
        </w:rPr>
        <w:t xml:space="preserve">also design and </w:t>
      </w:r>
      <w:r w:rsidR="00C61D6A">
        <w:rPr>
          <w:rFonts w:cstheme="minorHAnsi"/>
          <w:sz w:val="22"/>
          <w:szCs w:val="22"/>
        </w:rPr>
        <w:t>use common assessments within departments.</w:t>
      </w:r>
      <w:r w:rsidR="00980885">
        <w:rPr>
          <w:rFonts w:cstheme="minorHAnsi"/>
          <w:sz w:val="22"/>
          <w:szCs w:val="22"/>
        </w:rPr>
        <w:t xml:space="preserve"> </w:t>
      </w:r>
    </w:p>
    <w:p w14:paraId="75712D5B" w14:textId="12C77E31" w:rsidR="00DB398B" w:rsidRPr="00C61D6A" w:rsidRDefault="00391340" w:rsidP="00DB398B">
      <w:pPr>
        <w:pStyle w:val="CommentText"/>
        <w:spacing w:line="276" w:lineRule="auto"/>
        <w:rPr>
          <w:sz w:val="22"/>
          <w:szCs w:val="22"/>
        </w:rPr>
      </w:pPr>
      <w:r>
        <w:rPr>
          <w:rFonts w:cstheme="minorHAnsi"/>
          <w:sz w:val="22"/>
          <w:szCs w:val="22"/>
        </w:rPr>
        <w:t>All district</w:t>
      </w:r>
      <w:r w:rsidRPr="002D37BD">
        <w:rPr>
          <w:rFonts w:cstheme="minorHAnsi"/>
          <w:sz w:val="22"/>
          <w:szCs w:val="22"/>
        </w:rPr>
        <w:t xml:space="preserve"> school</w:t>
      </w:r>
      <w:r>
        <w:rPr>
          <w:rFonts w:cstheme="minorHAnsi"/>
          <w:sz w:val="22"/>
          <w:szCs w:val="22"/>
        </w:rPr>
        <w:t>s</w:t>
      </w:r>
      <w:r w:rsidRPr="002D37BD">
        <w:rPr>
          <w:rFonts w:cstheme="minorHAnsi"/>
          <w:sz w:val="22"/>
          <w:szCs w:val="22"/>
        </w:rPr>
        <w:t xml:space="preserve"> </w:t>
      </w:r>
      <w:r>
        <w:rPr>
          <w:rFonts w:cstheme="minorHAnsi"/>
          <w:sz w:val="22"/>
          <w:szCs w:val="22"/>
        </w:rPr>
        <w:t xml:space="preserve">have </w:t>
      </w:r>
      <w:r w:rsidRPr="002D37BD">
        <w:rPr>
          <w:rFonts w:cstheme="minorHAnsi"/>
          <w:sz w:val="22"/>
          <w:szCs w:val="22"/>
        </w:rPr>
        <w:t xml:space="preserve">data teams </w:t>
      </w:r>
      <w:r>
        <w:rPr>
          <w:rFonts w:cstheme="minorHAnsi"/>
          <w:sz w:val="22"/>
          <w:szCs w:val="22"/>
        </w:rPr>
        <w:t>that</w:t>
      </w:r>
      <w:r w:rsidRPr="002D37BD">
        <w:rPr>
          <w:rFonts w:cstheme="minorHAnsi"/>
          <w:sz w:val="22"/>
          <w:szCs w:val="22"/>
        </w:rPr>
        <w:t xml:space="preserve"> use school-based tools to</w:t>
      </w:r>
      <w:r w:rsidR="001157FA">
        <w:rPr>
          <w:rFonts w:cstheme="minorHAnsi"/>
          <w:sz w:val="22"/>
          <w:szCs w:val="22"/>
        </w:rPr>
        <w:t xml:space="preserve"> collect</w:t>
      </w:r>
      <w:r w:rsidRPr="002D37BD">
        <w:rPr>
          <w:rFonts w:cstheme="minorHAnsi"/>
          <w:sz w:val="22"/>
          <w:szCs w:val="22"/>
        </w:rPr>
        <w:t xml:space="preserve"> and analyze student performance data</w:t>
      </w:r>
      <w:r w:rsidR="006403F2">
        <w:rPr>
          <w:rStyle w:val="FootnoteReference"/>
          <w:rFonts w:cstheme="minorHAnsi"/>
          <w:sz w:val="22"/>
          <w:szCs w:val="22"/>
        </w:rPr>
        <w:footnoteReference w:id="2"/>
      </w:r>
      <w:r>
        <w:rPr>
          <w:rFonts w:cstheme="minorHAnsi"/>
          <w:sz w:val="22"/>
          <w:szCs w:val="22"/>
        </w:rPr>
        <w:t xml:space="preserve"> and</w:t>
      </w:r>
      <w:r w:rsidRPr="002D37BD">
        <w:rPr>
          <w:rFonts w:cstheme="minorHAnsi"/>
          <w:sz w:val="22"/>
          <w:szCs w:val="22"/>
        </w:rPr>
        <w:t xml:space="preserve"> to make decisions about </w:t>
      </w:r>
      <w:r>
        <w:rPr>
          <w:rFonts w:cstheme="minorHAnsi"/>
          <w:sz w:val="22"/>
          <w:szCs w:val="22"/>
        </w:rPr>
        <w:t xml:space="preserve">school-level </w:t>
      </w:r>
      <w:r w:rsidRPr="002D37BD">
        <w:rPr>
          <w:rFonts w:cstheme="minorHAnsi"/>
          <w:sz w:val="22"/>
          <w:szCs w:val="22"/>
        </w:rPr>
        <w:t xml:space="preserve">programs and interventions. </w:t>
      </w:r>
      <w:r w:rsidR="00DB398B" w:rsidRPr="002D37BD">
        <w:rPr>
          <w:rFonts w:cstheme="minorHAnsi"/>
          <w:sz w:val="22"/>
          <w:szCs w:val="22"/>
        </w:rPr>
        <w:t>The district does not have a data collection and dissemination tool that allow</w:t>
      </w:r>
      <w:r w:rsidR="00BD6CCF">
        <w:rPr>
          <w:rFonts w:cstheme="minorHAnsi"/>
          <w:sz w:val="22"/>
          <w:szCs w:val="22"/>
        </w:rPr>
        <w:t>s</w:t>
      </w:r>
      <w:r w:rsidR="002D37BD" w:rsidRPr="002D37BD">
        <w:rPr>
          <w:rFonts w:cstheme="minorHAnsi"/>
          <w:sz w:val="22"/>
          <w:szCs w:val="22"/>
        </w:rPr>
        <w:t xml:space="preserve"> </w:t>
      </w:r>
      <w:r w:rsidR="00BD6CCF" w:rsidRPr="002D37BD">
        <w:rPr>
          <w:rFonts w:cstheme="minorHAnsi"/>
          <w:sz w:val="22"/>
          <w:szCs w:val="22"/>
        </w:rPr>
        <w:t>K</w:t>
      </w:r>
      <w:r w:rsidR="00BD6CCF">
        <w:rPr>
          <w:rFonts w:cstheme="minorHAnsi"/>
          <w:sz w:val="22"/>
          <w:szCs w:val="22"/>
        </w:rPr>
        <w:t>–</w:t>
      </w:r>
      <w:r w:rsidR="00BD6CCF" w:rsidRPr="002D37BD">
        <w:rPr>
          <w:rFonts w:cstheme="minorHAnsi"/>
          <w:sz w:val="22"/>
          <w:szCs w:val="22"/>
        </w:rPr>
        <w:t xml:space="preserve">12 staff </w:t>
      </w:r>
      <w:r w:rsidR="002D37BD" w:rsidRPr="002D37BD">
        <w:rPr>
          <w:rFonts w:cstheme="minorHAnsi"/>
          <w:sz w:val="22"/>
          <w:szCs w:val="22"/>
        </w:rPr>
        <w:t>easy</w:t>
      </w:r>
      <w:r w:rsidR="00DB398B" w:rsidRPr="002D37BD">
        <w:rPr>
          <w:rFonts w:cstheme="minorHAnsi"/>
          <w:sz w:val="22"/>
          <w:szCs w:val="22"/>
        </w:rPr>
        <w:t xml:space="preserve"> access to students’ assessment results, or a district-level team to analyze</w:t>
      </w:r>
      <w:r w:rsidR="001157FA">
        <w:rPr>
          <w:rFonts w:cstheme="minorHAnsi"/>
          <w:sz w:val="22"/>
          <w:szCs w:val="22"/>
        </w:rPr>
        <w:t xml:space="preserve"> to track students’ progress and evaluate programs.</w:t>
      </w:r>
      <w:r w:rsidR="00DB398B" w:rsidRPr="002D37BD">
        <w:rPr>
          <w:rFonts w:cstheme="minorHAnsi"/>
          <w:sz w:val="22"/>
          <w:szCs w:val="22"/>
        </w:rPr>
        <w:t xml:space="preserve"> </w:t>
      </w:r>
      <w:r>
        <w:rPr>
          <w:rFonts w:cstheme="minorHAnsi"/>
          <w:sz w:val="22"/>
          <w:szCs w:val="22"/>
        </w:rPr>
        <w:t>At the d</w:t>
      </w:r>
      <w:r w:rsidRPr="002D37BD">
        <w:rPr>
          <w:rFonts w:cstheme="minorHAnsi"/>
          <w:sz w:val="22"/>
          <w:szCs w:val="22"/>
        </w:rPr>
        <w:t xml:space="preserve">istrict </w:t>
      </w:r>
      <w:r w:rsidR="00237B59" w:rsidRPr="002D37BD">
        <w:rPr>
          <w:rFonts w:cstheme="minorHAnsi"/>
          <w:sz w:val="22"/>
          <w:szCs w:val="22"/>
        </w:rPr>
        <w:t>level</w:t>
      </w:r>
      <w:r>
        <w:rPr>
          <w:rFonts w:cstheme="minorHAnsi"/>
          <w:sz w:val="22"/>
          <w:szCs w:val="22"/>
        </w:rPr>
        <w:t>,</w:t>
      </w:r>
      <w:r w:rsidR="00DB398B" w:rsidRPr="002D37BD">
        <w:rPr>
          <w:rFonts w:cstheme="minorHAnsi"/>
          <w:sz w:val="22"/>
          <w:szCs w:val="22"/>
        </w:rPr>
        <w:t xml:space="preserve"> </w:t>
      </w:r>
      <w:r w:rsidR="00237B59" w:rsidRPr="002D37BD">
        <w:rPr>
          <w:rFonts w:cstheme="minorHAnsi"/>
          <w:sz w:val="22"/>
          <w:szCs w:val="22"/>
        </w:rPr>
        <w:t>data is not routinely</w:t>
      </w:r>
      <w:r w:rsidR="002D37BD" w:rsidRPr="002D37BD">
        <w:rPr>
          <w:rFonts w:cstheme="minorHAnsi"/>
          <w:sz w:val="22"/>
          <w:szCs w:val="22"/>
        </w:rPr>
        <w:t xml:space="preserve"> formally </w:t>
      </w:r>
      <w:r w:rsidR="00237B59" w:rsidRPr="002D37BD">
        <w:rPr>
          <w:rFonts w:cstheme="minorHAnsi"/>
          <w:sz w:val="22"/>
          <w:szCs w:val="22"/>
        </w:rPr>
        <w:t>aggregate</w:t>
      </w:r>
      <w:r w:rsidR="009B76D5">
        <w:rPr>
          <w:rFonts w:cstheme="minorHAnsi"/>
          <w:sz w:val="22"/>
          <w:szCs w:val="22"/>
        </w:rPr>
        <w:t xml:space="preserve">d or analyzed across all grades or </w:t>
      </w:r>
      <w:r w:rsidR="001157FA">
        <w:rPr>
          <w:rFonts w:cstheme="minorHAnsi"/>
          <w:sz w:val="22"/>
          <w:szCs w:val="22"/>
        </w:rPr>
        <w:t>between schools, particularly elementary to middle and middle to high school.</w:t>
      </w:r>
    </w:p>
    <w:p w14:paraId="330582A1" w14:textId="77777777" w:rsidR="00DB398B" w:rsidRPr="00C96727" w:rsidRDefault="00DB398B" w:rsidP="00C96727"/>
    <w:p w14:paraId="5906D56E" w14:textId="634A227C" w:rsidR="007C01ED" w:rsidRPr="00551677" w:rsidRDefault="008F1288" w:rsidP="007C01ED">
      <w:pPr>
        <w:pStyle w:val="Subsection"/>
        <w:tabs>
          <w:tab w:val="left" w:pos="360"/>
          <w:tab w:val="left" w:pos="720"/>
          <w:tab w:val="left" w:pos="1080"/>
          <w:tab w:val="left" w:pos="1440"/>
          <w:tab w:val="left" w:pos="1800"/>
          <w:tab w:val="left" w:pos="2160"/>
          <w:tab w:val="left" w:pos="2520"/>
          <w:tab w:val="left" w:pos="2880"/>
        </w:tabs>
        <w:spacing w:before="0"/>
        <w:rPr>
          <w:szCs w:val="28"/>
        </w:rPr>
      </w:pPr>
      <w:r w:rsidRPr="008F1288">
        <w:rPr>
          <w:szCs w:val="28"/>
        </w:rPr>
        <w:t>Strength Finding</w:t>
      </w:r>
    </w:p>
    <w:p w14:paraId="5AB4D65F" w14:textId="229D70A5" w:rsidR="00C96727" w:rsidRPr="00850B40" w:rsidRDefault="00C96727" w:rsidP="00C96727">
      <w:pPr>
        <w:tabs>
          <w:tab w:val="left" w:pos="360"/>
          <w:tab w:val="left" w:pos="720"/>
          <w:tab w:val="left" w:pos="1080"/>
          <w:tab w:val="left" w:pos="1440"/>
          <w:tab w:val="left" w:pos="1800"/>
          <w:tab w:val="left" w:pos="2160"/>
        </w:tabs>
        <w:ind w:left="360" w:hanging="360"/>
        <w:rPr>
          <w:rFonts w:cstheme="minorHAnsi"/>
          <w:b/>
          <w:i/>
        </w:rPr>
      </w:pPr>
      <w:r w:rsidRPr="00850B40">
        <w:rPr>
          <w:rFonts w:cstheme="minorHAnsi"/>
          <w:b/>
        </w:rPr>
        <w:t xml:space="preserve">1. </w:t>
      </w:r>
      <w:r w:rsidRPr="00850B40">
        <w:rPr>
          <w:rFonts w:cstheme="minorHAnsi"/>
          <w:b/>
        </w:rPr>
        <w:tab/>
        <w:t xml:space="preserve">The district </w:t>
      </w:r>
      <w:r w:rsidR="00403F20">
        <w:rPr>
          <w:rFonts w:cstheme="minorHAnsi"/>
          <w:b/>
        </w:rPr>
        <w:t xml:space="preserve">has </w:t>
      </w:r>
      <w:r w:rsidRPr="00850B40">
        <w:rPr>
          <w:rFonts w:cstheme="minorHAnsi"/>
          <w:b/>
        </w:rPr>
        <w:t>two</w:t>
      </w:r>
      <w:r w:rsidR="00DD3578">
        <w:rPr>
          <w:rFonts w:cstheme="minorHAnsi"/>
          <w:b/>
        </w:rPr>
        <w:t xml:space="preserve"> embedded</w:t>
      </w:r>
      <w:r w:rsidRPr="00850B40">
        <w:rPr>
          <w:rFonts w:cstheme="minorHAnsi"/>
          <w:b/>
        </w:rPr>
        <w:t xml:space="preserve"> structures, </w:t>
      </w:r>
      <w:r w:rsidR="000A42B3">
        <w:rPr>
          <w:rFonts w:cstheme="minorHAnsi"/>
          <w:b/>
        </w:rPr>
        <w:t xml:space="preserve">school </w:t>
      </w:r>
      <w:r w:rsidRPr="00850B40">
        <w:rPr>
          <w:rFonts w:cstheme="minorHAnsi"/>
          <w:b/>
        </w:rPr>
        <w:t xml:space="preserve">PLCs and </w:t>
      </w:r>
      <w:r w:rsidR="000A42B3">
        <w:rPr>
          <w:rFonts w:cstheme="minorHAnsi"/>
          <w:b/>
        </w:rPr>
        <w:t xml:space="preserve">school </w:t>
      </w:r>
      <w:r w:rsidRPr="00850B40">
        <w:rPr>
          <w:rFonts w:cstheme="minorHAnsi"/>
          <w:b/>
        </w:rPr>
        <w:t xml:space="preserve">data teams, for </w:t>
      </w:r>
      <w:r w:rsidR="004A12D2">
        <w:rPr>
          <w:rFonts w:cstheme="minorHAnsi"/>
          <w:b/>
        </w:rPr>
        <w:t>analyzing</w:t>
      </w:r>
      <w:r w:rsidRPr="00850B40">
        <w:rPr>
          <w:rFonts w:cstheme="minorHAnsi"/>
          <w:b/>
        </w:rPr>
        <w:t xml:space="preserve"> student </w:t>
      </w:r>
      <w:r w:rsidR="001F373E">
        <w:rPr>
          <w:rFonts w:cstheme="minorHAnsi"/>
          <w:b/>
        </w:rPr>
        <w:t>achievement data</w:t>
      </w:r>
      <w:r w:rsidRPr="00850B40">
        <w:rPr>
          <w:rFonts w:cstheme="minorHAnsi"/>
          <w:b/>
        </w:rPr>
        <w:t>, benchmark</w:t>
      </w:r>
      <w:r w:rsidR="000A42B3">
        <w:rPr>
          <w:rFonts w:cstheme="minorHAnsi"/>
          <w:b/>
        </w:rPr>
        <w:t xml:space="preserve"> data</w:t>
      </w:r>
      <w:r w:rsidRPr="00850B40">
        <w:rPr>
          <w:rFonts w:cstheme="minorHAnsi"/>
          <w:b/>
        </w:rPr>
        <w:t>, and other pertinent data to improve student</w:t>
      </w:r>
      <w:r w:rsidR="00403F20">
        <w:rPr>
          <w:rFonts w:cstheme="minorHAnsi"/>
          <w:b/>
        </w:rPr>
        <w:t xml:space="preserve"> achievement</w:t>
      </w:r>
      <w:r w:rsidR="004A12D2">
        <w:rPr>
          <w:rFonts w:cstheme="minorHAnsi"/>
          <w:b/>
        </w:rPr>
        <w:t>.</w:t>
      </w:r>
    </w:p>
    <w:p w14:paraId="6690DBD7" w14:textId="2C34EE7E" w:rsidR="00C96727" w:rsidRDefault="001F373E" w:rsidP="00FC58CB">
      <w:pPr>
        <w:pStyle w:val="ListParagraph"/>
        <w:numPr>
          <w:ilvl w:val="0"/>
          <w:numId w:val="18"/>
        </w:numPr>
        <w:contextualSpacing w:val="0"/>
        <w:rPr>
          <w:rFonts w:cstheme="minorHAnsi"/>
        </w:rPr>
      </w:pPr>
      <w:r>
        <w:rPr>
          <w:rFonts w:cstheme="minorHAnsi"/>
        </w:rPr>
        <w:t>District</w:t>
      </w:r>
      <w:r w:rsidRPr="00850B40">
        <w:rPr>
          <w:rFonts w:cstheme="minorHAnsi"/>
        </w:rPr>
        <w:t>wide Profess</w:t>
      </w:r>
      <w:r>
        <w:rPr>
          <w:rFonts w:cstheme="minorHAnsi"/>
        </w:rPr>
        <w:t>ional Learning Communities (PLCs) implement the d</w:t>
      </w:r>
      <w:r w:rsidRPr="00850B40">
        <w:rPr>
          <w:rFonts w:cstheme="minorHAnsi"/>
        </w:rPr>
        <w:t>istrict</w:t>
      </w:r>
      <w:r>
        <w:rPr>
          <w:rFonts w:cstheme="minorHAnsi"/>
        </w:rPr>
        <w:t>’s</w:t>
      </w:r>
      <w:r w:rsidRPr="00850B40">
        <w:rPr>
          <w:rFonts w:cstheme="minorHAnsi"/>
        </w:rPr>
        <w:t xml:space="preserve"> </w:t>
      </w:r>
      <w:r w:rsidR="00C96727" w:rsidRPr="00850B40">
        <w:rPr>
          <w:rFonts w:cstheme="minorHAnsi"/>
        </w:rPr>
        <w:t>assessment policies and practices</w:t>
      </w:r>
      <w:r w:rsidR="00374847">
        <w:rPr>
          <w:rFonts w:cstheme="minorHAnsi"/>
        </w:rPr>
        <w:t xml:space="preserve">. </w:t>
      </w:r>
      <w:r>
        <w:rPr>
          <w:rFonts w:cstheme="minorHAnsi"/>
        </w:rPr>
        <w:t xml:space="preserve">PLCs </w:t>
      </w:r>
      <w:r w:rsidR="00C96727" w:rsidRPr="00850B40">
        <w:rPr>
          <w:rFonts w:cstheme="minorHAnsi"/>
        </w:rPr>
        <w:t>are well organized</w:t>
      </w:r>
      <w:r w:rsidR="0015172C">
        <w:rPr>
          <w:rFonts w:cstheme="minorHAnsi"/>
        </w:rPr>
        <w:t xml:space="preserve"> and </w:t>
      </w:r>
      <w:r w:rsidR="00C96727" w:rsidRPr="00850B40">
        <w:rPr>
          <w:rFonts w:cstheme="minorHAnsi"/>
        </w:rPr>
        <w:t>data</w:t>
      </w:r>
      <w:r w:rsidR="0015172C">
        <w:rPr>
          <w:rFonts w:cstheme="minorHAnsi"/>
        </w:rPr>
        <w:t xml:space="preserve"> </w:t>
      </w:r>
      <w:r w:rsidR="00C96727" w:rsidRPr="00850B40">
        <w:rPr>
          <w:rFonts w:cstheme="minorHAnsi"/>
        </w:rPr>
        <w:t>focused</w:t>
      </w:r>
      <w:r w:rsidR="0015172C">
        <w:rPr>
          <w:rFonts w:cstheme="minorHAnsi"/>
        </w:rPr>
        <w:t xml:space="preserve">. Principals </w:t>
      </w:r>
      <w:r w:rsidR="00C96727">
        <w:rPr>
          <w:rFonts w:cstheme="minorHAnsi"/>
        </w:rPr>
        <w:t>monitor</w:t>
      </w:r>
      <w:r w:rsidR="0015172C">
        <w:rPr>
          <w:rFonts w:cstheme="minorHAnsi"/>
        </w:rPr>
        <w:t xml:space="preserve"> </w:t>
      </w:r>
      <w:r w:rsidR="00C96727">
        <w:rPr>
          <w:rFonts w:cstheme="minorHAnsi"/>
        </w:rPr>
        <w:t xml:space="preserve">and assess </w:t>
      </w:r>
      <w:r w:rsidR="0015172C">
        <w:rPr>
          <w:rFonts w:cstheme="minorHAnsi"/>
        </w:rPr>
        <w:t xml:space="preserve">PLCS using </w:t>
      </w:r>
      <w:r w:rsidR="00C96727">
        <w:rPr>
          <w:rFonts w:cstheme="minorHAnsi"/>
        </w:rPr>
        <w:t>rubrics th</w:t>
      </w:r>
      <w:r w:rsidR="002D37BD">
        <w:rPr>
          <w:rFonts w:cstheme="minorHAnsi"/>
        </w:rPr>
        <w:t>at rate their</w:t>
      </w:r>
      <w:r w:rsidR="004A12D2">
        <w:rPr>
          <w:rFonts w:cstheme="minorHAnsi"/>
        </w:rPr>
        <w:t xml:space="preserve"> effectiveness</w:t>
      </w:r>
      <w:r w:rsidR="00C96727">
        <w:rPr>
          <w:rFonts w:cstheme="minorHAnsi"/>
        </w:rPr>
        <w:t xml:space="preserve">. </w:t>
      </w:r>
      <w:r w:rsidR="00C96727" w:rsidRPr="00850B40">
        <w:rPr>
          <w:rFonts w:cstheme="minorHAnsi"/>
        </w:rPr>
        <w:t xml:space="preserve"> </w:t>
      </w:r>
    </w:p>
    <w:p w14:paraId="61160312" w14:textId="0A2D26C0" w:rsidR="00C96727" w:rsidRPr="00237B59" w:rsidRDefault="001F373E" w:rsidP="00FC58CB">
      <w:pPr>
        <w:pStyle w:val="ListParagraph"/>
        <w:numPr>
          <w:ilvl w:val="2"/>
          <w:numId w:val="18"/>
        </w:numPr>
        <w:ind w:left="1080"/>
        <w:contextualSpacing w:val="0"/>
        <w:rPr>
          <w:rFonts w:cstheme="minorHAnsi"/>
        </w:rPr>
      </w:pPr>
      <w:r>
        <w:rPr>
          <w:rFonts w:cstheme="minorHAnsi"/>
        </w:rPr>
        <w:t>P</w:t>
      </w:r>
      <w:r w:rsidRPr="00237B59">
        <w:rPr>
          <w:rFonts w:cstheme="minorHAnsi"/>
        </w:rPr>
        <w:t>rincipals or coaches</w:t>
      </w:r>
      <w:r>
        <w:rPr>
          <w:rFonts w:cstheme="minorHAnsi"/>
        </w:rPr>
        <w:t xml:space="preserve"> facilitate elementary-school PLC</w:t>
      </w:r>
      <w:r w:rsidRPr="00237B59">
        <w:rPr>
          <w:rFonts w:cstheme="minorHAnsi"/>
        </w:rPr>
        <w:t xml:space="preserve">s, </w:t>
      </w:r>
      <w:r>
        <w:rPr>
          <w:rFonts w:cstheme="minorHAnsi"/>
        </w:rPr>
        <w:t>where</w:t>
      </w:r>
      <w:r w:rsidRPr="00237B59">
        <w:rPr>
          <w:rFonts w:cstheme="minorHAnsi"/>
        </w:rPr>
        <w:t xml:space="preserve"> teachers are encouraged to look a</w:t>
      </w:r>
      <w:r>
        <w:rPr>
          <w:rFonts w:cstheme="minorHAnsi"/>
        </w:rPr>
        <w:t>t and discuss student outcomes. Principals told the review team</w:t>
      </w:r>
      <w:r w:rsidR="00C96727" w:rsidRPr="00850B40">
        <w:rPr>
          <w:rFonts w:cstheme="minorHAnsi"/>
        </w:rPr>
        <w:t xml:space="preserve"> </w:t>
      </w:r>
      <w:r>
        <w:rPr>
          <w:rFonts w:cstheme="minorHAnsi"/>
        </w:rPr>
        <w:t xml:space="preserve">that </w:t>
      </w:r>
      <w:r w:rsidR="00237B59">
        <w:rPr>
          <w:rFonts w:cstheme="minorHAnsi"/>
        </w:rPr>
        <w:t xml:space="preserve">elementary </w:t>
      </w:r>
      <w:r w:rsidR="002D37BD">
        <w:rPr>
          <w:rFonts w:cstheme="minorHAnsi"/>
        </w:rPr>
        <w:t>PLC</w:t>
      </w:r>
      <w:r w:rsidR="00C96727" w:rsidRPr="00850B40">
        <w:rPr>
          <w:rFonts w:cstheme="minorHAnsi"/>
        </w:rPr>
        <w:t xml:space="preserve">s </w:t>
      </w:r>
      <w:r>
        <w:rPr>
          <w:rFonts w:cstheme="minorHAnsi"/>
        </w:rPr>
        <w:t>were</w:t>
      </w:r>
      <w:r w:rsidRPr="00850B40">
        <w:rPr>
          <w:rFonts w:cstheme="minorHAnsi"/>
        </w:rPr>
        <w:t xml:space="preserve"> </w:t>
      </w:r>
      <w:r w:rsidR="00C96727" w:rsidRPr="00850B40">
        <w:rPr>
          <w:rFonts w:cstheme="minorHAnsi"/>
        </w:rPr>
        <w:t xml:space="preserve">tied to teachers’ weekly </w:t>
      </w:r>
      <w:r w:rsidR="0015172C">
        <w:rPr>
          <w:rFonts w:cstheme="minorHAnsi"/>
        </w:rPr>
        <w:t>grade-level</w:t>
      </w:r>
      <w:r w:rsidR="0015172C" w:rsidRPr="00850B40">
        <w:rPr>
          <w:rFonts w:cstheme="minorHAnsi"/>
        </w:rPr>
        <w:t xml:space="preserve"> </w:t>
      </w:r>
      <w:r w:rsidR="0015172C">
        <w:rPr>
          <w:rFonts w:cstheme="minorHAnsi"/>
        </w:rPr>
        <w:t xml:space="preserve">instructional </w:t>
      </w:r>
      <w:r w:rsidR="00C96727" w:rsidRPr="00850B40">
        <w:rPr>
          <w:rFonts w:cstheme="minorHAnsi"/>
        </w:rPr>
        <w:t>goals for their students’ improvement</w:t>
      </w:r>
      <w:r w:rsidR="00237B59">
        <w:rPr>
          <w:rFonts w:cstheme="minorHAnsi"/>
        </w:rPr>
        <w:t xml:space="preserve"> </w:t>
      </w:r>
      <w:r w:rsidR="00DD3578">
        <w:rPr>
          <w:rFonts w:cstheme="minorHAnsi"/>
        </w:rPr>
        <w:t>in reading, writing</w:t>
      </w:r>
      <w:r>
        <w:rPr>
          <w:rFonts w:cstheme="minorHAnsi"/>
        </w:rPr>
        <w:t>,</w:t>
      </w:r>
      <w:r w:rsidR="00DD3578">
        <w:rPr>
          <w:rFonts w:cstheme="minorHAnsi"/>
        </w:rPr>
        <w:t xml:space="preserve"> and math</w:t>
      </w:r>
      <w:r w:rsidR="00C96727">
        <w:rPr>
          <w:rFonts w:cstheme="minorHAnsi"/>
        </w:rPr>
        <w:t xml:space="preserve">. </w:t>
      </w:r>
    </w:p>
    <w:p w14:paraId="7B5DF47A" w14:textId="527D5600" w:rsidR="00C96727" w:rsidRPr="00850B40" w:rsidRDefault="001F373E" w:rsidP="00FC58CB">
      <w:pPr>
        <w:pStyle w:val="ListParagraph"/>
        <w:numPr>
          <w:ilvl w:val="2"/>
          <w:numId w:val="18"/>
        </w:numPr>
        <w:ind w:left="1080"/>
        <w:contextualSpacing w:val="0"/>
        <w:rPr>
          <w:rFonts w:cstheme="minorHAnsi"/>
        </w:rPr>
      </w:pPr>
      <w:r>
        <w:rPr>
          <w:rFonts w:cstheme="minorHAnsi"/>
        </w:rPr>
        <w:lastRenderedPageBreak/>
        <w:t xml:space="preserve">Teachers run middle- </w:t>
      </w:r>
      <w:r w:rsidR="002D37BD">
        <w:rPr>
          <w:rFonts w:cstheme="minorHAnsi"/>
        </w:rPr>
        <w:t xml:space="preserve">and </w:t>
      </w:r>
      <w:r>
        <w:rPr>
          <w:rFonts w:cstheme="minorHAnsi"/>
        </w:rPr>
        <w:t>high-</w:t>
      </w:r>
      <w:r w:rsidR="002D37BD">
        <w:rPr>
          <w:rFonts w:cstheme="minorHAnsi"/>
        </w:rPr>
        <w:t>school PLC</w:t>
      </w:r>
      <w:r w:rsidR="00C96727" w:rsidRPr="00850B40">
        <w:rPr>
          <w:rFonts w:cstheme="minorHAnsi"/>
        </w:rPr>
        <w:t xml:space="preserve">s. </w:t>
      </w:r>
      <w:r>
        <w:rPr>
          <w:rFonts w:cstheme="minorHAnsi"/>
        </w:rPr>
        <w:t>An administrator said that w</w:t>
      </w:r>
      <w:r w:rsidRPr="00850B40">
        <w:rPr>
          <w:rFonts w:cstheme="minorHAnsi"/>
        </w:rPr>
        <w:t xml:space="preserve">hile </w:t>
      </w:r>
      <w:r w:rsidR="00C96727" w:rsidRPr="00850B40">
        <w:rPr>
          <w:rFonts w:cstheme="minorHAnsi"/>
        </w:rPr>
        <w:t>middle</w:t>
      </w:r>
      <w:r>
        <w:rPr>
          <w:rFonts w:cstheme="minorHAnsi"/>
        </w:rPr>
        <w:t>-</w:t>
      </w:r>
      <w:r w:rsidR="00C96727" w:rsidRPr="00850B40">
        <w:rPr>
          <w:rFonts w:cstheme="minorHAnsi"/>
        </w:rPr>
        <w:t xml:space="preserve">school teachers </w:t>
      </w:r>
      <w:r w:rsidR="0060278C">
        <w:rPr>
          <w:rFonts w:cstheme="minorHAnsi"/>
        </w:rPr>
        <w:t xml:space="preserve">were </w:t>
      </w:r>
      <w:r w:rsidR="002D37BD">
        <w:rPr>
          <w:rFonts w:cstheme="minorHAnsi"/>
        </w:rPr>
        <w:t>accustomed to the PLC concept</w:t>
      </w:r>
      <w:r w:rsidR="00C96727" w:rsidRPr="00850B40">
        <w:rPr>
          <w:rFonts w:cstheme="minorHAnsi"/>
        </w:rPr>
        <w:t xml:space="preserve"> because </w:t>
      </w:r>
      <w:r w:rsidR="00C96727">
        <w:rPr>
          <w:rFonts w:cstheme="minorHAnsi"/>
        </w:rPr>
        <w:t>of the</w:t>
      </w:r>
      <w:r w:rsidR="002D37BD">
        <w:rPr>
          <w:rFonts w:cstheme="minorHAnsi"/>
        </w:rPr>
        <w:t>ir</w:t>
      </w:r>
      <w:r w:rsidR="00C96727" w:rsidRPr="00850B40">
        <w:rPr>
          <w:rFonts w:cstheme="minorHAnsi"/>
        </w:rPr>
        <w:t xml:space="preserve"> </w:t>
      </w:r>
      <w:r>
        <w:rPr>
          <w:rFonts w:cstheme="minorHAnsi"/>
        </w:rPr>
        <w:t xml:space="preserve">established </w:t>
      </w:r>
      <w:r w:rsidR="00C96727" w:rsidRPr="00850B40">
        <w:rPr>
          <w:rFonts w:cstheme="minorHAnsi"/>
        </w:rPr>
        <w:t>team meeting</w:t>
      </w:r>
      <w:r w:rsidR="002D37BD">
        <w:rPr>
          <w:rFonts w:cstheme="minorHAnsi"/>
        </w:rPr>
        <w:t xml:space="preserve"> model, </w:t>
      </w:r>
      <w:r w:rsidRPr="00850B40">
        <w:rPr>
          <w:rFonts w:cstheme="minorHAnsi"/>
        </w:rPr>
        <w:t>high</w:t>
      </w:r>
      <w:r>
        <w:rPr>
          <w:rFonts w:cstheme="minorHAnsi"/>
        </w:rPr>
        <w:t>-</w:t>
      </w:r>
      <w:r w:rsidR="00C96727" w:rsidRPr="00850B40">
        <w:rPr>
          <w:rFonts w:cstheme="minorHAnsi"/>
        </w:rPr>
        <w:t xml:space="preserve">school groups are getting accustomed to discussing curriculum and student data. Another administrator </w:t>
      </w:r>
      <w:r>
        <w:rPr>
          <w:rFonts w:cstheme="minorHAnsi"/>
        </w:rPr>
        <w:t>stated</w:t>
      </w:r>
      <w:r w:rsidRPr="00850B40">
        <w:rPr>
          <w:rFonts w:cstheme="minorHAnsi"/>
        </w:rPr>
        <w:t xml:space="preserve"> </w:t>
      </w:r>
      <w:r w:rsidR="00C96727" w:rsidRPr="00850B40">
        <w:rPr>
          <w:rFonts w:cstheme="minorHAnsi"/>
        </w:rPr>
        <w:t xml:space="preserve">that because </w:t>
      </w:r>
      <w:r w:rsidRPr="00850B40">
        <w:rPr>
          <w:rFonts w:cstheme="minorHAnsi"/>
        </w:rPr>
        <w:t>high</w:t>
      </w:r>
      <w:r>
        <w:rPr>
          <w:rFonts w:cstheme="minorHAnsi"/>
        </w:rPr>
        <w:t>-</w:t>
      </w:r>
      <w:r w:rsidR="00C96727" w:rsidRPr="00850B40">
        <w:rPr>
          <w:rFonts w:cstheme="minorHAnsi"/>
        </w:rPr>
        <w:t xml:space="preserve">school teachers </w:t>
      </w:r>
      <w:r>
        <w:rPr>
          <w:rFonts w:cstheme="minorHAnsi"/>
        </w:rPr>
        <w:t>gave</w:t>
      </w:r>
      <w:r w:rsidRPr="00850B40">
        <w:rPr>
          <w:rFonts w:cstheme="minorHAnsi"/>
        </w:rPr>
        <w:t xml:space="preserve"> </w:t>
      </w:r>
      <w:r w:rsidR="00C96727" w:rsidRPr="00850B40">
        <w:rPr>
          <w:rFonts w:cstheme="minorHAnsi"/>
        </w:rPr>
        <w:t xml:space="preserve">common assessments they </w:t>
      </w:r>
      <w:r>
        <w:rPr>
          <w:rFonts w:cstheme="minorHAnsi"/>
        </w:rPr>
        <w:t>were</w:t>
      </w:r>
      <w:r w:rsidRPr="00850B40">
        <w:rPr>
          <w:rFonts w:cstheme="minorHAnsi"/>
        </w:rPr>
        <w:t xml:space="preserve"> </w:t>
      </w:r>
      <w:r w:rsidR="00C96727">
        <w:rPr>
          <w:rFonts w:cstheme="minorHAnsi"/>
        </w:rPr>
        <w:t xml:space="preserve">well </w:t>
      </w:r>
      <w:r w:rsidR="00C96727" w:rsidRPr="00850B40">
        <w:rPr>
          <w:rFonts w:cstheme="minorHAnsi"/>
        </w:rPr>
        <w:t>versed at looking at benchmark</w:t>
      </w:r>
      <w:r w:rsidR="00F205CC">
        <w:rPr>
          <w:rFonts w:cstheme="minorHAnsi"/>
        </w:rPr>
        <w:t xml:space="preserve"> data </w:t>
      </w:r>
      <w:r w:rsidR="00C96727" w:rsidRPr="00850B40">
        <w:rPr>
          <w:rFonts w:cstheme="minorHAnsi"/>
        </w:rPr>
        <w:t>but they need</w:t>
      </w:r>
      <w:r w:rsidR="00F205CC">
        <w:rPr>
          <w:rFonts w:cstheme="minorHAnsi"/>
        </w:rPr>
        <w:t>ed</w:t>
      </w:r>
      <w:r w:rsidR="00C96727" w:rsidRPr="00850B40">
        <w:rPr>
          <w:rFonts w:cstheme="minorHAnsi"/>
        </w:rPr>
        <w:t xml:space="preserve"> to</w:t>
      </w:r>
      <w:r w:rsidR="00C96727">
        <w:rPr>
          <w:rFonts w:cstheme="minorHAnsi"/>
        </w:rPr>
        <w:t xml:space="preserve"> learn to</w:t>
      </w:r>
      <w:r w:rsidR="00C96727" w:rsidRPr="00850B40">
        <w:rPr>
          <w:rFonts w:cstheme="minorHAnsi"/>
        </w:rPr>
        <w:t xml:space="preserve"> </w:t>
      </w:r>
      <w:r w:rsidR="00C96727">
        <w:rPr>
          <w:rFonts w:cstheme="minorHAnsi"/>
        </w:rPr>
        <w:t>use</w:t>
      </w:r>
      <w:r w:rsidR="00C96727" w:rsidRPr="00850B40">
        <w:rPr>
          <w:rFonts w:cstheme="minorHAnsi"/>
        </w:rPr>
        <w:t xml:space="preserve"> </w:t>
      </w:r>
      <w:r w:rsidR="00B05267">
        <w:rPr>
          <w:rFonts w:cstheme="minorHAnsi"/>
        </w:rPr>
        <w:t>other forms of</w:t>
      </w:r>
      <w:r w:rsidR="00B05267" w:rsidRPr="00850B40">
        <w:rPr>
          <w:rFonts w:cstheme="minorHAnsi"/>
        </w:rPr>
        <w:t xml:space="preserve"> </w:t>
      </w:r>
      <w:r w:rsidR="00C96727" w:rsidRPr="00850B40">
        <w:rPr>
          <w:rFonts w:cstheme="minorHAnsi"/>
        </w:rPr>
        <w:t>data</w:t>
      </w:r>
      <w:r w:rsidR="00B05267">
        <w:rPr>
          <w:rFonts w:cstheme="minorHAnsi"/>
        </w:rPr>
        <w:t xml:space="preserve"> as well</w:t>
      </w:r>
      <w:r w:rsidR="00C96727" w:rsidRPr="00850B40">
        <w:rPr>
          <w:rFonts w:cstheme="minorHAnsi"/>
        </w:rPr>
        <w:t>.</w:t>
      </w:r>
    </w:p>
    <w:p w14:paraId="5FE004CF" w14:textId="7183E086" w:rsidR="00C96727" w:rsidRPr="00CA34E5" w:rsidRDefault="002D37BD" w:rsidP="00FC58CB">
      <w:pPr>
        <w:pStyle w:val="ListParagraph"/>
        <w:numPr>
          <w:ilvl w:val="2"/>
          <w:numId w:val="18"/>
        </w:numPr>
        <w:ind w:left="1080"/>
        <w:contextualSpacing w:val="0"/>
        <w:rPr>
          <w:rFonts w:cstheme="minorHAnsi"/>
        </w:rPr>
      </w:pPr>
      <w:r>
        <w:rPr>
          <w:rFonts w:cstheme="minorHAnsi"/>
        </w:rPr>
        <w:t>PLC</w:t>
      </w:r>
      <w:r w:rsidR="004A12D2">
        <w:rPr>
          <w:rFonts w:cstheme="minorHAnsi"/>
        </w:rPr>
        <w:t xml:space="preserve">s </w:t>
      </w:r>
      <w:r w:rsidR="0060278C">
        <w:rPr>
          <w:rFonts w:cstheme="minorHAnsi"/>
        </w:rPr>
        <w:t>provide</w:t>
      </w:r>
      <w:r w:rsidR="00C96727" w:rsidRPr="001B4B3D">
        <w:rPr>
          <w:rFonts w:cstheme="minorHAnsi"/>
        </w:rPr>
        <w:t xml:space="preserve"> the curriculum coo</w:t>
      </w:r>
      <w:r w:rsidR="00374847">
        <w:rPr>
          <w:rFonts w:cstheme="minorHAnsi"/>
        </w:rPr>
        <w:t xml:space="preserve">rdinators and content coaches </w:t>
      </w:r>
      <w:r w:rsidR="0060278C">
        <w:rPr>
          <w:rFonts w:cstheme="minorHAnsi"/>
        </w:rPr>
        <w:t xml:space="preserve">with </w:t>
      </w:r>
      <w:r w:rsidR="00374847">
        <w:rPr>
          <w:rFonts w:cstheme="minorHAnsi"/>
        </w:rPr>
        <w:t>opportunities to</w:t>
      </w:r>
      <w:r w:rsidR="004A12D2">
        <w:rPr>
          <w:rFonts w:cstheme="minorHAnsi"/>
        </w:rPr>
        <w:t xml:space="preserve"> monitor student performance</w:t>
      </w:r>
      <w:r w:rsidR="009B76D5">
        <w:rPr>
          <w:rFonts w:cstheme="minorHAnsi"/>
        </w:rPr>
        <w:t xml:space="preserve"> by group</w:t>
      </w:r>
      <w:r w:rsidR="004A12D2">
        <w:rPr>
          <w:rFonts w:cstheme="minorHAnsi"/>
        </w:rPr>
        <w:t xml:space="preserve"> and </w:t>
      </w:r>
      <w:r w:rsidR="0060278C">
        <w:rPr>
          <w:rFonts w:cstheme="minorHAnsi"/>
        </w:rPr>
        <w:t xml:space="preserve">to </w:t>
      </w:r>
      <w:r w:rsidR="004A12D2">
        <w:rPr>
          <w:rFonts w:cstheme="minorHAnsi"/>
        </w:rPr>
        <w:t>check for curricular gaps</w:t>
      </w:r>
      <w:r w:rsidR="00C96727" w:rsidRPr="00CA34E5">
        <w:rPr>
          <w:rFonts w:cstheme="minorHAnsi"/>
        </w:rPr>
        <w:t>.</w:t>
      </w:r>
    </w:p>
    <w:p w14:paraId="231A965E" w14:textId="283DB9A7" w:rsidR="00C96727" w:rsidRPr="001B4B3D" w:rsidRDefault="00374847" w:rsidP="00FC58CB">
      <w:pPr>
        <w:pStyle w:val="ListParagraph"/>
        <w:numPr>
          <w:ilvl w:val="0"/>
          <w:numId w:val="18"/>
        </w:numPr>
        <w:ind w:left="806"/>
        <w:contextualSpacing w:val="0"/>
        <w:rPr>
          <w:rFonts w:eastAsia="PMingLiU" w:cstheme="minorHAnsi"/>
          <w:lang w:eastAsia="zh-TW"/>
        </w:rPr>
      </w:pPr>
      <w:r>
        <w:rPr>
          <w:rFonts w:eastAsia="PMingLiU" w:cstheme="minorHAnsi"/>
          <w:lang w:eastAsia="zh-TW"/>
        </w:rPr>
        <w:t>In 2017</w:t>
      </w:r>
      <w:r w:rsidR="004272F7">
        <w:rPr>
          <w:rFonts w:eastAsia="PMingLiU" w:cstheme="minorHAnsi"/>
          <w:lang w:eastAsia="zh-TW"/>
        </w:rPr>
        <w:t>–</w:t>
      </w:r>
      <w:r>
        <w:rPr>
          <w:rFonts w:eastAsia="PMingLiU" w:cstheme="minorHAnsi"/>
          <w:lang w:eastAsia="zh-TW"/>
        </w:rPr>
        <w:t>2018</w:t>
      </w:r>
      <w:r w:rsidR="004272F7">
        <w:rPr>
          <w:rFonts w:eastAsia="PMingLiU" w:cstheme="minorHAnsi"/>
          <w:lang w:eastAsia="zh-TW"/>
        </w:rPr>
        <w:t>,</w:t>
      </w:r>
      <w:r>
        <w:rPr>
          <w:rFonts w:eastAsia="PMingLiU" w:cstheme="minorHAnsi"/>
          <w:lang w:eastAsia="zh-TW"/>
        </w:rPr>
        <w:t xml:space="preserve"> t</w:t>
      </w:r>
      <w:r w:rsidR="00BC63B8">
        <w:rPr>
          <w:rFonts w:eastAsia="PMingLiU" w:cstheme="minorHAnsi"/>
          <w:lang w:eastAsia="zh-TW"/>
        </w:rPr>
        <w:t>he</w:t>
      </w:r>
      <w:r w:rsidR="00C96727">
        <w:rPr>
          <w:rFonts w:eastAsia="PMingLiU" w:cstheme="minorHAnsi"/>
          <w:lang w:eastAsia="zh-TW"/>
        </w:rPr>
        <w:t xml:space="preserve"> </w:t>
      </w:r>
      <w:r w:rsidR="00C96727" w:rsidRPr="001B4B3D">
        <w:rPr>
          <w:rFonts w:eastAsia="PMingLiU" w:cstheme="minorHAnsi"/>
          <w:lang w:eastAsia="zh-TW"/>
        </w:rPr>
        <w:t>schools</w:t>
      </w:r>
      <w:r w:rsidR="00C96727">
        <w:rPr>
          <w:rFonts w:eastAsia="PMingLiU" w:cstheme="minorHAnsi"/>
          <w:lang w:eastAsia="zh-TW"/>
        </w:rPr>
        <w:t xml:space="preserve"> </w:t>
      </w:r>
      <w:r>
        <w:rPr>
          <w:rFonts w:eastAsia="PMingLiU" w:cstheme="minorHAnsi"/>
          <w:lang w:eastAsia="zh-TW"/>
        </w:rPr>
        <w:t>implemented</w:t>
      </w:r>
      <w:r w:rsidR="004A12D2">
        <w:rPr>
          <w:rFonts w:eastAsia="PMingLiU" w:cstheme="minorHAnsi"/>
          <w:lang w:eastAsia="zh-TW"/>
        </w:rPr>
        <w:t xml:space="preserve"> </w:t>
      </w:r>
      <w:r w:rsidR="00C96727" w:rsidRPr="00811009">
        <w:rPr>
          <w:rFonts w:eastAsia="PMingLiU" w:cstheme="minorHAnsi"/>
          <w:lang w:eastAsia="zh-TW"/>
        </w:rPr>
        <w:t>data teams</w:t>
      </w:r>
      <w:r>
        <w:rPr>
          <w:rFonts w:eastAsia="PMingLiU" w:cstheme="minorHAnsi"/>
          <w:lang w:eastAsia="zh-TW"/>
        </w:rPr>
        <w:t xml:space="preserve"> </w:t>
      </w:r>
      <w:r w:rsidR="00C96727">
        <w:rPr>
          <w:rFonts w:eastAsia="PMingLiU" w:cstheme="minorHAnsi"/>
          <w:lang w:eastAsia="zh-TW"/>
        </w:rPr>
        <w:t>that</w:t>
      </w:r>
      <w:r w:rsidR="00C96727" w:rsidRPr="001B4B3D">
        <w:rPr>
          <w:rFonts w:eastAsia="PMingLiU" w:cstheme="minorHAnsi"/>
          <w:lang w:eastAsia="zh-TW"/>
        </w:rPr>
        <w:t xml:space="preserve"> monitor student achievement data throughout the year</w:t>
      </w:r>
      <w:r w:rsidR="00C96727">
        <w:rPr>
          <w:rFonts w:eastAsia="PMingLiU" w:cstheme="minorHAnsi"/>
          <w:lang w:eastAsia="zh-TW"/>
        </w:rPr>
        <w:t>.</w:t>
      </w:r>
      <w:r w:rsidR="004A12D2">
        <w:rPr>
          <w:rFonts w:eastAsia="PMingLiU" w:cstheme="minorHAnsi"/>
          <w:lang w:eastAsia="zh-TW"/>
        </w:rPr>
        <w:t xml:space="preserve"> They track</w:t>
      </w:r>
      <w:r w:rsidR="00C96727" w:rsidRPr="001B4B3D">
        <w:rPr>
          <w:rFonts w:eastAsia="PMingLiU" w:cstheme="minorHAnsi"/>
          <w:lang w:eastAsia="zh-TW"/>
        </w:rPr>
        <w:t xml:space="preserve"> individual students’ progress toward goals identified in the </w:t>
      </w:r>
      <w:r w:rsidR="0060278C">
        <w:rPr>
          <w:rFonts w:eastAsia="PMingLiU" w:cstheme="minorHAnsi"/>
          <w:lang w:eastAsia="zh-TW"/>
        </w:rPr>
        <w:t>S</w:t>
      </w:r>
      <w:r w:rsidR="0060278C" w:rsidRPr="001B4B3D">
        <w:rPr>
          <w:rFonts w:eastAsia="PMingLiU" w:cstheme="minorHAnsi"/>
          <w:lang w:eastAsia="zh-TW"/>
        </w:rPr>
        <w:t xml:space="preserve">chool </w:t>
      </w:r>
      <w:r w:rsidR="0060278C">
        <w:rPr>
          <w:rFonts w:eastAsia="PMingLiU" w:cstheme="minorHAnsi"/>
          <w:lang w:eastAsia="zh-TW"/>
        </w:rPr>
        <w:t>I</w:t>
      </w:r>
      <w:r w:rsidR="0060278C" w:rsidRPr="001B4B3D">
        <w:rPr>
          <w:rFonts w:eastAsia="PMingLiU" w:cstheme="minorHAnsi"/>
          <w:lang w:eastAsia="zh-TW"/>
        </w:rPr>
        <w:t xml:space="preserve">mprovement </w:t>
      </w:r>
      <w:r w:rsidR="0060278C">
        <w:rPr>
          <w:rFonts w:eastAsia="PMingLiU" w:cstheme="minorHAnsi"/>
          <w:lang w:eastAsia="zh-TW"/>
        </w:rPr>
        <w:t>P</w:t>
      </w:r>
      <w:r w:rsidR="0060278C" w:rsidRPr="001B4B3D">
        <w:rPr>
          <w:rFonts w:eastAsia="PMingLiU" w:cstheme="minorHAnsi"/>
          <w:lang w:eastAsia="zh-TW"/>
        </w:rPr>
        <w:t xml:space="preserve">lans </w:t>
      </w:r>
      <w:r w:rsidR="00C96727" w:rsidRPr="001B4B3D">
        <w:rPr>
          <w:rFonts w:eastAsia="PMingLiU" w:cstheme="minorHAnsi"/>
          <w:lang w:eastAsia="zh-TW"/>
        </w:rPr>
        <w:t xml:space="preserve">and adjust individual student’s </w:t>
      </w:r>
      <w:r>
        <w:rPr>
          <w:rFonts w:eastAsia="PMingLiU" w:cstheme="minorHAnsi"/>
          <w:lang w:eastAsia="zh-TW"/>
        </w:rPr>
        <w:t xml:space="preserve">intervention or </w:t>
      </w:r>
      <w:r w:rsidR="00C96727" w:rsidRPr="00E452F1">
        <w:rPr>
          <w:rFonts w:eastAsia="PMingLiU" w:cstheme="minorHAnsi"/>
          <w:lang w:eastAsia="zh-TW"/>
        </w:rPr>
        <w:t>enrichment</w:t>
      </w:r>
      <w:r w:rsidR="00C96727" w:rsidRPr="001B4B3D">
        <w:rPr>
          <w:rFonts w:eastAsia="PMingLiU" w:cstheme="minorHAnsi"/>
          <w:lang w:eastAsia="zh-TW"/>
        </w:rPr>
        <w:t xml:space="preserve"> plans</w:t>
      </w:r>
      <w:r w:rsidR="00671D00">
        <w:rPr>
          <w:rFonts w:eastAsia="PMingLiU" w:cstheme="minorHAnsi"/>
          <w:lang w:eastAsia="zh-TW"/>
        </w:rPr>
        <w:t>, as needed</w:t>
      </w:r>
      <w:r w:rsidR="00C96727" w:rsidRPr="001B4B3D">
        <w:rPr>
          <w:rFonts w:eastAsia="PMingLiU" w:cstheme="minorHAnsi"/>
          <w:lang w:eastAsia="zh-TW"/>
        </w:rPr>
        <w:t xml:space="preserve">. </w:t>
      </w:r>
    </w:p>
    <w:p w14:paraId="0A7E5DD7" w14:textId="28DC22C5" w:rsidR="00C96727" w:rsidRPr="001B4B3D" w:rsidRDefault="0060278C" w:rsidP="00FC58CB">
      <w:pPr>
        <w:pStyle w:val="ListParagraph"/>
        <w:numPr>
          <w:ilvl w:val="2"/>
          <w:numId w:val="18"/>
        </w:numPr>
        <w:ind w:left="1080"/>
        <w:contextualSpacing w:val="0"/>
        <w:rPr>
          <w:rFonts w:eastAsia="PMingLiU" w:cstheme="minorHAnsi"/>
          <w:lang w:eastAsia="zh-TW"/>
        </w:rPr>
      </w:pPr>
      <w:r>
        <w:rPr>
          <w:rFonts w:eastAsia="PMingLiU" w:cstheme="minorHAnsi"/>
          <w:lang w:eastAsia="zh-TW"/>
        </w:rPr>
        <w:t>D</w:t>
      </w:r>
      <w:r w:rsidR="00BC63B8">
        <w:rPr>
          <w:rFonts w:eastAsia="PMingLiU" w:cstheme="minorHAnsi"/>
          <w:lang w:eastAsia="zh-TW"/>
        </w:rPr>
        <w:t>ata teams meet three</w:t>
      </w:r>
      <w:r w:rsidR="00C96727">
        <w:rPr>
          <w:rFonts w:eastAsia="PMingLiU" w:cstheme="minorHAnsi"/>
          <w:lang w:eastAsia="zh-TW"/>
        </w:rPr>
        <w:t xml:space="preserve"> </w:t>
      </w:r>
      <w:r w:rsidR="00BC63B8">
        <w:rPr>
          <w:rFonts w:eastAsia="PMingLiU" w:cstheme="minorHAnsi"/>
          <w:lang w:eastAsia="zh-TW"/>
        </w:rPr>
        <w:t>times each</w:t>
      </w:r>
      <w:r w:rsidR="00C96727" w:rsidRPr="001B4B3D">
        <w:rPr>
          <w:rFonts w:eastAsia="PMingLiU" w:cstheme="minorHAnsi"/>
          <w:lang w:eastAsia="zh-TW"/>
        </w:rPr>
        <w:t xml:space="preserve"> year</w:t>
      </w:r>
      <w:r w:rsidR="004A12D2">
        <w:rPr>
          <w:rFonts w:eastAsia="PMingLiU" w:cstheme="minorHAnsi"/>
          <w:lang w:eastAsia="zh-TW"/>
        </w:rPr>
        <w:t xml:space="preserve"> to analyze</w:t>
      </w:r>
      <w:r w:rsidR="00C96727">
        <w:rPr>
          <w:rFonts w:eastAsia="PMingLiU" w:cstheme="minorHAnsi"/>
          <w:lang w:eastAsia="zh-TW"/>
        </w:rPr>
        <w:t xml:space="preserve"> benchmarking tests</w:t>
      </w:r>
      <w:r>
        <w:rPr>
          <w:rFonts w:eastAsia="PMingLiU" w:cstheme="minorHAnsi"/>
          <w:lang w:eastAsia="zh-TW"/>
        </w:rPr>
        <w:t xml:space="preserve"> results</w:t>
      </w:r>
      <w:r w:rsidR="00C96727" w:rsidRPr="001B4B3D">
        <w:rPr>
          <w:rFonts w:eastAsia="PMingLiU" w:cstheme="minorHAnsi"/>
          <w:lang w:eastAsia="zh-TW"/>
        </w:rPr>
        <w:t xml:space="preserve">. Each team consists of the principal, </w:t>
      </w:r>
      <w:r w:rsidRPr="001B4B3D">
        <w:rPr>
          <w:rFonts w:eastAsia="PMingLiU" w:cstheme="minorHAnsi"/>
          <w:lang w:eastAsia="zh-TW"/>
        </w:rPr>
        <w:t>grade</w:t>
      </w:r>
      <w:r>
        <w:rPr>
          <w:rFonts w:eastAsia="PMingLiU" w:cstheme="minorHAnsi"/>
          <w:lang w:eastAsia="zh-TW"/>
        </w:rPr>
        <w:t>-</w:t>
      </w:r>
      <w:r w:rsidR="00C96727" w:rsidRPr="001B4B3D">
        <w:rPr>
          <w:rFonts w:eastAsia="PMingLiU" w:cstheme="minorHAnsi"/>
          <w:lang w:eastAsia="zh-TW"/>
        </w:rPr>
        <w:t>level tea</w:t>
      </w:r>
      <w:r w:rsidR="00C96727">
        <w:rPr>
          <w:rFonts w:eastAsia="PMingLiU" w:cstheme="minorHAnsi"/>
          <w:lang w:eastAsia="zh-TW"/>
        </w:rPr>
        <w:t>chers</w:t>
      </w:r>
      <w:r w:rsidR="00C96727" w:rsidRPr="001B4B3D">
        <w:rPr>
          <w:rFonts w:eastAsia="PMingLiU" w:cstheme="minorHAnsi"/>
          <w:lang w:eastAsia="zh-TW"/>
        </w:rPr>
        <w:t xml:space="preserve">, academic coaches, reading specialists and interventionists, </w:t>
      </w:r>
      <w:r>
        <w:rPr>
          <w:rFonts w:eastAsia="PMingLiU" w:cstheme="minorHAnsi"/>
          <w:lang w:eastAsia="zh-TW"/>
        </w:rPr>
        <w:t xml:space="preserve">teachers of students with </w:t>
      </w:r>
      <w:r w:rsidR="00C96727" w:rsidRPr="001B4B3D">
        <w:rPr>
          <w:rFonts w:eastAsia="PMingLiU" w:cstheme="minorHAnsi"/>
          <w:lang w:eastAsia="zh-TW"/>
        </w:rPr>
        <w:t xml:space="preserve">moderate special needs, speech and language teachers, and the </w:t>
      </w:r>
      <w:r w:rsidR="00C96727" w:rsidRPr="00C62EA4">
        <w:rPr>
          <w:rFonts w:eastAsia="PMingLiU" w:cstheme="minorHAnsi"/>
          <w:lang w:eastAsia="zh-TW"/>
        </w:rPr>
        <w:t>school psychologist</w:t>
      </w:r>
      <w:r>
        <w:rPr>
          <w:rFonts w:eastAsia="PMingLiU" w:cstheme="minorHAnsi"/>
          <w:lang w:eastAsia="zh-TW"/>
        </w:rPr>
        <w:t>.</w:t>
      </w:r>
    </w:p>
    <w:p w14:paraId="449EF725" w14:textId="08DA48B9" w:rsidR="00671D00" w:rsidRPr="00671D00" w:rsidRDefault="00C96727" w:rsidP="00FC58CB">
      <w:pPr>
        <w:pStyle w:val="ListParagraph"/>
        <w:numPr>
          <w:ilvl w:val="2"/>
          <w:numId w:val="18"/>
        </w:numPr>
        <w:ind w:left="1080"/>
        <w:contextualSpacing w:val="0"/>
        <w:rPr>
          <w:rFonts w:eastAsia="PMingLiU" w:cstheme="minorHAnsi"/>
          <w:sz w:val="28"/>
          <w:szCs w:val="28"/>
          <w:lang w:eastAsia="zh-TW"/>
        </w:rPr>
      </w:pPr>
      <w:r w:rsidRPr="001B4B3D">
        <w:rPr>
          <w:rFonts w:eastAsia="PMingLiU" w:cstheme="minorHAnsi"/>
          <w:lang w:eastAsia="zh-TW"/>
        </w:rPr>
        <w:t xml:space="preserve">The data teams </w:t>
      </w:r>
      <w:r>
        <w:rPr>
          <w:rFonts w:eastAsia="PMingLiU" w:cstheme="minorHAnsi"/>
          <w:lang w:eastAsia="zh-TW"/>
        </w:rPr>
        <w:t>study</w:t>
      </w:r>
      <w:r w:rsidRPr="001B4B3D">
        <w:rPr>
          <w:rFonts w:eastAsia="PMingLiU" w:cstheme="minorHAnsi"/>
          <w:lang w:eastAsia="zh-TW"/>
        </w:rPr>
        <w:t xml:space="preserve"> benchmark </w:t>
      </w:r>
      <w:r>
        <w:rPr>
          <w:rFonts w:eastAsia="PMingLiU" w:cstheme="minorHAnsi"/>
          <w:lang w:eastAsia="zh-TW"/>
        </w:rPr>
        <w:t xml:space="preserve">assessment </w:t>
      </w:r>
      <w:r w:rsidR="00495AD0">
        <w:rPr>
          <w:rFonts w:eastAsia="PMingLiU" w:cstheme="minorHAnsi"/>
          <w:lang w:eastAsia="zh-TW"/>
        </w:rPr>
        <w:t xml:space="preserve">data </w:t>
      </w:r>
      <w:r w:rsidRPr="001B4B3D">
        <w:rPr>
          <w:rFonts w:eastAsia="PMingLiU" w:cstheme="minorHAnsi"/>
          <w:lang w:eastAsia="zh-TW"/>
        </w:rPr>
        <w:t>for every student in their grade (Aimsweb, Benchmark Assessment System, iReady for math</w:t>
      </w:r>
      <w:r w:rsidR="00495AD0">
        <w:rPr>
          <w:rFonts w:eastAsia="PMingLiU" w:cstheme="minorHAnsi"/>
          <w:lang w:eastAsia="zh-TW"/>
        </w:rPr>
        <w:t>,</w:t>
      </w:r>
      <w:r w:rsidRPr="001B4B3D">
        <w:rPr>
          <w:rFonts w:eastAsia="PMingLiU" w:cstheme="minorHAnsi"/>
          <w:lang w:eastAsia="zh-TW"/>
        </w:rPr>
        <w:t xml:space="preserve"> and MCAS in appropriate grades).</w:t>
      </w:r>
      <w:r w:rsidR="002D37BD">
        <w:rPr>
          <w:rFonts w:eastAsia="PMingLiU" w:cstheme="minorHAnsi"/>
          <w:lang w:eastAsia="zh-TW"/>
        </w:rPr>
        <w:t xml:space="preserve"> </w:t>
      </w:r>
      <w:r w:rsidRPr="001B4B3D">
        <w:rPr>
          <w:rFonts w:eastAsia="PMingLiU" w:cstheme="minorHAnsi"/>
          <w:lang w:eastAsia="zh-TW"/>
        </w:rPr>
        <w:t xml:space="preserve">The data team identifies </w:t>
      </w:r>
      <w:r w:rsidR="002D37BD">
        <w:rPr>
          <w:rFonts w:eastAsia="PMingLiU" w:cstheme="minorHAnsi"/>
          <w:lang w:eastAsia="zh-TW"/>
        </w:rPr>
        <w:t>whether</w:t>
      </w:r>
      <w:r>
        <w:rPr>
          <w:rFonts w:eastAsia="PMingLiU" w:cstheme="minorHAnsi"/>
          <w:lang w:eastAsia="zh-TW"/>
        </w:rPr>
        <w:t xml:space="preserve"> pupils need</w:t>
      </w:r>
      <w:r w:rsidRPr="001B4B3D">
        <w:rPr>
          <w:rFonts w:eastAsia="PMingLiU" w:cstheme="minorHAnsi"/>
          <w:lang w:eastAsia="zh-TW"/>
        </w:rPr>
        <w:t xml:space="preserve"> intervention (or enrichment)</w:t>
      </w:r>
      <w:r>
        <w:rPr>
          <w:rFonts w:eastAsia="PMingLiU" w:cstheme="minorHAnsi"/>
          <w:lang w:eastAsia="zh-TW"/>
        </w:rPr>
        <w:t xml:space="preserve"> in literacy or math</w:t>
      </w:r>
      <w:r w:rsidR="00495AD0">
        <w:rPr>
          <w:rFonts w:eastAsia="PMingLiU" w:cstheme="minorHAnsi"/>
          <w:lang w:eastAsia="zh-TW"/>
        </w:rPr>
        <w:t>.</w:t>
      </w:r>
      <w:r w:rsidR="00495AD0" w:rsidRPr="001B4B3D">
        <w:rPr>
          <w:rFonts w:eastAsia="PMingLiU" w:cstheme="minorHAnsi"/>
          <w:lang w:eastAsia="zh-TW"/>
        </w:rPr>
        <w:t xml:space="preserve"> </w:t>
      </w:r>
    </w:p>
    <w:p w14:paraId="11AF18DD" w14:textId="28547011" w:rsidR="00C96727" w:rsidRPr="00260101" w:rsidRDefault="00671D00" w:rsidP="00671D00">
      <w:pPr>
        <w:pStyle w:val="ListParagraph"/>
        <w:ind w:left="1530" w:hanging="450"/>
        <w:contextualSpacing w:val="0"/>
        <w:rPr>
          <w:rFonts w:eastAsia="PMingLiU" w:cstheme="minorHAnsi"/>
          <w:sz w:val="28"/>
          <w:szCs w:val="28"/>
          <w:lang w:eastAsia="zh-TW"/>
        </w:rPr>
      </w:pPr>
      <w:r>
        <w:rPr>
          <w:rFonts w:eastAsia="PMingLiU" w:cstheme="minorHAnsi"/>
          <w:lang w:eastAsia="zh-TW"/>
        </w:rPr>
        <w:t>a.</w:t>
      </w:r>
      <w:r>
        <w:rPr>
          <w:rFonts w:eastAsia="PMingLiU" w:cstheme="minorHAnsi"/>
          <w:lang w:eastAsia="zh-TW"/>
        </w:rPr>
        <w:tab/>
      </w:r>
      <w:r w:rsidR="00495AD0">
        <w:rPr>
          <w:rFonts w:eastAsia="PMingLiU" w:cstheme="minorHAnsi"/>
          <w:lang w:eastAsia="zh-TW"/>
        </w:rPr>
        <w:t>S</w:t>
      </w:r>
      <w:r w:rsidR="00C96727" w:rsidRPr="001B4B3D">
        <w:rPr>
          <w:rFonts w:eastAsia="PMingLiU" w:cstheme="minorHAnsi"/>
          <w:lang w:eastAsia="zh-TW"/>
        </w:rPr>
        <w:t>tudent</w:t>
      </w:r>
      <w:r w:rsidR="00495AD0">
        <w:rPr>
          <w:rFonts w:eastAsia="PMingLiU" w:cstheme="minorHAnsi"/>
          <w:lang w:eastAsia="zh-TW"/>
        </w:rPr>
        <w:t>s</w:t>
      </w:r>
      <w:r w:rsidR="00C96727" w:rsidRPr="001B4B3D">
        <w:rPr>
          <w:rFonts w:eastAsia="PMingLiU" w:cstheme="minorHAnsi"/>
          <w:lang w:eastAsia="zh-TW"/>
        </w:rPr>
        <w:t xml:space="preserve"> </w:t>
      </w:r>
      <w:r w:rsidR="002D37BD">
        <w:rPr>
          <w:rFonts w:eastAsia="PMingLiU" w:cstheme="minorHAnsi"/>
          <w:lang w:eastAsia="zh-TW"/>
        </w:rPr>
        <w:t>may be</w:t>
      </w:r>
      <w:r w:rsidR="00C96727" w:rsidRPr="001B4B3D">
        <w:rPr>
          <w:rFonts w:eastAsia="PMingLiU" w:cstheme="minorHAnsi"/>
          <w:lang w:eastAsia="zh-TW"/>
        </w:rPr>
        <w:t xml:space="preserve"> placed in an </w:t>
      </w:r>
      <w:r w:rsidR="004272F7">
        <w:rPr>
          <w:rFonts w:eastAsia="PMingLiU" w:cstheme="minorHAnsi"/>
          <w:lang w:eastAsia="zh-TW"/>
        </w:rPr>
        <w:t>eight</w:t>
      </w:r>
      <w:r w:rsidR="00C96727" w:rsidRPr="001B4B3D">
        <w:rPr>
          <w:rFonts w:eastAsia="PMingLiU" w:cstheme="minorHAnsi"/>
          <w:lang w:eastAsia="zh-TW"/>
        </w:rPr>
        <w:t>-week program</w:t>
      </w:r>
      <w:r w:rsidR="00C96727">
        <w:rPr>
          <w:rFonts w:eastAsia="PMingLiU" w:cstheme="minorHAnsi"/>
          <w:lang w:eastAsia="zh-TW"/>
        </w:rPr>
        <w:t>,</w:t>
      </w:r>
      <w:r w:rsidR="00C96727" w:rsidRPr="001B4B3D">
        <w:rPr>
          <w:rFonts w:eastAsia="PMingLiU" w:cstheme="minorHAnsi"/>
          <w:lang w:eastAsia="zh-TW"/>
        </w:rPr>
        <w:t xml:space="preserve"> </w:t>
      </w:r>
      <w:r w:rsidR="00C96727">
        <w:rPr>
          <w:rFonts w:eastAsia="PMingLiU" w:cstheme="minorHAnsi"/>
          <w:lang w:eastAsia="zh-TW"/>
        </w:rPr>
        <w:t>meeting</w:t>
      </w:r>
      <w:r w:rsidR="00C96727" w:rsidRPr="001B4B3D">
        <w:rPr>
          <w:rFonts w:eastAsia="PMingLiU" w:cstheme="minorHAnsi"/>
          <w:lang w:eastAsia="zh-TW"/>
        </w:rPr>
        <w:t xml:space="preserve"> </w:t>
      </w:r>
      <w:r w:rsidR="004272F7">
        <w:rPr>
          <w:rFonts w:eastAsia="PMingLiU" w:cstheme="minorHAnsi"/>
          <w:lang w:eastAsia="zh-TW"/>
        </w:rPr>
        <w:t xml:space="preserve">four </w:t>
      </w:r>
      <w:r w:rsidR="002D37BD">
        <w:rPr>
          <w:rFonts w:eastAsia="PMingLiU" w:cstheme="minorHAnsi"/>
          <w:lang w:eastAsia="zh-TW"/>
        </w:rPr>
        <w:t xml:space="preserve">times each </w:t>
      </w:r>
      <w:r w:rsidR="00C96727">
        <w:rPr>
          <w:rFonts w:eastAsia="PMingLiU" w:cstheme="minorHAnsi"/>
          <w:lang w:eastAsia="zh-TW"/>
        </w:rPr>
        <w:t>cycle</w:t>
      </w:r>
      <w:r w:rsidR="00C96727" w:rsidRPr="001B4B3D">
        <w:rPr>
          <w:rFonts w:eastAsia="PMingLiU" w:cstheme="minorHAnsi"/>
          <w:lang w:eastAsia="zh-TW"/>
        </w:rPr>
        <w:t>.</w:t>
      </w:r>
      <w:r w:rsidR="00C96727">
        <w:rPr>
          <w:rFonts w:eastAsia="PMingLiU" w:cstheme="minorHAnsi"/>
          <w:lang w:eastAsia="zh-TW"/>
        </w:rPr>
        <w:t xml:space="preserve"> K</w:t>
      </w:r>
      <w:r w:rsidR="004272F7">
        <w:rPr>
          <w:rFonts w:eastAsia="PMingLiU" w:cstheme="minorHAnsi"/>
          <w:lang w:eastAsia="zh-TW"/>
        </w:rPr>
        <w:t>–</w:t>
      </w:r>
      <w:r w:rsidR="00C96727">
        <w:rPr>
          <w:rFonts w:eastAsia="PMingLiU" w:cstheme="minorHAnsi"/>
          <w:lang w:eastAsia="zh-TW"/>
        </w:rPr>
        <w:t>4, this program is called WIN (What I Need</w:t>
      </w:r>
      <w:r w:rsidR="004272F7">
        <w:rPr>
          <w:rFonts w:eastAsia="PMingLiU" w:cstheme="minorHAnsi"/>
          <w:lang w:eastAsia="zh-TW"/>
        </w:rPr>
        <w:t xml:space="preserve">); </w:t>
      </w:r>
      <w:r w:rsidR="00C96727">
        <w:rPr>
          <w:rFonts w:eastAsia="PMingLiU" w:cstheme="minorHAnsi"/>
          <w:lang w:eastAsia="zh-TW"/>
        </w:rPr>
        <w:t xml:space="preserve">in </w:t>
      </w:r>
      <w:r w:rsidR="002D37BD">
        <w:rPr>
          <w:rFonts w:eastAsia="PMingLiU" w:cstheme="minorHAnsi"/>
          <w:lang w:eastAsia="zh-TW"/>
        </w:rPr>
        <w:t xml:space="preserve">grades </w:t>
      </w:r>
      <w:r w:rsidR="00C96727">
        <w:rPr>
          <w:rFonts w:eastAsia="PMingLiU" w:cstheme="minorHAnsi"/>
          <w:lang w:eastAsia="zh-TW"/>
        </w:rPr>
        <w:t>5</w:t>
      </w:r>
      <w:r w:rsidR="004272F7">
        <w:rPr>
          <w:rFonts w:eastAsia="PMingLiU" w:cstheme="minorHAnsi"/>
          <w:lang w:eastAsia="zh-TW"/>
        </w:rPr>
        <w:t>–</w:t>
      </w:r>
      <w:r w:rsidR="00C96727">
        <w:rPr>
          <w:rFonts w:eastAsia="PMingLiU" w:cstheme="minorHAnsi"/>
          <w:lang w:eastAsia="zh-TW"/>
        </w:rPr>
        <w:t xml:space="preserve">8, </w:t>
      </w:r>
      <w:r w:rsidR="00495AD0">
        <w:rPr>
          <w:rFonts w:eastAsia="PMingLiU" w:cstheme="minorHAnsi"/>
          <w:lang w:eastAsia="zh-TW"/>
        </w:rPr>
        <w:t xml:space="preserve">the program </w:t>
      </w:r>
      <w:r w:rsidR="00C96727">
        <w:rPr>
          <w:rFonts w:eastAsia="PMingLiU" w:cstheme="minorHAnsi"/>
          <w:lang w:eastAsia="zh-TW"/>
        </w:rPr>
        <w:t xml:space="preserve">is called the ICE Block (I Can Excel Block). In high school, benchmarking is used to determine </w:t>
      </w:r>
      <w:r w:rsidR="00495AD0">
        <w:rPr>
          <w:rFonts w:eastAsia="PMingLiU" w:cstheme="minorHAnsi"/>
          <w:lang w:eastAsia="zh-TW"/>
        </w:rPr>
        <w:t xml:space="preserve">whether </w:t>
      </w:r>
      <w:r w:rsidR="00C96727">
        <w:rPr>
          <w:rFonts w:eastAsia="PMingLiU" w:cstheme="minorHAnsi"/>
          <w:lang w:eastAsia="zh-TW"/>
        </w:rPr>
        <w:t xml:space="preserve">students are scheduled for the </w:t>
      </w:r>
      <w:r w:rsidR="00B8491C">
        <w:rPr>
          <w:rFonts w:eastAsia="PMingLiU" w:cstheme="minorHAnsi"/>
          <w:lang w:eastAsia="zh-TW"/>
        </w:rPr>
        <w:t xml:space="preserve">Academic </w:t>
      </w:r>
      <w:r w:rsidR="00C96727">
        <w:rPr>
          <w:rFonts w:eastAsia="PMingLiU" w:cstheme="minorHAnsi"/>
          <w:lang w:eastAsia="zh-TW"/>
        </w:rPr>
        <w:t xml:space="preserve">Support Center. </w:t>
      </w:r>
    </w:p>
    <w:p w14:paraId="0559868B" w14:textId="14556715" w:rsidR="00C96727" w:rsidRDefault="00C96727" w:rsidP="00C96727">
      <w:pPr>
        <w:tabs>
          <w:tab w:val="left" w:pos="360"/>
          <w:tab w:val="left" w:pos="1080"/>
          <w:tab w:val="left" w:pos="1440"/>
          <w:tab w:val="left" w:pos="1800"/>
          <w:tab w:val="left" w:pos="2160"/>
        </w:tabs>
        <w:rPr>
          <w:rFonts w:cstheme="minorHAnsi"/>
        </w:rPr>
      </w:pPr>
      <w:r w:rsidRPr="0014486A">
        <w:rPr>
          <w:rFonts w:cstheme="minorHAnsi"/>
          <w:b/>
        </w:rPr>
        <w:t>Impact</w:t>
      </w:r>
      <w:r w:rsidRPr="0014486A">
        <w:rPr>
          <w:rFonts w:cstheme="minorHAnsi"/>
        </w:rPr>
        <w:t xml:space="preserve">: </w:t>
      </w:r>
      <w:r w:rsidR="00A2273D">
        <w:rPr>
          <w:rFonts w:cstheme="minorHAnsi"/>
        </w:rPr>
        <w:t xml:space="preserve">By developing practices and structures to assess </w:t>
      </w:r>
      <w:r w:rsidR="000A42B3">
        <w:rPr>
          <w:rFonts w:cstheme="minorHAnsi"/>
        </w:rPr>
        <w:t xml:space="preserve">individual </w:t>
      </w:r>
      <w:r w:rsidR="00A2273D">
        <w:rPr>
          <w:rFonts w:cstheme="minorHAnsi"/>
        </w:rPr>
        <w:t>student</w:t>
      </w:r>
      <w:r w:rsidR="000A42B3">
        <w:rPr>
          <w:rFonts w:cstheme="minorHAnsi"/>
        </w:rPr>
        <w:t>s’</w:t>
      </w:r>
      <w:r w:rsidR="00A2273D">
        <w:rPr>
          <w:rFonts w:cstheme="minorHAnsi"/>
        </w:rPr>
        <w:t xml:space="preserve"> progress</w:t>
      </w:r>
      <w:r w:rsidR="000A42B3">
        <w:rPr>
          <w:rFonts w:cstheme="minorHAnsi"/>
        </w:rPr>
        <w:t xml:space="preserve"> and </w:t>
      </w:r>
      <w:r w:rsidR="00127795">
        <w:rPr>
          <w:rFonts w:cstheme="minorHAnsi"/>
        </w:rPr>
        <w:t>provide</w:t>
      </w:r>
      <w:r w:rsidR="000A42B3">
        <w:rPr>
          <w:rFonts w:cstheme="minorHAnsi"/>
        </w:rPr>
        <w:t xml:space="preserve"> interventions</w:t>
      </w:r>
      <w:r w:rsidR="00A2273D">
        <w:rPr>
          <w:rFonts w:cstheme="minorHAnsi"/>
        </w:rPr>
        <w:t>, the district has provided staff with the means to use data for decision-making about appropriate interventions to improve stud</w:t>
      </w:r>
      <w:r w:rsidR="00374847">
        <w:rPr>
          <w:rFonts w:cstheme="minorHAnsi"/>
        </w:rPr>
        <w:t xml:space="preserve">ent learning. </w:t>
      </w:r>
      <w:r w:rsidR="00924087">
        <w:rPr>
          <w:rFonts w:cstheme="minorHAnsi"/>
        </w:rPr>
        <w:t xml:space="preserve">Because the </w:t>
      </w:r>
      <w:r w:rsidR="000A42B3">
        <w:rPr>
          <w:rFonts w:cstheme="minorHAnsi"/>
        </w:rPr>
        <w:t xml:space="preserve">district has </w:t>
      </w:r>
      <w:r w:rsidR="00924087">
        <w:rPr>
          <w:rFonts w:cstheme="minorHAnsi"/>
        </w:rPr>
        <w:t>structures and well-established protocols for</w:t>
      </w:r>
      <w:r w:rsidR="00374847">
        <w:rPr>
          <w:rFonts w:cstheme="minorHAnsi"/>
        </w:rPr>
        <w:t xml:space="preserve"> </w:t>
      </w:r>
      <w:r w:rsidR="00127795">
        <w:rPr>
          <w:rFonts w:cstheme="minorHAnsi"/>
        </w:rPr>
        <w:t xml:space="preserve">its </w:t>
      </w:r>
      <w:r w:rsidR="00374847">
        <w:rPr>
          <w:rFonts w:cstheme="minorHAnsi"/>
        </w:rPr>
        <w:t>PLCs and data teams,</w:t>
      </w:r>
      <w:r w:rsidR="00924087">
        <w:rPr>
          <w:rFonts w:cstheme="minorHAnsi"/>
        </w:rPr>
        <w:t xml:space="preserve"> the district is poised </w:t>
      </w:r>
      <w:r w:rsidR="00A2273D">
        <w:rPr>
          <w:rFonts w:cstheme="minorHAnsi"/>
        </w:rPr>
        <w:t xml:space="preserve">to </w:t>
      </w:r>
      <w:r w:rsidR="00924087">
        <w:rPr>
          <w:rFonts w:cstheme="minorHAnsi"/>
        </w:rPr>
        <w:t>use data to inform</w:t>
      </w:r>
      <w:r w:rsidR="00A2273D">
        <w:rPr>
          <w:rFonts w:cstheme="minorHAnsi"/>
        </w:rPr>
        <w:t xml:space="preserve"> instructional practice </w:t>
      </w:r>
      <w:r w:rsidR="00924087">
        <w:rPr>
          <w:rFonts w:cstheme="minorHAnsi"/>
        </w:rPr>
        <w:t>and evaluate programs.</w:t>
      </w:r>
    </w:p>
    <w:p w14:paraId="2B60593C" w14:textId="27DFEE96" w:rsidR="00720152" w:rsidRDefault="00720152" w:rsidP="00C96727">
      <w:pPr>
        <w:tabs>
          <w:tab w:val="left" w:pos="360"/>
          <w:tab w:val="left" w:pos="1080"/>
          <w:tab w:val="left" w:pos="1440"/>
          <w:tab w:val="left" w:pos="1800"/>
          <w:tab w:val="left" w:pos="2160"/>
        </w:tabs>
        <w:rPr>
          <w:rFonts w:cstheme="minorHAnsi"/>
        </w:rPr>
      </w:pPr>
    </w:p>
    <w:p w14:paraId="54D0B6C6" w14:textId="6B65A26B" w:rsidR="00720152" w:rsidRDefault="00720152" w:rsidP="00C96727">
      <w:pPr>
        <w:tabs>
          <w:tab w:val="left" w:pos="360"/>
          <w:tab w:val="left" w:pos="1080"/>
          <w:tab w:val="left" w:pos="1440"/>
          <w:tab w:val="left" w:pos="1800"/>
          <w:tab w:val="left" w:pos="2160"/>
        </w:tabs>
        <w:rPr>
          <w:rFonts w:cstheme="minorHAnsi"/>
        </w:rPr>
      </w:pPr>
    </w:p>
    <w:p w14:paraId="3514D7C3" w14:textId="6804F67F" w:rsidR="00720152" w:rsidRDefault="00720152" w:rsidP="00C96727">
      <w:pPr>
        <w:tabs>
          <w:tab w:val="left" w:pos="360"/>
          <w:tab w:val="left" w:pos="1080"/>
          <w:tab w:val="left" w:pos="1440"/>
          <w:tab w:val="left" w:pos="1800"/>
          <w:tab w:val="left" w:pos="2160"/>
        </w:tabs>
        <w:rPr>
          <w:rFonts w:cstheme="minorHAnsi"/>
        </w:rPr>
      </w:pPr>
    </w:p>
    <w:p w14:paraId="21716345" w14:textId="77777777" w:rsidR="00720152" w:rsidRPr="0014486A" w:rsidRDefault="00720152" w:rsidP="00C96727">
      <w:pPr>
        <w:tabs>
          <w:tab w:val="left" w:pos="360"/>
          <w:tab w:val="left" w:pos="1080"/>
          <w:tab w:val="left" w:pos="1440"/>
          <w:tab w:val="left" w:pos="1800"/>
          <w:tab w:val="left" w:pos="2160"/>
        </w:tabs>
        <w:rPr>
          <w:rFonts w:cstheme="minorHAnsi"/>
        </w:rPr>
      </w:pPr>
    </w:p>
    <w:p w14:paraId="68B7D0EE" w14:textId="77777777" w:rsidR="00374847" w:rsidRDefault="00374847" w:rsidP="00E13873">
      <w:pPr>
        <w:tabs>
          <w:tab w:val="left" w:pos="360"/>
          <w:tab w:val="left" w:pos="720"/>
          <w:tab w:val="left" w:pos="1080"/>
          <w:tab w:val="left" w:pos="1440"/>
          <w:tab w:val="left" w:pos="1800"/>
          <w:tab w:val="left" w:pos="2160"/>
          <w:tab w:val="left" w:pos="2520"/>
          <w:tab w:val="left" w:pos="2880"/>
        </w:tabs>
        <w:rPr>
          <w:b/>
          <w:sz w:val="28"/>
          <w:szCs w:val="28"/>
        </w:rPr>
      </w:pPr>
    </w:p>
    <w:p w14:paraId="6D470D66" w14:textId="3FA9023B" w:rsidR="00E13873" w:rsidRPr="00E13873" w:rsidRDefault="008F1288" w:rsidP="00E13873">
      <w:pPr>
        <w:tabs>
          <w:tab w:val="left" w:pos="360"/>
          <w:tab w:val="left" w:pos="720"/>
          <w:tab w:val="left" w:pos="1080"/>
          <w:tab w:val="left" w:pos="1440"/>
          <w:tab w:val="left" w:pos="1800"/>
          <w:tab w:val="left" w:pos="2160"/>
          <w:tab w:val="left" w:pos="2520"/>
          <w:tab w:val="left" w:pos="2880"/>
        </w:tabs>
        <w:rPr>
          <w:b/>
          <w:sz w:val="28"/>
          <w:szCs w:val="28"/>
        </w:rPr>
      </w:pPr>
      <w:r w:rsidRPr="008F1288">
        <w:rPr>
          <w:b/>
          <w:sz w:val="28"/>
          <w:szCs w:val="28"/>
        </w:rPr>
        <w:lastRenderedPageBreak/>
        <w:t>Challenges and Areas for Growth</w:t>
      </w:r>
    </w:p>
    <w:p w14:paraId="20B06DD0" w14:textId="4490AB0C" w:rsidR="00E13873" w:rsidRDefault="00DD5A3C" w:rsidP="004272F7">
      <w:pPr>
        <w:tabs>
          <w:tab w:val="left" w:pos="360"/>
          <w:tab w:val="left" w:pos="720"/>
          <w:tab w:val="left" w:pos="1080"/>
          <w:tab w:val="left" w:pos="1440"/>
          <w:tab w:val="left" w:pos="1800"/>
        </w:tabs>
        <w:ind w:left="360" w:hanging="360"/>
        <w:rPr>
          <w:b/>
        </w:rPr>
      </w:pPr>
      <w:r>
        <w:rPr>
          <w:b/>
        </w:rPr>
        <w:t>2</w:t>
      </w:r>
      <w:r w:rsidR="00E13873">
        <w:rPr>
          <w:b/>
        </w:rPr>
        <w:t xml:space="preserve">. </w:t>
      </w:r>
      <w:r w:rsidR="004272F7">
        <w:rPr>
          <w:b/>
        </w:rPr>
        <w:tab/>
      </w:r>
      <w:r w:rsidR="001E3A27">
        <w:rPr>
          <w:b/>
        </w:rPr>
        <w:t>T</w:t>
      </w:r>
      <w:r w:rsidR="008D64BC">
        <w:rPr>
          <w:b/>
        </w:rPr>
        <w:t xml:space="preserve">he district </w:t>
      </w:r>
      <w:r w:rsidR="00E13873" w:rsidRPr="00E13873">
        <w:rPr>
          <w:b/>
        </w:rPr>
        <w:t xml:space="preserve">is in the early stages of </w:t>
      </w:r>
      <w:r w:rsidR="001E3A27">
        <w:rPr>
          <w:b/>
        </w:rPr>
        <w:t>develop</w:t>
      </w:r>
      <w:r w:rsidR="001E3A27" w:rsidRPr="00E13873">
        <w:rPr>
          <w:b/>
        </w:rPr>
        <w:t xml:space="preserve">ing </w:t>
      </w:r>
      <w:r w:rsidR="00E13873" w:rsidRPr="00E13873">
        <w:rPr>
          <w:b/>
        </w:rPr>
        <w:t xml:space="preserve">a systemwide </w:t>
      </w:r>
      <w:r w:rsidR="00374847">
        <w:rPr>
          <w:b/>
        </w:rPr>
        <w:t xml:space="preserve">approach to </w:t>
      </w:r>
      <w:r w:rsidR="001E3A27">
        <w:rPr>
          <w:b/>
        </w:rPr>
        <w:t xml:space="preserve">analyzing data to </w:t>
      </w:r>
      <w:r w:rsidR="007F20B4">
        <w:rPr>
          <w:b/>
        </w:rPr>
        <w:t>inform instruction</w:t>
      </w:r>
      <w:r w:rsidR="00374847">
        <w:rPr>
          <w:b/>
        </w:rPr>
        <w:t xml:space="preserve"> </w:t>
      </w:r>
      <w:r w:rsidR="001E3A27">
        <w:rPr>
          <w:b/>
        </w:rPr>
        <w:t xml:space="preserve">and to assess </w:t>
      </w:r>
      <w:r w:rsidR="00374847">
        <w:rPr>
          <w:b/>
        </w:rPr>
        <w:t>program effectiveness.</w:t>
      </w:r>
      <w:r w:rsidR="001526E5">
        <w:rPr>
          <w:b/>
        </w:rPr>
        <w:t xml:space="preserve"> </w:t>
      </w:r>
      <w:r w:rsidR="001E3A27">
        <w:rPr>
          <w:b/>
        </w:rPr>
        <w:t>The district</w:t>
      </w:r>
      <w:r w:rsidR="001526E5">
        <w:rPr>
          <w:b/>
        </w:rPr>
        <w:t xml:space="preserve"> does not have a K</w:t>
      </w:r>
      <w:r w:rsidR="001E3A27">
        <w:rPr>
          <w:b/>
        </w:rPr>
        <w:t>–</w:t>
      </w:r>
      <w:r w:rsidR="001526E5">
        <w:rPr>
          <w:b/>
        </w:rPr>
        <w:t xml:space="preserve">12 </w:t>
      </w:r>
      <w:r w:rsidR="001E3A27">
        <w:rPr>
          <w:b/>
        </w:rPr>
        <w:t xml:space="preserve">tool to </w:t>
      </w:r>
      <w:r w:rsidR="00DD6D5F">
        <w:rPr>
          <w:b/>
        </w:rPr>
        <w:t>organize</w:t>
      </w:r>
      <w:r w:rsidR="001E3A27">
        <w:rPr>
          <w:b/>
        </w:rPr>
        <w:t xml:space="preserve"> </w:t>
      </w:r>
      <w:r w:rsidR="001526E5">
        <w:rPr>
          <w:b/>
        </w:rPr>
        <w:t xml:space="preserve">data </w:t>
      </w:r>
      <w:r w:rsidR="001E3A27">
        <w:rPr>
          <w:b/>
        </w:rPr>
        <w:t>and</w:t>
      </w:r>
      <w:r w:rsidR="00924087">
        <w:rPr>
          <w:b/>
        </w:rPr>
        <w:t xml:space="preserve"> generate reports.</w:t>
      </w:r>
    </w:p>
    <w:p w14:paraId="17C273AE" w14:textId="329321C3" w:rsidR="001120BF" w:rsidRDefault="00E13873" w:rsidP="004272F7">
      <w:pPr>
        <w:tabs>
          <w:tab w:val="left" w:pos="360"/>
          <w:tab w:val="left" w:pos="720"/>
          <w:tab w:val="left" w:pos="1080"/>
          <w:tab w:val="left" w:pos="1440"/>
          <w:tab w:val="left" w:pos="1800"/>
        </w:tabs>
        <w:ind w:left="720" w:hanging="720"/>
      </w:pPr>
      <w:r w:rsidRPr="00E13873">
        <w:rPr>
          <w:b/>
        </w:rPr>
        <w:t xml:space="preserve"> </w:t>
      </w:r>
      <w:r>
        <w:rPr>
          <w:b/>
        </w:rPr>
        <w:tab/>
        <w:t>A.</w:t>
      </w:r>
      <w:r w:rsidRPr="000252E1">
        <w:t xml:space="preserve"> </w:t>
      </w:r>
      <w:r w:rsidR="004272F7">
        <w:tab/>
      </w:r>
      <w:r w:rsidR="00AA5F9C">
        <w:t>T</w:t>
      </w:r>
      <w:r w:rsidR="002D37BD">
        <w:t xml:space="preserve">he district </w:t>
      </w:r>
      <w:r w:rsidR="001A58CD">
        <w:t xml:space="preserve">does not have </w:t>
      </w:r>
      <w:r w:rsidR="00AA5F9C">
        <w:t>district-</w:t>
      </w:r>
      <w:r w:rsidR="001A58CD">
        <w:t xml:space="preserve">level structures or practices to </w:t>
      </w:r>
      <w:r w:rsidR="00AA5F9C">
        <w:t xml:space="preserve">analyze </w:t>
      </w:r>
      <w:r w:rsidR="001A58CD">
        <w:t>data across</w:t>
      </w:r>
      <w:r w:rsidR="00581FC4">
        <w:t xml:space="preserve"> schools or from middle</w:t>
      </w:r>
      <w:r w:rsidR="00AA5F9C">
        <w:t>-</w:t>
      </w:r>
      <w:r w:rsidR="00581FC4">
        <w:t xml:space="preserve"> to </w:t>
      </w:r>
      <w:r w:rsidR="00AA5F9C">
        <w:t>high-</w:t>
      </w:r>
      <w:r w:rsidR="00581FC4">
        <w:t>school grades.</w:t>
      </w:r>
      <w:r w:rsidR="001526E5">
        <w:t xml:space="preserve"> </w:t>
      </w:r>
    </w:p>
    <w:p w14:paraId="0B4D7483" w14:textId="188FAC54" w:rsidR="00E13873" w:rsidRDefault="004C3AE0" w:rsidP="004272F7">
      <w:pPr>
        <w:tabs>
          <w:tab w:val="left" w:pos="360"/>
          <w:tab w:val="left" w:pos="720"/>
          <w:tab w:val="left" w:pos="1080"/>
          <w:tab w:val="left" w:pos="1440"/>
          <w:tab w:val="left" w:pos="1800"/>
        </w:tabs>
        <w:ind w:left="720" w:hanging="720"/>
      </w:pPr>
      <w:r w:rsidRPr="00FF4A12">
        <w:rPr>
          <w:b/>
        </w:rPr>
        <w:tab/>
        <w:t>B.</w:t>
      </w:r>
      <w:r>
        <w:t xml:space="preserve"> </w:t>
      </w:r>
      <w:r w:rsidR="004272F7">
        <w:tab/>
      </w:r>
      <w:r w:rsidR="00374847">
        <w:t>Principals</w:t>
      </w:r>
      <w:r w:rsidR="008D64BC">
        <w:t xml:space="preserve"> told the team tha</w:t>
      </w:r>
      <w:r w:rsidR="00374847">
        <w:t xml:space="preserve">t </w:t>
      </w:r>
      <w:r w:rsidR="0069057C">
        <w:t xml:space="preserve">each school’s data was kept in different formats but </w:t>
      </w:r>
      <w:r w:rsidR="00374847">
        <w:t xml:space="preserve">they would like to see student data shared across schools. </w:t>
      </w:r>
      <w:r w:rsidR="0069057C">
        <w:t>A</w:t>
      </w:r>
      <w:r w:rsidR="00671D00">
        <w:t>t the time of the onsite review in March 2018, a</w:t>
      </w:r>
      <w:r w:rsidR="00374847">
        <w:t xml:space="preserve"> district data dashboard </w:t>
      </w:r>
      <w:r w:rsidR="00671D00">
        <w:t>was</w:t>
      </w:r>
      <w:r w:rsidR="00507CAD">
        <w:t xml:space="preserve"> under construction.</w:t>
      </w:r>
    </w:p>
    <w:p w14:paraId="6280373B" w14:textId="00883C01" w:rsidR="00FF4A12" w:rsidRDefault="00706A96" w:rsidP="004272F7">
      <w:pPr>
        <w:tabs>
          <w:tab w:val="left" w:pos="360"/>
          <w:tab w:val="left" w:pos="720"/>
          <w:tab w:val="left" w:pos="1080"/>
          <w:tab w:val="left" w:pos="1440"/>
          <w:tab w:val="left" w:pos="1800"/>
        </w:tabs>
        <w:ind w:left="1080" w:hanging="360"/>
      </w:pPr>
      <w:r>
        <w:t xml:space="preserve">1. </w:t>
      </w:r>
      <w:r w:rsidR="004272F7">
        <w:tab/>
      </w:r>
      <w:r w:rsidR="00FF4A12">
        <w:t>The district</w:t>
      </w:r>
      <w:r w:rsidR="00507CAD">
        <w:t xml:space="preserve"> w</w:t>
      </w:r>
      <w:r w:rsidR="00FF4A12">
        <w:t>a</w:t>
      </w:r>
      <w:r w:rsidR="00507CAD">
        <w:t>s constructing a</w:t>
      </w:r>
      <w:r w:rsidR="00FF4A12">
        <w:t xml:space="preserve"> data dashboard </w:t>
      </w:r>
      <w:r w:rsidR="00A656BC">
        <w:t xml:space="preserve">at the time of </w:t>
      </w:r>
      <w:r>
        <w:t>the review team’s visit.</w:t>
      </w:r>
      <w:r w:rsidR="00A656BC">
        <w:t xml:space="preserve"> Its stated goal is to provide “data from three main threads related to the Wakefield Instructional </w:t>
      </w:r>
      <w:r w:rsidR="0069057C">
        <w:t>Strategy</w:t>
      </w:r>
      <w:r w:rsidR="00A656BC">
        <w:t xml:space="preserve">.” The three areas </w:t>
      </w:r>
      <w:r w:rsidR="0069057C">
        <w:t xml:space="preserve">are </w:t>
      </w:r>
      <w:r w:rsidR="00A656BC">
        <w:t>reading and writing, math discou</w:t>
      </w:r>
      <w:r>
        <w:t>r</w:t>
      </w:r>
      <w:r w:rsidR="00A656BC">
        <w:t>se, and professional learning communities.</w:t>
      </w:r>
    </w:p>
    <w:p w14:paraId="2E3D981A" w14:textId="5B645A21" w:rsidR="00706A96" w:rsidRDefault="00706A96" w:rsidP="004272F7">
      <w:pPr>
        <w:tabs>
          <w:tab w:val="left" w:pos="360"/>
          <w:tab w:val="left" w:pos="720"/>
          <w:tab w:val="left" w:pos="1080"/>
          <w:tab w:val="left" w:pos="1440"/>
          <w:tab w:val="left" w:pos="1800"/>
        </w:tabs>
        <w:ind w:left="720" w:hanging="360"/>
      </w:pPr>
      <w:r w:rsidRPr="001526E5">
        <w:rPr>
          <w:b/>
        </w:rPr>
        <w:t>C.</w:t>
      </w:r>
      <w:r>
        <w:t xml:space="preserve">  </w:t>
      </w:r>
      <w:r w:rsidR="004272F7">
        <w:tab/>
      </w:r>
      <w:r w:rsidR="0069057C">
        <w:t xml:space="preserve">Interviews and a document review indicated that </w:t>
      </w:r>
      <w:r>
        <w:t xml:space="preserve">a </w:t>
      </w:r>
      <w:r w:rsidR="0069057C">
        <w:t xml:space="preserve">K–12 </w:t>
      </w:r>
      <w:r>
        <w:t>tool to collect data</w:t>
      </w:r>
      <w:r w:rsidR="00924087">
        <w:t xml:space="preserve"> and generate internal reports</w:t>
      </w:r>
      <w:r>
        <w:t xml:space="preserve"> </w:t>
      </w:r>
      <w:r w:rsidR="0069057C">
        <w:t xml:space="preserve">would help </w:t>
      </w:r>
      <w:r>
        <w:t>t</w:t>
      </w:r>
      <w:r w:rsidR="009B76D5">
        <w:t xml:space="preserve">he district </w:t>
      </w:r>
      <w:r w:rsidR="0069057C">
        <w:t>use</w:t>
      </w:r>
      <w:r w:rsidR="009B76D5">
        <w:t xml:space="preserve"> </w:t>
      </w:r>
      <w:r w:rsidR="00300FC8">
        <w:t xml:space="preserve">real-time </w:t>
      </w:r>
      <w:r w:rsidR="009B76D5">
        <w:t>and</w:t>
      </w:r>
      <w:r>
        <w:t xml:space="preserve"> historical data to evaluate several areas</w:t>
      </w:r>
      <w:r w:rsidR="0069057C">
        <w:t>, including</w:t>
      </w:r>
      <w:r>
        <w:t xml:space="preserve"> curricular evaluations in Phase </w:t>
      </w:r>
      <w:r w:rsidR="00300FC8">
        <w:t>F</w:t>
      </w:r>
      <w:r>
        <w:t>ive of the curriculum review process (</w:t>
      </w:r>
      <w:r w:rsidR="007F20B4">
        <w:t>a</w:t>
      </w:r>
      <w:r>
        <w:t xml:space="preserve">ssessment and </w:t>
      </w:r>
      <w:r w:rsidR="007F20B4">
        <w:t>e</w:t>
      </w:r>
      <w:r>
        <w:t xml:space="preserve">valuation of </w:t>
      </w:r>
      <w:r w:rsidR="007F20B4">
        <w:t>improvements</w:t>
      </w:r>
      <w:r>
        <w:t xml:space="preserve">), </w:t>
      </w:r>
      <w:r w:rsidR="0069057C">
        <w:t>middle-</w:t>
      </w:r>
      <w:r>
        <w:t xml:space="preserve">school cohort performance data in relation to </w:t>
      </w:r>
      <w:r w:rsidR="0069057C">
        <w:t>high-</w:t>
      </w:r>
      <w:r>
        <w:t>school performance data,</w:t>
      </w:r>
      <w:r w:rsidR="009B76D5">
        <w:t xml:space="preserve"> </w:t>
      </w:r>
      <w:r>
        <w:t>real-time data</w:t>
      </w:r>
      <w:r w:rsidR="009B76D5">
        <w:t xml:space="preserve"> in strengthening areas of instruction to </w:t>
      </w:r>
      <w:r w:rsidR="00924087">
        <w:t xml:space="preserve">better </w:t>
      </w:r>
      <w:r w:rsidR="009B76D5">
        <w:t>meet the needs of all students, and data to drive resource allocation</w:t>
      </w:r>
      <w:r>
        <w:t>.</w:t>
      </w:r>
      <w:r w:rsidR="001526E5">
        <w:t xml:space="preserve"> </w:t>
      </w:r>
    </w:p>
    <w:p w14:paraId="5764F9B3" w14:textId="2D095C93" w:rsidR="009B76D5" w:rsidRDefault="001526E5" w:rsidP="004272F7">
      <w:pPr>
        <w:tabs>
          <w:tab w:val="left" w:pos="360"/>
          <w:tab w:val="left" w:pos="720"/>
          <w:tab w:val="left" w:pos="1080"/>
          <w:tab w:val="left" w:pos="1440"/>
          <w:tab w:val="left" w:pos="1800"/>
        </w:tabs>
        <w:ind w:left="720" w:hanging="360"/>
      </w:pPr>
      <w:r w:rsidRPr="00E22258">
        <w:rPr>
          <w:b/>
        </w:rPr>
        <w:t>D.</w:t>
      </w:r>
      <w:r>
        <w:t xml:space="preserve">  </w:t>
      </w:r>
      <w:r w:rsidR="004272F7">
        <w:tab/>
      </w:r>
      <w:r>
        <w:t xml:space="preserve">In </w:t>
      </w:r>
      <w:r w:rsidR="0069057C">
        <w:t xml:space="preserve">its </w:t>
      </w:r>
      <w:r>
        <w:t>self-ass</w:t>
      </w:r>
      <w:r w:rsidR="009B76D5">
        <w:t>essment</w:t>
      </w:r>
      <w:r w:rsidR="0069057C">
        <w:t xml:space="preserve"> submitted in advance of the onsite review</w:t>
      </w:r>
      <w:r w:rsidR="009B76D5">
        <w:t xml:space="preserve">, the district acknowledged that </w:t>
      </w:r>
      <w:r w:rsidR="0069057C">
        <w:t>it had</w:t>
      </w:r>
      <w:r w:rsidR="009B76D5">
        <w:t xml:space="preserve"> an “enormous amount of data available” and </w:t>
      </w:r>
      <w:r w:rsidR="0069057C">
        <w:t xml:space="preserve">was </w:t>
      </w:r>
      <w:r w:rsidR="009B76D5">
        <w:t xml:space="preserve">eager to identify “high leverage data points” </w:t>
      </w:r>
      <w:r w:rsidR="0069057C">
        <w:t>to</w:t>
      </w:r>
      <w:r w:rsidR="009B76D5">
        <w:t xml:space="preserve"> inform decision-making at every level. The </w:t>
      </w:r>
      <w:r w:rsidR="0069057C">
        <w:t xml:space="preserve">district noted </w:t>
      </w:r>
      <w:r w:rsidR="009B76D5">
        <w:t xml:space="preserve">that in order to accomplish this, </w:t>
      </w:r>
      <w:r w:rsidR="0069057C">
        <w:t xml:space="preserve">it had to </w:t>
      </w:r>
      <w:r w:rsidR="009B76D5">
        <w:t xml:space="preserve">ensure that the data </w:t>
      </w:r>
      <w:r w:rsidR="0069057C">
        <w:t xml:space="preserve">was </w:t>
      </w:r>
      <w:r w:rsidR="009B76D5">
        <w:t xml:space="preserve">available to all stakeholders and that it </w:t>
      </w:r>
      <w:r w:rsidR="0069057C">
        <w:t xml:space="preserve">was </w:t>
      </w:r>
      <w:r w:rsidR="009B76D5">
        <w:t>“meaningful, purposeful and user-friendly.”</w:t>
      </w:r>
    </w:p>
    <w:p w14:paraId="357B8A13" w14:textId="0890E6F4" w:rsidR="00E13873" w:rsidRDefault="00E13873" w:rsidP="00E13873">
      <w:pPr>
        <w:tabs>
          <w:tab w:val="left" w:pos="360"/>
          <w:tab w:val="left" w:pos="1080"/>
          <w:tab w:val="left" w:pos="1440"/>
          <w:tab w:val="left" w:pos="1800"/>
          <w:tab w:val="left" w:pos="2160"/>
        </w:tabs>
      </w:pPr>
      <w:r w:rsidRPr="004E594D">
        <w:rPr>
          <w:b/>
        </w:rPr>
        <w:t>Impact</w:t>
      </w:r>
      <w:r w:rsidRPr="004E594D">
        <w:t xml:space="preserve">: </w:t>
      </w:r>
      <w:r w:rsidR="00924087">
        <w:t>Without</w:t>
      </w:r>
      <w:r w:rsidR="00EC2E63">
        <w:t xml:space="preserve"> </w:t>
      </w:r>
      <w:r w:rsidR="00924087">
        <w:t xml:space="preserve">protocols and </w:t>
      </w:r>
      <w:r w:rsidR="00904514">
        <w:t>a</w:t>
      </w:r>
      <w:r w:rsidR="00EC2E63">
        <w:t xml:space="preserve"> </w:t>
      </w:r>
      <w:r w:rsidR="00924087">
        <w:t xml:space="preserve">districtwide </w:t>
      </w:r>
      <w:r w:rsidR="00904514">
        <w:t>approach to analyzing data and evaluating programs</w:t>
      </w:r>
      <w:r w:rsidR="00924087">
        <w:t>, the district’s</w:t>
      </w:r>
      <w:r w:rsidR="00EC2E63">
        <w:t xml:space="preserve"> efforts to grow as a data-driven decision-making organization </w:t>
      </w:r>
      <w:r w:rsidR="00904514">
        <w:t xml:space="preserve">are </w:t>
      </w:r>
      <w:r w:rsidR="00EC2E63">
        <w:t>hampered.</w:t>
      </w:r>
      <w:r w:rsidR="00924087" w:rsidRPr="00924087">
        <w:t xml:space="preserve"> </w:t>
      </w:r>
    </w:p>
    <w:p w14:paraId="50AF069F" w14:textId="02D4E1F9" w:rsidR="00FB5A37" w:rsidRDefault="00FB5A37" w:rsidP="00E13873">
      <w:pPr>
        <w:tabs>
          <w:tab w:val="left" w:pos="360"/>
          <w:tab w:val="left" w:pos="1080"/>
          <w:tab w:val="left" w:pos="1440"/>
          <w:tab w:val="left" w:pos="1800"/>
          <w:tab w:val="left" w:pos="2160"/>
        </w:tabs>
      </w:pPr>
    </w:p>
    <w:p w14:paraId="18D79038" w14:textId="2D2FA0C6" w:rsidR="00453CA0" w:rsidRPr="00E22258" w:rsidRDefault="009637D8" w:rsidP="008E314D">
      <w:pPr>
        <w:tabs>
          <w:tab w:val="left" w:pos="360"/>
          <w:tab w:val="left" w:pos="720"/>
          <w:tab w:val="left" w:pos="1080"/>
          <w:tab w:val="left" w:pos="1440"/>
          <w:tab w:val="left" w:pos="1800"/>
          <w:tab w:val="left" w:pos="2160"/>
          <w:tab w:val="left" w:pos="2520"/>
          <w:tab w:val="left" w:pos="2880"/>
        </w:tabs>
        <w:rPr>
          <w:b/>
          <w:sz w:val="28"/>
          <w:szCs w:val="28"/>
        </w:rPr>
      </w:pPr>
      <w:r w:rsidRPr="00E22258">
        <w:rPr>
          <w:b/>
          <w:sz w:val="28"/>
          <w:szCs w:val="28"/>
        </w:rPr>
        <w:t>Recommendation</w:t>
      </w:r>
    </w:p>
    <w:p w14:paraId="30057B5F" w14:textId="4D4832DA" w:rsidR="00BA058C" w:rsidRDefault="00C96727" w:rsidP="00E22258">
      <w:pPr>
        <w:tabs>
          <w:tab w:val="left" w:pos="360"/>
          <w:tab w:val="left" w:pos="720"/>
          <w:tab w:val="left" w:pos="1080"/>
          <w:tab w:val="left" w:pos="1440"/>
        </w:tabs>
        <w:ind w:left="360" w:hanging="360"/>
        <w:rPr>
          <w:rFonts w:cstheme="minorHAnsi"/>
          <w:b/>
        </w:rPr>
      </w:pPr>
      <w:r>
        <w:rPr>
          <w:rFonts w:cstheme="minorHAnsi"/>
          <w:b/>
        </w:rPr>
        <w:t>1</w:t>
      </w:r>
      <w:r w:rsidR="001120BF">
        <w:rPr>
          <w:rFonts w:cstheme="minorHAnsi"/>
          <w:b/>
        </w:rPr>
        <w:t xml:space="preserve">. </w:t>
      </w:r>
      <w:r w:rsidR="002F49CF">
        <w:rPr>
          <w:rFonts w:cstheme="minorHAnsi"/>
          <w:b/>
        </w:rPr>
        <w:tab/>
      </w:r>
      <w:r w:rsidR="001120BF">
        <w:rPr>
          <w:rFonts w:cstheme="minorHAnsi"/>
          <w:b/>
        </w:rPr>
        <w:t>The di</w:t>
      </w:r>
      <w:r w:rsidR="00BA058C">
        <w:rPr>
          <w:rFonts w:cstheme="minorHAnsi"/>
          <w:b/>
        </w:rPr>
        <w:t xml:space="preserve">strict should </w:t>
      </w:r>
      <w:r w:rsidR="00653EB6">
        <w:rPr>
          <w:rFonts w:cstheme="minorHAnsi"/>
          <w:b/>
        </w:rPr>
        <w:t>establish a district data team</w:t>
      </w:r>
      <w:r w:rsidR="001671A6">
        <w:rPr>
          <w:rFonts w:cstheme="minorHAnsi"/>
          <w:b/>
        </w:rPr>
        <w:t>.</w:t>
      </w:r>
      <w:r w:rsidR="002F4966">
        <w:rPr>
          <w:rFonts w:cstheme="minorHAnsi"/>
          <w:b/>
        </w:rPr>
        <w:t xml:space="preserve"> </w:t>
      </w:r>
      <w:r w:rsidR="007D114C">
        <w:rPr>
          <w:rFonts w:cstheme="minorHAnsi"/>
          <w:b/>
        </w:rPr>
        <w:t xml:space="preserve">The planned </w:t>
      </w:r>
      <w:r w:rsidR="00653EB6">
        <w:rPr>
          <w:rFonts w:cstheme="minorHAnsi"/>
          <w:b/>
        </w:rPr>
        <w:t xml:space="preserve">district </w:t>
      </w:r>
      <w:r w:rsidR="007D114C">
        <w:rPr>
          <w:rFonts w:cstheme="minorHAnsi"/>
          <w:b/>
        </w:rPr>
        <w:t>data dashboard should be completed and its purpose communicated to all stakeholders.</w:t>
      </w:r>
    </w:p>
    <w:p w14:paraId="0EB8581C" w14:textId="71FA5606" w:rsidR="00845B9C" w:rsidRDefault="00845B9C" w:rsidP="008725BE">
      <w:pPr>
        <w:tabs>
          <w:tab w:val="left" w:pos="360"/>
          <w:tab w:val="left" w:pos="720"/>
        </w:tabs>
        <w:ind w:left="720" w:hanging="360"/>
        <w:rPr>
          <w:rFonts w:cstheme="minorHAnsi"/>
        </w:rPr>
      </w:pPr>
      <w:r w:rsidRPr="00E22258">
        <w:rPr>
          <w:b/>
        </w:rPr>
        <w:t>A</w:t>
      </w:r>
      <w:r w:rsidR="00483B06" w:rsidRPr="008725BE">
        <w:rPr>
          <w:rFonts w:cstheme="minorHAnsi"/>
          <w:b/>
        </w:rPr>
        <w:t>.</w:t>
      </w:r>
      <w:r w:rsidR="00C70ADD">
        <w:rPr>
          <w:rFonts w:cstheme="minorHAnsi"/>
        </w:rPr>
        <w:t xml:space="preserve"> </w:t>
      </w:r>
      <w:r w:rsidR="008725BE">
        <w:rPr>
          <w:rFonts w:cstheme="minorHAnsi"/>
        </w:rPr>
        <w:tab/>
      </w:r>
      <w:r w:rsidR="00B03616">
        <w:rPr>
          <w:rFonts w:cstheme="minorHAnsi"/>
        </w:rPr>
        <w:t>T</w:t>
      </w:r>
      <w:r w:rsidR="00984879">
        <w:rPr>
          <w:rFonts w:cstheme="minorHAnsi"/>
        </w:rPr>
        <w:t xml:space="preserve">he district should consider </w:t>
      </w:r>
      <w:r w:rsidR="002135CE">
        <w:rPr>
          <w:rFonts w:cstheme="minorHAnsi"/>
        </w:rPr>
        <w:t>designating a representative district</w:t>
      </w:r>
      <w:r w:rsidR="008725BE">
        <w:rPr>
          <w:rFonts w:cstheme="minorHAnsi"/>
        </w:rPr>
        <w:t>wide team whose responsibility</w:t>
      </w:r>
      <w:r w:rsidR="00984879">
        <w:rPr>
          <w:rFonts w:cstheme="minorHAnsi"/>
        </w:rPr>
        <w:t xml:space="preserve"> </w:t>
      </w:r>
      <w:r w:rsidR="004C02EA">
        <w:rPr>
          <w:rFonts w:cstheme="minorHAnsi"/>
        </w:rPr>
        <w:t>would be to examine patterns</w:t>
      </w:r>
      <w:r w:rsidR="002135CE">
        <w:rPr>
          <w:rFonts w:cstheme="minorHAnsi"/>
        </w:rPr>
        <w:t xml:space="preserve">, trends, </w:t>
      </w:r>
      <w:r w:rsidR="00984879">
        <w:rPr>
          <w:rFonts w:cstheme="minorHAnsi"/>
        </w:rPr>
        <w:t>strength</w:t>
      </w:r>
      <w:r w:rsidR="002135CE">
        <w:rPr>
          <w:rFonts w:cstheme="minorHAnsi"/>
        </w:rPr>
        <w:t>s</w:t>
      </w:r>
      <w:r w:rsidR="00984879">
        <w:rPr>
          <w:rFonts w:cstheme="minorHAnsi"/>
        </w:rPr>
        <w:t xml:space="preserve"> and weakness</w:t>
      </w:r>
      <w:r w:rsidR="002135CE">
        <w:rPr>
          <w:rFonts w:cstheme="minorHAnsi"/>
        </w:rPr>
        <w:t>es</w:t>
      </w:r>
      <w:r w:rsidR="00984879">
        <w:rPr>
          <w:rFonts w:cstheme="minorHAnsi"/>
        </w:rPr>
        <w:t xml:space="preserve"> across </w:t>
      </w:r>
      <w:r w:rsidR="002135CE">
        <w:rPr>
          <w:rFonts w:cstheme="minorHAnsi"/>
        </w:rPr>
        <w:t xml:space="preserve">schools and vertically K-12. </w:t>
      </w:r>
    </w:p>
    <w:p w14:paraId="1F55956E" w14:textId="7900B021" w:rsidR="00845B9C" w:rsidRDefault="00845B9C" w:rsidP="00E22258">
      <w:pPr>
        <w:tabs>
          <w:tab w:val="left" w:pos="360"/>
          <w:tab w:val="left" w:pos="720"/>
          <w:tab w:val="left" w:pos="1080"/>
          <w:tab w:val="left" w:pos="1800"/>
        </w:tabs>
        <w:ind w:left="1080" w:hanging="450"/>
      </w:pPr>
      <w:r>
        <w:rPr>
          <w:b/>
        </w:rPr>
        <w:lastRenderedPageBreak/>
        <w:tab/>
      </w:r>
      <w:r w:rsidRPr="00E22258">
        <w:t>1.</w:t>
      </w:r>
      <w:r w:rsidRPr="005B0404">
        <w:tab/>
        <w:t xml:space="preserve">The team could </w:t>
      </w:r>
      <w:r w:rsidRPr="00B75E6F">
        <w:t xml:space="preserve">coordinate with school-level data teams to provide a district-level lens on </w:t>
      </w:r>
      <w:r w:rsidRPr="00704A98">
        <w:t xml:space="preserve">student performance and outcomes. </w:t>
      </w:r>
    </w:p>
    <w:p w14:paraId="2A71CF3C" w14:textId="635E3EF4" w:rsidR="00696AA8" w:rsidRDefault="00696AA8" w:rsidP="00E22258">
      <w:pPr>
        <w:tabs>
          <w:tab w:val="left" w:pos="360"/>
          <w:tab w:val="left" w:pos="720"/>
          <w:tab w:val="left" w:pos="1080"/>
          <w:tab w:val="left" w:pos="1800"/>
        </w:tabs>
        <w:ind w:left="1080" w:hanging="360"/>
      </w:pPr>
      <w:r>
        <w:t>2.</w:t>
      </w:r>
      <w:r>
        <w:tab/>
        <w:t>The team could identify ways to facilitate data sharing between schoo</w:t>
      </w:r>
      <w:r w:rsidR="00B44168">
        <w:t>ls and lead the district in establishing a consistent</w:t>
      </w:r>
      <w:r w:rsidR="00B44168" w:rsidRPr="00B44168">
        <w:t xml:space="preserve"> approach to analyzing data to inform instruction and assess program effectiveness</w:t>
      </w:r>
      <w:r w:rsidR="00B44168">
        <w:t>.</w:t>
      </w:r>
    </w:p>
    <w:p w14:paraId="2493F48C" w14:textId="7F1F17F8" w:rsidR="00696AA8" w:rsidRPr="005B0404" w:rsidRDefault="00696AA8" w:rsidP="00E22258">
      <w:pPr>
        <w:tabs>
          <w:tab w:val="left" w:pos="360"/>
          <w:tab w:val="left" w:pos="720"/>
          <w:tab w:val="left" w:pos="1080"/>
          <w:tab w:val="left" w:pos="1800"/>
        </w:tabs>
        <w:ind w:left="1080" w:hanging="360"/>
      </w:pPr>
      <w:r>
        <w:t>3.</w:t>
      </w:r>
      <w:r>
        <w:tab/>
        <w:t xml:space="preserve">The district should consider using the district data team as a platform to </w:t>
      </w:r>
      <w:r w:rsidR="00526ED4">
        <w:t>identify effective data analysis practices in particular schools and disseminate them districtwide.</w:t>
      </w:r>
    </w:p>
    <w:p w14:paraId="03AB2A93" w14:textId="765DAC1B" w:rsidR="00C70ADD" w:rsidRDefault="00526ED4" w:rsidP="008725BE">
      <w:pPr>
        <w:tabs>
          <w:tab w:val="left" w:pos="360"/>
          <w:tab w:val="left" w:pos="720"/>
        </w:tabs>
        <w:ind w:left="720" w:hanging="360"/>
        <w:rPr>
          <w:rFonts w:cstheme="minorHAnsi"/>
        </w:rPr>
      </w:pPr>
      <w:r>
        <w:rPr>
          <w:rFonts w:cstheme="minorHAnsi"/>
        </w:rPr>
        <w:t>B.</w:t>
      </w:r>
      <w:r>
        <w:rPr>
          <w:rFonts w:cstheme="minorHAnsi"/>
        </w:rPr>
        <w:tab/>
        <w:t>The district should move forward with plans to develop a district data dashboard.</w:t>
      </w:r>
    </w:p>
    <w:p w14:paraId="43DF6FCE" w14:textId="5D6A090E" w:rsidR="00526ED4" w:rsidRPr="005B0404" w:rsidRDefault="00526ED4" w:rsidP="00E22258">
      <w:pPr>
        <w:tabs>
          <w:tab w:val="left" w:pos="360"/>
          <w:tab w:val="left" w:pos="720"/>
          <w:tab w:val="left" w:pos="1080"/>
          <w:tab w:val="left" w:pos="1800"/>
        </w:tabs>
        <w:ind w:left="1080" w:hanging="360"/>
      </w:pPr>
      <w:r w:rsidRPr="005B0404">
        <w:t>1.</w:t>
      </w:r>
      <w:r w:rsidRPr="005B0404">
        <w:tab/>
        <w:t>The district</w:t>
      </w:r>
      <w:r w:rsidRPr="00B75E6F">
        <w:t xml:space="preserve"> data team</w:t>
      </w:r>
      <w:r w:rsidR="00223108">
        <w:t>’s responsibilities could include oversight of the use and ongoing improvement of the data dashboard tool.</w:t>
      </w:r>
      <w:r w:rsidRPr="005B0404">
        <w:t xml:space="preserve"> </w:t>
      </w:r>
    </w:p>
    <w:p w14:paraId="3F8F018F" w14:textId="4CB66E8D" w:rsidR="00035544" w:rsidRDefault="001671A6" w:rsidP="008725BE">
      <w:pPr>
        <w:tabs>
          <w:tab w:val="left" w:pos="360"/>
          <w:tab w:val="left" w:pos="720"/>
        </w:tabs>
        <w:rPr>
          <w:rFonts w:cstheme="minorHAnsi"/>
        </w:rPr>
      </w:pPr>
      <w:r w:rsidRPr="001671A6">
        <w:rPr>
          <w:rFonts w:cstheme="minorHAnsi"/>
          <w:b/>
        </w:rPr>
        <w:t>Benefit:</w:t>
      </w:r>
      <w:r w:rsidR="007D114C">
        <w:rPr>
          <w:rFonts w:cstheme="minorHAnsi"/>
          <w:b/>
        </w:rPr>
        <w:t xml:space="preserve">  </w:t>
      </w:r>
      <w:r w:rsidR="007D114C">
        <w:rPr>
          <w:rFonts w:cstheme="minorHAnsi"/>
        </w:rPr>
        <w:t xml:space="preserve">When a district has </w:t>
      </w:r>
      <w:r w:rsidR="00035544">
        <w:rPr>
          <w:rFonts w:cstheme="minorHAnsi"/>
        </w:rPr>
        <w:t>systems, practices, and infrastructure to support a consistent and thorough approach to data analysis and use, it can help all educators to effectively examine student performance and outcomes and to make changes to curriculum, instruction, and policies to better serve all students.</w:t>
      </w:r>
    </w:p>
    <w:p w14:paraId="44E2FEFF" w14:textId="4B13A1EA" w:rsidR="00EC2E63" w:rsidRPr="001D4EB6" w:rsidRDefault="00EC2E63" w:rsidP="00EC2E63">
      <w:pPr>
        <w:tabs>
          <w:tab w:val="left" w:pos="360"/>
          <w:tab w:val="left" w:pos="720"/>
          <w:tab w:val="left" w:pos="1080"/>
          <w:tab w:val="left" w:pos="1800"/>
          <w:tab w:val="left" w:pos="2160"/>
        </w:tabs>
        <w:rPr>
          <w:b/>
        </w:rPr>
      </w:pPr>
      <w:r w:rsidRPr="00484242">
        <w:rPr>
          <w:b/>
        </w:rPr>
        <w:t>Recommended resource</w:t>
      </w:r>
      <w:r w:rsidR="003F0F27">
        <w:rPr>
          <w:b/>
        </w:rPr>
        <w:t>s</w:t>
      </w:r>
      <w:r w:rsidRPr="00484242">
        <w:rPr>
          <w:b/>
        </w:rPr>
        <w:t>:</w:t>
      </w:r>
    </w:p>
    <w:p w14:paraId="6A9DA12B" w14:textId="18AD4591" w:rsidR="003F0F27" w:rsidRPr="003F0F27" w:rsidRDefault="003F0F27" w:rsidP="003F0F27">
      <w:pPr>
        <w:numPr>
          <w:ilvl w:val="2"/>
          <w:numId w:val="31"/>
        </w:numPr>
        <w:pBdr>
          <w:top w:val="nil"/>
          <w:left w:val="nil"/>
          <w:bottom w:val="nil"/>
          <w:right w:val="nil"/>
          <w:between w:val="nil"/>
        </w:pBdr>
        <w:ind w:left="270" w:hanging="270"/>
        <w:rPr>
          <w:rFonts w:ascii="Calibri" w:eastAsia="Times New Roman" w:hAnsi="Calibri" w:cs="Calibri"/>
        </w:rPr>
      </w:pPr>
      <w:r w:rsidRPr="003F0F27">
        <w:rPr>
          <w:rFonts w:ascii="Calibri" w:eastAsia="Times New Roman" w:hAnsi="Calibri" w:cs="Calibri"/>
        </w:rPr>
        <w:t>ESE’s Assessment Literacy Continuum (</w:t>
      </w:r>
      <w:hyperlink r:id="rId30" w:history="1">
        <w:r w:rsidRPr="003F0F27">
          <w:rPr>
            <w:rFonts w:ascii="Calibri" w:eastAsia="Times New Roman" w:hAnsi="Calibri" w:cs="Calibri"/>
            <w:color w:val="0000FF"/>
            <w:u w:val="single"/>
          </w:rPr>
          <w:t>http://www.doe.mass.edu/acls/assessment/continuum.pdf</w:t>
        </w:r>
      </w:hyperlink>
      <w:r w:rsidRPr="003F0F27">
        <w:rPr>
          <w:rFonts w:ascii="Calibri" w:eastAsia="Times New Roman" w:hAnsi="Calibri" w:cs="Calibri"/>
        </w:rPr>
        <w:t>) is designed to identify the full range of skills educators need to use assessments effectively in classrooms and to organize these skills into a manageable framework. The continuum is a tool to frame important conversations about how an assessment is used to improve student learning.</w:t>
      </w:r>
    </w:p>
    <w:p w14:paraId="3C3CDFFD" w14:textId="77777777" w:rsidR="003F0F27" w:rsidRPr="003F0F27" w:rsidRDefault="003F0F27" w:rsidP="003F0F27">
      <w:pPr>
        <w:numPr>
          <w:ilvl w:val="2"/>
          <w:numId w:val="31"/>
        </w:numPr>
        <w:pBdr>
          <w:top w:val="nil"/>
          <w:left w:val="nil"/>
          <w:bottom w:val="nil"/>
          <w:right w:val="nil"/>
          <w:between w:val="nil"/>
        </w:pBdr>
        <w:spacing w:after="0" w:line="240" w:lineRule="auto"/>
        <w:ind w:left="270" w:hanging="270"/>
        <w:rPr>
          <w:rFonts w:ascii="Calibri" w:eastAsia="Times New Roman" w:hAnsi="Calibri" w:cs="Calibri"/>
        </w:rPr>
      </w:pPr>
      <w:bookmarkStart w:id="12" w:name="_tyjcwt" w:colFirst="0" w:colLast="0"/>
      <w:bookmarkEnd w:id="12"/>
      <w:r w:rsidRPr="003F0F27">
        <w:rPr>
          <w:rFonts w:ascii="Calibri" w:eastAsia="Calibri" w:hAnsi="Calibri" w:cs="Calibri"/>
          <w:color w:val="000000"/>
        </w:rPr>
        <w:t xml:space="preserve">ESE’s </w:t>
      </w:r>
      <w:r w:rsidRPr="003F0F27">
        <w:rPr>
          <w:rFonts w:ascii="Calibri" w:eastAsia="Calibri" w:hAnsi="Calibri" w:cs="Calibri"/>
          <w:i/>
          <w:color w:val="000000"/>
        </w:rPr>
        <w:t>District Data Team Toolkit</w:t>
      </w:r>
      <w:r w:rsidRPr="003F0F27">
        <w:rPr>
          <w:rFonts w:ascii="Calibri" w:eastAsia="Calibri" w:hAnsi="Calibri" w:cs="Calibri"/>
          <w:color w:val="000000"/>
        </w:rPr>
        <w:t xml:space="preserve"> (</w:t>
      </w:r>
      <w:hyperlink r:id="rId31" w:history="1">
        <w:r w:rsidRPr="003F0F27">
          <w:rPr>
            <w:rFonts w:ascii="Calibri" w:eastAsia="Calibri" w:hAnsi="Calibri" w:cs="Calibri"/>
            <w:color w:val="0000FF"/>
            <w:u w:val="single"/>
          </w:rPr>
          <w:t>http://www.doe.mass.edu/accountability/toolkit/district-data-toolkit.pdf</w:t>
        </w:r>
      </w:hyperlink>
      <w:r w:rsidRPr="003F0F27">
        <w:rPr>
          <w:rFonts w:ascii="Calibri" w:eastAsia="Calibri" w:hAnsi="Calibri" w:cs="Calibri"/>
          <w:color w:val="000000"/>
        </w:rPr>
        <w:t>) is a set of resources to help a district establish, grow, and maintain a culture of inquiry and data use through a District Data Team.</w:t>
      </w:r>
    </w:p>
    <w:p w14:paraId="3D5888AD" w14:textId="088028C5" w:rsidR="00EC2E63" w:rsidRDefault="00EC2E63" w:rsidP="003F0F27">
      <w:pPr>
        <w:ind w:left="360" w:hanging="360"/>
      </w:pPr>
    </w:p>
    <w:p w14:paraId="037DD597" w14:textId="5CF15FC7" w:rsidR="008E314D" w:rsidRDefault="000C1441" w:rsidP="008E314D">
      <w:pPr>
        <w:pStyle w:val="Section"/>
        <w:tabs>
          <w:tab w:val="left" w:pos="360"/>
          <w:tab w:val="left" w:pos="720"/>
          <w:tab w:val="left" w:pos="1080"/>
          <w:tab w:val="left" w:pos="1440"/>
          <w:tab w:val="left" w:pos="1800"/>
          <w:tab w:val="left" w:pos="2160"/>
          <w:tab w:val="left" w:pos="2520"/>
          <w:tab w:val="left" w:pos="2880"/>
        </w:tabs>
      </w:pPr>
      <w:bookmarkStart w:id="13" w:name="_Toc532556048"/>
      <w:r>
        <w:lastRenderedPageBreak/>
        <w:t>Student Support</w:t>
      </w:r>
      <w:bookmarkEnd w:id="13"/>
    </w:p>
    <w:p w14:paraId="0D77C5A2" w14:textId="77777777" w:rsidR="002E153B" w:rsidRDefault="002E153B" w:rsidP="002E153B">
      <w:pPr>
        <w:pStyle w:val="Subsection"/>
        <w:tabs>
          <w:tab w:val="left" w:pos="360"/>
          <w:tab w:val="left" w:pos="720"/>
          <w:tab w:val="left" w:pos="1080"/>
          <w:tab w:val="left" w:pos="1440"/>
          <w:tab w:val="left" w:pos="1800"/>
          <w:tab w:val="left" w:pos="2160"/>
          <w:tab w:val="left" w:pos="2520"/>
          <w:tab w:val="left" w:pos="2880"/>
        </w:tabs>
        <w:spacing w:before="0"/>
      </w:pPr>
      <w:r>
        <w:t>Contextual Background</w:t>
      </w:r>
    </w:p>
    <w:p w14:paraId="11568CED" w14:textId="1008CF98" w:rsidR="00EA40F3" w:rsidRPr="00EA40F3" w:rsidRDefault="00EA40F3" w:rsidP="00EA40F3">
      <w:pPr>
        <w:spacing w:after="120"/>
      </w:pPr>
      <w:r w:rsidRPr="00EA40F3">
        <w:t xml:space="preserve">The district </w:t>
      </w:r>
      <w:r w:rsidR="007369E9">
        <w:t>provides T</w:t>
      </w:r>
      <w:r w:rsidR="007369E9" w:rsidRPr="00EA40F3">
        <w:t xml:space="preserve">ier </w:t>
      </w:r>
      <w:r w:rsidRPr="00EA40F3">
        <w:t xml:space="preserve">2 academic support in the elementary </w:t>
      </w:r>
      <w:r w:rsidR="009C7ABB">
        <w:t xml:space="preserve">and </w:t>
      </w:r>
      <w:r w:rsidRPr="00EA40F3">
        <w:t xml:space="preserve">middle schools through blocks in the daily schedule where students can receive both support and enrichment. </w:t>
      </w:r>
      <w:r w:rsidR="001A4A44">
        <w:t>Learning centers at t</w:t>
      </w:r>
      <w:r w:rsidR="001A4A44" w:rsidRPr="00EA40F3">
        <w:t xml:space="preserve">he </w:t>
      </w:r>
      <w:r w:rsidRPr="00EA40F3">
        <w:t xml:space="preserve">high school </w:t>
      </w:r>
      <w:r w:rsidR="001A4A44">
        <w:t>provide</w:t>
      </w:r>
      <w:r w:rsidR="007369E9" w:rsidRPr="00EA40F3">
        <w:t xml:space="preserve"> </w:t>
      </w:r>
      <w:r w:rsidRPr="00EA40F3">
        <w:t xml:space="preserve">academic support to </w:t>
      </w:r>
      <w:r w:rsidR="007369E9">
        <w:t>students with disabilities</w:t>
      </w:r>
      <w:r w:rsidRPr="00EA40F3">
        <w:t xml:space="preserve"> and </w:t>
      </w:r>
      <w:r w:rsidR="007369E9">
        <w:t xml:space="preserve">students in </w:t>
      </w:r>
      <w:r w:rsidRPr="00EA40F3">
        <w:t xml:space="preserve">general education. </w:t>
      </w:r>
    </w:p>
    <w:p w14:paraId="2657F811" w14:textId="4B949B5E" w:rsidR="00EA40F3" w:rsidRDefault="008700A8" w:rsidP="00EA40F3">
      <w:pPr>
        <w:spacing w:after="120"/>
      </w:pPr>
      <w:r>
        <w:t>The district</w:t>
      </w:r>
      <w:r w:rsidR="00EA40F3" w:rsidRPr="00EA40F3">
        <w:t xml:space="preserve"> </w:t>
      </w:r>
      <w:r w:rsidR="007369E9">
        <w:t>provides</w:t>
      </w:r>
      <w:r w:rsidR="007369E9" w:rsidRPr="00EA40F3">
        <w:t xml:space="preserve"> </w:t>
      </w:r>
      <w:r w:rsidR="00EA40F3" w:rsidRPr="00EA40F3">
        <w:t>several programs to aid students in completing their secondary education including credit recovery, summer school</w:t>
      </w:r>
      <w:r w:rsidR="007369E9">
        <w:t>,</w:t>
      </w:r>
      <w:r w:rsidR="00EA40F3" w:rsidRPr="00EA40F3">
        <w:t xml:space="preserve"> and an after</w:t>
      </w:r>
      <w:r w:rsidR="007369E9">
        <w:t>-</w:t>
      </w:r>
      <w:r w:rsidR="00EA40F3" w:rsidRPr="00EA40F3">
        <w:t xml:space="preserve">school </w:t>
      </w:r>
      <w:r w:rsidR="00BB3926">
        <w:t xml:space="preserve">High School Equivalency </w:t>
      </w:r>
      <w:r w:rsidR="007369E9" w:rsidRPr="00EA40F3">
        <w:t>Testing Program</w:t>
      </w:r>
      <w:r w:rsidR="007369E9">
        <w:t xml:space="preserve"> </w:t>
      </w:r>
      <w:r w:rsidR="00BB3926">
        <w:t>(HiSET)</w:t>
      </w:r>
      <w:r w:rsidR="00EA40F3" w:rsidRPr="00EA40F3">
        <w:t xml:space="preserve">. The district also </w:t>
      </w:r>
      <w:r w:rsidR="007369E9">
        <w:t>provides</w:t>
      </w:r>
      <w:r w:rsidR="007369E9" w:rsidRPr="00EA40F3">
        <w:t xml:space="preserve"> for students age</w:t>
      </w:r>
      <w:r w:rsidR="007369E9">
        <w:t>d</w:t>
      </w:r>
      <w:r w:rsidR="007369E9" w:rsidRPr="00EA40F3">
        <w:t xml:space="preserve"> 18</w:t>
      </w:r>
      <w:r w:rsidR="007369E9">
        <w:t>–</w:t>
      </w:r>
      <w:r w:rsidR="007369E9" w:rsidRPr="00EA40F3">
        <w:t>22</w:t>
      </w:r>
      <w:r w:rsidR="007369E9">
        <w:t xml:space="preserve"> </w:t>
      </w:r>
      <w:r w:rsidR="00EA40F3" w:rsidRPr="00EA40F3">
        <w:t>a post-secondary</w:t>
      </w:r>
      <w:r w:rsidR="007369E9">
        <w:t xml:space="preserve"> and</w:t>
      </w:r>
      <w:r w:rsidR="00BE7820">
        <w:t xml:space="preserve"> community</w:t>
      </w:r>
      <w:r w:rsidR="007369E9">
        <w:t>-</w:t>
      </w:r>
      <w:r w:rsidR="00EA40F3" w:rsidRPr="00EA40F3">
        <w:t xml:space="preserve">based program </w:t>
      </w:r>
      <w:r w:rsidR="007369E9">
        <w:t>which</w:t>
      </w:r>
      <w:r w:rsidR="007369E9" w:rsidRPr="00EA40F3">
        <w:t xml:space="preserve"> </w:t>
      </w:r>
      <w:r w:rsidR="00EA40F3" w:rsidRPr="00EA40F3">
        <w:t>provides experiential and educational opportunities in the areas of daily living, employment, community inclusion, recreation, leisure</w:t>
      </w:r>
      <w:r w:rsidR="007369E9">
        <w:t>, and real-</w:t>
      </w:r>
      <w:r w:rsidR="00EA40F3" w:rsidRPr="00EA40F3">
        <w:t>world academic skills.</w:t>
      </w:r>
    </w:p>
    <w:p w14:paraId="6E7AC1CD" w14:textId="5D5CFA55" w:rsidR="00077DC2" w:rsidRPr="00EA40F3" w:rsidRDefault="00077DC2" w:rsidP="00077DC2">
      <w:pPr>
        <w:spacing w:after="120"/>
      </w:pPr>
      <w:r w:rsidRPr="00EA40F3">
        <w:t>The di</w:t>
      </w:r>
      <w:r>
        <w:t>strict has low rates of suspension,</w:t>
      </w:r>
      <w:r w:rsidRPr="00EA40F3">
        <w:t xml:space="preserve"> dropout</w:t>
      </w:r>
      <w:r>
        <w:t>,</w:t>
      </w:r>
      <w:r w:rsidRPr="00EA40F3">
        <w:t xml:space="preserve"> and discipline referrals when compared </w:t>
      </w:r>
      <w:r>
        <w:t>with</w:t>
      </w:r>
      <w:r w:rsidRPr="00EA40F3">
        <w:t xml:space="preserve"> state averages.</w:t>
      </w:r>
      <w:r>
        <w:t xml:space="preserve"> According to ESE data, in 20</w:t>
      </w:r>
      <w:r w:rsidRPr="00EA40F3">
        <w:t>16</w:t>
      </w:r>
      <w:r>
        <w:t>–20</w:t>
      </w:r>
      <w:r w:rsidRPr="00EA40F3">
        <w:t xml:space="preserve">17, the </w:t>
      </w:r>
      <w:r>
        <w:t xml:space="preserve">district’s </w:t>
      </w:r>
      <w:r w:rsidRPr="00EA40F3">
        <w:t>out</w:t>
      </w:r>
      <w:r>
        <w:t>-</w:t>
      </w:r>
      <w:r w:rsidRPr="00EA40F3">
        <w:t>of</w:t>
      </w:r>
      <w:r>
        <w:t>-</w:t>
      </w:r>
      <w:r w:rsidRPr="00EA40F3">
        <w:t>school suspension rate was 2.0 per</w:t>
      </w:r>
      <w:r>
        <w:t>cent, compared with the state rate of 2.8 percent</w:t>
      </w:r>
      <w:r w:rsidRPr="00EA40F3">
        <w:t>. The</w:t>
      </w:r>
      <w:r>
        <w:t xml:space="preserve"> district’s 2017 dropout rate was 0.2 percent compared with the state rate of 1.8 percent.</w:t>
      </w:r>
    </w:p>
    <w:p w14:paraId="4B1911F9" w14:textId="5FD9EC2F" w:rsidR="00EA40F3" w:rsidRDefault="00EA40F3" w:rsidP="00EA40F3">
      <w:pPr>
        <w:spacing w:after="120"/>
      </w:pPr>
      <w:r w:rsidRPr="00EA40F3">
        <w:t xml:space="preserve">Students and staff </w:t>
      </w:r>
      <w:r w:rsidR="007369E9">
        <w:t xml:space="preserve">said </w:t>
      </w:r>
      <w:r w:rsidRPr="00EA40F3">
        <w:t xml:space="preserve">that the high school </w:t>
      </w:r>
      <w:r w:rsidR="007369E9">
        <w:t>was</w:t>
      </w:r>
      <w:r w:rsidR="007369E9" w:rsidRPr="00EA40F3">
        <w:t xml:space="preserve"> </w:t>
      </w:r>
      <w:r w:rsidRPr="00EA40F3">
        <w:t xml:space="preserve">a safe place. The district has a comprehensive safety plan. </w:t>
      </w:r>
      <w:r w:rsidR="00580EEB">
        <w:t>S</w:t>
      </w:r>
      <w:r w:rsidR="00580EEB" w:rsidRPr="00EA40F3">
        <w:t xml:space="preserve">chool </w:t>
      </w:r>
      <w:r w:rsidR="00580EEB">
        <w:t>leaders</w:t>
      </w:r>
      <w:r w:rsidR="00580EEB" w:rsidRPr="00EA40F3">
        <w:t xml:space="preserve"> and local public safety officials </w:t>
      </w:r>
      <w:r w:rsidR="00580EEB">
        <w:t>conduct r</w:t>
      </w:r>
      <w:r w:rsidRPr="00EA40F3">
        <w:t>egular drills and tab</w:t>
      </w:r>
      <w:r w:rsidR="008700A8">
        <w:t>le</w:t>
      </w:r>
      <w:r w:rsidRPr="00EA40F3">
        <w:t>top exercises.</w:t>
      </w:r>
    </w:p>
    <w:p w14:paraId="494D24EC" w14:textId="50B646EA" w:rsidR="00E26824" w:rsidRDefault="00E26824" w:rsidP="00EA40F3">
      <w:pPr>
        <w:spacing w:after="120"/>
      </w:pPr>
    </w:p>
    <w:p w14:paraId="4D244DCB" w14:textId="77777777" w:rsidR="002E153B" w:rsidRPr="00551677" w:rsidRDefault="008F1288" w:rsidP="002E153B">
      <w:pPr>
        <w:pStyle w:val="Subsection"/>
        <w:tabs>
          <w:tab w:val="left" w:pos="360"/>
          <w:tab w:val="left" w:pos="720"/>
          <w:tab w:val="left" w:pos="1080"/>
          <w:tab w:val="left" w:pos="1440"/>
          <w:tab w:val="left" w:pos="1800"/>
          <w:tab w:val="left" w:pos="2160"/>
          <w:tab w:val="left" w:pos="2520"/>
          <w:tab w:val="left" w:pos="2880"/>
        </w:tabs>
        <w:spacing w:before="0"/>
        <w:rPr>
          <w:szCs w:val="28"/>
        </w:rPr>
      </w:pPr>
      <w:r w:rsidRPr="008F1288">
        <w:rPr>
          <w:szCs w:val="28"/>
        </w:rPr>
        <w:t>Strength Findings</w:t>
      </w:r>
    </w:p>
    <w:p w14:paraId="414C3728" w14:textId="22CDF22F" w:rsidR="00EA40F3" w:rsidRPr="00D34770" w:rsidRDefault="00EA40F3" w:rsidP="00EA40F3">
      <w:pPr>
        <w:tabs>
          <w:tab w:val="left" w:pos="360"/>
          <w:tab w:val="left" w:pos="720"/>
          <w:tab w:val="left" w:pos="1080"/>
          <w:tab w:val="left" w:pos="1440"/>
          <w:tab w:val="left" w:pos="1800"/>
          <w:tab w:val="left" w:pos="2160"/>
        </w:tabs>
        <w:ind w:left="360" w:hanging="360"/>
        <w:rPr>
          <w:b/>
          <w:i/>
        </w:rPr>
      </w:pPr>
      <w:r>
        <w:rPr>
          <w:b/>
        </w:rPr>
        <w:t xml:space="preserve">1. </w:t>
      </w:r>
      <w:r>
        <w:rPr>
          <w:b/>
        </w:rPr>
        <w:tab/>
        <w:t>The district has moved to an inclusion model for students with special needs, whether academic, social</w:t>
      </w:r>
      <w:r w:rsidR="00CF599A">
        <w:rPr>
          <w:b/>
        </w:rPr>
        <w:t>-</w:t>
      </w:r>
      <w:r>
        <w:rPr>
          <w:b/>
        </w:rPr>
        <w:t>emotional or behavioral. This has increased the number of students participating in general education classes and reduced the number of students receiving pullout instruction or in substantially separate classes.</w:t>
      </w:r>
    </w:p>
    <w:p w14:paraId="23ECD8FE" w14:textId="1EB62F60" w:rsidR="00EA40F3" w:rsidRPr="008700A8" w:rsidRDefault="008700A8" w:rsidP="008700A8">
      <w:pPr>
        <w:tabs>
          <w:tab w:val="left" w:pos="360"/>
          <w:tab w:val="left" w:pos="720"/>
          <w:tab w:val="left" w:pos="1080"/>
          <w:tab w:val="left" w:pos="1440"/>
          <w:tab w:val="left" w:pos="1800"/>
          <w:tab w:val="left" w:pos="2160"/>
        </w:tabs>
        <w:ind w:left="360"/>
        <w:rPr>
          <w:b/>
          <w:i/>
        </w:rPr>
      </w:pPr>
      <w:r w:rsidRPr="008700A8">
        <w:rPr>
          <w:b/>
        </w:rPr>
        <w:t>A</w:t>
      </w:r>
      <w:r>
        <w:t xml:space="preserve">. </w:t>
      </w:r>
      <w:r w:rsidR="007C7EE9">
        <w:tab/>
      </w:r>
      <w:r w:rsidR="00EA40F3">
        <w:t>The district’s planning documents describe a vision for inclusive practices in the district.</w:t>
      </w:r>
    </w:p>
    <w:p w14:paraId="4055AB44" w14:textId="215EB12C" w:rsidR="00EA40F3" w:rsidRDefault="008700A8" w:rsidP="00E22258">
      <w:pPr>
        <w:tabs>
          <w:tab w:val="left" w:pos="360"/>
          <w:tab w:val="left" w:pos="1080"/>
          <w:tab w:val="left" w:pos="1440"/>
          <w:tab w:val="left" w:pos="1800"/>
          <w:tab w:val="left" w:pos="2160"/>
        </w:tabs>
        <w:ind w:left="1080" w:hanging="360"/>
      </w:pPr>
      <w:r>
        <w:t xml:space="preserve">1. </w:t>
      </w:r>
      <w:r w:rsidR="007C7EE9">
        <w:tab/>
      </w:r>
      <w:r w:rsidR="00CF599A">
        <w:t xml:space="preserve">Under the heading “individualized student learning,” </w:t>
      </w:r>
      <w:r w:rsidR="00CF599A" w:rsidRPr="0084104E">
        <w:t xml:space="preserve">the </w:t>
      </w:r>
      <w:r w:rsidR="00EA40F3" w:rsidRPr="0084104E">
        <w:t>district</w:t>
      </w:r>
      <w:r w:rsidR="002B059F" w:rsidRPr="0084104E">
        <w:t>’s Instructional S</w:t>
      </w:r>
      <w:r w:rsidR="00EA40F3" w:rsidRPr="0084104E">
        <w:t>trategy 2017</w:t>
      </w:r>
      <w:r w:rsidR="0084104E">
        <w:t>–</w:t>
      </w:r>
      <w:r w:rsidR="00EA40F3" w:rsidRPr="0084104E">
        <w:t>2020</w:t>
      </w:r>
      <w:r w:rsidR="00EA40F3">
        <w:t xml:space="preserve"> lists as an initiative the development of inclusive practices to meet the diverse academic and social</w:t>
      </w:r>
      <w:r w:rsidR="001F2838">
        <w:t>-</w:t>
      </w:r>
      <w:r w:rsidR="00EA40F3">
        <w:t>emotional needs of students.</w:t>
      </w:r>
    </w:p>
    <w:p w14:paraId="319813AA" w14:textId="1788B560" w:rsidR="00EA40F3" w:rsidRDefault="005B0404" w:rsidP="00E22258">
      <w:pPr>
        <w:tabs>
          <w:tab w:val="left" w:pos="0"/>
          <w:tab w:val="left" w:pos="360"/>
          <w:tab w:val="left" w:pos="720"/>
          <w:tab w:val="left" w:pos="1080"/>
          <w:tab w:val="left" w:pos="1440"/>
          <w:tab w:val="left" w:pos="1800"/>
          <w:tab w:val="left" w:pos="2160"/>
        </w:tabs>
        <w:ind w:left="1440" w:hanging="360"/>
      </w:pPr>
      <w:r>
        <w:t>a.</w:t>
      </w:r>
      <w:r>
        <w:tab/>
      </w:r>
      <w:r w:rsidR="00EA40F3">
        <w:t>The district</w:t>
      </w:r>
      <w:r w:rsidR="002B059F">
        <w:t>’</w:t>
      </w:r>
      <w:r w:rsidR="00EA40F3">
        <w:t>s 2017</w:t>
      </w:r>
      <w:r w:rsidR="00CF599A">
        <w:t>–</w:t>
      </w:r>
      <w:r w:rsidR="001F2838">
        <w:t>20</w:t>
      </w:r>
      <w:r w:rsidR="00EA40F3">
        <w:t xml:space="preserve">18 action plan for inclusive practice has as its </w:t>
      </w:r>
      <w:r>
        <w:t xml:space="preserve">intended </w:t>
      </w:r>
      <w:r w:rsidR="00EA40F3">
        <w:t xml:space="preserve">outcome that </w:t>
      </w:r>
      <w:r w:rsidR="001F2838">
        <w:t xml:space="preserve">the district </w:t>
      </w:r>
      <w:r w:rsidR="00EA40F3">
        <w:t>will realize a fully inclusive model as articulated in the district</w:t>
      </w:r>
      <w:r w:rsidR="002B059F">
        <w:t>’</w:t>
      </w:r>
      <w:r w:rsidR="00EA40F3">
        <w:t>s vision.</w:t>
      </w:r>
    </w:p>
    <w:p w14:paraId="323730EF" w14:textId="028253A2" w:rsidR="00EA40F3" w:rsidRDefault="002B059F" w:rsidP="00FC58CB">
      <w:pPr>
        <w:pStyle w:val="ListParagraph"/>
        <w:numPr>
          <w:ilvl w:val="2"/>
          <w:numId w:val="3"/>
        </w:numPr>
        <w:tabs>
          <w:tab w:val="left" w:pos="0"/>
          <w:tab w:val="left" w:pos="360"/>
          <w:tab w:val="left" w:pos="720"/>
          <w:tab w:val="left" w:pos="1080"/>
          <w:tab w:val="left" w:pos="1440"/>
          <w:tab w:val="left" w:pos="1800"/>
          <w:tab w:val="left" w:pos="2160"/>
        </w:tabs>
        <w:ind w:left="1080"/>
        <w:contextualSpacing w:val="0"/>
      </w:pPr>
      <w:r>
        <w:t xml:space="preserve">The </w:t>
      </w:r>
      <w:r w:rsidR="001F2838">
        <w:t xml:space="preserve">district </w:t>
      </w:r>
      <w:r>
        <w:t>document “Striving for Excellence as a Model Inclusionary School S</w:t>
      </w:r>
      <w:r w:rsidR="00EA40F3">
        <w:t xml:space="preserve">ystem” outlines </w:t>
      </w:r>
      <w:r w:rsidR="001F2838">
        <w:t>how</w:t>
      </w:r>
      <w:r w:rsidR="00EA40F3">
        <w:t xml:space="preserve"> students learn in an inclusionary setting. For example, </w:t>
      </w:r>
      <w:r w:rsidR="001F2838">
        <w:t>the</w:t>
      </w:r>
      <w:r w:rsidR="008A21A5">
        <w:t xml:space="preserve"> </w:t>
      </w:r>
      <w:r w:rsidR="001F2838">
        <w:t xml:space="preserve">document states </w:t>
      </w:r>
      <w:r w:rsidR="00EA40F3">
        <w:t>that students “are expected to meet the same standards, but are provided supports as needed and are allowed different paths and time to get there</w:t>
      </w:r>
      <w:r w:rsidR="001F2838">
        <w:t>.</w:t>
      </w:r>
      <w:r w:rsidR="00EA40F3">
        <w:t>”</w:t>
      </w:r>
    </w:p>
    <w:p w14:paraId="2D20281C" w14:textId="77777777" w:rsidR="00EA40F3" w:rsidRDefault="00EA40F3" w:rsidP="00FC58CB">
      <w:pPr>
        <w:pStyle w:val="ListParagraph"/>
        <w:numPr>
          <w:ilvl w:val="1"/>
          <w:numId w:val="3"/>
        </w:numPr>
        <w:tabs>
          <w:tab w:val="left" w:pos="0"/>
          <w:tab w:val="left" w:pos="360"/>
          <w:tab w:val="left" w:pos="1080"/>
          <w:tab w:val="left" w:pos="1800"/>
          <w:tab w:val="left" w:pos="2160"/>
        </w:tabs>
        <w:ind w:left="720"/>
        <w:contextualSpacing w:val="0"/>
      </w:pPr>
      <w:r>
        <w:t xml:space="preserve">The district has reduced the number of students in substantially separate classrooms. </w:t>
      </w:r>
    </w:p>
    <w:p w14:paraId="45AF7E6E" w14:textId="4616DEC8" w:rsidR="00EA40F3" w:rsidRDefault="00EA40F3" w:rsidP="00FC58CB">
      <w:pPr>
        <w:pStyle w:val="ListParagraph"/>
        <w:numPr>
          <w:ilvl w:val="2"/>
          <w:numId w:val="3"/>
        </w:numPr>
        <w:tabs>
          <w:tab w:val="left" w:pos="0"/>
          <w:tab w:val="left" w:pos="360"/>
          <w:tab w:val="left" w:pos="1080"/>
          <w:tab w:val="left" w:pos="1800"/>
          <w:tab w:val="left" w:pos="2160"/>
        </w:tabs>
        <w:ind w:left="1080"/>
        <w:contextualSpacing w:val="0"/>
      </w:pPr>
      <w:r>
        <w:lastRenderedPageBreak/>
        <w:t xml:space="preserve">The district developed a philosophy of inclusion that returned students to their neighborhood </w:t>
      </w:r>
      <w:r w:rsidR="00551683">
        <w:t>schools from</w:t>
      </w:r>
      <w:r>
        <w:t xml:space="preserve"> substantially separate classrooms in other elementary schools. </w:t>
      </w:r>
    </w:p>
    <w:p w14:paraId="78922E01" w14:textId="519D01A0" w:rsidR="00EA40F3" w:rsidRPr="00A67687" w:rsidRDefault="008A21A5" w:rsidP="00FC58CB">
      <w:pPr>
        <w:pStyle w:val="ListParagraph"/>
        <w:numPr>
          <w:ilvl w:val="3"/>
          <w:numId w:val="3"/>
        </w:numPr>
        <w:tabs>
          <w:tab w:val="left" w:pos="0"/>
          <w:tab w:val="left" w:pos="360"/>
          <w:tab w:val="left" w:pos="1080"/>
          <w:tab w:val="left" w:pos="1440"/>
          <w:tab w:val="left" w:pos="2160"/>
        </w:tabs>
        <w:ind w:left="1440"/>
        <w:contextualSpacing w:val="0"/>
      </w:pPr>
      <w:r>
        <w:t xml:space="preserve">Before 2013, </w:t>
      </w:r>
      <w:r w:rsidR="00EA40F3">
        <w:t xml:space="preserve">the district had multiple substantially separate classes. Most were clustered in one elementary school. The superintendent </w:t>
      </w:r>
      <w:r>
        <w:t>s</w:t>
      </w:r>
      <w:r w:rsidR="003967B0">
        <w:t>tat</w:t>
      </w:r>
      <w:r>
        <w:t xml:space="preserve">ed </w:t>
      </w:r>
      <w:r w:rsidR="00EA40F3">
        <w:t xml:space="preserve">that there </w:t>
      </w:r>
      <w:r>
        <w:t xml:space="preserve">were </w:t>
      </w:r>
      <w:r w:rsidR="00EA40F3">
        <w:t>now few students in substantially separate classrooms</w:t>
      </w:r>
      <w:r>
        <w:t>.</w:t>
      </w:r>
      <w:r w:rsidR="00EA40F3">
        <w:t xml:space="preserve"> </w:t>
      </w:r>
      <w:r>
        <w:t>D</w:t>
      </w:r>
      <w:r w:rsidR="00EA40F3">
        <w:t xml:space="preserve">istrict </w:t>
      </w:r>
      <w:r>
        <w:t>leaders said</w:t>
      </w:r>
      <w:r w:rsidR="00EA40F3">
        <w:t xml:space="preserve"> that the district was near the end of </w:t>
      </w:r>
      <w:r w:rsidR="0065129B">
        <w:t xml:space="preserve">the process of </w:t>
      </w:r>
      <w:r w:rsidR="00EA40F3">
        <w:t>disbanding substantially separate classrooms.</w:t>
      </w:r>
    </w:p>
    <w:p w14:paraId="1AFBD9B9" w14:textId="38BEA5FA" w:rsidR="00EA40F3" w:rsidRDefault="00EA40F3" w:rsidP="00FC58CB">
      <w:pPr>
        <w:pStyle w:val="ListParagraph"/>
        <w:numPr>
          <w:ilvl w:val="3"/>
          <w:numId w:val="3"/>
        </w:numPr>
        <w:tabs>
          <w:tab w:val="left" w:pos="0"/>
          <w:tab w:val="left" w:pos="360"/>
          <w:tab w:val="left" w:pos="720"/>
          <w:tab w:val="left" w:pos="1080"/>
          <w:tab w:val="left" w:pos="1440"/>
          <w:tab w:val="left" w:pos="1800"/>
          <w:tab w:val="left" w:pos="2160"/>
        </w:tabs>
        <w:ind w:left="1440"/>
        <w:contextualSpacing w:val="0"/>
      </w:pPr>
      <w:r>
        <w:t>Elementary students who were in the substantially separate academic support program (IASP) have been moved to a new</w:t>
      </w:r>
      <w:r w:rsidR="00507CAD">
        <w:t xml:space="preserve"> (2017</w:t>
      </w:r>
      <w:r w:rsidR="00190ED3">
        <w:t>–</w:t>
      </w:r>
      <w:r w:rsidR="00507CAD">
        <w:t>2018)</w:t>
      </w:r>
      <w:r>
        <w:t xml:space="preserve"> program, the social therapeutic academic community for kids (STACK). The students in this program are included in general education classrooms. </w:t>
      </w:r>
    </w:p>
    <w:p w14:paraId="4ADC3D56" w14:textId="3C59A474" w:rsidR="00EA40F3" w:rsidRDefault="00EA40F3" w:rsidP="00FC58CB">
      <w:pPr>
        <w:pStyle w:val="ListParagraph"/>
        <w:numPr>
          <w:ilvl w:val="3"/>
          <w:numId w:val="3"/>
        </w:numPr>
        <w:tabs>
          <w:tab w:val="left" w:pos="0"/>
          <w:tab w:val="left" w:pos="360"/>
          <w:tab w:val="left" w:pos="720"/>
          <w:tab w:val="left" w:pos="1080"/>
          <w:tab w:val="left" w:pos="1440"/>
          <w:tab w:val="left" w:pos="1800"/>
          <w:tab w:val="left" w:pos="2160"/>
        </w:tabs>
        <w:ind w:left="1440"/>
        <w:contextualSpacing w:val="0"/>
      </w:pPr>
      <w:r>
        <w:t xml:space="preserve">District </w:t>
      </w:r>
      <w:r w:rsidR="00076538">
        <w:t xml:space="preserve">leaders </w:t>
      </w:r>
      <w:r>
        <w:t xml:space="preserve">stated that </w:t>
      </w:r>
      <w:r w:rsidR="00BC0DCF">
        <w:t xml:space="preserve">because </w:t>
      </w:r>
      <w:r>
        <w:t xml:space="preserve">students who </w:t>
      </w:r>
      <w:r w:rsidR="00BC0DCF">
        <w:t xml:space="preserve">had been </w:t>
      </w:r>
      <w:r>
        <w:t xml:space="preserve">in substantially separate classrooms </w:t>
      </w:r>
      <w:r w:rsidR="00BC0DCF">
        <w:t xml:space="preserve">were </w:t>
      </w:r>
      <w:r>
        <w:t>now included in general education classrooms</w:t>
      </w:r>
      <w:r w:rsidR="00E314E3">
        <w:t>,</w:t>
      </w:r>
      <w:r>
        <w:t xml:space="preserve"> behavioral issues have been reduced and the students </w:t>
      </w:r>
      <w:r w:rsidR="00076538">
        <w:t xml:space="preserve">were </w:t>
      </w:r>
      <w:r>
        <w:t xml:space="preserve">now accessing the </w:t>
      </w:r>
      <w:r w:rsidR="00E314E3">
        <w:t xml:space="preserve">full </w:t>
      </w:r>
      <w:r>
        <w:t xml:space="preserve">curriculum for the first time. </w:t>
      </w:r>
    </w:p>
    <w:p w14:paraId="7E29EFBE" w14:textId="15A304C9" w:rsidR="00EA40F3" w:rsidRPr="00284C43" w:rsidRDefault="00BC0DCF" w:rsidP="00FC58CB">
      <w:pPr>
        <w:pStyle w:val="ListParagraph"/>
        <w:numPr>
          <w:ilvl w:val="3"/>
          <w:numId w:val="3"/>
        </w:numPr>
        <w:tabs>
          <w:tab w:val="left" w:pos="0"/>
          <w:tab w:val="left" w:pos="360"/>
          <w:tab w:val="left" w:pos="720"/>
          <w:tab w:val="left" w:pos="1080"/>
          <w:tab w:val="left" w:pos="1440"/>
          <w:tab w:val="left" w:pos="1800"/>
          <w:tab w:val="left" w:pos="2160"/>
        </w:tabs>
        <w:ind w:left="1440"/>
        <w:contextualSpacing w:val="0"/>
      </w:pPr>
      <w:r>
        <w:t>Between 2013 and 2015,</w:t>
      </w:r>
      <w:r w:rsidR="00EA40F3">
        <w:t xml:space="preserve"> the district hired a fourth ELL teacher and moved E</w:t>
      </w:r>
      <w:r>
        <w:t>nglish language learners</w:t>
      </w:r>
      <w:r w:rsidR="00EA40F3">
        <w:t>, who previously had been clustered in one elementary school, into their neighborhood schools.</w:t>
      </w:r>
    </w:p>
    <w:p w14:paraId="77BE1054" w14:textId="186E3335" w:rsidR="00EA40F3" w:rsidRDefault="00EA40F3" w:rsidP="00FC58CB">
      <w:pPr>
        <w:pStyle w:val="ListParagraph"/>
        <w:numPr>
          <w:ilvl w:val="0"/>
          <w:numId w:val="4"/>
        </w:numPr>
        <w:tabs>
          <w:tab w:val="left" w:pos="360"/>
          <w:tab w:val="left" w:pos="720"/>
          <w:tab w:val="left" w:pos="1080"/>
          <w:tab w:val="left" w:pos="1800"/>
          <w:tab w:val="left" w:pos="2160"/>
        </w:tabs>
        <w:ind w:left="720"/>
        <w:contextualSpacing w:val="0"/>
      </w:pPr>
      <w:r>
        <w:t xml:space="preserve">The district has hired staff and created new positions to facilitate the inclusion of students </w:t>
      </w:r>
      <w:r w:rsidR="00BC0DCF">
        <w:t xml:space="preserve">with disabilities </w:t>
      </w:r>
      <w:r>
        <w:t xml:space="preserve">in general education classrooms. </w:t>
      </w:r>
    </w:p>
    <w:p w14:paraId="51856C09" w14:textId="56AF2536" w:rsidR="00EA40F3" w:rsidRDefault="00EA40F3" w:rsidP="00FC58CB">
      <w:pPr>
        <w:pStyle w:val="ListParagraph"/>
        <w:numPr>
          <w:ilvl w:val="2"/>
          <w:numId w:val="4"/>
        </w:numPr>
        <w:tabs>
          <w:tab w:val="left" w:pos="360"/>
          <w:tab w:val="left" w:pos="720"/>
          <w:tab w:val="left" w:pos="1080"/>
          <w:tab w:val="left" w:pos="1440"/>
          <w:tab w:val="left" w:pos="1800"/>
          <w:tab w:val="left" w:pos="2160"/>
        </w:tabs>
        <w:ind w:left="1080"/>
        <w:contextualSpacing w:val="0"/>
      </w:pPr>
      <w:r>
        <w:t>The district has adopted a co-teaching model in inclusion classrooms</w:t>
      </w:r>
      <w:r w:rsidR="002B059F">
        <w:t>.</w:t>
      </w:r>
      <w:r>
        <w:t xml:space="preserve"> </w:t>
      </w:r>
    </w:p>
    <w:p w14:paraId="068E897D" w14:textId="2E648753" w:rsidR="00EA40F3" w:rsidRDefault="00EA40F3" w:rsidP="00FC58CB">
      <w:pPr>
        <w:pStyle w:val="ListParagraph"/>
        <w:numPr>
          <w:ilvl w:val="3"/>
          <w:numId w:val="4"/>
        </w:numPr>
        <w:tabs>
          <w:tab w:val="left" w:pos="360"/>
          <w:tab w:val="left" w:pos="720"/>
          <w:tab w:val="left" w:pos="1080"/>
          <w:tab w:val="left" w:pos="1440"/>
          <w:tab w:val="left" w:pos="1800"/>
          <w:tab w:val="left" w:pos="2160"/>
        </w:tabs>
        <w:ind w:left="1440"/>
        <w:contextualSpacing w:val="0"/>
      </w:pPr>
      <w:r>
        <w:t xml:space="preserve">The superintendent stated that there was co-teaching at every level. </w:t>
      </w:r>
    </w:p>
    <w:p w14:paraId="253D2953" w14:textId="62D25EB8" w:rsidR="00EA40F3" w:rsidRPr="00264DB2" w:rsidRDefault="00EA40F3" w:rsidP="00FC58CB">
      <w:pPr>
        <w:pStyle w:val="ListParagraph"/>
        <w:numPr>
          <w:ilvl w:val="3"/>
          <w:numId w:val="4"/>
        </w:numPr>
        <w:tabs>
          <w:tab w:val="left" w:pos="360"/>
          <w:tab w:val="left" w:pos="720"/>
          <w:tab w:val="left" w:pos="1080"/>
          <w:tab w:val="left" w:pos="1440"/>
          <w:tab w:val="left" w:pos="1800"/>
          <w:tab w:val="left" w:pos="2160"/>
        </w:tabs>
        <w:ind w:left="1440"/>
        <w:contextualSpacing w:val="0"/>
      </w:pPr>
      <w:r>
        <w:t xml:space="preserve">District </w:t>
      </w:r>
      <w:r w:rsidR="006C01F1">
        <w:t xml:space="preserve">leaders </w:t>
      </w:r>
      <w:r>
        <w:t>stated that co-teaching classrooms were in place at two elemen</w:t>
      </w:r>
      <w:r w:rsidR="006C01F1">
        <w:t xml:space="preserve">tary schools, the middle school, </w:t>
      </w:r>
      <w:r>
        <w:t>and the high school.</w:t>
      </w:r>
    </w:p>
    <w:p w14:paraId="36670F5F" w14:textId="1F2491BE" w:rsidR="00EA40F3" w:rsidRDefault="00EA40F3" w:rsidP="00FC58CB">
      <w:pPr>
        <w:pStyle w:val="ListParagraph"/>
        <w:numPr>
          <w:ilvl w:val="2"/>
          <w:numId w:val="4"/>
        </w:numPr>
        <w:tabs>
          <w:tab w:val="left" w:pos="360"/>
          <w:tab w:val="left" w:pos="720"/>
          <w:tab w:val="left" w:pos="1080"/>
          <w:tab w:val="left" w:pos="1440"/>
          <w:tab w:val="left" w:pos="1800"/>
          <w:tab w:val="left" w:pos="2160"/>
        </w:tabs>
        <w:ind w:left="1080"/>
        <w:contextualSpacing w:val="0"/>
      </w:pPr>
      <w:r>
        <w:t xml:space="preserve">The district has created the position of special education coordinator. There are three </w:t>
      </w:r>
      <w:r w:rsidR="00CF599A">
        <w:t xml:space="preserve">special education </w:t>
      </w:r>
      <w:r>
        <w:t xml:space="preserve">coordinators, one at each level. </w:t>
      </w:r>
    </w:p>
    <w:p w14:paraId="2AC58E86" w14:textId="50CB1AF4" w:rsidR="00EA40F3" w:rsidRDefault="00EA40F3" w:rsidP="00FC58CB">
      <w:pPr>
        <w:pStyle w:val="ListParagraph"/>
        <w:numPr>
          <w:ilvl w:val="3"/>
          <w:numId w:val="4"/>
        </w:numPr>
        <w:tabs>
          <w:tab w:val="left" w:pos="360"/>
          <w:tab w:val="left" w:pos="720"/>
          <w:tab w:val="left" w:pos="1080"/>
          <w:tab w:val="left" w:pos="1440"/>
          <w:tab w:val="left" w:pos="1800"/>
          <w:tab w:val="left" w:pos="2160"/>
        </w:tabs>
        <w:ind w:left="1440"/>
        <w:contextualSpacing w:val="0"/>
      </w:pPr>
      <w:r>
        <w:t xml:space="preserve">District </w:t>
      </w:r>
      <w:r w:rsidR="006C01F1">
        <w:t xml:space="preserve">leaders </w:t>
      </w:r>
      <w:r>
        <w:t>stated that the coordinators</w:t>
      </w:r>
      <w:r w:rsidR="006C01F1">
        <w:t>’ responsibilities</w:t>
      </w:r>
      <w:r>
        <w:t xml:space="preserve"> </w:t>
      </w:r>
      <w:r w:rsidR="006C01F1">
        <w:t>included</w:t>
      </w:r>
      <w:r>
        <w:t xml:space="preserve"> support</w:t>
      </w:r>
      <w:r w:rsidR="006C01F1">
        <w:t>ing</w:t>
      </w:r>
      <w:r>
        <w:t xml:space="preserve"> inclusion, work</w:t>
      </w:r>
      <w:r w:rsidR="006C01F1">
        <w:t>ing</w:t>
      </w:r>
      <w:r>
        <w:t xml:space="preserve"> as inclusion coaches, </w:t>
      </w:r>
      <w:r w:rsidR="002B059F">
        <w:t xml:space="preserve">and </w:t>
      </w:r>
      <w:r w:rsidR="006C01F1">
        <w:t xml:space="preserve">facilitating </w:t>
      </w:r>
      <w:r>
        <w:t xml:space="preserve">professional development and co-teaching models. </w:t>
      </w:r>
    </w:p>
    <w:p w14:paraId="367560FF" w14:textId="019C2477" w:rsidR="00EA40F3" w:rsidRDefault="00EA40F3" w:rsidP="00EA40F3">
      <w:pPr>
        <w:tabs>
          <w:tab w:val="left" w:pos="360"/>
          <w:tab w:val="left" w:pos="1080"/>
          <w:tab w:val="left" w:pos="1440"/>
          <w:tab w:val="left" w:pos="1800"/>
          <w:tab w:val="left" w:pos="2160"/>
        </w:tabs>
      </w:pPr>
      <w:r w:rsidRPr="004E594D">
        <w:rPr>
          <w:b/>
        </w:rPr>
        <w:t>Impact</w:t>
      </w:r>
      <w:r w:rsidRPr="004E594D">
        <w:t xml:space="preserve">: </w:t>
      </w:r>
      <w:r>
        <w:t xml:space="preserve">By creating inclusionary </w:t>
      </w:r>
      <w:r w:rsidR="006C01F1">
        <w:t xml:space="preserve">practices </w:t>
      </w:r>
      <w:r>
        <w:t xml:space="preserve">and by investing in programs and staffing, </w:t>
      </w:r>
      <w:r w:rsidR="00CF599A">
        <w:t xml:space="preserve">the </w:t>
      </w:r>
      <w:r>
        <w:t xml:space="preserve">district </w:t>
      </w:r>
      <w:r w:rsidR="00CF599A">
        <w:t xml:space="preserve">likely </w:t>
      </w:r>
      <w:r>
        <w:t>ensure</w:t>
      </w:r>
      <w:r w:rsidR="00CF599A">
        <w:t>s</w:t>
      </w:r>
      <w:r>
        <w:t xml:space="preserve"> that all students </w:t>
      </w:r>
      <w:r w:rsidR="00D80E84">
        <w:t xml:space="preserve">with disabilities </w:t>
      </w:r>
      <w:r>
        <w:t xml:space="preserve">have access to the </w:t>
      </w:r>
      <w:r w:rsidR="00B5691A">
        <w:t xml:space="preserve">full </w:t>
      </w:r>
      <w:r>
        <w:t>curriculum and are</w:t>
      </w:r>
      <w:r w:rsidR="00E109A5">
        <w:t xml:space="preserve"> </w:t>
      </w:r>
      <w:r w:rsidR="00507CAD">
        <w:t>educated with their peers</w:t>
      </w:r>
      <w:r w:rsidR="00551683">
        <w:t>.</w:t>
      </w:r>
      <w:r>
        <w:t xml:space="preserve"> Thi</w:t>
      </w:r>
      <w:r w:rsidR="002B059F">
        <w:t xml:space="preserve">s </w:t>
      </w:r>
      <w:r w:rsidR="00D80E84">
        <w:t xml:space="preserve">likely </w:t>
      </w:r>
      <w:r w:rsidR="00E257F0">
        <w:t xml:space="preserve">contributes to a more positive school experience, improved social-emotional outcomes, and </w:t>
      </w:r>
      <w:r w:rsidR="002B059F">
        <w:t>higher student</w:t>
      </w:r>
      <w:r>
        <w:t xml:space="preserve"> achievement.</w:t>
      </w:r>
    </w:p>
    <w:p w14:paraId="13497960" w14:textId="77777777" w:rsidR="0017250F" w:rsidRPr="004E594D" w:rsidRDefault="0017250F" w:rsidP="00EA40F3">
      <w:pPr>
        <w:tabs>
          <w:tab w:val="left" w:pos="360"/>
          <w:tab w:val="left" w:pos="1080"/>
          <w:tab w:val="left" w:pos="1440"/>
          <w:tab w:val="left" w:pos="1800"/>
          <w:tab w:val="left" w:pos="2160"/>
        </w:tabs>
      </w:pPr>
    </w:p>
    <w:p w14:paraId="5016D87F" w14:textId="5E3FCBE8" w:rsidR="00EA40F3" w:rsidRPr="00D472EA" w:rsidRDefault="00EA40F3" w:rsidP="00FC58CB">
      <w:pPr>
        <w:pStyle w:val="ListParagraph"/>
        <w:numPr>
          <w:ilvl w:val="0"/>
          <w:numId w:val="5"/>
        </w:numPr>
        <w:tabs>
          <w:tab w:val="left" w:pos="360"/>
          <w:tab w:val="left" w:pos="1080"/>
          <w:tab w:val="left" w:pos="1440"/>
          <w:tab w:val="left" w:pos="1800"/>
          <w:tab w:val="left" w:pos="2160"/>
        </w:tabs>
        <w:ind w:left="360"/>
        <w:contextualSpacing w:val="0"/>
        <w:rPr>
          <w:b/>
        </w:rPr>
      </w:pPr>
      <w:r>
        <w:rPr>
          <w:b/>
        </w:rPr>
        <w:lastRenderedPageBreak/>
        <w:t>The district has focused on the social</w:t>
      </w:r>
      <w:r w:rsidR="009622F8">
        <w:rPr>
          <w:b/>
        </w:rPr>
        <w:t>-</w:t>
      </w:r>
      <w:r>
        <w:rPr>
          <w:b/>
        </w:rPr>
        <w:t>emotional health of its students through its planning process and through the development of programs and staffing priorities</w:t>
      </w:r>
      <w:r w:rsidR="007D7B7B">
        <w:rPr>
          <w:b/>
        </w:rPr>
        <w:t>.</w:t>
      </w:r>
    </w:p>
    <w:p w14:paraId="177C7361" w14:textId="08A224BE" w:rsidR="00EA40F3" w:rsidRDefault="00EA40F3" w:rsidP="00FC58CB">
      <w:pPr>
        <w:pStyle w:val="ListParagraph"/>
        <w:numPr>
          <w:ilvl w:val="0"/>
          <w:numId w:val="6"/>
        </w:numPr>
        <w:tabs>
          <w:tab w:val="left" w:pos="360"/>
          <w:tab w:val="left" w:pos="720"/>
          <w:tab w:val="left" w:pos="1080"/>
          <w:tab w:val="left" w:pos="1440"/>
          <w:tab w:val="left" w:pos="1800"/>
          <w:tab w:val="left" w:pos="2160"/>
        </w:tabs>
        <w:ind w:left="720"/>
        <w:contextualSpacing w:val="0"/>
      </w:pPr>
      <w:r>
        <w:t xml:space="preserve">The district </w:t>
      </w:r>
      <w:r w:rsidR="009622F8">
        <w:t>has made</w:t>
      </w:r>
      <w:r>
        <w:t xml:space="preserve"> the social</w:t>
      </w:r>
      <w:r w:rsidR="009622F8">
        <w:t>-</w:t>
      </w:r>
      <w:r>
        <w:t xml:space="preserve">emotional health of </w:t>
      </w:r>
      <w:r w:rsidR="009622F8">
        <w:t xml:space="preserve">its </w:t>
      </w:r>
      <w:r>
        <w:t>students a priority.</w:t>
      </w:r>
    </w:p>
    <w:p w14:paraId="06847A66" w14:textId="0C986FF7" w:rsidR="00B5691A" w:rsidRDefault="00CF599A" w:rsidP="00FC58CB">
      <w:pPr>
        <w:pStyle w:val="ListParagraph"/>
        <w:numPr>
          <w:ilvl w:val="6"/>
          <w:numId w:val="20"/>
        </w:numPr>
        <w:tabs>
          <w:tab w:val="left" w:pos="360"/>
          <w:tab w:val="left" w:pos="720"/>
          <w:tab w:val="left" w:pos="1080"/>
          <w:tab w:val="left" w:pos="1440"/>
          <w:tab w:val="left" w:pos="1800"/>
          <w:tab w:val="left" w:pos="2160"/>
        </w:tabs>
        <w:ind w:left="1080"/>
        <w:contextualSpacing w:val="0"/>
      </w:pPr>
      <w:r w:rsidRPr="00E22258">
        <w:t>In t</w:t>
      </w:r>
      <w:r w:rsidR="00EA40F3" w:rsidRPr="000851AA">
        <w:t>he district</w:t>
      </w:r>
      <w:r w:rsidR="00BF09CB" w:rsidRPr="000851AA">
        <w:t>’</w:t>
      </w:r>
      <w:r w:rsidR="00EA40F3" w:rsidRPr="000851AA">
        <w:t xml:space="preserve">s </w:t>
      </w:r>
      <w:r w:rsidR="00BF09CB" w:rsidRPr="000851AA">
        <w:t>Instructional S</w:t>
      </w:r>
      <w:r w:rsidR="00EA40F3" w:rsidRPr="000851AA">
        <w:t>trategy 2017</w:t>
      </w:r>
      <w:r w:rsidRPr="00E22258">
        <w:t>–</w:t>
      </w:r>
      <w:r w:rsidR="00EA40F3" w:rsidRPr="000851AA">
        <w:t>2020</w:t>
      </w:r>
      <w:r w:rsidR="009622F8" w:rsidRPr="000851AA">
        <w:t>,</w:t>
      </w:r>
      <w:r w:rsidR="00EA40F3">
        <w:t xml:space="preserve"> one of </w:t>
      </w:r>
      <w:r w:rsidR="009622F8">
        <w:t xml:space="preserve">the </w:t>
      </w:r>
      <w:r w:rsidR="00EA40F3">
        <w:t>nine initiatives for the 2017</w:t>
      </w:r>
      <w:r>
        <w:t>–</w:t>
      </w:r>
      <w:r w:rsidR="009622F8">
        <w:t>20</w:t>
      </w:r>
      <w:r w:rsidR="00EA40F3">
        <w:t xml:space="preserve">18 school year </w:t>
      </w:r>
      <w:r w:rsidR="009622F8">
        <w:t xml:space="preserve">is </w:t>
      </w:r>
      <w:r w:rsidR="00EA40F3">
        <w:t>to implement a new social</w:t>
      </w:r>
      <w:r w:rsidR="009622F8">
        <w:t>-</w:t>
      </w:r>
      <w:r w:rsidR="00EA40F3">
        <w:t xml:space="preserve"> emotional health and learning strategy.</w:t>
      </w:r>
    </w:p>
    <w:p w14:paraId="1C6311A7" w14:textId="5A6CE208" w:rsidR="00EA40F3" w:rsidRDefault="009622F8" w:rsidP="00FC58CB">
      <w:pPr>
        <w:pStyle w:val="ListParagraph"/>
        <w:numPr>
          <w:ilvl w:val="6"/>
          <w:numId w:val="20"/>
        </w:numPr>
        <w:tabs>
          <w:tab w:val="left" w:pos="360"/>
          <w:tab w:val="left" w:pos="720"/>
          <w:tab w:val="left" w:pos="1080"/>
          <w:tab w:val="left" w:pos="1440"/>
          <w:tab w:val="left" w:pos="1800"/>
          <w:tab w:val="left" w:pos="2160"/>
        </w:tabs>
        <w:ind w:left="1080"/>
        <w:contextualSpacing w:val="0"/>
      </w:pPr>
      <w:r>
        <w:t xml:space="preserve">When the review team asked the </w:t>
      </w:r>
      <w:r w:rsidR="00931713">
        <w:t xml:space="preserve">superintendent what drove the focus on </w:t>
      </w:r>
      <w:r>
        <w:t>social-</w:t>
      </w:r>
      <w:r w:rsidR="00931713">
        <w:t xml:space="preserve">emotional health, </w:t>
      </w:r>
      <w:r>
        <w:t xml:space="preserve">the superintendent </w:t>
      </w:r>
      <w:r w:rsidR="00931713">
        <w:t xml:space="preserve">said that she had been concerned about these issues for a long time, since her role as a </w:t>
      </w:r>
      <w:r w:rsidR="00CF599A">
        <w:t>high-</w:t>
      </w:r>
      <w:r w:rsidR="00931713">
        <w:t xml:space="preserve">school principal in the district. </w:t>
      </w:r>
      <w:r>
        <w:t>The superintendent also stated that</w:t>
      </w:r>
      <w:r w:rsidR="00931713">
        <w:t xml:space="preserve"> by </w:t>
      </w:r>
      <w:r>
        <w:t xml:space="preserve">including </w:t>
      </w:r>
      <w:r w:rsidR="00931713">
        <w:t xml:space="preserve">the </w:t>
      </w:r>
      <w:r>
        <w:t>social-</w:t>
      </w:r>
      <w:r w:rsidR="00190ED3">
        <w:t xml:space="preserve">emotional </w:t>
      </w:r>
      <w:r w:rsidR="00931713">
        <w:t xml:space="preserve">initiatives </w:t>
      </w:r>
      <w:r>
        <w:t xml:space="preserve">in </w:t>
      </w:r>
      <w:r w:rsidR="00931713">
        <w:t>the Ins</w:t>
      </w:r>
      <w:r w:rsidR="00BB3926">
        <w:t>tructional Strategy 2017</w:t>
      </w:r>
      <w:r w:rsidR="000851AA">
        <w:t>–</w:t>
      </w:r>
      <w:r w:rsidR="00BB3926">
        <w:t>2020</w:t>
      </w:r>
      <w:r>
        <w:t>,</w:t>
      </w:r>
      <w:r w:rsidR="00BB3926">
        <w:t xml:space="preserve"> </w:t>
      </w:r>
      <w:r w:rsidR="00931713">
        <w:t xml:space="preserve">the district could focus its </w:t>
      </w:r>
      <w:r w:rsidR="00190ED3">
        <w:t>exte</w:t>
      </w:r>
      <w:r w:rsidR="00303853">
        <w:t>rnal</w:t>
      </w:r>
      <w:r w:rsidR="00190ED3">
        <w:t xml:space="preserve"> </w:t>
      </w:r>
      <w:r w:rsidR="00931713">
        <w:t>partners and ensure that there were no gaps or overlaps.</w:t>
      </w:r>
    </w:p>
    <w:p w14:paraId="2E6DF219" w14:textId="21416488" w:rsidR="00B75E6F" w:rsidRDefault="00EA40F3" w:rsidP="00FC58CB">
      <w:pPr>
        <w:pStyle w:val="ListParagraph"/>
        <w:numPr>
          <w:ilvl w:val="6"/>
          <w:numId w:val="20"/>
        </w:numPr>
        <w:tabs>
          <w:tab w:val="left" w:pos="360"/>
          <w:tab w:val="left" w:pos="720"/>
          <w:tab w:val="left" w:pos="1080"/>
          <w:tab w:val="left" w:pos="1440"/>
          <w:tab w:val="left" w:pos="1800"/>
          <w:tab w:val="left" w:pos="2160"/>
        </w:tabs>
        <w:ind w:left="1080"/>
        <w:contextualSpacing w:val="0"/>
      </w:pPr>
      <w:r>
        <w:t xml:space="preserve">The district </w:t>
      </w:r>
      <w:r w:rsidR="00BF09CB">
        <w:t>document entitled “WPS Strategy for Social Emotional Health and L</w:t>
      </w:r>
      <w:r>
        <w:t>earning</w:t>
      </w:r>
      <w:r w:rsidR="00BF09CB">
        <w:t>”</w:t>
      </w:r>
      <w:r>
        <w:t xml:space="preserve"> has seven initiatives for the 2017</w:t>
      </w:r>
      <w:r w:rsidR="00CF599A">
        <w:t>–</w:t>
      </w:r>
      <w:r>
        <w:t xml:space="preserve">2018 school year under three headings: promote emotional and mental health; cultivating safe, welcoming and healthy schools; </w:t>
      </w:r>
      <w:r w:rsidR="00BF09CB">
        <w:t xml:space="preserve">and </w:t>
      </w:r>
      <w:r>
        <w:t xml:space="preserve">develop responsible and resilient children. </w:t>
      </w:r>
    </w:p>
    <w:p w14:paraId="484A8BE4" w14:textId="04402078" w:rsidR="00EA40F3" w:rsidRPr="0026395C" w:rsidRDefault="00B75E6F" w:rsidP="004B4776">
      <w:pPr>
        <w:pStyle w:val="ListParagraph"/>
        <w:numPr>
          <w:ilvl w:val="6"/>
          <w:numId w:val="20"/>
        </w:numPr>
        <w:tabs>
          <w:tab w:val="left" w:pos="360"/>
          <w:tab w:val="left" w:pos="720"/>
          <w:tab w:val="left" w:pos="1080"/>
          <w:tab w:val="left" w:pos="1440"/>
          <w:tab w:val="left" w:pos="1800"/>
          <w:tab w:val="left" w:pos="2160"/>
        </w:tabs>
        <w:ind w:left="1080"/>
        <w:contextualSpacing w:val="0"/>
      </w:pPr>
      <w:r>
        <w:t>T</w:t>
      </w:r>
      <w:r w:rsidR="00EA40F3">
        <w:t>he review team noted substantial evidence of a</w:t>
      </w:r>
      <w:r>
        <w:t xml:space="preserve"> positive </w:t>
      </w:r>
      <w:r w:rsidR="00EA40F3">
        <w:t xml:space="preserve">and </w:t>
      </w:r>
      <w:r>
        <w:t>supportive</w:t>
      </w:r>
      <w:r w:rsidR="00181EA4">
        <w:t xml:space="preserve"> </w:t>
      </w:r>
      <w:r w:rsidR="00EA40F3">
        <w:t>learning environment</w:t>
      </w:r>
      <w:r>
        <w:t xml:space="preserve"> in observed classrooms</w:t>
      </w:r>
      <w:r w:rsidR="00EA40F3">
        <w:t>.</w:t>
      </w:r>
      <w:r w:rsidR="00A031F9">
        <w:t xml:space="preserve"> </w:t>
      </w:r>
      <w:r w:rsidR="00BF09CB">
        <w:t xml:space="preserve">The district </w:t>
      </w:r>
      <w:r w:rsidR="00E257F0">
        <w:t>rubric</w:t>
      </w:r>
      <w:r w:rsidR="00BF09CB">
        <w:t>, “A Guide to Student Growth M</w:t>
      </w:r>
      <w:r w:rsidR="00EA40F3">
        <w:t>easures</w:t>
      </w:r>
      <w:r w:rsidR="00BF09CB">
        <w:t>,”</w:t>
      </w:r>
      <w:r w:rsidR="00EA40F3">
        <w:t xml:space="preserve"> lists “students demonstrate social and emotional skills” as a measure of student growth. The rubric includes self-awareness and self-management skills, social awareness and relationship skills</w:t>
      </w:r>
      <w:r w:rsidR="00BF09CB">
        <w:t>,</w:t>
      </w:r>
      <w:r w:rsidR="00EA40F3">
        <w:t xml:space="preserve"> and responsible decision making. </w:t>
      </w:r>
    </w:p>
    <w:p w14:paraId="6EE572BB" w14:textId="727EB35A" w:rsidR="00EA40F3" w:rsidRDefault="006F1D7E" w:rsidP="00FC58CB">
      <w:pPr>
        <w:pStyle w:val="ListParagraph"/>
        <w:numPr>
          <w:ilvl w:val="0"/>
          <w:numId w:val="7"/>
        </w:numPr>
        <w:tabs>
          <w:tab w:val="left" w:pos="720"/>
          <w:tab w:val="left" w:pos="1080"/>
          <w:tab w:val="left" w:pos="1440"/>
          <w:tab w:val="left" w:pos="1800"/>
          <w:tab w:val="left" w:pos="2160"/>
        </w:tabs>
        <w:ind w:left="720"/>
        <w:contextualSpacing w:val="0"/>
      </w:pPr>
      <w:r>
        <w:t xml:space="preserve">Interviews and a document review indicated that the </w:t>
      </w:r>
      <w:r w:rsidR="00EA40F3">
        <w:t xml:space="preserve">district has invested in programs, </w:t>
      </w:r>
      <w:r w:rsidR="00BF09CB">
        <w:t xml:space="preserve">additional </w:t>
      </w:r>
      <w:r w:rsidR="00EA40F3">
        <w:t>staff</w:t>
      </w:r>
      <w:r>
        <w:t xml:space="preserve">, </w:t>
      </w:r>
      <w:r w:rsidR="00EA40F3">
        <w:t xml:space="preserve">and professional development to address the </w:t>
      </w:r>
      <w:r w:rsidR="00A40AE3">
        <w:t>social-</w:t>
      </w:r>
      <w:r w:rsidR="00EA40F3">
        <w:t xml:space="preserve">emotional health of </w:t>
      </w:r>
      <w:r>
        <w:t xml:space="preserve">its </w:t>
      </w:r>
      <w:r w:rsidR="00EA40F3">
        <w:t>students.</w:t>
      </w:r>
    </w:p>
    <w:p w14:paraId="736F6605" w14:textId="2619AF8E" w:rsidR="00EA40F3" w:rsidRPr="00AD2F24" w:rsidRDefault="00EA40F3" w:rsidP="00FC58CB">
      <w:pPr>
        <w:pStyle w:val="ListParagraph"/>
        <w:numPr>
          <w:ilvl w:val="6"/>
          <w:numId w:val="21"/>
        </w:numPr>
        <w:tabs>
          <w:tab w:val="left" w:pos="360"/>
          <w:tab w:val="left" w:pos="720"/>
          <w:tab w:val="left" w:pos="1080"/>
          <w:tab w:val="left" w:pos="1440"/>
          <w:tab w:val="left" w:pos="1800"/>
          <w:tab w:val="left" w:pos="2160"/>
        </w:tabs>
        <w:ind w:left="1080"/>
        <w:contextualSpacing w:val="0"/>
      </w:pPr>
      <w:r>
        <w:t>At the elementary level</w:t>
      </w:r>
      <w:r w:rsidR="006F1D7E">
        <w:t>,</w:t>
      </w:r>
      <w:r>
        <w:t xml:space="preserve"> the STACK program </w:t>
      </w:r>
      <w:r w:rsidR="006F1D7E">
        <w:t>(social therapeutic academic community for kids</w:t>
      </w:r>
      <w:r w:rsidR="00190ED3">
        <w:t xml:space="preserve"> </w:t>
      </w:r>
      <w:r w:rsidR="00AA3056">
        <w:t>includes</w:t>
      </w:r>
      <w:r>
        <w:t xml:space="preserve"> students with behavioral issues in elementary classrooms. </w:t>
      </w:r>
      <w:r w:rsidR="006F1D7E">
        <w:t>S</w:t>
      </w:r>
      <w:r>
        <w:t>taff includes a special education teacher and a behavioral coach.</w:t>
      </w:r>
    </w:p>
    <w:p w14:paraId="3EA9660D" w14:textId="01466CF3" w:rsidR="00D4639C" w:rsidRDefault="00EA40F3" w:rsidP="004B4776">
      <w:pPr>
        <w:pStyle w:val="ListParagraph"/>
        <w:numPr>
          <w:ilvl w:val="6"/>
          <w:numId w:val="21"/>
        </w:numPr>
        <w:tabs>
          <w:tab w:val="left" w:pos="360"/>
          <w:tab w:val="left" w:pos="720"/>
          <w:tab w:val="left" w:pos="1080"/>
          <w:tab w:val="left" w:pos="1440"/>
          <w:tab w:val="left" w:pos="1800"/>
          <w:tab w:val="left" w:pos="2160"/>
        </w:tabs>
        <w:ind w:left="1080"/>
        <w:contextualSpacing w:val="0"/>
      </w:pPr>
      <w:r>
        <w:t>The middle school has a therapeutic learning center staffed by the school adjustment counselor, a special education teacher</w:t>
      </w:r>
      <w:r w:rsidR="00BB3926">
        <w:t>,</w:t>
      </w:r>
      <w:r>
        <w:t xml:space="preserve"> and two paraprofessionals. In addition, the </w:t>
      </w:r>
      <w:r w:rsidR="00CF599A">
        <w:t xml:space="preserve">middle </w:t>
      </w:r>
      <w:r>
        <w:t>school has two counselors who provide social</w:t>
      </w:r>
      <w:r w:rsidR="006F1D7E">
        <w:t>-</w:t>
      </w:r>
      <w:r>
        <w:t>emotional support</w:t>
      </w:r>
      <w:r w:rsidR="006F1D7E">
        <w:t xml:space="preserve"> and</w:t>
      </w:r>
      <w:r w:rsidR="00BF09CB">
        <w:t xml:space="preserve"> run small groups and check</w:t>
      </w:r>
      <w:r w:rsidR="009D3E5B">
        <w:t>-</w:t>
      </w:r>
      <w:r w:rsidR="00BF09CB">
        <w:t>ins</w:t>
      </w:r>
      <w:r>
        <w:t xml:space="preserve">. </w:t>
      </w:r>
      <w:r w:rsidR="006F1D7E">
        <w:t>In 2017</w:t>
      </w:r>
      <w:r w:rsidR="00CF599A">
        <w:t>–</w:t>
      </w:r>
      <w:r w:rsidR="006F1D7E">
        <w:t xml:space="preserve">2018, the middle </w:t>
      </w:r>
      <w:r>
        <w:t>school implemented the “referrals for interventions to support excellence” (RISE</w:t>
      </w:r>
      <w:r w:rsidR="00C148AD">
        <w:t xml:space="preserve">) </w:t>
      </w:r>
      <w:r>
        <w:t xml:space="preserve">program. </w:t>
      </w:r>
      <w:r w:rsidR="006F1D7E">
        <w:t xml:space="preserve">Teachers </w:t>
      </w:r>
      <w:r>
        <w:t xml:space="preserve">can use </w:t>
      </w:r>
      <w:r w:rsidR="006F1D7E">
        <w:t xml:space="preserve">this program </w:t>
      </w:r>
      <w:r>
        <w:t xml:space="preserve">to refer general education students for academic or social emotional interventions. </w:t>
      </w:r>
      <w:r w:rsidR="00CF599A">
        <w:t>The RISE program</w:t>
      </w:r>
      <w:r w:rsidR="00E257F0">
        <w:t xml:space="preserve"> </w:t>
      </w:r>
      <w:r w:rsidR="00C148AD">
        <w:t xml:space="preserve">enables </w:t>
      </w:r>
      <w:r>
        <w:t>the school to track and monitor the effectiveness of interventions.</w:t>
      </w:r>
      <w:r w:rsidR="00A031F9">
        <w:t xml:space="preserve"> </w:t>
      </w:r>
      <w:r>
        <w:t xml:space="preserve">The </w:t>
      </w:r>
      <w:r w:rsidR="00C148AD">
        <w:t>high-</w:t>
      </w:r>
      <w:r>
        <w:t xml:space="preserve">school’s homeroom structure </w:t>
      </w:r>
      <w:r w:rsidR="00C148AD">
        <w:t xml:space="preserve">enables </w:t>
      </w:r>
      <w:r>
        <w:t xml:space="preserve">students </w:t>
      </w:r>
      <w:r w:rsidR="00BF09CB">
        <w:t xml:space="preserve">to </w:t>
      </w:r>
      <w:r>
        <w:t xml:space="preserve">keep the same homeroom for four years. District </w:t>
      </w:r>
      <w:r w:rsidR="00C148AD">
        <w:t xml:space="preserve">leaders </w:t>
      </w:r>
      <w:r>
        <w:t xml:space="preserve">stated that </w:t>
      </w:r>
      <w:r w:rsidR="00C148AD">
        <w:t>they</w:t>
      </w:r>
      <w:r>
        <w:t xml:space="preserve"> hope</w:t>
      </w:r>
      <w:r w:rsidR="00C148AD">
        <w:t>d</w:t>
      </w:r>
      <w:r>
        <w:t xml:space="preserve"> that for some of the students, the homeroom teacher would become their trusted adult. </w:t>
      </w:r>
    </w:p>
    <w:p w14:paraId="1D072968" w14:textId="21C105AA" w:rsidR="00D4639C" w:rsidRDefault="00EA40F3" w:rsidP="00FC58CB">
      <w:pPr>
        <w:pStyle w:val="ListParagraph"/>
        <w:numPr>
          <w:ilvl w:val="6"/>
          <w:numId w:val="21"/>
        </w:numPr>
        <w:tabs>
          <w:tab w:val="left" w:pos="360"/>
          <w:tab w:val="left" w:pos="720"/>
          <w:tab w:val="left" w:pos="1080"/>
          <w:tab w:val="left" w:pos="1440"/>
          <w:tab w:val="left" w:pos="1800"/>
          <w:tab w:val="left" w:pos="2160"/>
        </w:tabs>
        <w:ind w:left="1080"/>
        <w:contextualSpacing w:val="0"/>
      </w:pPr>
      <w:r>
        <w:lastRenderedPageBreak/>
        <w:t xml:space="preserve">The </w:t>
      </w:r>
      <w:r w:rsidR="00C148AD">
        <w:t xml:space="preserve">high school has </w:t>
      </w:r>
      <w:r>
        <w:t>an alternative program</w:t>
      </w:r>
      <w:r w:rsidR="00190ED3">
        <w:t xml:space="preserve"> for students with emotional or behavioral challenges who need intensive support in the classroom and throughout the school day</w:t>
      </w:r>
      <w:r w:rsidR="00C148AD">
        <w:t>.</w:t>
      </w:r>
      <w:r>
        <w:t xml:space="preserve"> </w:t>
      </w:r>
    </w:p>
    <w:p w14:paraId="355AD7AD" w14:textId="77C4EF15" w:rsidR="00190ED3" w:rsidRDefault="00190ED3" w:rsidP="00686367">
      <w:pPr>
        <w:pStyle w:val="ListParagraph"/>
        <w:tabs>
          <w:tab w:val="left" w:pos="360"/>
          <w:tab w:val="left" w:pos="720"/>
          <w:tab w:val="left" w:pos="1080"/>
          <w:tab w:val="left" w:pos="1440"/>
          <w:tab w:val="left" w:pos="1800"/>
          <w:tab w:val="left" w:pos="2160"/>
        </w:tabs>
        <w:ind w:left="1440" w:hanging="360"/>
        <w:contextualSpacing w:val="0"/>
      </w:pPr>
      <w:r>
        <w:t>a.</w:t>
      </w:r>
      <w:r>
        <w:tab/>
        <w:t>The alternative program uses a team of academic teachers along with an assistant principal,</w:t>
      </w:r>
      <w:r w:rsidRPr="00190ED3">
        <w:t xml:space="preserve"> </w:t>
      </w:r>
      <w:r>
        <w:t>two paraprofessionals, and the school psychologists to help serve the students in this program.</w:t>
      </w:r>
    </w:p>
    <w:p w14:paraId="4EC75CA6" w14:textId="7F6A18A0" w:rsidR="00D4639C" w:rsidRDefault="00C148AD" w:rsidP="00FC58CB">
      <w:pPr>
        <w:pStyle w:val="ListParagraph"/>
        <w:numPr>
          <w:ilvl w:val="6"/>
          <w:numId w:val="21"/>
        </w:numPr>
        <w:tabs>
          <w:tab w:val="left" w:pos="360"/>
          <w:tab w:val="left" w:pos="720"/>
          <w:tab w:val="left" w:pos="1080"/>
          <w:tab w:val="left" w:pos="1440"/>
          <w:tab w:val="left" w:pos="1800"/>
          <w:tab w:val="left" w:pos="2160"/>
        </w:tabs>
        <w:ind w:left="1080"/>
        <w:contextualSpacing w:val="0"/>
      </w:pPr>
      <w:r>
        <w:t>In 2017</w:t>
      </w:r>
      <w:r w:rsidR="00CF599A">
        <w:t>–</w:t>
      </w:r>
      <w:r>
        <w:t>2018,</w:t>
      </w:r>
      <w:r w:rsidR="00EA40F3">
        <w:t xml:space="preserve"> the district created a bridge program to </w:t>
      </w:r>
      <w:r w:rsidR="00E109A5">
        <w:t xml:space="preserve">support </w:t>
      </w:r>
      <w:r w:rsidR="00EA40F3">
        <w:t>students who are returning to school from hospitalizations or who may have anxiety or school phobia.</w:t>
      </w:r>
      <w:r>
        <w:t xml:space="preserve"> </w:t>
      </w:r>
    </w:p>
    <w:p w14:paraId="70189830" w14:textId="1B8B18EF" w:rsidR="00EA40F3" w:rsidRDefault="00C148AD" w:rsidP="00FC58CB">
      <w:pPr>
        <w:pStyle w:val="ListParagraph"/>
        <w:numPr>
          <w:ilvl w:val="6"/>
          <w:numId w:val="21"/>
        </w:numPr>
        <w:tabs>
          <w:tab w:val="left" w:pos="360"/>
          <w:tab w:val="left" w:pos="720"/>
          <w:tab w:val="left" w:pos="1080"/>
          <w:tab w:val="left" w:pos="1440"/>
          <w:tab w:val="left" w:pos="1800"/>
          <w:tab w:val="left" w:pos="2160"/>
        </w:tabs>
        <w:ind w:left="1080"/>
        <w:contextualSpacing w:val="0"/>
      </w:pPr>
      <w:r>
        <w:t xml:space="preserve">School psychologists run the </w:t>
      </w:r>
      <w:r w:rsidR="00EA40F3">
        <w:t>Steps2Success (S2S) program</w:t>
      </w:r>
      <w:r>
        <w:t>,</w:t>
      </w:r>
      <w:r w:rsidR="00EA40F3">
        <w:t xml:space="preserve"> </w:t>
      </w:r>
      <w:r>
        <w:t>which</w:t>
      </w:r>
      <w:r w:rsidR="00EA40F3">
        <w:t xml:space="preserve"> consists of a</w:t>
      </w:r>
      <w:r w:rsidR="00BF09CB">
        <w:t>n</w:t>
      </w:r>
      <w:r w:rsidR="00EA40F3">
        <w:t xml:space="preserve"> S2S homeroom and </w:t>
      </w:r>
      <w:r>
        <w:t>an end-of-the-</w:t>
      </w:r>
      <w:r w:rsidR="00EA40F3">
        <w:t xml:space="preserve">day check-in. In addition, each student </w:t>
      </w:r>
      <w:r>
        <w:t xml:space="preserve">in the S2S program </w:t>
      </w:r>
      <w:r w:rsidR="00EA40F3">
        <w:t>has a faculty mentor.</w:t>
      </w:r>
    </w:p>
    <w:p w14:paraId="01C1C781" w14:textId="0A6EE0BE" w:rsidR="00EA40F3" w:rsidRDefault="00EA40F3" w:rsidP="00FC58CB">
      <w:pPr>
        <w:pStyle w:val="ListParagraph"/>
        <w:numPr>
          <w:ilvl w:val="6"/>
          <w:numId w:val="21"/>
        </w:numPr>
        <w:tabs>
          <w:tab w:val="left" w:pos="360"/>
          <w:tab w:val="left" w:pos="720"/>
          <w:tab w:val="left" w:pos="1080"/>
          <w:tab w:val="left" w:pos="1440"/>
          <w:tab w:val="left" w:pos="1800"/>
          <w:tab w:val="left" w:pos="2160"/>
          <w:tab w:val="left" w:pos="6750"/>
        </w:tabs>
        <w:ind w:left="1080"/>
        <w:contextualSpacing w:val="0"/>
      </w:pPr>
      <w:r w:rsidRPr="00C5110A">
        <w:t>In</w:t>
      </w:r>
      <w:r>
        <w:t xml:space="preserve"> the 2017</w:t>
      </w:r>
      <w:r w:rsidR="003967B0">
        <w:t>–</w:t>
      </w:r>
      <w:r w:rsidR="0088072B">
        <w:t>20</w:t>
      </w:r>
      <w:r>
        <w:t>18 school year</w:t>
      </w:r>
      <w:r w:rsidR="0088072B">
        <w:t>,</w:t>
      </w:r>
      <w:r w:rsidR="003575C2">
        <w:t xml:space="preserve"> </w:t>
      </w:r>
      <w:r>
        <w:t xml:space="preserve">the district is using the Michigan Model health curriculum in </w:t>
      </w:r>
      <w:r w:rsidR="00CF599A">
        <w:t xml:space="preserve">kindergarten through grade </w:t>
      </w:r>
      <w:r>
        <w:t xml:space="preserve">2 and </w:t>
      </w:r>
      <w:r w:rsidR="003575C2">
        <w:t xml:space="preserve">in </w:t>
      </w:r>
      <w:r>
        <w:t xml:space="preserve">grade 6. This program has a strong </w:t>
      </w:r>
      <w:r w:rsidR="003575C2">
        <w:t>social-</w:t>
      </w:r>
      <w:r>
        <w:t>emotional wellness component.</w:t>
      </w:r>
    </w:p>
    <w:p w14:paraId="020F4110" w14:textId="14C41ED9" w:rsidR="00EA40F3" w:rsidRPr="00C5110A" w:rsidRDefault="00EA40F3" w:rsidP="00FC58CB">
      <w:pPr>
        <w:pStyle w:val="ListParagraph"/>
        <w:numPr>
          <w:ilvl w:val="6"/>
          <w:numId w:val="21"/>
        </w:numPr>
        <w:tabs>
          <w:tab w:val="left" w:pos="360"/>
          <w:tab w:val="left" w:pos="720"/>
          <w:tab w:val="left" w:pos="1080"/>
          <w:tab w:val="left" w:pos="1440"/>
          <w:tab w:val="left" w:pos="1800"/>
          <w:tab w:val="left" w:pos="2160"/>
        </w:tabs>
        <w:ind w:left="1080"/>
        <w:contextualSpacing w:val="0"/>
      </w:pPr>
      <w:r>
        <w:t xml:space="preserve">The </w:t>
      </w:r>
      <w:r w:rsidR="003575C2">
        <w:t xml:space="preserve">district’s </w:t>
      </w:r>
      <w:r>
        <w:t>strategy for social</w:t>
      </w:r>
      <w:r w:rsidR="003575C2">
        <w:t>-</w:t>
      </w:r>
      <w:r>
        <w:t>emotional health</w:t>
      </w:r>
      <w:r w:rsidR="00E109A5">
        <w:t xml:space="preserve"> in 2017</w:t>
      </w:r>
      <w:r w:rsidR="00771BFD">
        <w:t>–</w:t>
      </w:r>
      <w:r w:rsidR="00E109A5">
        <w:t>2018</w:t>
      </w:r>
      <w:r>
        <w:t xml:space="preserve"> includes several new professional development initiatives. </w:t>
      </w:r>
    </w:p>
    <w:p w14:paraId="0A3060DD" w14:textId="2514887A" w:rsidR="00EA40F3" w:rsidRDefault="00EA40F3" w:rsidP="00EA40F3">
      <w:pPr>
        <w:tabs>
          <w:tab w:val="left" w:pos="360"/>
          <w:tab w:val="left" w:pos="720"/>
          <w:tab w:val="left" w:pos="1080"/>
          <w:tab w:val="left" w:pos="1440"/>
          <w:tab w:val="left" w:pos="1800"/>
          <w:tab w:val="left" w:pos="2160"/>
        </w:tabs>
      </w:pPr>
      <w:r w:rsidRPr="00F731AA">
        <w:rPr>
          <w:b/>
        </w:rPr>
        <w:t>Impact</w:t>
      </w:r>
      <w:r w:rsidRPr="00BA3A76">
        <w:t xml:space="preserve">: </w:t>
      </w:r>
      <w:r>
        <w:t>When a district prioritizes the social</w:t>
      </w:r>
      <w:r w:rsidR="004D5FDE">
        <w:t>-</w:t>
      </w:r>
      <w:r>
        <w:t>emotional health of its students and invests resources</w:t>
      </w:r>
      <w:r w:rsidR="00BC33A2">
        <w:t xml:space="preserve"> to support this</w:t>
      </w:r>
      <w:r>
        <w:t xml:space="preserve">, the chances of </w:t>
      </w:r>
      <w:r w:rsidR="004D5FDE">
        <w:t>social-</w:t>
      </w:r>
      <w:r>
        <w:t>emotional learning becoming part of the district</w:t>
      </w:r>
      <w:r w:rsidR="00BC33A2">
        <w:t>’</w:t>
      </w:r>
      <w:r>
        <w:t xml:space="preserve">s common </w:t>
      </w:r>
      <w:r w:rsidR="00BC33A2">
        <w:t xml:space="preserve">practice and </w:t>
      </w:r>
      <w:r>
        <w:t>language are increased. The focus on students</w:t>
      </w:r>
      <w:r w:rsidR="00BF09CB">
        <w:t>’</w:t>
      </w:r>
      <w:r>
        <w:t xml:space="preserve"> social</w:t>
      </w:r>
      <w:r w:rsidR="00686209">
        <w:t>-</w:t>
      </w:r>
      <w:r>
        <w:t xml:space="preserve">emotional health </w:t>
      </w:r>
      <w:r w:rsidR="00BC33A2">
        <w:t xml:space="preserve">is </w:t>
      </w:r>
      <w:r w:rsidR="004D5FDE">
        <w:t xml:space="preserve">likely </w:t>
      </w:r>
      <w:r w:rsidR="00BC33A2">
        <w:t xml:space="preserve">to </w:t>
      </w:r>
      <w:r w:rsidR="00686209">
        <w:t>contribute to</w:t>
      </w:r>
      <w:r>
        <w:t xml:space="preserve"> </w:t>
      </w:r>
      <w:r w:rsidR="00686209">
        <w:t>improved well</w:t>
      </w:r>
      <w:r w:rsidR="007D7B7B">
        <w:t>-</w:t>
      </w:r>
      <w:r w:rsidR="00686209">
        <w:t xml:space="preserve">being and </w:t>
      </w:r>
      <w:r>
        <w:t>greater student achievement</w:t>
      </w:r>
      <w:r w:rsidR="00BC33A2">
        <w:t xml:space="preserve"> and outcomes</w:t>
      </w:r>
      <w:r>
        <w:t>.</w:t>
      </w:r>
    </w:p>
    <w:p w14:paraId="7D00AD1D" w14:textId="3F63C49A" w:rsidR="00EA40F3" w:rsidRDefault="00EA40F3" w:rsidP="00EA40F3">
      <w:pPr>
        <w:tabs>
          <w:tab w:val="left" w:pos="0"/>
          <w:tab w:val="left" w:pos="360"/>
          <w:tab w:val="left" w:pos="720"/>
          <w:tab w:val="left" w:pos="1440"/>
          <w:tab w:val="left" w:pos="1800"/>
          <w:tab w:val="left" w:pos="2160"/>
        </w:tabs>
        <w:ind w:left="720" w:hanging="720"/>
      </w:pPr>
    </w:p>
    <w:p w14:paraId="36591ED7" w14:textId="77777777" w:rsidR="002E153B" w:rsidRPr="00551677" w:rsidRDefault="008F1288" w:rsidP="002E153B">
      <w:pPr>
        <w:tabs>
          <w:tab w:val="left" w:pos="360"/>
          <w:tab w:val="left" w:pos="720"/>
          <w:tab w:val="left" w:pos="1080"/>
          <w:tab w:val="left" w:pos="1440"/>
          <w:tab w:val="left" w:pos="1800"/>
          <w:tab w:val="left" w:pos="2160"/>
          <w:tab w:val="left" w:pos="2520"/>
          <w:tab w:val="left" w:pos="2880"/>
        </w:tabs>
        <w:rPr>
          <w:b/>
          <w:sz w:val="28"/>
          <w:szCs w:val="28"/>
        </w:rPr>
      </w:pPr>
      <w:r w:rsidRPr="008F1288">
        <w:rPr>
          <w:b/>
          <w:sz w:val="28"/>
          <w:szCs w:val="28"/>
        </w:rPr>
        <w:t>Challenges and Areas for Growth</w:t>
      </w:r>
    </w:p>
    <w:p w14:paraId="185A3B17" w14:textId="06351F04" w:rsidR="00EA40F3" w:rsidRPr="00507EED" w:rsidRDefault="00507EED" w:rsidP="006909CF">
      <w:pPr>
        <w:tabs>
          <w:tab w:val="left" w:pos="360"/>
          <w:tab w:val="left" w:pos="720"/>
          <w:tab w:val="left" w:pos="1080"/>
          <w:tab w:val="left" w:pos="1440"/>
          <w:tab w:val="left" w:pos="1800"/>
        </w:tabs>
        <w:ind w:left="360" w:hanging="360"/>
        <w:rPr>
          <w:b/>
        </w:rPr>
      </w:pPr>
      <w:r>
        <w:rPr>
          <w:b/>
        </w:rPr>
        <w:t xml:space="preserve">3. </w:t>
      </w:r>
      <w:r w:rsidR="00BB0061">
        <w:rPr>
          <w:b/>
        </w:rPr>
        <w:tab/>
      </w:r>
      <w:r w:rsidR="00EA40F3" w:rsidRPr="00507EED">
        <w:rPr>
          <w:b/>
        </w:rPr>
        <w:t xml:space="preserve">The district has not put in place </w:t>
      </w:r>
      <w:r w:rsidR="00FC292C">
        <w:rPr>
          <w:b/>
        </w:rPr>
        <w:t xml:space="preserve">a </w:t>
      </w:r>
      <w:r w:rsidR="001230BE">
        <w:rPr>
          <w:b/>
        </w:rPr>
        <w:t>districtwide</w:t>
      </w:r>
      <w:r w:rsidR="00FC292C">
        <w:rPr>
          <w:b/>
        </w:rPr>
        <w:t>,</w:t>
      </w:r>
      <w:r w:rsidR="00EA40F3" w:rsidRPr="00507EED">
        <w:rPr>
          <w:b/>
        </w:rPr>
        <w:t xml:space="preserve"> </w:t>
      </w:r>
      <w:r w:rsidR="00D62CFD" w:rsidRPr="00507EED">
        <w:rPr>
          <w:b/>
        </w:rPr>
        <w:t>coordinat</w:t>
      </w:r>
      <w:r w:rsidR="00D62CFD">
        <w:rPr>
          <w:b/>
        </w:rPr>
        <w:t xml:space="preserve">ed system of </w:t>
      </w:r>
      <w:r w:rsidR="00D47FD0">
        <w:rPr>
          <w:b/>
        </w:rPr>
        <w:t xml:space="preserve">programs and </w:t>
      </w:r>
      <w:r w:rsidR="00D62CFD">
        <w:rPr>
          <w:b/>
        </w:rPr>
        <w:t>supports</w:t>
      </w:r>
      <w:r w:rsidR="000D2DD9">
        <w:rPr>
          <w:b/>
        </w:rPr>
        <w:t xml:space="preserve"> to ensure that all students’ academic and non-academic needs are met</w:t>
      </w:r>
      <w:r w:rsidR="00EA40F3" w:rsidRPr="00507EED">
        <w:rPr>
          <w:b/>
        </w:rPr>
        <w:t>.</w:t>
      </w:r>
    </w:p>
    <w:p w14:paraId="58998DDD" w14:textId="3CE1E4DC" w:rsidR="00EA40F3" w:rsidRPr="000252E1" w:rsidRDefault="00507EED" w:rsidP="006909CF">
      <w:pPr>
        <w:tabs>
          <w:tab w:val="left" w:pos="360"/>
          <w:tab w:val="left" w:pos="720"/>
          <w:tab w:val="left" w:pos="1080"/>
          <w:tab w:val="left" w:pos="1440"/>
          <w:tab w:val="left" w:pos="1800"/>
          <w:tab w:val="left" w:pos="2160"/>
        </w:tabs>
        <w:ind w:left="720" w:hanging="360"/>
      </w:pPr>
      <w:r w:rsidRPr="00507EED">
        <w:rPr>
          <w:b/>
        </w:rPr>
        <w:t>A.</w:t>
      </w:r>
      <w:r>
        <w:t xml:space="preserve"> </w:t>
      </w:r>
      <w:r w:rsidR="00BA2D54">
        <w:tab/>
      </w:r>
      <w:r w:rsidR="00BE7820">
        <w:t>Interviews with t</w:t>
      </w:r>
      <w:r w:rsidR="00BA2D54">
        <w:t xml:space="preserve">he superintendent and other district staff </w:t>
      </w:r>
      <w:r w:rsidR="00BE7820">
        <w:t xml:space="preserve">and a document review indicated that </w:t>
      </w:r>
      <w:r w:rsidR="00BA2D54">
        <w:t xml:space="preserve">the </w:t>
      </w:r>
      <w:r w:rsidR="00BE7820">
        <w:t xml:space="preserve">district was </w:t>
      </w:r>
      <w:r w:rsidR="00BA2D54">
        <w:t>challenge</w:t>
      </w:r>
      <w:r w:rsidR="00BE7820">
        <w:t>d to</w:t>
      </w:r>
      <w:r w:rsidR="00BA2D54">
        <w:t xml:space="preserve"> provid</w:t>
      </w:r>
      <w:r w:rsidR="00BE7820">
        <w:t>e</w:t>
      </w:r>
      <w:r w:rsidR="00BA2D54">
        <w:t xml:space="preserve"> </w:t>
      </w:r>
      <w:r w:rsidR="00483B06">
        <w:t>c</w:t>
      </w:r>
      <w:r w:rsidR="00EA40F3" w:rsidRPr="004E16F3">
        <w:t>ontinuity</w:t>
      </w:r>
      <w:r w:rsidR="00EA40F3" w:rsidRPr="000252E1">
        <w:t xml:space="preserve"> </w:t>
      </w:r>
      <w:r w:rsidR="00BE7820">
        <w:t>in</w:t>
      </w:r>
      <w:r w:rsidR="00BE7820" w:rsidRPr="000252E1">
        <w:t xml:space="preserve"> </w:t>
      </w:r>
      <w:r w:rsidR="00EA40F3" w:rsidRPr="000252E1">
        <w:t>programs</w:t>
      </w:r>
      <w:r w:rsidR="00FA6F4A">
        <w:t xml:space="preserve"> and </w:t>
      </w:r>
      <w:r w:rsidR="00846369">
        <w:t>supports</w:t>
      </w:r>
      <w:r w:rsidR="00EA40F3" w:rsidRPr="000252E1">
        <w:t xml:space="preserve"> fro</w:t>
      </w:r>
      <w:r w:rsidR="00483B06">
        <w:t>m school to school</w:t>
      </w:r>
      <w:r w:rsidR="00EA40F3" w:rsidRPr="000252E1">
        <w:t>.</w:t>
      </w:r>
    </w:p>
    <w:p w14:paraId="15E42D15" w14:textId="123DBDC2" w:rsidR="00EA40F3" w:rsidRPr="009156DC" w:rsidRDefault="00507EED" w:rsidP="006909CF">
      <w:pPr>
        <w:tabs>
          <w:tab w:val="left" w:pos="360"/>
          <w:tab w:val="left" w:pos="720"/>
          <w:tab w:val="left" w:pos="1080"/>
          <w:tab w:val="left" w:pos="1440"/>
          <w:tab w:val="left" w:pos="1800"/>
          <w:tab w:val="left" w:pos="2160"/>
        </w:tabs>
        <w:ind w:left="1080" w:hanging="360"/>
      </w:pPr>
      <w:r>
        <w:t xml:space="preserve">1. </w:t>
      </w:r>
      <w:r w:rsidR="0001219B">
        <w:tab/>
      </w:r>
      <w:r w:rsidR="00D41FDE">
        <w:t>For example, t</w:t>
      </w:r>
      <w:r w:rsidR="00D41FDE" w:rsidRPr="009156DC">
        <w:t xml:space="preserve">he </w:t>
      </w:r>
      <w:r w:rsidR="00EA40F3" w:rsidRPr="009156DC">
        <w:t xml:space="preserve">coordination of </w:t>
      </w:r>
      <w:r w:rsidR="00EA40F3">
        <w:t>social-emotional learning</w:t>
      </w:r>
      <w:r w:rsidR="00EA40F3" w:rsidRPr="009156DC">
        <w:t xml:space="preserve"> supports is not fully developed.</w:t>
      </w:r>
      <w:r w:rsidR="00EA40F3" w:rsidRPr="00507EED">
        <w:rPr>
          <w:rFonts w:eastAsia="Times New Roman" w:cs="Times New Roman"/>
          <w:sz w:val="20"/>
          <w:szCs w:val="20"/>
        </w:rPr>
        <w:t xml:space="preserve"> </w:t>
      </w:r>
      <w:r w:rsidR="00EA40F3" w:rsidRPr="000252E1">
        <w:t xml:space="preserve">Responsibility to meet the needs of students with </w:t>
      </w:r>
      <w:r w:rsidR="00EA40F3">
        <w:t>social-emotional learning</w:t>
      </w:r>
      <w:r w:rsidR="00EA40F3" w:rsidRPr="000252E1">
        <w:t xml:space="preserve"> issues rests within each school</w:t>
      </w:r>
      <w:r w:rsidR="00EA40F3" w:rsidRPr="009156DC">
        <w:t>.</w:t>
      </w:r>
    </w:p>
    <w:p w14:paraId="6DA23147" w14:textId="1302CA8A" w:rsidR="00EA40F3" w:rsidRDefault="00507EED" w:rsidP="006909CF">
      <w:pPr>
        <w:tabs>
          <w:tab w:val="left" w:pos="360"/>
          <w:tab w:val="left" w:pos="720"/>
          <w:tab w:val="left" w:pos="1080"/>
          <w:tab w:val="left" w:pos="1440"/>
          <w:tab w:val="left" w:pos="1800"/>
          <w:tab w:val="left" w:pos="2160"/>
        </w:tabs>
        <w:ind w:left="1080" w:hanging="360"/>
      </w:pPr>
      <w:r>
        <w:t xml:space="preserve">2. </w:t>
      </w:r>
      <w:r w:rsidR="0001219B">
        <w:tab/>
      </w:r>
      <w:r w:rsidR="00237D20">
        <w:t>I</w:t>
      </w:r>
      <w:r w:rsidR="00EA40F3" w:rsidRPr="009156DC">
        <w:t xml:space="preserve">nterviewees </w:t>
      </w:r>
      <w:r w:rsidR="00237D20">
        <w:t>told the review team</w:t>
      </w:r>
      <w:r w:rsidR="00237D20" w:rsidRPr="009156DC">
        <w:t xml:space="preserve"> </w:t>
      </w:r>
      <w:r w:rsidR="00EA40F3" w:rsidRPr="009156DC">
        <w:t xml:space="preserve">that the district </w:t>
      </w:r>
      <w:r w:rsidR="00237D20">
        <w:t>was</w:t>
      </w:r>
      <w:r w:rsidR="00237D20" w:rsidRPr="009156DC">
        <w:t xml:space="preserve"> </w:t>
      </w:r>
      <w:r w:rsidR="00EA40F3" w:rsidRPr="009156DC">
        <w:t>“on its way and moving in the right direction” to add</w:t>
      </w:r>
      <w:r w:rsidR="00EA40F3">
        <w:t>ress</w:t>
      </w:r>
      <w:r w:rsidR="00EA40F3" w:rsidRPr="009156DC">
        <w:t xml:space="preserve"> students</w:t>
      </w:r>
      <w:r w:rsidR="001E3C85">
        <w:t xml:space="preserve">’ </w:t>
      </w:r>
      <w:r w:rsidR="00190ED3">
        <w:t xml:space="preserve">unique </w:t>
      </w:r>
      <w:r w:rsidR="001E3C85">
        <w:t>needs</w:t>
      </w:r>
      <w:r w:rsidR="00EA40F3" w:rsidRPr="009156DC">
        <w:t>. They acknowledge</w:t>
      </w:r>
      <w:r w:rsidR="00237D20">
        <w:t>d</w:t>
      </w:r>
      <w:r w:rsidR="00EA40F3" w:rsidRPr="009156DC">
        <w:t xml:space="preserve"> that similar programs, sometimes with different names, </w:t>
      </w:r>
      <w:r w:rsidR="00237D20">
        <w:t>did</w:t>
      </w:r>
      <w:r w:rsidR="00FE49D0">
        <w:t xml:space="preserve"> </w:t>
      </w:r>
      <w:r w:rsidR="00237D20">
        <w:t>not</w:t>
      </w:r>
      <w:r w:rsidR="00EA40F3" w:rsidRPr="009156DC">
        <w:t xml:space="preserve"> work closely together across </w:t>
      </w:r>
      <w:r w:rsidR="00237D20">
        <w:t>school</w:t>
      </w:r>
      <w:r w:rsidR="00237D20" w:rsidRPr="009156DC">
        <w:t xml:space="preserve"> </w:t>
      </w:r>
      <w:r w:rsidR="00EA40F3" w:rsidRPr="009156DC">
        <w:t>levels.</w:t>
      </w:r>
      <w:r w:rsidR="00EA40F3">
        <w:t xml:space="preserve"> </w:t>
      </w:r>
      <w:r w:rsidR="00237D20">
        <w:t xml:space="preserve">For </w:t>
      </w:r>
      <w:r w:rsidR="00EA40F3">
        <w:t xml:space="preserve">example, the </w:t>
      </w:r>
      <w:r w:rsidR="00952ED8">
        <w:t xml:space="preserve">Therapeutic Learning Center </w:t>
      </w:r>
      <w:r w:rsidR="00EA40F3">
        <w:t xml:space="preserve">at the middle school shares some similar goals </w:t>
      </w:r>
      <w:r w:rsidR="00EA40F3">
        <w:lastRenderedPageBreak/>
        <w:t>and approaches with the alternative program at the high school, yet these programs operat</w:t>
      </w:r>
      <w:r w:rsidR="00DC10AA">
        <w:t>e</w:t>
      </w:r>
      <w:r w:rsidR="00EA40F3">
        <w:t xml:space="preserve"> independently.</w:t>
      </w:r>
    </w:p>
    <w:p w14:paraId="024968E8" w14:textId="56FE8459" w:rsidR="00EA40F3" w:rsidRPr="0070417F" w:rsidRDefault="00507EED" w:rsidP="006909CF">
      <w:pPr>
        <w:tabs>
          <w:tab w:val="left" w:pos="360"/>
          <w:tab w:val="left" w:pos="720"/>
          <w:tab w:val="left" w:pos="1080"/>
          <w:tab w:val="left" w:pos="1440"/>
          <w:tab w:val="left" w:pos="1800"/>
          <w:tab w:val="left" w:pos="2160"/>
        </w:tabs>
        <w:ind w:left="1080" w:hanging="360"/>
      </w:pPr>
      <w:r>
        <w:t xml:space="preserve">3. </w:t>
      </w:r>
      <w:r w:rsidR="0001219B">
        <w:tab/>
      </w:r>
      <w:r w:rsidR="00EA40F3" w:rsidRPr="0070417F">
        <w:t xml:space="preserve">District and school staff </w:t>
      </w:r>
      <w:r w:rsidR="00237D20">
        <w:t>stated</w:t>
      </w:r>
      <w:r w:rsidR="00237D20" w:rsidRPr="0070417F">
        <w:t xml:space="preserve"> </w:t>
      </w:r>
      <w:r w:rsidR="00EA40F3" w:rsidRPr="0070417F">
        <w:t xml:space="preserve">that </w:t>
      </w:r>
      <w:r w:rsidR="00EA40F3">
        <w:t xml:space="preserve">the </w:t>
      </w:r>
      <w:r w:rsidR="00EA40F3" w:rsidRPr="0070417F">
        <w:t xml:space="preserve">transition of students from elementary to middle school </w:t>
      </w:r>
      <w:r w:rsidR="00237D20">
        <w:t>was</w:t>
      </w:r>
      <w:r w:rsidR="00237D20" w:rsidRPr="0070417F">
        <w:t xml:space="preserve"> </w:t>
      </w:r>
      <w:r w:rsidR="002906F4">
        <w:t>improving</w:t>
      </w:r>
      <w:r w:rsidR="00EA40F3" w:rsidRPr="0070417F">
        <w:t xml:space="preserve"> </w:t>
      </w:r>
      <w:r w:rsidR="00237D20">
        <w:t>because of</w:t>
      </w:r>
      <w:r w:rsidR="00EA40F3" w:rsidRPr="0070417F">
        <w:t xml:space="preserve"> recent increased attention to this critical transition point. However, the move from middle school to high school, particularly for students who have experienced </w:t>
      </w:r>
      <w:r w:rsidR="002906F4">
        <w:t>challenges</w:t>
      </w:r>
      <w:r w:rsidR="00EA40F3" w:rsidRPr="0070417F">
        <w:t xml:space="preserve">, </w:t>
      </w:r>
      <w:r w:rsidR="00D47FD0">
        <w:t>needs improvement</w:t>
      </w:r>
      <w:r w:rsidR="00EA40F3" w:rsidRPr="0070417F">
        <w:t>.</w:t>
      </w:r>
      <w:r w:rsidR="00EA40F3" w:rsidRPr="00507EED">
        <w:rPr>
          <w:rStyle w:val="FootnoteReference"/>
          <w:rFonts w:eastAsia="Times New Roman" w:cs="Times New Roman"/>
          <w:sz w:val="20"/>
          <w:szCs w:val="20"/>
        </w:rPr>
        <w:t xml:space="preserve"> </w:t>
      </w:r>
      <w:r w:rsidR="002224DA">
        <w:t>For example</w:t>
      </w:r>
      <w:r w:rsidR="00EA40F3" w:rsidRPr="0070417F">
        <w:t>:</w:t>
      </w:r>
    </w:p>
    <w:p w14:paraId="554A465A" w14:textId="3FF37384" w:rsidR="00EA40F3" w:rsidRPr="0071060D" w:rsidRDefault="00EA40F3" w:rsidP="00FC58CB">
      <w:pPr>
        <w:pStyle w:val="ListParagraph"/>
        <w:numPr>
          <w:ilvl w:val="1"/>
          <w:numId w:val="22"/>
        </w:numPr>
        <w:tabs>
          <w:tab w:val="left" w:pos="360"/>
          <w:tab w:val="left" w:pos="720"/>
          <w:tab w:val="left" w:pos="1080"/>
          <w:tab w:val="left" w:pos="1440"/>
          <w:tab w:val="left" w:pos="1800"/>
          <w:tab w:val="left" w:pos="2160"/>
        </w:tabs>
        <w:ind w:left="1440"/>
        <w:contextualSpacing w:val="0"/>
      </w:pPr>
      <w:r>
        <w:t>T</w:t>
      </w:r>
      <w:r w:rsidRPr="009156DC">
        <w:t xml:space="preserve">he </w:t>
      </w:r>
      <w:r w:rsidR="00BC6383">
        <w:t>district does</w:t>
      </w:r>
      <w:r w:rsidR="00BC6383" w:rsidRPr="009156DC">
        <w:t xml:space="preserve"> </w:t>
      </w:r>
      <w:r w:rsidRPr="009156DC">
        <w:t>no</w:t>
      </w:r>
      <w:r w:rsidR="00BC6383">
        <w:t>t have</w:t>
      </w:r>
      <w:r w:rsidRPr="009156DC">
        <w:t xml:space="preserve"> formal procedure</w:t>
      </w:r>
      <w:r>
        <w:t>s in place</w:t>
      </w:r>
      <w:r w:rsidRPr="009156DC">
        <w:t xml:space="preserve"> to ensure </w:t>
      </w:r>
      <w:r w:rsidR="00BC6383">
        <w:t xml:space="preserve">that </w:t>
      </w:r>
      <w:r w:rsidRPr="009156DC">
        <w:t xml:space="preserve">students who are receiving academic, social, and/or emotional </w:t>
      </w:r>
      <w:r w:rsidR="00BE7820">
        <w:t>support</w:t>
      </w:r>
      <w:r w:rsidR="00BE7820" w:rsidRPr="009156DC">
        <w:t xml:space="preserve"> </w:t>
      </w:r>
      <w:r w:rsidRPr="009156DC">
        <w:t xml:space="preserve">in middle school are known to </w:t>
      </w:r>
      <w:r w:rsidR="00BC6383" w:rsidRPr="009156DC">
        <w:t>high</w:t>
      </w:r>
      <w:r w:rsidR="00BC6383">
        <w:t>-</w:t>
      </w:r>
      <w:r w:rsidRPr="009156DC">
        <w:t>school staff upon entering grade</w:t>
      </w:r>
      <w:r w:rsidR="00237D20">
        <w:t xml:space="preserve"> 9</w:t>
      </w:r>
      <w:r w:rsidRPr="009156DC">
        <w:t>.</w:t>
      </w:r>
    </w:p>
    <w:p w14:paraId="1D79BBC6" w14:textId="640E0351" w:rsidR="00EA40F3" w:rsidRPr="0071060D" w:rsidRDefault="00EA40F3" w:rsidP="00FC58CB">
      <w:pPr>
        <w:pStyle w:val="ListParagraph"/>
        <w:numPr>
          <w:ilvl w:val="1"/>
          <w:numId w:val="22"/>
        </w:numPr>
        <w:tabs>
          <w:tab w:val="left" w:pos="360"/>
          <w:tab w:val="left" w:pos="720"/>
          <w:tab w:val="left" w:pos="1080"/>
          <w:tab w:val="left" w:pos="1440"/>
          <w:tab w:val="left" w:pos="1800"/>
          <w:tab w:val="left" w:pos="2160"/>
        </w:tabs>
        <w:ind w:left="1440"/>
        <w:contextualSpacing w:val="0"/>
      </w:pPr>
      <w:r w:rsidRPr="009156DC">
        <w:t>The district</w:t>
      </w:r>
      <w:r w:rsidR="00237D20">
        <w:t>’</w:t>
      </w:r>
      <w:r w:rsidRPr="009156DC">
        <w:t>s most</w:t>
      </w:r>
      <w:r>
        <w:t xml:space="preserve"> universal academic support </w:t>
      </w:r>
      <w:r w:rsidRPr="009156DC">
        <w:t xml:space="preserve">strategy is </w:t>
      </w:r>
      <w:r w:rsidR="00237D20">
        <w:t>provid</w:t>
      </w:r>
      <w:r w:rsidR="00237D20" w:rsidRPr="009156DC">
        <w:t xml:space="preserve">ed </w:t>
      </w:r>
      <w:r w:rsidRPr="009156DC">
        <w:t xml:space="preserve">to elementary and </w:t>
      </w:r>
      <w:r w:rsidR="00237D20" w:rsidRPr="009156DC">
        <w:t>middle</w:t>
      </w:r>
      <w:r w:rsidR="00237D20">
        <w:t>-</w:t>
      </w:r>
      <w:r w:rsidRPr="009156DC">
        <w:t xml:space="preserve">school students through </w:t>
      </w:r>
      <w:r w:rsidR="00237D20">
        <w:t xml:space="preserve">the </w:t>
      </w:r>
      <w:r w:rsidRPr="009156DC">
        <w:t xml:space="preserve">What I Need </w:t>
      </w:r>
      <w:r>
        <w:t xml:space="preserve">(WIN) </w:t>
      </w:r>
      <w:r w:rsidRPr="009156DC">
        <w:t xml:space="preserve">and </w:t>
      </w:r>
      <w:r>
        <w:t>I Can Succeed (</w:t>
      </w:r>
      <w:r w:rsidRPr="009156DC">
        <w:t>ICE</w:t>
      </w:r>
      <w:r>
        <w:t>)</w:t>
      </w:r>
      <w:r w:rsidRPr="009156DC">
        <w:t xml:space="preserve"> </w:t>
      </w:r>
      <w:r w:rsidR="00237D20">
        <w:t>b</w:t>
      </w:r>
      <w:r w:rsidR="00237D20" w:rsidRPr="009156DC">
        <w:t>lock</w:t>
      </w:r>
      <w:r w:rsidR="00237D20">
        <w:t>s</w:t>
      </w:r>
      <w:r w:rsidRPr="009156DC">
        <w:t xml:space="preserve">, respectively. However, nothing similar is </w:t>
      </w:r>
      <w:r>
        <w:t>provided</w:t>
      </w:r>
      <w:r w:rsidRPr="009156DC">
        <w:t xml:space="preserve"> to </w:t>
      </w:r>
      <w:r w:rsidR="00BC6383" w:rsidRPr="009156DC">
        <w:t>high</w:t>
      </w:r>
      <w:r w:rsidR="00BC6383">
        <w:t>-</w:t>
      </w:r>
      <w:r w:rsidRPr="009156DC">
        <w:t>school students on a formal basis.</w:t>
      </w:r>
      <w:r w:rsidRPr="0071060D">
        <w:t xml:space="preserve"> </w:t>
      </w:r>
    </w:p>
    <w:p w14:paraId="62255393" w14:textId="2959E38E" w:rsidR="00EA40F3" w:rsidRDefault="00EA40F3" w:rsidP="00EA40F3">
      <w:pPr>
        <w:tabs>
          <w:tab w:val="left" w:pos="360"/>
          <w:tab w:val="left" w:pos="1080"/>
          <w:tab w:val="left" w:pos="1440"/>
          <w:tab w:val="left" w:pos="1800"/>
          <w:tab w:val="left" w:pos="2160"/>
        </w:tabs>
        <w:spacing w:after="240"/>
      </w:pPr>
      <w:r w:rsidRPr="004E594D">
        <w:rPr>
          <w:b/>
        </w:rPr>
        <w:t>Impact</w:t>
      </w:r>
      <w:r w:rsidRPr="004E594D">
        <w:t>:</w:t>
      </w:r>
      <w:r>
        <w:t xml:space="preserve"> </w:t>
      </w:r>
      <w:r w:rsidRPr="00150569">
        <w:rPr>
          <w:rFonts w:ascii="Calibri" w:hAnsi="Calibri"/>
        </w:rPr>
        <w:t xml:space="preserve">The absence of </w:t>
      </w:r>
      <w:r>
        <w:rPr>
          <w:rFonts w:ascii="Calibri" w:hAnsi="Calibri"/>
        </w:rPr>
        <w:t xml:space="preserve">a well-coordinated and </w:t>
      </w:r>
      <w:r w:rsidR="004D5FDE">
        <w:rPr>
          <w:rFonts w:ascii="Calibri" w:hAnsi="Calibri"/>
        </w:rPr>
        <w:t xml:space="preserve">comprehensive </w:t>
      </w:r>
      <w:r>
        <w:rPr>
          <w:rFonts w:ascii="Calibri" w:hAnsi="Calibri"/>
        </w:rPr>
        <w:t>K</w:t>
      </w:r>
      <w:r w:rsidR="00237D20">
        <w:rPr>
          <w:rFonts w:ascii="Calibri" w:eastAsia="Calibri" w:hAnsi="Calibri" w:cs="Times New Roman"/>
          <w:b/>
          <w:sz w:val="20"/>
        </w:rPr>
        <w:t>–</w:t>
      </w:r>
      <w:r>
        <w:rPr>
          <w:rFonts w:ascii="Calibri" w:hAnsi="Calibri"/>
        </w:rPr>
        <w:t xml:space="preserve">12 system </w:t>
      </w:r>
      <w:r w:rsidR="00BC6383">
        <w:rPr>
          <w:rFonts w:ascii="Calibri" w:hAnsi="Calibri"/>
        </w:rPr>
        <w:t xml:space="preserve">of supports </w:t>
      </w:r>
      <w:r w:rsidR="00BE7820">
        <w:rPr>
          <w:rFonts w:ascii="Calibri" w:hAnsi="Calibri"/>
        </w:rPr>
        <w:t>means that some</w:t>
      </w:r>
      <w:r w:rsidRPr="00551056">
        <w:rPr>
          <w:rFonts w:ascii="Calibri" w:hAnsi="Calibri"/>
        </w:rPr>
        <w:t xml:space="preserve"> student</w:t>
      </w:r>
      <w:r w:rsidR="00BE7820">
        <w:rPr>
          <w:rFonts w:ascii="Calibri" w:hAnsi="Calibri"/>
        </w:rPr>
        <w:t>s</w:t>
      </w:r>
      <w:r w:rsidRPr="00551056">
        <w:rPr>
          <w:rFonts w:ascii="Calibri" w:hAnsi="Calibri"/>
        </w:rPr>
        <w:t xml:space="preserve"> </w:t>
      </w:r>
      <w:r w:rsidR="00B172AB">
        <w:rPr>
          <w:rFonts w:ascii="Calibri" w:hAnsi="Calibri"/>
        </w:rPr>
        <w:t>may</w:t>
      </w:r>
      <w:r w:rsidR="00BE7820">
        <w:rPr>
          <w:rFonts w:ascii="Calibri" w:hAnsi="Calibri"/>
        </w:rPr>
        <w:t xml:space="preserve"> not have the support they need to succeed</w:t>
      </w:r>
      <w:r>
        <w:rPr>
          <w:rFonts w:ascii="Calibri" w:hAnsi="Calibri"/>
        </w:rPr>
        <w:t xml:space="preserve">. Furthermore, the </w:t>
      </w:r>
      <w:r w:rsidR="00237D20">
        <w:rPr>
          <w:rFonts w:ascii="Calibri" w:hAnsi="Calibri"/>
        </w:rPr>
        <w:t xml:space="preserve">absence </w:t>
      </w:r>
      <w:r>
        <w:rPr>
          <w:rFonts w:ascii="Calibri" w:hAnsi="Calibri"/>
        </w:rPr>
        <w:t xml:space="preserve">of continuity </w:t>
      </w:r>
      <w:r w:rsidR="00222BC6">
        <w:rPr>
          <w:rFonts w:ascii="Calibri" w:hAnsi="Calibri"/>
        </w:rPr>
        <w:t xml:space="preserve">across schools </w:t>
      </w:r>
      <w:r w:rsidR="005F2277">
        <w:rPr>
          <w:rFonts w:ascii="Calibri" w:hAnsi="Calibri"/>
        </w:rPr>
        <w:t>likely prevents</w:t>
      </w:r>
      <w:r>
        <w:rPr>
          <w:rFonts w:ascii="Calibri" w:hAnsi="Calibri"/>
        </w:rPr>
        <w:t xml:space="preserve"> </w:t>
      </w:r>
      <w:r w:rsidR="00BE7820">
        <w:rPr>
          <w:rFonts w:ascii="Calibri" w:hAnsi="Calibri"/>
        </w:rPr>
        <w:t xml:space="preserve">some </w:t>
      </w:r>
      <w:r>
        <w:rPr>
          <w:rFonts w:ascii="Calibri" w:hAnsi="Calibri"/>
        </w:rPr>
        <w:t xml:space="preserve">students </w:t>
      </w:r>
      <w:r w:rsidR="005F2277">
        <w:rPr>
          <w:rFonts w:ascii="Calibri" w:hAnsi="Calibri"/>
        </w:rPr>
        <w:t xml:space="preserve">from making effective </w:t>
      </w:r>
      <w:r>
        <w:rPr>
          <w:rFonts w:ascii="Calibri" w:hAnsi="Calibri"/>
        </w:rPr>
        <w:t xml:space="preserve">transitions </w:t>
      </w:r>
      <w:r w:rsidR="001566B5">
        <w:rPr>
          <w:rFonts w:ascii="Calibri" w:hAnsi="Calibri"/>
        </w:rPr>
        <w:t>from one school or program to the next</w:t>
      </w:r>
      <w:r>
        <w:t>.</w:t>
      </w:r>
    </w:p>
    <w:p w14:paraId="55B9F3D4" w14:textId="3A34BEF8" w:rsidR="00EA40F3" w:rsidRPr="002224DA" w:rsidRDefault="00A11849" w:rsidP="00856FEE">
      <w:pPr>
        <w:tabs>
          <w:tab w:val="left" w:pos="360"/>
          <w:tab w:val="left" w:pos="720"/>
          <w:tab w:val="left" w:pos="1080"/>
          <w:tab w:val="left" w:pos="1440"/>
          <w:tab w:val="left" w:pos="1800"/>
        </w:tabs>
        <w:ind w:left="360" w:hanging="360"/>
        <w:rPr>
          <w:b/>
        </w:rPr>
      </w:pPr>
      <w:r>
        <w:rPr>
          <w:b/>
        </w:rPr>
        <w:t>4</w:t>
      </w:r>
      <w:r w:rsidR="002224DA">
        <w:rPr>
          <w:b/>
        </w:rPr>
        <w:t xml:space="preserve">. </w:t>
      </w:r>
      <w:r w:rsidR="00856FEE">
        <w:rPr>
          <w:b/>
        </w:rPr>
        <w:tab/>
      </w:r>
      <w:r w:rsidR="00EA40F3" w:rsidRPr="002224DA">
        <w:rPr>
          <w:b/>
        </w:rPr>
        <w:t>The district’s approach to postsecondary preparatio</w:t>
      </w:r>
      <w:r w:rsidR="00483B06">
        <w:rPr>
          <w:b/>
        </w:rPr>
        <w:t xml:space="preserve">n is largely focused on college </w:t>
      </w:r>
      <w:r w:rsidR="00EA40F3" w:rsidRPr="002224DA">
        <w:rPr>
          <w:b/>
        </w:rPr>
        <w:t xml:space="preserve">planning and does not </w:t>
      </w:r>
      <w:r w:rsidR="00655D40">
        <w:rPr>
          <w:b/>
        </w:rPr>
        <w:t>provide sufficient</w:t>
      </w:r>
      <w:r w:rsidR="00655D40" w:rsidRPr="002224DA">
        <w:rPr>
          <w:b/>
        </w:rPr>
        <w:t xml:space="preserve"> </w:t>
      </w:r>
      <w:r w:rsidR="00655D40">
        <w:rPr>
          <w:b/>
        </w:rPr>
        <w:t xml:space="preserve">programs and </w:t>
      </w:r>
      <w:r w:rsidR="00EA40F3" w:rsidRPr="002224DA">
        <w:rPr>
          <w:b/>
        </w:rPr>
        <w:t xml:space="preserve">opportunities to ensure all students are prepared for </w:t>
      </w:r>
      <w:r w:rsidR="00655D40">
        <w:rPr>
          <w:b/>
        </w:rPr>
        <w:t xml:space="preserve">higher </w:t>
      </w:r>
      <w:r w:rsidR="00EA40F3" w:rsidRPr="002224DA">
        <w:rPr>
          <w:b/>
        </w:rPr>
        <w:t>education and career opportunities upon graduation.</w:t>
      </w:r>
    </w:p>
    <w:p w14:paraId="59CBFB0F" w14:textId="7DA8ACF9" w:rsidR="00EA40F3" w:rsidRPr="009156DC" w:rsidRDefault="00755CAE" w:rsidP="00FC58CB">
      <w:pPr>
        <w:pStyle w:val="ListParagraph"/>
        <w:numPr>
          <w:ilvl w:val="0"/>
          <w:numId w:val="23"/>
        </w:numPr>
        <w:tabs>
          <w:tab w:val="left" w:pos="360"/>
          <w:tab w:val="left" w:pos="720"/>
          <w:tab w:val="left" w:pos="1080"/>
          <w:tab w:val="left" w:pos="1440"/>
          <w:tab w:val="left" w:pos="1800"/>
          <w:tab w:val="left" w:pos="2160"/>
        </w:tabs>
        <w:ind w:left="720"/>
        <w:contextualSpacing w:val="0"/>
      </w:pPr>
      <w:r>
        <w:t>Interviews with</w:t>
      </w:r>
      <w:r w:rsidR="00EA40F3" w:rsidRPr="009156DC">
        <w:t xml:space="preserve"> students </w:t>
      </w:r>
      <w:r>
        <w:t>and students</w:t>
      </w:r>
      <w:r w:rsidR="00AF52F0">
        <w:t xml:space="preserve">’ families and a </w:t>
      </w:r>
      <w:r>
        <w:t>review</w:t>
      </w:r>
      <w:r w:rsidR="00AF52F0">
        <w:t xml:space="preserve"> of documents and the district’s website </w:t>
      </w:r>
      <w:r>
        <w:t>indicated</w:t>
      </w:r>
      <w:r w:rsidR="00EA40F3" w:rsidRPr="009156DC">
        <w:t xml:space="preserve"> that the high school </w:t>
      </w:r>
      <w:r w:rsidRPr="009156DC">
        <w:t>d</w:t>
      </w:r>
      <w:r>
        <w:t>id</w:t>
      </w:r>
      <w:r w:rsidRPr="009156DC">
        <w:t xml:space="preserve"> </w:t>
      </w:r>
      <w:r w:rsidR="00EA40F3" w:rsidRPr="009156DC">
        <w:t xml:space="preserve">not </w:t>
      </w:r>
      <w:r>
        <w:t>provide</w:t>
      </w:r>
      <w:r w:rsidRPr="009156DC">
        <w:t xml:space="preserve"> </w:t>
      </w:r>
      <w:r w:rsidR="00EA40F3" w:rsidRPr="009156DC">
        <w:t>a comprehensive system for college or career preparation, or programs to encourage and/or help students to learn about postsecondary options other than meeting with guidance counselors beginning in grade</w:t>
      </w:r>
      <w:r>
        <w:t xml:space="preserve"> 11</w:t>
      </w:r>
      <w:r w:rsidR="00EA40F3" w:rsidRPr="009156DC">
        <w:t>.</w:t>
      </w:r>
      <w:r w:rsidR="00EA40F3" w:rsidRPr="00B60198">
        <w:rPr>
          <w:rStyle w:val="FootnoteReference"/>
          <w:rFonts w:eastAsia="Times New Roman" w:cs="Times New Roman"/>
          <w:sz w:val="20"/>
          <w:szCs w:val="20"/>
        </w:rPr>
        <w:t xml:space="preserve"> </w:t>
      </w:r>
    </w:p>
    <w:p w14:paraId="016B4FA3" w14:textId="3B0C35CA" w:rsidR="00EA40F3" w:rsidRPr="00872F66" w:rsidRDefault="00EA40F3" w:rsidP="00FC58CB">
      <w:pPr>
        <w:pStyle w:val="ListParagraph"/>
        <w:numPr>
          <w:ilvl w:val="0"/>
          <w:numId w:val="23"/>
        </w:numPr>
        <w:tabs>
          <w:tab w:val="left" w:pos="360"/>
          <w:tab w:val="left" w:pos="720"/>
          <w:tab w:val="left" w:pos="1080"/>
          <w:tab w:val="left" w:pos="1440"/>
          <w:tab w:val="left" w:pos="1800"/>
          <w:tab w:val="left" w:pos="2160"/>
        </w:tabs>
        <w:ind w:left="720"/>
        <w:contextualSpacing w:val="0"/>
      </w:pPr>
      <w:r w:rsidRPr="009156DC">
        <w:t xml:space="preserve">The district has some </w:t>
      </w:r>
      <w:r w:rsidR="00303853">
        <w:t xml:space="preserve">student-specific, </w:t>
      </w:r>
      <w:r w:rsidRPr="009156DC">
        <w:t xml:space="preserve">work-based learning opportunities; however, these are </w:t>
      </w:r>
      <w:r w:rsidR="00303853">
        <w:t>limited to</w:t>
      </w:r>
      <w:r w:rsidRPr="009156DC">
        <w:t xml:space="preserve"> electives to students in the </w:t>
      </w:r>
      <w:r w:rsidR="00755CAE" w:rsidRPr="009156DC">
        <w:t>high</w:t>
      </w:r>
      <w:r w:rsidR="00755CAE">
        <w:t>-</w:t>
      </w:r>
      <w:r w:rsidRPr="009156DC">
        <w:t xml:space="preserve">school alternative program, and </w:t>
      </w:r>
      <w:r w:rsidR="00755CAE">
        <w:t>to</w:t>
      </w:r>
      <w:r w:rsidR="00755CAE" w:rsidRPr="009156DC">
        <w:t xml:space="preserve"> </w:t>
      </w:r>
      <w:r w:rsidRPr="009156DC">
        <w:t xml:space="preserve">students enrolled in </w:t>
      </w:r>
      <w:r>
        <w:t>the community-based Purposeful Opportunities for Successful Transitions (</w:t>
      </w:r>
      <w:r w:rsidRPr="00872F66">
        <w:t>POST</w:t>
      </w:r>
      <w:r>
        <w:t>)</w:t>
      </w:r>
      <w:r w:rsidRPr="00872F66">
        <w:t xml:space="preserve"> Academy.</w:t>
      </w:r>
      <w:r w:rsidRPr="00B60198">
        <w:rPr>
          <w:rStyle w:val="FootnoteReference"/>
          <w:rFonts w:eastAsia="Times New Roman" w:cs="Times New Roman"/>
          <w:sz w:val="20"/>
          <w:szCs w:val="20"/>
        </w:rPr>
        <w:t xml:space="preserve"> </w:t>
      </w:r>
    </w:p>
    <w:p w14:paraId="0CDAC3E2" w14:textId="1164DD67" w:rsidR="00EA40F3" w:rsidRPr="000B6FA4" w:rsidRDefault="00EA40F3" w:rsidP="00E22258">
      <w:pPr>
        <w:autoSpaceDE w:val="0"/>
        <w:autoSpaceDN w:val="0"/>
        <w:adjustRightInd w:val="0"/>
      </w:pPr>
      <w:r w:rsidRPr="000B6FA4">
        <w:rPr>
          <w:b/>
        </w:rPr>
        <w:t>Impact</w:t>
      </w:r>
      <w:r w:rsidRPr="000B6FA4">
        <w:t xml:space="preserve">: By limiting the </w:t>
      </w:r>
      <w:r w:rsidR="0027298F">
        <w:t xml:space="preserve">programs </w:t>
      </w:r>
      <w:r w:rsidRPr="000B6FA4">
        <w:t xml:space="preserve">and opportunities to help students explore, experience, and </w:t>
      </w:r>
      <w:r>
        <w:t xml:space="preserve">make </w:t>
      </w:r>
      <w:r w:rsidRPr="000B6FA4">
        <w:t>plan</w:t>
      </w:r>
      <w:r>
        <w:t>s</w:t>
      </w:r>
      <w:r w:rsidRPr="000B6FA4">
        <w:t xml:space="preserve"> for </w:t>
      </w:r>
      <w:r>
        <w:t>their lives</w:t>
      </w:r>
      <w:r w:rsidRPr="000B6FA4">
        <w:t xml:space="preserve"> after high school, the district cannot ensure</w:t>
      </w:r>
      <w:r w:rsidRPr="000B6FA4">
        <w:rPr>
          <w:rFonts w:cs="Arial"/>
        </w:rPr>
        <w:t xml:space="preserve"> that students are prepared for postsecondary education and career opportunities upon graduation. </w:t>
      </w:r>
    </w:p>
    <w:p w14:paraId="3F997A43" w14:textId="48DAB1B2" w:rsidR="00EA40F3" w:rsidRDefault="00EA40F3" w:rsidP="00EA40F3"/>
    <w:p w14:paraId="08DFC439" w14:textId="0CB1BA50" w:rsidR="003D2952" w:rsidRDefault="003D2952" w:rsidP="00EA40F3"/>
    <w:p w14:paraId="19455413" w14:textId="77777777" w:rsidR="003D2952" w:rsidRDefault="003D2952" w:rsidP="00EA40F3"/>
    <w:p w14:paraId="016BF0AA" w14:textId="77777777" w:rsidR="002E153B" w:rsidRPr="00833F2D" w:rsidRDefault="009637D8" w:rsidP="002E153B">
      <w:pPr>
        <w:tabs>
          <w:tab w:val="left" w:pos="360"/>
          <w:tab w:val="left" w:pos="720"/>
          <w:tab w:val="left" w:pos="1080"/>
          <w:tab w:val="left" w:pos="1440"/>
          <w:tab w:val="left" w:pos="1800"/>
          <w:tab w:val="left" w:pos="2160"/>
          <w:tab w:val="left" w:pos="2520"/>
          <w:tab w:val="left" w:pos="2880"/>
        </w:tabs>
        <w:rPr>
          <w:b/>
          <w:sz w:val="28"/>
          <w:szCs w:val="28"/>
        </w:rPr>
      </w:pPr>
      <w:r w:rsidRPr="00833F2D">
        <w:rPr>
          <w:b/>
          <w:sz w:val="28"/>
          <w:szCs w:val="28"/>
        </w:rPr>
        <w:lastRenderedPageBreak/>
        <w:t>Recommendations</w:t>
      </w:r>
    </w:p>
    <w:p w14:paraId="3FB68A18" w14:textId="1496DE79" w:rsidR="00383E78" w:rsidRPr="002E26BB" w:rsidRDefault="00383E78" w:rsidP="00833F2D">
      <w:pPr>
        <w:tabs>
          <w:tab w:val="left" w:pos="360"/>
          <w:tab w:val="left" w:pos="720"/>
          <w:tab w:val="left" w:pos="1080"/>
          <w:tab w:val="left" w:pos="1440"/>
          <w:tab w:val="left" w:pos="1800"/>
        </w:tabs>
        <w:ind w:left="360" w:hanging="360"/>
        <w:rPr>
          <w:rFonts w:ascii="Calibri" w:eastAsia="Times New Roman" w:hAnsi="Calibri" w:cs="Times New Roman"/>
          <w:b/>
          <w:bCs/>
        </w:rPr>
      </w:pPr>
      <w:r w:rsidRPr="002E26BB">
        <w:rPr>
          <w:rFonts w:ascii="Calibri" w:eastAsia="Times New Roman" w:hAnsi="Calibri" w:cs="Times New Roman"/>
          <w:b/>
          <w:bCs/>
        </w:rPr>
        <w:t xml:space="preserve">1. </w:t>
      </w:r>
      <w:r w:rsidR="00833F2D">
        <w:rPr>
          <w:rFonts w:ascii="Calibri" w:eastAsia="Times New Roman" w:hAnsi="Calibri" w:cs="Times New Roman"/>
          <w:b/>
          <w:bCs/>
        </w:rPr>
        <w:tab/>
      </w:r>
      <w:r w:rsidRPr="002E26BB">
        <w:rPr>
          <w:rFonts w:ascii="Calibri" w:eastAsia="Times New Roman" w:hAnsi="Calibri" w:cs="Times New Roman"/>
          <w:b/>
          <w:bCs/>
        </w:rPr>
        <w:t xml:space="preserve">The district should </w:t>
      </w:r>
      <w:r w:rsidR="004A313C">
        <w:rPr>
          <w:rFonts w:ascii="Calibri" w:eastAsia="Times New Roman" w:hAnsi="Calibri" w:cs="Times New Roman"/>
          <w:b/>
          <w:bCs/>
        </w:rPr>
        <w:t>take steps</w:t>
      </w:r>
      <w:r w:rsidRPr="002E26BB">
        <w:rPr>
          <w:b/>
        </w:rPr>
        <w:t xml:space="preserve"> to ensure </w:t>
      </w:r>
      <w:r w:rsidR="002E26BB">
        <w:rPr>
          <w:b/>
        </w:rPr>
        <w:t xml:space="preserve">that </w:t>
      </w:r>
      <w:r w:rsidRPr="002E26BB">
        <w:rPr>
          <w:b/>
        </w:rPr>
        <w:t xml:space="preserve">programs </w:t>
      </w:r>
      <w:r w:rsidR="0022397A">
        <w:rPr>
          <w:b/>
        </w:rPr>
        <w:t xml:space="preserve">and supports </w:t>
      </w:r>
      <w:r w:rsidRPr="002E26BB">
        <w:rPr>
          <w:b/>
        </w:rPr>
        <w:t>are well coordinated</w:t>
      </w:r>
      <w:r w:rsidR="004A313C">
        <w:rPr>
          <w:b/>
        </w:rPr>
        <w:t>,</w:t>
      </w:r>
      <w:r w:rsidRPr="002E26BB">
        <w:rPr>
          <w:b/>
        </w:rPr>
        <w:t xml:space="preserve"> </w:t>
      </w:r>
      <w:r w:rsidR="0067062E">
        <w:rPr>
          <w:b/>
        </w:rPr>
        <w:t>that</w:t>
      </w:r>
      <w:r w:rsidRPr="002E26BB">
        <w:rPr>
          <w:b/>
        </w:rPr>
        <w:t xml:space="preserve"> students experience smooth transitions </w:t>
      </w:r>
      <w:r w:rsidRPr="002E26BB">
        <w:rPr>
          <w:rFonts w:ascii="Calibri" w:eastAsia="Times New Roman" w:hAnsi="Calibri" w:cs="Times New Roman"/>
          <w:b/>
          <w:bCs/>
        </w:rPr>
        <w:t>between schools</w:t>
      </w:r>
      <w:r w:rsidR="004A313C">
        <w:rPr>
          <w:rFonts w:ascii="Calibri" w:eastAsia="Times New Roman" w:hAnsi="Calibri" w:cs="Times New Roman"/>
          <w:b/>
          <w:bCs/>
        </w:rPr>
        <w:t>, and that all students are well-prepared for success after high school</w:t>
      </w:r>
      <w:r w:rsidRPr="002E26BB">
        <w:rPr>
          <w:rFonts w:ascii="Calibri" w:eastAsia="Times New Roman" w:hAnsi="Calibri" w:cs="Times New Roman"/>
          <w:b/>
          <w:bCs/>
        </w:rPr>
        <w:t>.</w:t>
      </w:r>
    </w:p>
    <w:p w14:paraId="58DC9A53" w14:textId="7AE19129" w:rsidR="00383E78" w:rsidRPr="002E26BB" w:rsidRDefault="00383E78" w:rsidP="00833F2D">
      <w:pPr>
        <w:tabs>
          <w:tab w:val="left" w:pos="360"/>
          <w:tab w:val="left" w:pos="720"/>
          <w:tab w:val="left" w:pos="1080"/>
          <w:tab w:val="left" w:pos="1440"/>
          <w:tab w:val="left" w:pos="1800"/>
          <w:tab w:val="left" w:pos="2160"/>
        </w:tabs>
        <w:ind w:left="720" w:hanging="360"/>
        <w:rPr>
          <w:rFonts w:ascii="Calibri" w:eastAsia="Times New Roman" w:hAnsi="Calibri" w:cs="Times New Roman"/>
        </w:rPr>
      </w:pPr>
      <w:r w:rsidRPr="00833F2D">
        <w:rPr>
          <w:rFonts w:ascii="Calibri" w:eastAsia="Times New Roman" w:hAnsi="Calibri" w:cs="Times New Roman"/>
          <w:b/>
        </w:rPr>
        <w:t>A.</w:t>
      </w:r>
      <w:r w:rsidRPr="002E26BB">
        <w:rPr>
          <w:rFonts w:ascii="Calibri" w:eastAsia="Times New Roman" w:hAnsi="Calibri" w:cs="Times New Roman"/>
        </w:rPr>
        <w:t xml:space="preserve"> </w:t>
      </w:r>
      <w:r w:rsidR="00833F2D">
        <w:rPr>
          <w:rFonts w:ascii="Calibri" w:eastAsia="Times New Roman" w:hAnsi="Calibri" w:cs="Times New Roman"/>
        </w:rPr>
        <w:tab/>
      </w:r>
      <w:r w:rsidRPr="002E26BB">
        <w:rPr>
          <w:rFonts w:ascii="Calibri" w:eastAsia="Times New Roman" w:hAnsi="Calibri" w:cs="Times New Roman"/>
        </w:rPr>
        <w:t xml:space="preserve">The district </w:t>
      </w:r>
      <w:r w:rsidR="005D74BC">
        <w:rPr>
          <w:rFonts w:ascii="Calibri" w:eastAsia="Times New Roman" w:hAnsi="Calibri" w:cs="Times New Roman"/>
        </w:rPr>
        <w:t>should work to strengthen</w:t>
      </w:r>
      <w:r w:rsidRPr="002E26BB">
        <w:rPr>
          <w:rFonts w:ascii="Calibri" w:eastAsia="Times New Roman" w:hAnsi="Calibri" w:cs="Times New Roman"/>
        </w:rPr>
        <w:t xml:space="preserve"> coo</w:t>
      </w:r>
      <w:r w:rsidR="00483B06">
        <w:rPr>
          <w:rFonts w:ascii="Calibri" w:eastAsia="Times New Roman" w:hAnsi="Calibri" w:cs="Times New Roman"/>
        </w:rPr>
        <w:t>rdination and continuity among</w:t>
      </w:r>
      <w:r w:rsidRPr="002E26BB">
        <w:rPr>
          <w:rFonts w:ascii="Calibri" w:eastAsia="Times New Roman" w:hAnsi="Calibri" w:cs="Times New Roman"/>
        </w:rPr>
        <w:t xml:space="preserve"> the many </w:t>
      </w:r>
      <w:r w:rsidR="0022397A">
        <w:rPr>
          <w:rFonts w:ascii="Calibri" w:eastAsia="Times New Roman" w:hAnsi="Calibri" w:cs="Times New Roman"/>
        </w:rPr>
        <w:t>programs and</w:t>
      </w:r>
      <w:r w:rsidRPr="002E26BB">
        <w:rPr>
          <w:rFonts w:ascii="Calibri" w:eastAsia="Times New Roman" w:hAnsi="Calibri" w:cs="Times New Roman"/>
        </w:rPr>
        <w:t xml:space="preserve"> supports </w:t>
      </w:r>
      <w:r w:rsidR="002B6445">
        <w:rPr>
          <w:rFonts w:ascii="Calibri" w:eastAsia="Times New Roman" w:hAnsi="Calibri" w:cs="Times New Roman"/>
        </w:rPr>
        <w:t>that are currently in place</w:t>
      </w:r>
      <w:r w:rsidRPr="002E26BB">
        <w:rPr>
          <w:rFonts w:ascii="Calibri" w:eastAsia="Times New Roman" w:hAnsi="Calibri" w:cs="Times New Roman"/>
        </w:rPr>
        <w:t>.</w:t>
      </w:r>
    </w:p>
    <w:p w14:paraId="466AA8B7" w14:textId="4F104960" w:rsidR="001679A5" w:rsidRDefault="001679A5" w:rsidP="00E22258">
      <w:pPr>
        <w:tabs>
          <w:tab w:val="left" w:pos="360"/>
          <w:tab w:val="left" w:pos="720"/>
          <w:tab w:val="left" w:pos="1080"/>
          <w:tab w:val="left" w:pos="1440"/>
          <w:tab w:val="left" w:pos="1800"/>
          <w:tab w:val="left" w:pos="2160"/>
        </w:tabs>
        <w:ind w:left="1080" w:hanging="360"/>
      </w:pPr>
      <w:r>
        <w:t>1.</w:t>
      </w:r>
      <w:r>
        <w:tab/>
        <w:t>The district might consider mapping the</w:t>
      </w:r>
      <w:r w:rsidR="00383E78" w:rsidRPr="002E26BB">
        <w:t xml:space="preserve"> </w:t>
      </w:r>
      <w:r w:rsidR="00103FFB">
        <w:t xml:space="preserve">student support </w:t>
      </w:r>
      <w:r w:rsidR="0022397A">
        <w:t xml:space="preserve">programs </w:t>
      </w:r>
      <w:r w:rsidR="00103FFB">
        <w:t xml:space="preserve">and services </w:t>
      </w:r>
      <w:r>
        <w:t xml:space="preserve">that </w:t>
      </w:r>
      <w:r w:rsidR="00383E78" w:rsidRPr="002E26BB">
        <w:t>are currently provided throughout the district</w:t>
      </w:r>
      <w:r>
        <w:t xml:space="preserve"> </w:t>
      </w:r>
      <w:r w:rsidR="00383E78" w:rsidRPr="002E26BB">
        <w:t>and identify</w:t>
      </w:r>
      <w:r>
        <w:t>ing</w:t>
      </w:r>
      <w:r w:rsidR="00383E78" w:rsidRPr="002E26BB">
        <w:t xml:space="preserve"> any gaps in both continuity and communication systems that may exist. </w:t>
      </w:r>
    </w:p>
    <w:p w14:paraId="328C218B" w14:textId="0837E20F" w:rsidR="00836448" w:rsidRDefault="002E26BB">
      <w:pPr>
        <w:tabs>
          <w:tab w:val="left" w:pos="360"/>
          <w:tab w:val="left" w:pos="720"/>
          <w:tab w:val="left" w:pos="1080"/>
          <w:tab w:val="left" w:pos="1440"/>
          <w:tab w:val="left" w:pos="1800"/>
          <w:tab w:val="left" w:pos="2160"/>
        </w:tabs>
        <w:ind w:left="720" w:hanging="360"/>
        <w:rPr>
          <w:rFonts w:ascii="Calibri" w:eastAsia="Times New Roman" w:hAnsi="Calibri" w:cs="Times New Roman"/>
        </w:rPr>
      </w:pPr>
      <w:r w:rsidRPr="001679A5">
        <w:rPr>
          <w:rFonts w:ascii="Calibri" w:eastAsia="Times New Roman" w:hAnsi="Calibri" w:cs="Times New Roman"/>
          <w:b/>
        </w:rPr>
        <w:t>B</w:t>
      </w:r>
      <w:r w:rsidR="00383E78" w:rsidRPr="001679A5">
        <w:rPr>
          <w:rFonts w:ascii="Calibri" w:eastAsia="Times New Roman" w:hAnsi="Calibri" w:cs="Times New Roman"/>
          <w:b/>
        </w:rPr>
        <w:t>.</w:t>
      </w:r>
      <w:r w:rsidR="00383E78" w:rsidRPr="001679A5">
        <w:rPr>
          <w:rFonts w:ascii="Calibri" w:eastAsia="Times New Roman" w:hAnsi="Calibri" w:cs="Times New Roman"/>
        </w:rPr>
        <w:t xml:space="preserve"> </w:t>
      </w:r>
      <w:r w:rsidR="00833F2D" w:rsidRPr="001679A5">
        <w:rPr>
          <w:rFonts w:ascii="Calibri" w:eastAsia="Times New Roman" w:hAnsi="Calibri" w:cs="Times New Roman"/>
        </w:rPr>
        <w:tab/>
      </w:r>
      <w:r w:rsidR="00836448">
        <w:rPr>
          <w:rFonts w:ascii="Calibri" w:eastAsia="Times New Roman" w:hAnsi="Calibri" w:cs="Times New Roman"/>
        </w:rPr>
        <w:t>The district should use qualitative and quantitative data, including feedback from students and their families, to identify ways to better support students as they transition from middle school to high school.</w:t>
      </w:r>
    </w:p>
    <w:p w14:paraId="0A5CFA02" w14:textId="3EDBC6A9" w:rsidR="00383E78" w:rsidRPr="001679A5" w:rsidRDefault="00836448">
      <w:pPr>
        <w:tabs>
          <w:tab w:val="left" w:pos="360"/>
          <w:tab w:val="left" w:pos="720"/>
          <w:tab w:val="left" w:pos="1080"/>
          <w:tab w:val="left" w:pos="1440"/>
          <w:tab w:val="left" w:pos="1800"/>
          <w:tab w:val="left" w:pos="2160"/>
        </w:tabs>
        <w:ind w:left="720" w:hanging="360"/>
        <w:rPr>
          <w:rFonts w:ascii="Calibri" w:eastAsia="Times New Roman" w:hAnsi="Calibri" w:cs="Times New Roman"/>
        </w:rPr>
      </w:pPr>
      <w:r w:rsidRPr="00E22258">
        <w:rPr>
          <w:rFonts w:ascii="Calibri" w:eastAsia="Times New Roman" w:hAnsi="Calibri" w:cs="Times New Roman"/>
          <w:b/>
        </w:rPr>
        <w:t>C.</w:t>
      </w:r>
      <w:r>
        <w:rPr>
          <w:rFonts w:ascii="Calibri" w:eastAsia="Times New Roman" w:hAnsi="Calibri" w:cs="Times New Roman"/>
        </w:rPr>
        <w:tab/>
      </w:r>
      <w:r w:rsidR="00383E78" w:rsidRPr="001679A5">
        <w:rPr>
          <w:rFonts w:ascii="Calibri" w:eastAsia="Times New Roman" w:hAnsi="Calibri" w:cs="Times New Roman"/>
        </w:rPr>
        <w:t xml:space="preserve">Beginning in middle school, the district should implement more systemic and robust strategies for preparing all students for </w:t>
      </w:r>
      <w:r w:rsidR="00E937E2">
        <w:rPr>
          <w:rFonts w:ascii="Calibri" w:eastAsia="Times New Roman" w:hAnsi="Calibri" w:cs="Times New Roman"/>
        </w:rPr>
        <w:t>a range of opportunities</w:t>
      </w:r>
      <w:r w:rsidR="00E937E2" w:rsidRPr="001679A5">
        <w:rPr>
          <w:rFonts w:ascii="Calibri" w:eastAsia="Times New Roman" w:hAnsi="Calibri" w:cs="Times New Roman"/>
        </w:rPr>
        <w:t xml:space="preserve"> </w:t>
      </w:r>
      <w:r w:rsidR="00383E78" w:rsidRPr="001679A5">
        <w:rPr>
          <w:rFonts w:ascii="Calibri" w:eastAsia="Times New Roman" w:hAnsi="Calibri" w:cs="Times New Roman"/>
        </w:rPr>
        <w:t>after high school.</w:t>
      </w:r>
    </w:p>
    <w:p w14:paraId="2BEFE7DC" w14:textId="1061129F" w:rsidR="00383E78" w:rsidRPr="002E26BB" w:rsidRDefault="00383E78" w:rsidP="00383E78">
      <w:pPr>
        <w:tabs>
          <w:tab w:val="left" w:pos="-90"/>
          <w:tab w:val="left" w:pos="360"/>
          <w:tab w:val="left" w:pos="1080"/>
          <w:tab w:val="left" w:pos="1440"/>
          <w:tab w:val="left" w:pos="1800"/>
          <w:tab w:val="left" w:pos="2160"/>
        </w:tabs>
        <w:rPr>
          <w:rFonts w:ascii="Calibri" w:eastAsia="Times New Roman" w:hAnsi="Calibri" w:cs="Times New Roman"/>
        </w:rPr>
      </w:pPr>
      <w:r w:rsidRPr="002E26BB">
        <w:rPr>
          <w:rFonts w:ascii="Calibri" w:eastAsia="Times New Roman" w:hAnsi="Calibri" w:cs="Times New Roman"/>
          <w:b/>
        </w:rPr>
        <w:t xml:space="preserve">Benefits: </w:t>
      </w:r>
      <w:r w:rsidRPr="002E26BB">
        <w:rPr>
          <w:rFonts w:ascii="Calibri" w:eastAsia="Times New Roman" w:hAnsi="Calibri" w:cs="Times New Roman"/>
        </w:rPr>
        <w:t>By improving coordination across the K</w:t>
      </w:r>
      <w:r w:rsidR="0022397A">
        <w:rPr>
          <w:rFonts w:ascii="Calibri" w:eastAsia="Times New Roman" w:hAnsi="Calibri" w:cs="Times New Roman"/>
        </w:rPr>
        <w:t>–</w:t>
      </w:r>
      <w:r w:rsidRPr="002E26BB">
        <w:rPr>
          <w:rFonts w:ascii="Calibri" w:eastAsia="Times New Roman" w:hAnsi="Calibri" w:cs="Times New Roman"/>
        </w:rPr>
        <w:t>12 system, the district will</w:t>
      </w:r>
      <w:r w:rsidR="00B172AB">
        <w:rPr>
          <w:rFonts w:ascii="Calibri" w:eastAsia="Times New Roman" w:hAnsi="Calibri" w:cs="Times New Roman"/>
        </w:rPr>
        <w:t xml:space="preserve"> help to</w:t>
      </w:r>
      <w:r w:rsidRPr="002E26BB">
        <w:rPr>
          <w:rFonts w:ascii="Calibri" w:eastAsia="Times New Roman" w:hAnsi="Calibri" w:cs="Times New Roman"/>
          <w:bCs/>
        </w:rPr>
        <w:t xml:space="preserve"> ensure </w:t>
      </w:r>
      <w:r w:rsidR="00B172AB">
        <w:rPr>
          <w:rFonts w:ascii="Calibri" w:eastAsia="Times New Roman" w:hAnsi="Calibri" w:cs="Times New Roman"/>
          <w:bCs/>
        </w:rPr>
        <w:t xml:space="preserve">that </w:t>
      </w:r>
      <w:r w:rsidRPr="002E26BB">
        <w:rPr>
          <w:rFonts w:ascii="Calibri" w:eastAsia="Times New Roman" w:hAnsi="Calibri" w:cs="Times New Roman"/>
          <w:bCs/>
        </w:rPr>
        <w:t xml:space="preserve">all students are provided with ongoing opportunities to receive </w:t>
      </w:r>
      <w:r w:rsidR="00B172AB">
        <w:rPr>
          <w:rFonts w:ascii="Calibri" w:eastAsia="Times New Roman" w:hAnsi="Calibri" w:cs="Times New Roman"/>
          <w:bCs/>
        </w:rPr>
        <w:t>the support they need</w:t>
      </w:r>
      <w:r w:rsidRPr="002E26BB">
        <w:rPr>
          <w:rFonts w:ascii="Calibri" w:eastAsia="Times New Roman" w:hAnsi="Calibri" w:cs="Times New Roman"/>
        </w:rPr>
        <w:t xml:space="preserve">. </w:t>
      </w:r>
      <w:r w:rsidR="00B172AB">
        <w:rPr>
          <w:rFonts w:ascii="Calibri" w:eastAsia="Times New Roman" w:hAnsi="Calibri" w:cs="Times New Roman"/>
        </w:rPr>
        <w:t>Helping</w:t>
      </w:r>
      <w:r w:rsidRPr="002E26BB">
        <w:t xml:space="preserve"> all students make effective transitions </w:t>
      </w:r>
      <w:r w:rsidR="00B172AB">
        <w:t>between schools will contribute to students’ success in their new schools</w:t>
      </w:r>
      <w:r w:rsidRPr="002E26BB">
        <w:t>.</w:t>
      </w:r>
      <w:r w:rsidR="00B172AB">
        <w:t xml:space="preserve"> A more thorough approach to postsecondary preparation will help to ensure that all students are poised to succeed after high school. </w:t>
      </w:r>
    </w:p>
    <w:p w14:paraId="2D9EA130" w14:textId="77777777" w:rsidR="00383E78" w:rsidRPr="002E26BB" w:rsidRDefault="00383E78" w:rsidP="00383E78">
      <w:pPr>
        <w:tabs>
          <w:tab w:val="left" w:pos="360"/>
          <w:tab w:val="left" w:pos="720"/>
          <w:tab w:val="left" w:pos="1080"/>
          <w:tab w:val="left" w:pos="1800"/>
          <w:tab w:val="left" w:pos="2160"/>
        </w:tabs>
        <w:rPr>
          <w:rFonts w:ascii="Calibri" w:eastAsia="Times New Roman" w:hAnsi="Calibri" w:cs="Times New Roman"/>
          <w:b/>
        </w:rPr>
      </w:pPr>
      <w:r w:rsidRPr="002E26BB">
        <w:rPr>
          <w:rFonts w:ascii="Calibri" w:eastAsia="Times New Roman" w:hAnsi="Calibri" w:cs="Times New Roman"/>
          <w:b/>
        </w:rPr>
        <w:t>Recommended resources:</w:t>
      </w:r>
    </w:p>
    <w:p w14:paraId="399A861B" w14:textId="2F677E04" w:rsidR="00383E78" w:rsidRPr="002E26BB" w:rsidRDefault="00383E78" w:rsidP="00686367">
      <w:pPr>
        <w:numPr>
          <w:ilvl w:val="0"/>
          <w:numId w:val="24"/>
        </w:numPr>
        <w:tabs>
          <w:tab w:val="clear" w:pos="670"/>
          <w:tab w:val="left" w:pos="360"/>
          <w:tab w:val="left" w:pos="720"/>
          <w:tab w:val="left" w:pos="1080"/>
          <w:tab w:val="left" w:pos="1440"/>
          <w:tab w:val="num" w:pos="1800"/>
          <w:tab w:val="num" w:pos="2160"/>
          <w:tab w:val="left" w:pos="2520"/>
        </w:tabs>
        <w:ind w:left="360"/>
        <w:rPr>
          <w:rFonts w:ascii="Calibri" w:eastAsia="Times New Roman" w:hAnsi="Calibri" w:cs="Calibri"/>
          <w:b/>
        </w:rPr>
      </w:pPr>
      <w:r w:rsidRPr="002E26BB">
        <w:rPr>
          <w:rFonts w:ascii="Calibri" w:eastAsia="Times New Roman" w:hAnsi="Calibri" w:cs="Calibri"/>
        </w:rPr>
        <w:t xml:space="preserve">ESE’s </w:t>
      </w:r>
      <w:r w:rsidRPr="002E26BB">
        <w:rPr>
          <w:rFonts w:ascii="Calibri" w:eastAsia="Times New Roman" w:hAnsi="Calibri" w:cs="Calibri"/>
          <w:i/>
        </w:rPr>
        <w:t>Early Warning Indicator System</w:t>
      </w:r>
      <w:r w:rsidRPr="002E26BB">
        <w:rPr>
          <w:rFonts w:ascii="Calibri" w:eastAsia="Times New Roman" w:hAnsi="Calibri" w:cs="Calibri"/>
        </w:rPr>
        <w:t xml:space="preserve"> (</w:t>
      </w:r>
      <w:hyperlink r:id="rId32" w:history="1">
        <w:r w:rsidRPr="002E26BB">
          <w:rPr>
            <w:rFonts w:ascii="Calibri" w:eastAsia="Times New Roman" w:hAnsi="Calibri" w:cs="Calibri"/>
            <w:u w:val="single"/>
          </w:rPr>
          <w:t>http://www.doe.mass.edu/edwin/analytics/ewis.html</w:t>
        </w:r>
      </w:hyperlink>
      <w:r w:rsidRPr="002E26BB">
        <w:rPr>
          <w:rFonts w:ascii="Calibri" w:eastAsia="Times New Roman" w:hAnsi="Calibri" w:cs="Calibri"/>
        </w:rPr>
        <w:t xml:space="preserve"> ) is a tool to provide information to districts about the likelihood that their students will reach key academic goals. Districts can use the tool in conjunction with other data and sources of information to better target student supports and interventions and to examine school-level patterns over time in order to address systemic issues that may impede students’ ability to meet academic goals.</w:t>
      </w:r>
    </w:p>
    <w:p w14:paraId="78178136" w14:textId="77140D57" w:rsidR="00383E78" w:rsidRPr="002E26BB" w:rsidRDefault="00383E78" w:rsidP="00062D66">
      <w:pPr>
        <w:pStyle w:val="ListParagraph"/>
        <w:numPr>
          <w:ilvl w:val="0"/>
          <w:numId w:val="24"/>
        </w:numPr>
        <w:ind w:left="360"/>
        <w:contextualSpacing w:val="0"/>
        <w:rPr>
          <w:rFonts w:cs="Calibri"/>
        </w:rPr>
      </w:pPr>
      <w:r w:rsidRPr="002E26BB">
        <w:rPr>
          <w:rFonts w:cs="Calibri"/>
        </w:rPr>
        <w:t xml:space="preserve">The </w:t>
      </w:r>
      <w:r w:rsidRPr="002E26BB">
        <w:rPr>
          <w:rFonts w:cs="Calibri"/>
          <w:i/>
        </w:rPr>
        <w:t>Early Warning Implementation Guide</w:t>
      </w:r>
      <w:r w:rsidRPr="002E26BB">
        <w:rPr>
          <w:rFonts w:cs="Calibri"/>
        </w:rPr>
        <w:t xml:space="preserve"> (</w:t>
      </w:r>
      <w:hyperlink r:id="rId33" w:history="1">
        <w:r w:rsidR="00062D66" w:rsidRPr="00FC5540">
          <w:rPr>
            <w:rStyle w:val="Hyperlink"/>
            <w:rFonts w:cs="Calibri"/>
          </w:rPr>
          <w:t>http://www.doe.mass.edu/edwin/analytics/implementation-guide.pdf</w:t>
        </w:r>
      </w:hyperlink>
      <w:r w:rsidRPr="002E26BB">
        <w:rPr>
          <w:rFonts w:cs="Calibri"/>
        </w:rPr>
        <w:t>) provides information on how to use early warning data, including the Massachusetts Early Warning Indicator System (EWIS), to identify, diagnose, support and monitor students in grades 1-12. It offers educators an overview of EWIS and how to effectively use these data in conjunction with local data by following a six-step implementation cycle.</w:t>
      </w:r>
    </w:p>
    <w:p w14:paraId="38C4F8CB" w14:textId="5DE1BFBF" w:rsidR="00383E78" w:rsidRPr="002E26BB" w:rsidRDefault="00EF0CCD" w:rsidP="00686367">
      <w:pPr>
        <w:pStyle w:val="ListParagraph"/>
        <w:numPr>
          <w:ilvl w:val="2"/>
          <w:numId w:val="19"/>
        </w:numPr>
        <w:tabs>
          <w:tab w:val="left" w:pos="360"/>
          <w:tab w:val="left" w:pos="720"/>
          <w:tab w:val="left" w:pos="1080"/>
          <w:tab w:val="left" w:pos="1440"/>
        </w:tabs>
        <w:ind w:left="360"/>
        <w:contextualSpacing w:val="0"/>
        <w:rPr>
          <w:rFonts w:cs="Calibri"/>
          <w:i/>
        </w:rPr>
      </w:pPr>
      <w:r>
        <w:rPr>
          <w:rFonts w:cs="Calibri"/>
        </w:rPr>
        <w:t>My Career and Academic</w:t>
      </w:r>
      <w:r w:rsidR="00383E78" w:rsidRPr="002E26BB">
        <w:rPr>
          <w:rFonts w:cs="Calibri"/>
        </w:rPr>
        <w:t xml:space="preserve"> Plan (</w:t>
      </w:r>
      <w:r>
        <w:rPr>
          <w:rFonts w:cs="Calibri"/>
        </w:rPr>
        <w:t>MyCAP</w:t>
      </w:r>
      <w:r w:rsidR="00383E78" w:rsidRPr="002E26BB">
        <w:rPr>
          <w:rFonts w:cs="Calibri"/>
        </w:rPr>
        <w:t>)</w:t>
      </w:r>
      <w:r>
        <w:rPr>
          <w:rFonts w:cs="Calibri"/>
        </w:rPr>
        <w:t>, formerly called the Individual Learning Plan,</w:t>
      </w:r>
      <w:r w:rsidR="00383E78" w:rsidRPr="002E26BB">
        <w:rPr>
          <w:rFonts w:cs="Calibri"/>
        </w:rPr>
        <w:t xml:space="preserve"> is a student-directed, multi-year, dynamic tool that maps academic plans, personal/social growth, and career development activities while taking into account the student’s unique, self-defined interests, needs, and goals for the attainment of postsecondary success. The </w:t>
      </w:r>
      <w:r w:rsidR="00383E78" w:rsidRPr="002E26BB">
        <w:rPr>
          <w:rFonts w:cs="Calibri"/>
          <w:bCs/>
          <w:i/>
        </w:rPr>
        <w:t xml:space="preserve">Massachusetts Guide for Implementing </w:t>
      </w:r>
      <w:r w:rsidR="00383E78" w:rsidRPr="002E26BB">
        <w:rPr>
          <w:rFonts w:cs="Calibri"/>
          <w:bCs/>
          <w:i/>
        </w:rPr>
        <w:lastRenderedPageBreak/>
        <w:t xml:space="preserve">Individual Learning Plans </w:t>
      </w:r>
      <w:r w:rsidR="00383E78" w:rsidRPr="002E26BB">
        <w:rPr>
          <w:rFonts w:cs="Calibri"/>
          <w:bCs/>
        </w:rPr>
        <w:t>(</w:t>
      </w:r>
      <w:hyperlink r:id="rId34" w:history="1">
        <w:r w:rsidR="00383E78" w:rsidRPr="002E26BB">
          <w:rPr>
            <w:rStyle w:val="Hyperlink"/>
            <w:rFonts w:cs="Calibri"/>
            <w:bCs/>
            <w:color w:val="auto"/>
          </w:rPr>
          <w:t>http://www.doe.mass.edu/ccr/initiatives/</w:t>
        </w:r>
      </w:hyperlink>
      <w:r w:rsidR="00383E78" w:rsidRPr="002E26BB">
        <w:rPr>
          <w:rFonts w:cs="Calibri"/>
          <w:bCs/>
        </w:rPr>
        <w:t>) describes the tool and provides guidance related to the process.</w:t>
      </w:r>
    </w:p>
    <w:p w14:paraId="7789471B" w14:textId="6FF3837C" w:rsidR="00383E78" w:rsidRPr="00F76BEE" w:rsidRDefault="00383E78" w:rsidP="00062D66">
      <w:pPr>
        <w:pStyle w:val="Subtitle"/>
        <w:numPr>
          <w:ilvl w:val="2"/>
          <w:numId w:val="19"/>
        </w:numPr>
        <w:spacing w:after="200"/>
        <w:ind w:left="360"/>
        <w:rPr>
          <w:rFonts w:cstheme="minorHAnsi"/>
          <w:b/>
          <w:i/>
          <w:color w:val="auto"/>
          <w:spacing w:val="0"/>
        </w:rPr>
      </w:pPr>
      <w:r w:rsidRPr="00F76BEE">
        <w:rPr>
          <w:rFonts w:cstheme="minorHAnsi"/>
          <w:color w:val="auto"/>
          <w:spacing w:val="0"/>
        </w:rPr>
        <w:t xml:space="preserve">ESE offers </w:t>
      </w:r>
      <w:r w:rsidR="002C27A8" w:rsidRPr="00F76BEE">
        <w:rPr>
          <w:rFonts w:cstheme="minorHAnsi"/>
          <w:color w:val="auto"/>
          <w:spacing w:val="0"/>
        </w:rPr>
        <w:t xml:space="preserve">a range of tools, articles, and resources </w:t>
      </w:r>
      <w:r w:rsidRPr="00F76BEE">
        <w:rPr>
          <w:rFonts w:cstheme="minorHAnsi"/>
          <w:color w:val="auto"/>
          <w:spacing w:val="0"/>
        </w:rPr>
        <w:t xml:space="preserve">related to </w:t>
      </w:r>
      <w:r w:rsidR="002C27A8" w:rsidRPr="00F76BEE">
        <w:rPr>
          <w:rFonts w:cstheme="minorHAnsi"/>
          <w:color w:val="auto"/>
          <w:spacing w:val="0"/>
        </w:rPr>
        <w:t xml:space="preserve">college </w:t>
      </w:r>
      <w:r w:rsidRPr="00F76BEE">
        <w:rPr>
          <w:rFonts w:cstheme="minorHAnsi"/>
          <w:color w:val="auto"/>
          <w:spacing w:val="0"/>
        </w:rPr>
        <w:t xml:space="preserve">and </w:t>
      </w:r>
      <w:r w:rsidR="002C27A8" w:rsidRPr="00F76BEE">
        <w:rPr>
          <w:rFonts w:cstheme="minorHAnsi"/>
          <w:color w:val="auto"/>
          <w:spacing w:val="0"/>
        </w:rPr>
        <w:t xml:space="preserve">career readiness </w:t>
      </w:r>
      <w:r w:rsidRPr="00F76BEE">
        <w:rPr>
          <w:rFonts w:cstheme="minorHAnsi"/>
          <w:color w:val="auto"/>
          <w:spacing w:val="0"/>
        </w:rPr>
        <w:t>(</w:t>
      </w:r>
      <w:hyperlink w:history="1"/>
      <w:hyperlink r:id="rId35" w:history="1">
        <w:r w:rsidR="00062D66" w:rsidRPr="00F76BEE">
          <w:rPr>
            <w:rStyle w:val="Hyperlink"/>
            <w:rFonts w:cstheme="minorHAnsi"/>
            <w:spacing w:val="0"/>
          </w:rPr>
          <w:t>http://www.doe.mass.edu/ccr/resources.html?section=tools</w:t>
        </w:r>
      </w:hyperlink>
      <w:r w:rsidRPr="00F76BEE">
        <w:rPr>
          <w:rFonts w:cstheme="minorHAnsi"/>
          <w:color w:val="auto"/>
          <w:spacing w:val="0"/>
        </w:rPr>
        <w:t xml:space="preserve">). </w:t>
      </w:r>
    </w:p>
    <w:p w14:paraId="6879BBF6" w14:textId="288EDADF" w:rsidR="00383E78" w:rsidRPr="002E26BB" w:rsidRDefault="00383E78" w:rsidP="00062D66">
      <w:pPr>
        <w:numPr>
          <w:ilvl w:val="0"/>
          <w:numId w:val="24"/>
        </w:numPr>
        <w:ind w:left="360"/>
        <w:rPr>
          <w:rFonts w:ascii="Calibri" w:eastAsia="Times New Roman" w:hAnsi="Calibri" w:cs="Calibri"/>
        </w:rPr>
      </w:pPr>
      <w:r w:rsidRPr="002E26BB">
        <w:rPr>
          <w:rFonts w:ascii="Calibri" w:eastAsia="Times New Roman" w:hAnsi="Calibri" w:cs="Calibri"/>
        </w:rPr>
        <w:t xml:space="preserve">The </w:t>
      </w:r>
      <w:r w:rsidRPr="002E26BB">
        <w:rPr>
          <w:rFonts w:ascii="Calibri" w:eastAsia="Times New Roman" w:hAnsi="Calibri" w:cs="Calibri"/>
          <w:i/>
        </w:rPr>
        <w:t xml:space="preserve">Massachusetts </w:t>
      </w:r>
      <w:r w:rsidR="00062D66">
        <w:rPr>
          <w:rFonts w:ascii="Calibri" w:eastAsia="Times New Roman" w:hAnsi="Calibri" w:cs="Calibri"/>
          <w:i/>
        </w:rPr>
        <w:t>Systems for Student Success</w:t>
      </w:r>
      <w:r w:rsidRPr="002E26BB">
        <w:rPr>
          <w:rFonts w:ascii="Calibri" w:eastAsia="Times New Roman" w:hAnsi="Calibri" w:cs="Calibri"/>
        </w:rPr>
        <w:t xml:space="preserve"> (</w:t>
      </w:r>
      <w:hyperlink r:id="rId36" w:history="1">
        <w:r w:rsidR="00062D66" w:rsidRPr="00FC5540">
          <w:rPr>
            <w:rStyle w:val="Hyperlink"/>
            <w:rFonts w:ascii="Calibri" w:eastAsia="Times New Roman" w:hAnsi="Calibri" w:cs="Calibri"/>
          </w:rPr>
          <w:t>http://www.doe.mass.edu/sfss/</w:t>
        </w:r>
      </w:hyperlink>
      <w:r w:rsidRPr="002E26BB">
        <w:rPr>
          <w:rFonts w:ascii="Calibri" w:eastAsia="Times New Roman" w:hAnsi="Calibri" w:cs="Calibri"/>
        </w:rPr>
        <w:t xml:space="preserve">) is a blueprint for school improvement that focuses on systems, structures and supports across the district, school, and classroom to meet the academic and non-academic needs of all students. The </w:t>
      </w:r>
      <w:r w:rsidR="00062D66">
        <w:rPr>
          <w:rFonts w:ascii="Calibri" w:eastAsia="Times New Roman" w:hAnsi="Calibri" w:cs="Calibri"/>
        </w:rPr>
        <w:t>Sf</w:t>
      </w:r>
      <w:r w:rsidRPr="002E26BB">
        <w:rPr>
          <w:rFonts w:ascii="Calibri" w:eastAsia="Times New Roman" w:hAnsi="Calibri" w:cs="Calibri"/>
        </w:rPr>
        <w:t>SS website includes links to a self-assessment and a variety of helpful resources.</w:t>
      </w:r>
    </w:p>
    <w:p w14:paraId="6C258C4B" w14:textId="77777777" w:rsidR="00383E78" w:rsidRPr="002E26BB" w:rsidRDefault="00383E78" w:rsidP="00383E78">
      <w:pPr>
        <w:tabs>
          <w:tab w:val="left" w:pos="360"/>
          <w:tab w:val="left" w:pos="1080"/>
          <w:tab w:val="left" w:pos="1440"/>
          <w:tab w:val="left" w:pos="1800"/>
          <w:tab w:val="left" w:pos="2160"/>
        </w:tabs>
      </w:pPr>
    </w:p>
    <w:p w14:paraId="77840597" w14:textId="77777777" w:rsidR="00383E78" w:rsidRPr="002E26BB" w:rsidRDefault="00383E78" w:rsidP="00383E78"/>
    <w:p w14:paraId="1C27D8D8" w14:textId="77777777" w:rsidR="00383E78" w:rsidRPr="00FB442E" w:rsidRDefault="00383E78" w:rsidP="002E153B">
      <w:pPr>
        <w:tabs>
          <w:tab w:val="left" w:pos="360"/>
          <w:tab w:val="left" w:pos="720"/>
          <w:tab w:val="left" w:pos="1080"/>
          <w:tab w:val="left" w:pos="1440"/>
          <w:tab w:val="left" w:pos="1800"/>
          <w:tab w:val="left" w:pos="2160"/>
          <w:tab w:val="left" w:pos="2520"/>
          <w:tab w:val="left" w:pos="2880"/>
        </w:tabs>
        <w:rPr>
          <w:b/>
          <w:sz w:val="24"/>
          <w:szCs w:val="24"/>
        </w:rPr>
      </w:pPr>
    </w:p>
    <w:p w14:paraId="5A62F58A" w14:textId="77777777" w:rsidR="00CE2D3B" w:rsidRPr="00CE2D3B" w:rsidRDefault="00CE2D3B" w:rsidP="00CE2D3B"/>
    <w:p w14:paraId="217292B7" w14:textId="77777777" w:rsidR="008E314D" w:rsidRDefault="008E314D" w:rsidP="002A36F3">
      <w:pPr>
        <w:pStyle w:val="Section"/>
      </w:pPr>
      <w:bookmarkStart w:id="14" w:name="_Toc273777167"/>
      <w:bookmarkStart w:id="15" w:name="_Toc277066425"/>
      <w:bookmarkStart w:id="16" w:name="_Toc337817149"/>
      <w:bookmarkStart w:id="17" w:name="_Toc532556049"/>
      <w:r w:rsidRPr="00C7256A">
        <w:lastRenderedPageBreak/>
        <w:t xml:space="preserve">Appendix A: Review </w:t>
      </w:r>
      <w:bookmarkEnd w:id="14"/>
      <w:bookmarkEnd w:id="15"/>
      <w:bookmarkEnd w:id="16"/>
      <w:r w:rsidRPr="00C7256A">
        <w:t>Team, Activities, Schedule, Site Visit</w:t>
      </w:r>
      <w:bookmarkEnd w:id="17"/>
    </w:p>
    <w:p w14:paraId="43733951" w14:textId="77777777" w:rsidR="008E314D" w:rsidRDefault="008E314D" w:rsidP="008E314D">
      <w:pPr>
        <w:pStyle w:val="Subsection2"/>
        <w:tabs>
          <w:tab w:val="left" w:pos="360"/>
          <w:tab w:val="left" w:pos="720"/>
          <w:tab w:val="left" w:pos="1080"/>
          <w:tab w:val="left" w:pos="1440"/>
          <w:tab w:val="left" w:pos="1800"/>
          <w:tab w:val="left" w:pos="2160"/>
          <w:tab w:val="left" w:pos="2520"/>
          <w:tab w:val="left" w:pos="2880"/>
        </w:tabs>
      </w:pPr>
      <w:r w:rsidRPr="0011457A">
        <w:t>Review Team Members</w:t>
      </w:r>
    </w:p>
    <w:p w14:paraId="366AB32A" w14:textId="0B6F58CF"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review was conducted from </w:t>
      </w:r>
      <w:r w:rsidR="00F5728A">
        <w:t>March 5–</w:t>
      </w:r>
      <w:r w:rsidR="00D17F3F">
        <w:t>7</w:t>
      </w:r>
      <w:r w:rsidR="00F5728A">
        <w:t>, 2018,</w:t>
      </w:r>
      <w:r w:rsidRPr="00E06B74">
        <w:t xml:space="preserve"> by the following team of independent </w:t>
      </w:r>
      <w:r>
        <w:t xml:space="preserve">ESE </w:t>
      </w:r>
      <w:r w:rsidRPr="00E06B74">
        <w:t xml:space="preserve">consultants. </w:t>
      </w:r>
    </w:p>
    <w:p w14:paraId="553FAEF4" w14:textId="7C7E1106" w:rsidR="008E314D" w:rsidRDefault="00B565D0"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Charles Milton Burnett,</w:t>
      </w:r>
      <w:r w:rsidR="008E314D" w:rsidRPr="00097A69">
        <w:rPr>
          <w:rFonts w:ascii="Calibri" w:hAnsi="Calibri"/>
        </w:rPr>
        <w:t xml:space="preserve"> </w:t>
      </w:r>
      <w:r>
        <w:rPr>
          <w:rFonts w:ascii="Calibri" w:hAnsi="Calibri"/>
        </w:rPr>
        <w:t>Curriculum</w:t>
      </w:r>
      <w:r w:rsidR="008E314D" w:rsidRPr="00097A69">
        <w:rPr>
          <w:rFonts w:ascii="Calibri" w:hAnsi="Calibri"/>
        </w:rPr>
        <w:t xml:space="preserve"> </w:t>
      </w:r>
    </w:p>
    <w:p w14:paraId="0727995E" w14:textId="4E064541" w:rsidR="008E314D" w:rsidRDefault="00B565D0"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Suzanne Kelly,</w:t>
      </w:r>
      <w:r w:rsidR="008E314D" w:rsidRPr="00097A69">
        <w:rPr>
          <w:rFonts w:ascii="Calibri" w:hAnsi="Calibri"/>
        </w:rPr>
        <w:t xml:space="preserve"> </w:t>
      </w:r>
      <w:r>
        <w:rPr>
          <w:rFonts w:ascii="Calibri" w:hAnsi="Calibri"/>
        </w:rPr>
        <w:t>Instruction</w:t>
      </w:r>
      <w:r w:rsidR="008E314D" w:rsidRPr="00097A69">
        <w:rPr>
          <w:rFonts w:ascii="Calibri" w:hAnsi="Calibri"/>
        </w:rPr>
        <w:t xml:space="preserve"> </w:t>
      </w:r>
    </w:p>
    <w:p w14:paraId="15334CA5" w14:textId="612D50DE" w:rsidR="008E314D" w:rsidRDefault="00B565D0"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Alison Fraser, Assessment</w:t>
      </w:r>
    </w:p>
    <w:p w14:paraId="228451C8" w14:textId="09BF2886" w:rsidR="00B565D0" w:rsidRDefault="00B565D0"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Lonnie Kaufman, Student Support</w:t>
      </w:r>
    </w:p>
    <w:p w14:paraId="4942262B" w14:textId="05825B8C" w:rsidR="00B565D0" w:rsidRDefault="00B565D0"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John Retchless, Student Support</w:t>
      </w:r>
    </w:p>
    <w:p w14:paraId="6C1010D5" w14:textId="743EA6B3" w:rsidR="003E4FB0" w:rsidRDefault="00B565D0"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 xml:space="preserve">Christine Brandt, </w:t>
      </w:r>
      <w:r w:rsidRPr="00E22258">
        <w:rPr>
          <w:rFonts w:ascii="Calibri" w:hAnsi="Calibri"/>
          <w:i/>
        </w:rPr>
        <w:t>review team coordinator</w:t>
      </w:r>
    </w:p>
    <w:p w14:paraId="3F62B2BD" w14:textId="77777777" w:rsidR="008E314D" w:rsidRDefault="006D78EA" w:rsidP="008E314D">
      <w:pPr>
        <w:pStyle w:val="Subsection2"/>
        <w:tabs>
          <w:tab w:val="left" w:pos="360"/>
          <w:tab w:val="left" w:pos="720"/>
          <w:tab w:val="left" w:pos="1080"/>
          <w:tab w:val="left" w:pos="1440"/>
          <w:tab w:val="left" w:pos="1800"/>
          <w:tab w:val="left" w:pos="2160"/>
          <w:tab w:val="left" w:pos="2520"/>
          <w:tab w:val="left" w:pos="2880"/>
        </w:tabs>
      </w:pPr>
      <w:r w:rsidRPr="002441BF" w:rsidDel="006D78EA">
        <w:rPr>
          <w:rFonts w:ascii="Calibri" w:hAnsi="Calibri"/>
        </w:rPr>
        <w:t xml:space="preserve"> </w:t>
      </w:r>
      <w:r w:rsidR="009637D8" w:rsidRPr="002441BF">
        <w:rPr>
          <w:rFonts w:ascii="Calibri" w:hAnsi="Calibri"/>
        </w:rPr>
        <w:t>District</w:t>
      </w:r>
      <w:r w:rsidR="008E314D" w:rsidRPr="0011457A">
        <w:t xml:space="preserve"> Review Activities</w:t>
      </w:r>
    </w:p>
    <w:p w14:paraId="486FE423" w14:textId="77777777"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following activities were conducted </w:t>
      </w:r>
      <w:r>
        <w:t>during</w:t>
      </w:r>
      <w:r w:rsidRPr="00E06B74">
        <w:t xml:space="preserve"> the review</w:t>
      </w:r>
      <w:r>
        <w:t>:</w:t>
      </w:r>
    </w:p>
    <w:p w14:paraId="43B17101" w14:textId="380E8D94"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 with the following members of the </w:t>
      </w:r>
      <w:r w:rsidR="00931979">
        <w:t>s</w:t>
      </w:r>
      <w:r w:rsidRPr="00097A69">
        <w:t xml:space="preserve">chool </w:t>
      </w:r>
      <w:r w:rsidR="00931979" w:rsidRPr="00B565D0">
        <w:t>c</w:t>
      </w:r>
      <w:r w:rsidRPr="00B565D0">
        <w:t xml:space="preserve">ommittee: </w:t>
      </w:r>
      <w:r w:rsidR="00B565D0">
        <w:t xml:space="preserve">one </w:t>
      </w:r>
      <w:r w:rsidR="00B565D0" w:rsidRPr="00B565D0">
        <w:t>school committee member</w:t>
      </w:r>
      <w:r w:rsidR="00B565D0">
        <w:t>.</w:t>
      </w:r>
      <w:r w:rsidRPr="00097A69">
        <w:t xml:space="preserve"> </w:t>
      </w:r>
    </w:p>
    <w:p w14:paraId="09490A5C" w14:textId="1B98EC93"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conducted interviews with </w:t>
      </w:r>
      <w:r>
        <w:t xml:space="preserve">the following representatives </w:t>
      </w:r>
      <w:r w:rsidRPr="00097A69">
        <w:t xml:space="preserve">of the teachers’ association: </w:t>
      </w:r>
      <w:r w:rsidR="00B565D0">
        <w:t>the first and second vice-presidents, the treasurer, the secretary, and one member.</w:t>
      </w:r>
    </w:p>
    <w:p w14:paraId="521F1A7A" w14:textId="5C50A9B5"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interviews/focus groups with </w:t>
      </w:r>
      <w:r>
        <w:t>the following central office administrators</w:t>
      </w:r>
      <w:r w:rsidRPr="00B565D0">
        <w:t xml:space="preserve">: </w:t>
      </w:r>
      <w:r w:rsidR="00B565D0" w:rsidRPr="00B565D0">
        <w:t>the assistant superintendent, the special education director</w:t>
      </w:r>
      <w:r w:rsidR="00B565D0">
        <w:t xml:space="preserve"> and coordinators, and the director of METCO</w:t>
      </w:r>
      <w:r w:rsidR="00833F2D">
        <w:t xml:space="preserve"> (Metropolitan Council for Educational Opportunity)</w:t>
      </w:r>
      <w:r w:rsidR="00B565D0">
        <w:t>.</w:t>
      </w:r>
    </w:p>
    <w:p w14:paraId="0E4796DC" w14:textId="40F5D5A8"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visited the following schools: </w:t>
      </w:r>
      <w:r w:rsidR="002441BF">
        <w:t>Dolbeare</w:t>
      </w:r>
      <w:r w:rsidRPr="00097A69">
        <w:t xml:space="preserve"> (</w:t>
      </w:r>
      <w:r w:rsidR="002441BF">
        <w:t>K-4),</w:t>
      </w:r>
      <w:r w:rsidRPr="00097A69">
        <w:t xml:space="preserve"> </w:t>
      </w:r>
      <w:r w:rsidR="002441BF">
        <w:t xml:space="preserve">Woodville </w:t>
      </w:r>
      <w:r w:rsidRPr="00097A69">
        <w:t>(</w:t>
      </w:r>
      <w:r w:rsidR="002441BF">
        <w:t>K-4</w:t>
      </w:r>
      <w:r w:rsidRPr="00097A69">
        <w:t xml:space="preserve">), </w:t>
      </w:r>
      <w:r w:rsidR="002441BF">
        <w:t>Greenwood</w:t>
      </w:r>
      <w:r w:rsidRPr="00097A69">
        <w:t xml:space="preserve"> (</w:t>
      </w:r>
      <w:r w:rsidR="002441BF">
        <w:t>K-4), Walton (K-4), Galvin Middle School (grades 5</w:t>
      </w:r>
      <w:r w:rsidR="00115960">
        <w:t>–</w:t>
      </w:r>
      <w:r w:rsidR="002441BF">
        <w:t>8)</w:t>
      </w:r>
      <w:r>
        <w:t xml:space="preserve"> and</w:t>
      </w:r>
      <w:r w:rsidR="00854C29">
        <w:t xml:space="preserve"> </w:t>
      </w:r>
      <w:r w:rsidR="002441BF">
        <w:t>Wakefield Memorial High School</w:t>
      </w:r>
      <w:r w:rsidRPr="00097A69">
        <w:t xml:space="preserve"> (</w:t>
      </w:r>
      <w:r w:rsidRPr="002441BF">
        <w:t xml:space="preserve">grades </w:t>
      </w:r>
      <w:r w:rsidR="002441BF" w:rsidRPr="002441BF">
        <w:t>9</w:t>
      </w:r>
      <w:r w:rsidR="00115960">
        <w:t>–</w:t>
      </w:r>
      <w:r w:rsidR="002441BF" w:rsidRPr="002441BF">
        <w:t>12)</w:t>
      </w:r>
      <w:r w:rsidRPr="002441BF">
        <w:t>.</w:t>
      </w:r>
    </w:p>
    <w:p w14:paraId="6B7335E9" w14:textId="20FA4F64"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097A69">
        <w:t xml:space="preserve">During school visits, the team conducted interviews with </w:t>
      </w:r>
      <w:r w:rsidR="002441BF">
        <w:t>six</w:t>
      </w:r>
      <w:r w:rsidR="00602AE2">
        <w:t xml:space="preserve"> </w:t>
      </w:r>
      <w:r w:rsidRPr="00097A69">
        <w:t>principals</w:t>
      </w:r>
      <w:r w:rsidR="002F42DA">
        <w:t xml:space="preserve"> </w:t>
      </w:r>
      <w:r>
        <w:t xml:space="preserve">and </w:t>
      </w:r>
      <w:r w:rsidRPr="00097A69">
        <w:t xml:space="preserve">focus groups with </w:t>
      </w:r>
      <w:r w:rsidR="002441BF">
        <w:t>five</w:t>
      </w:r>
      <w:r w:rsidRPr="00097A69">
        <w:t xml:space="preserve"> </w:t>
      </w:r>
      <w:r w:rsidR="00511CC6" w:rsidRPr="00097A69">
        <w:t>elementary</w:t>
      </w:r>
      <w:r w:rsidR="00511CC6">
        <w:t>-</w:t>
      </w:r>
      <w:r w:rsidRPr="00097A69">
        <w:t>school teachers</w:t>
      </w:r>
      <w:r w:rsidR="002441BF">
        <w:t xml:space="preserve"> and one</w:t>
      </w:r>
      <w:r w:rsidRPr="00097A69">
        <w:t xml:space="preserve"> </w:t>
      </w:r>
      <w:r w:rsidR="00511CC6" w:rsidRPr="00097A69">
        <w:t>middle</w:t>
      </w:r>
      <w:r w:rsidR="00511CC6">
        <w:t>-</w:t>
      </w:r>
      <w:r w:rsidRPr="00097A69">
        <w:t>school teacher</w:t>
      </w:r>
      <w:r w:rsidR="002441BF">
        <w:t xml:space="preserve">; no </w:t>
      </w:r>
      <w:r w:rsidR="00511CC6" w:rsidRPr="00097A69">
        <w:t>high</w:t>
      </w:r>
      <w:r w:rsidR="00511CC6">
        <w:t>-</w:t>
      </w:r>
      <w:r w:rsidRPr="00097A69">
        <w:t>school teachers</w:t>
      </w:r>
      <w:r w:rsidR="002441BF">
        <w:t xml:space="preserve"> attended their focus group</w:t>
      </w:r>
      <w:r w:rsidRPr="00097A69">
        <w:t xml:space="preserve">. </w:t>
      </w:r>
      <w:r w:rsidR="002441BF" w:rsidRPr="002441BF">
        <w:t>There was early dismissal of classes on the final day of the review.</w:t>
      </w:r>
    </w:p>
    <w:p w14:paraId="2769B007" w14:textId="36C69431" w:rsidR="002441BF" w:rsidRDefault="008E314D" w:rsidP="008E314D">
      <w:pPr>
        <w:tabs>
          <w:tab w:val="left" w:pos="360"/>
          <w:tab w:val="left" w:pos="720"/>
          <w:tab w:val="left" w:pos="1080"/>
          <w:tab w:val="left" w:pos="1440"/>
          <w:tab w:val="left" w:pos="1800"/>
          <w:tab w:val="left" w:pos="2160"/>
          <w:tab w:val="left" w:pos="2520"/>
          <w:tab w:val="left" w:pos="2880"/>
        </w:tabs>
      </w:pPr>
      <w:r w:rsidRPr="002441BF">
        <w:t xml:space="preserve">The team observed </w:t>
      </w:r>
      <w:r w:rsidR="002441BF" w:rsidRPr="002441BF">
        <w:t>70</w:t>
      </w:r>
      <w:r w:rsidR="00115960">
        <w:t xml:space="preserve"> </w:t>
      </w:r>
      <w:r w:rsidRPr="002441BF">
        <w:t xml:space="preserve">classes in the district:  </w:t>
      </w:r>
      <w:r w:rsidR="002441BF" w:rsidRPr="002441BF">
        <w:t xml:space="preserve">26 </w:t>
      </w:r>
      <w:r w:rsidRPr="002441BF">
        <w:t xml:space="preserve">at the </w:t>
      </w:r>
      <w:r w:rsidR="002441BF" w:rsidRPr="002441BF">
        <w:t>high school</w:t>
      </w:r>
      <w:r w:rsidRPr="002441BF">
        <w:t xml:space="preserve">, </w:t>
      </w:r>
      <w:r w:rsidR="002441BF" w:rsidRPr="002441BF">
        <w:t>23</w:t>
      </w:r>
      <w:r w:rsidR="00833F2D">
        <w:t xml:space="preserve"> </w:t>
      </w:r>
      <w:r w:rsidRPr="002441BF">
        <w:t>at the middle</w:t>
      </w:r>
      <w:r w:rsidR="002441BF">
        <w:t xml:space="preserve"> school</w:t>
      </w:r>
      <w:r w:rsidRPr="00097A69">
        <w:t xml:space="preserve">, and </w:t>
      </w:r>
      <w:r w:rsidR="002441BF">
        <w:t>21</w:t>
      </w:r>
      <w:r w:rsidRPr="00097A69">
        <w:t xml:space="preserve"> at the </w:t>
      </w:r>
      <w:r w:rsidR="002441BF">
        <w:t>four elementary schools</w:t>
      </w:r>
      <w:r>
        <w:t>.</w:t>
      </w:r>
    </w:p>
    <w:p w14:paraId="09D96FC7" w14:textId="77777777"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analyzed multiple data sets and reviewed numerous documents before and during the site visit, including: </w:t>
      </w:r>
    </w:p>
    <w:p w14:paraId="75A1EC52" w14:textId="77777777"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Pr>
          <w:rFonts w:ascii="Calibri" w:hAnsi="Calibri"/>
        </w:rPr>
        <w:lastRenderedPageBreak/>
        <w:t>S</w:t>
      </w:r>
      <w:r w:rsidRPr="00097A69">
        <w:rPr>
          <w:rFonts w:ascii="Calibri" w:hAnsi="Calibri"/>
        </w:rPr>
        <w:t>tudent and school performance</w:t>
      </w:r>
      <w:r>
        <w:rPr>
          <w:rFonts w:ascii="Calibri" w:hAnsi="Calibri"/>
        </w:rPr>
        <w:t xml:space="preserve"> data, including achievement and </w:t>
      </w:r>
      <w:r w:rsidRPr="00097A69">
        <w:rPr>
          <w:rFonts w:ascii="Calibri" w:hAnsi="Calibri"/>
        </w:rPr>
        <w:t>growth</w:t>
      </w:r>
      <w:r>
        <w:rPr>
          <w:rFonts w:ascii="Calibri" w:hAnsi="Calibri"/>
        </w:rPr>
        <w:t>,</w:t>
      </w:r>
      <w:r w:rsidRPr="00097A69">
        <w:rPr>
          <w:rFonts w:ascii="Calibri" w:hAnsi="Calibri"/>
        </w:rPr>
        <w:t xml:space="preserve"> enrollment, graduation, dropout, retention, suspension, and attendance rates.</w:t>
      </w:r>
    </w:p>
    <w:p w14:paraId="5FF40D7C" w14:textId="77777777"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 xml:space="preserve">Data on the district’s staffing and finances. </w:t>
      </w:r>
    </w:p>
    <w:p w14:paraId="56E0043D" w14:textId="777ADB03"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District documents such as district and school improvement plans, school committee policies, curriculum documents, summaries of student assessments, job descriptions, collective bargaining agreements, evaluation tools for staff, handbooks, school schedules, and the district’s end-of-year financial reports.  </w:t>
      </w:r>
    </w:p>
    <w:p w14:paraId="3F31013E" w14:textId="77777777" w:rsidR="00551683" w:rsidRDefault="00551683" w:rsidP="00551683">
      <w:pPr>
        <w:tabs>
          <w:tab w:val="left" w:pos="360"/>
          <w:tab w:val="left" w:pos="720"/>
          <w:tab w:val="left" w:pos="1080"/>
          <w:tab w:val="left" w:pos="1440"/>
          <w:tab w:val="left" w:pos="1800"/>
          <w:tab w:val="left" w:pos="2160"/>
          <w:tab w:val="left" w:pos="2520"/>
          <w:tab w:val="left" w:pos="2880"/>
        </w:tabs>
        <w:ind w:left="360"/>
        <w:rPr>
          <w:rFonts w:ascii="Calibri" w:hAnsi="Calibri"/>
        </w:rPr>
      </w:pPr>
    </w:p>
    <w:p w14:paraId="4DD6D62B" w14:textId="1D53DDE3" w:rsidR="008E314D" w:rsidRDefault="00551683" w:rsidP="008E314D">
      <w:pPr>
        <w:pStyle w:val="Subsection2"/>
        <w:tabs>
          <w:tab w:val="left" w:pos="360"/>
          <w:tab w:val="left" w:pos="720"/>
          <w:tab w:val="left" w:pos="1080"/>
          <w:tab w:val="left" w:pos="1440"/>
          <w:tab w:val="left" w:pos="1800"/>
          <w:tab w:val="left" w:pos="2160"/>
          <w:tab w:val="left" w:pos="2520"/>
          <w:tab w:val="left" w:pos="2880"/>
        </w:tabs>
      </w:pPr>
      <w:r>
        <w:tab/>
      </w:r>
      <w:r>
        <w:tab/>
      </w:r>
      <w:r>
        <w:tab/>
      </w:r>
      <w:r>
        <w:tab/>
      </w:r>
      <w:r>
        <w:tab/>
      </w:r>
      <w:r w:rsidR="008E314D" w:rsidRPr="0011457A">
        <w:t>Site Visit Schedule</w:t>
      </w:r>
    </w:p>
    <w:tbl>
      <w:tblPr>
        <w:tblW w:w="66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Site Visit Schedule"/>
      </w:tblPr>
      <w:tblGrid>
        <w:gridCol w:w="2178"/>
        <w:gridCol w:w="2190"/>
        <w:gridCol w:w="2292"/>
      </w:tblGrid>
      <w:tr w:rsidR="00621F50" w:rsidRPr="00E06B74" w14:paraId="70B87698" w14:textId="77777777" w:rsidTr="00F76BEE">
        <w:trPr>
          <w:trHeight w:val="77"/>
        </w:trPr>
        <w:tc>
          <w:tcPr>
            <w:tcW w:w="2178" w:type="dxa"/>
            <w:shd w:val="clear" w:color="auto" w:fill="D9D9D9" w:themeFill="background1" w:themeFillShade="D9"/>
          </w:tcPr>
          <w:p w14:paraId="30FD5067" w14:textId="77777777" w:rsidR="00621F50" w:rsidRDefault="00621F50"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Monday</w:t>
            </w:r>
          </w:p>
          <w:p w14:paraId="010259B6" w14:textId="1372CC2D" w:rsidR="00621F50" w:rsidRDefault="00621F50" w:rsidP="00350132">
            <w:pPr>
              <w:tabs>
                <w:tab w:val="left" w:pos="360"/>
                <w:tab w:val="left" w:pos="720"/>
                <w:tab w:val="left" w:pos="1080"/>
                <w:tab w:val="left" w:pos="1440"/>
                <w:tab w:val="left" w:pos="1800"/>
                <w:tab w:val="left" w:pos="2160"/>
                <w:tab w:val="left" w:pos="2520"/>
                <w:tab w:val="left" w:pos="2880"/>
              </w:tabs>
              <w:jc w:val="center"/>
              <w:rPr>
                <w:sz w:val="20"/>
              </w:rPr>
            </w:pPr>
            <w:r w:rsidRPr="002441BF">
              <w:rPr>
                <w:sz w:val="20"/>
              </w:rPr>
              <w:t>3/5/2018</w:t>
            </w:r>
          </w:p>
        </w:tc>
        <w:tc>
          <w:tcPr>
            <w:tcW w:w="2190" w:type="dxa"/>
            <w:shd w:val="clear" w:color="auto" w:fill="D9D9D9" w:themeFill="background1" w:themeFillShade="D9"/>
          </w:tcPr>
          <w:p w14:paraId="523849DF" w14:textId="77777777" w:rsidR="00621F50" w:rsidRDefault="00621F50"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Tuesday</w:t>
            </w:r>
          </w:p>
          <w:p w14:paraId="5476D70A" w14:textId="5961365C" w:rsidR="00621F50" w:rsidRDefault="00621F50" w:rsidP="00350132">
            <w:pPr>
              <w:tabs>
                <w:tab w:val="left" w:pos="360"/>
                <w:tab w:val="left" w:pos="720"/>
                <w:tab w:val="left" w:pos="1080"/>
                <w:tab w:val="left" w:pos="1440"/>
                <w:tab w:val="left" w:pos="1800"/>
                <w:tab w:val="left" w:pos="2160"/>
                <w:tab w:val="left" w:pos="2520"/>
                <w:tab w:val="left" w:pos="2880"/>
              </w:tabs>
              <w:jc w:val="center"/>
              <w:rPr>
                <w:sz w:val="20"/>
              </w:rPr>
            </w:pPr>
            <w:r w:rsidRPr="002441BF">
              <w:rPr>
                <w:sz w:val="20"/>
              </w:rPr>
              <w:t>3/6/2018</w:t>
            </w:r>
          </w:p>
        </w:tc>
        <w:tc>
          <w:tcPr>
            <w:tcW w:w="2292" w:type="dxa"/>
            <w:shd w:val="clear" w:color="auto" w:fill="D9D9D9" w:themeFill="background1" w:themeFillShade="D9"/>
          </w:tcPr>
          <w:p w14:paraId="6E247691" w14:textId="77777777" w:rsidR="00621F50" w:rsidRPr="002441BF" w:rsidRDefault="00621F50" w:rsidP="00350132">
            <w:pPr>
              <w:tabs>
                <w:tab w:val="left" w:pos="360"/>
                <w:tab w:val="left" w:pos="720"/>
                <w:tab w:val="left" w:pos="1080"/>
                <w:tab w:val="left" w:pos="1440"/>
                <w:tab w:val="left" w:pos="1800"/>
                <w:tab w:val="left" w:pos="2160"/>
                <w:tab w:val="left" w:pos="2520"/>
                <w:tab w:val="left" w:pos="2880"/>
              </w:tabs>
              <w:jc w:val="center"/>
              <w:rPr>
                <w:b/>
                <w:sz w:val="20"/>
              </w:rPr>
            </w:pPr>
            <w:r w:rsidRPr="002441BF">
              <w:rPr>
                <w:b/>
                <w:sz w:val="20"/>
              </w:rPr>
              <w:t>Wednesday</w:t>
            </w:r>
          </w:p>
          <w:p w14:paraId="07E59403" w14:textId="239A9F5A" w:rsidR="00621F50" w:rsidRDefault="00621F50" w:rsidP="00350132">
            <w:pPr>
              <w:tabs>
                <w:tab w:val="left" w:pos="360"/>
                <w:tab w:val="left" w:pos="720"/>
                <w:tab w:val="left" w:pos="1080"/>
                <w:tab w:val="left" w:pos="1440"/>
                <w:tab w:val="left" w:pos="1800"/>
                <w:tab w:val="left" w:pos="2160"/>
                <w:tab w:val="left" w:pos="2520"/>
                <w:tab w:val="left" w:pos="2880"/>
              </w:tabs>
              <w:jc w:val="center"/>
              <w:rPr>
                <w:sz w:val="20"/>
              </w:rPr>
            </w:pPr>
            <w:r w:rsidRPr="002441BF">
              <w:rPr>
                <w:sz w:val="20"/>
              </w:rPr>
              <w:t>3/7/2018</w:t>
            </w:r>
          </w:p>
        </w:tc>
      </w:tr>
      <w:tr w:rsidR="00621F50" w:rsidRPr="00E06B74" w14:paraId="62663452" w14:textId="77777777" w:rsidTr="00F76BEE">
        <w:trPr>
          <w:trHeight w:val="620"/>
        </w:trPr>
        <w:tc>
          <w:tcPr>
            <w:tcW w:w="2178" w:type="dxa"/>
          </w:tcPr>
          <w:p w14:paraId="6FAA96E2" w14:textId="49AEAEBA" w:rsidR="00621F50" w:rsidRDefault="00621F50" w:rsidP="00690A61">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Orientation with district leaders and principals; interviews with district staff; </w:t>
            </w:r>
            <w:r>
              <w:rPr>
                <w:sz w:val="20"/>
              </w:rPr>
              <w:t>document reviews</w:t>
            </w:r>
            <w:r w:rsidRPr="007C5F07">
              <w:rPr>
                <w:sz w:val="20"/>
              </w:rPr>
              <w:t xml:space="preserve">; interview with teachers’ association; </w:t>
            </w:r>
            <w:r>
              <w:rPr>
                <w:sz w:val="20"/>
              </w:rPr>
              <w:t xml:space="preserve">and </w:t>
            </w:r>
            <w:r w:rsidRPr="007C5F07">
              <w:rPr>
                <w:sz w:val="20"/>
              </w:rPr>
              <w:t xml:space="preserve">visits to </w:t>
            </w:r>
            <w:r>
              <w:rPr>
                <w:sz w:val="20"/>
              </w:rPr>
              <w:t>Wakefield Memorial High School, Galvin Middle School, and Greenwood and Woodville elementary schools for classroom observations.</w:t>
            </w:r>
          </w:p>
        </w:tc>
        <w:tc>
          <w:tcPr>
            <w:tcW w:w="2190" w:type="dxa"/>
          </w:tcPr>
          <w:p w14:paraId="7E6B4B11" w14:textId="6EF67896" w:rsidR="00621F50" w:rsidRDefault="00621F50" w:rsidP="002441BF">
            <w:pPr>
              <w:tabs>
                <w:tab w:val="left" w:pos="360"/>
                <w:tab w:val="left" w:pos="720"/>
                <w:tab w:val="left" w:pos="1080"/>
                <w:tab w:val="left" w:pos="1440"/>
                <w:tab w:val="left" w:pos="1800"/>
                <w:tab w:val="left" w:pos="2160"/>
                <w:tab w:val="left" w:pos="2520"/>
                <w:tab w:val="left" w:pos="2880"/>
              </w:tabs>
              <w:rPr>
                <w:sz w:val="20"/>
              </w:rPr>
            </w:pPr>
            <w:r w:rsidRPr="007C5F07">
              <w:rPr>
                <w:sz w:val="20"/>
              </w:rPr>
              <w:t>Interviews with district staff and princ</w:t>
            </w:r>
            <w:r>
              <w:rPr>
                <w:sz w:val="20"/>
              </w:rPr>
              <w:t>ipals</w:t>
            </w:r>
            <w:r w:rsidRPr="007C5F07">
              <w:rPr>
                <w:sz w:val="20"/>
              </w:rPr>
              <w:t xml:space="preserve">; teacher focus groups; </w:t>
            </w:r>
            <w:r>
              <w:rPr>
                <w:sz w:val="20"/>
              </w:rPr>
              <w:t xml:space="preserve">parent focus group; school committee members, and </w:t>
            </w:r>
            <w:r w:rsidRPr="007C5F07">
              <w:rPr>
                <w:sz w:val="20"/>
              </w:rPr>
              <w:t>visits to</w:t>
            </w:r>
            <w:r>
              <w:rPr>
                <w:sz w:val="20"/>
              </w:rPr>
              <w:t xml:space="preserve"> Wakefield Memorial High School, Galvin Middle School, and Dolbeare, Walton, and Woodville elementary schools</w:t>
            </w:r>
            <w:r w:rsidRPr="007C5F07">
              <w:rPr>
                <w:sz w:val="20"/>
              </w:rPr>
              <w:t xml:space="preserve"> </w:t>
            </w:r>
            <w:r>
              <w:rPr>
                <w:sz w:val="20"/>
              </w:rPr>
              <w:t>for classroom observations.</w:t>
            </w:r>
          </w:p>
        </w:tc>
        <w:tc>
          <w:tcPr>
            <w:tcW w:w="2292" w:type="dxa"/>
          </w:tcPr>
          <w:p w14:paraId="752BCBD3" w14:textId="45D3CEE5" w:rsidR="00621F50" w:rsidRDefault="00621F50" w:rsidP="00690A61">
            <w:pPr>
              <w:tabs>
                <w:tab w:val="left" w:pos="360"/>
                <w:tab w:val="left" w:pos="720"/>
                <w:tab w:val="left" w:pos="1080"/>
                <w:tab w:val="left" w:pos="1440"/>
                <w:tab w:val="left" w:pos="1800"/>
                <w:tab w:val="left" w:pos="2160"/>
                <w:tab w:val="left" w:pos="2520"/>
                <w:tab w:val="left" w:pos="2880"/>
              </w:tabs>
              <w:rPr>
                <w:sz w:val="20"/>
              </w:rPr>
            </w:pPr>
            <w:r>
              <w:rPr>
                <w:sz w:val="20"/>
              </w:rPr>
              <w:t>V</w:t>
            </w:r>
            <w:r w:rsidRPr="007C5F07">
              <w:rPr>
                <w:sz w:val="20"/>
              </w:rPr>
              <w:t xml:space="preserve">isits to </w:t>
            </w:r>
            <w:r w:rsidR="00551683">
              <w:rPr>
                <w:sz w:val="20"/>
              </w:rPr>
              <w:t xml:space="preserve">Memorial High </w:t>
            </w:r>
            <w:r>
              <w:rPr>
                <w:sz w:val="20"/>
              </w:rPr>
              <w:t>School, Galvin Middle School, and Greenwood, Walton, Dolbeare, and Woodville elementary schools for classroom observations. Follow-up interviews; district wrap-up meeting with the superintendent.</w:t>
            </w:r>
          </w:p>
        </w:tc>
      </w:tr>
    </w:tbl>
    <w:p w14:paraId="05F2277A" w14:textId="6701BFF7" w:rsidR="008E314D" w:rsidRDefault="00AA3603" w:rsidP="008E314D">
      <w:pPr>
        <w:tabs>
          <w:tab w:val="left" w:pos="360"/>
          <w:tab w:val="left" w:pos="720"/>
          <w:tab w:val="left" w:pos="1080"/>
          <w:tab w:val="left" w:pos="1440"/>
          <w:tab w:val="left" w:pos="1800"/>
          <w:tab w:val="left" w:pos="2160"/>
          <w:tab w:val="left" w:pos="2520"/>
          <w:tab w:val="left" w:pos="2880"/>
        </w:tabs>
      </w:pPr>
      <w:r>
        <w:t xml:space="preserve"> </w:t>
      </w:r>
    </w:p>
    <w:p w14:paraId="35E12633" w14:textId="77777777" w:rsidR="002F1EBE" w:rsidRDefault="002F1EBE">
      <w:pPr>
        <w:spacing w:after="0" w:line="240" w:lineRule="auto"/>
      </w:pPr>
      <w:bookmarkStart w:id="18" w:name="_Toc337817151"/>
      <w:r>
        <w:br w:type="page"/>
      </w:r>
    </w:p>
    <w:p w14:paraId="198332D2" w14:textId="020B31DC" w:rsidR="002F1EBE" w:rsidRPr="002F1EBE" w:rsidRDefault="002F1EBE" w:rsidP="00C85CD0">
      <w:pPr>
        <w:pStyle w:val="Section"/>
      </w:pPr>
      <w:bookmarkStart w:id="19" w:name="_Toc532556050"/>
      <w:r w:rsidRPr="002F1EBE">
        <w:lastRenderedPageBreak/>
        <w:t xml:space="preserve">Appendix B: Enrollment, </w:t>
      </w:r>
      <w:r w:rsidR="00307697">
        <w:t>Attendance</w:t>
      </w:r>
      <w:r w:rsidRPr="002F1EBE">
        <w:t>, Expenditures</w:t>
      </w:r>
      <w:bookmarkEnd w:id="19"/>
    </w:p>
    <w:p w14:paraId="1ED32114" w14:textId="77777777" w:rsidR="007D6CBD" w:rsidRPr="0003343C" w:rsidRDefault="007D6CBD" w:rsidP="007D6CBD">
      <w:pPr>
        <w:spacing w:after="0"/>
        <w:jc w:val="center"/>
        <w:rPr>
          <w:rFonts w:ascii="Calibri" w:eastAsia="Calibri" w:hAnsi="Calibri" w:cs="Times New Roman"/>
          <w:b/>
          <w:sz w:val="20"/>
        </w:rPr>
      </w:pPr>
      <w:r w:rsidRPr="0003343C">
        <w:rPr>
          <w:rFonts w:ascii="Calibri" w:eastAsia="Calibri" w:hAnsi="Calibri" w:cs="Times New Roman"/>
          <w:b/>
          <w:sz w:val="20"/>
        </w:rPr>
        <w:t xml:space="preserve">Table B1a: </w:t>
      </w:r>
      <w:r>
        <w:rPr>
          <w:rFonts w:ascii="Calibri" w:eastAsia="Calibri" w:hAnsi="Calibri" w:cs="Times New Roman"/>
          <w:b/>
          <w:sz w:val="20"/>
        </w:rPr>
        <w:t>Wakefield</w:t>
      </w:r>
      <w:r w:rsidRPr="0003343C">
        <w:rPr>
          <w:rFonts w:ascii="Calibri" w:eastAsia="Calibri" w:hAnsi="Calibri" w:cs="Times New Roman"/>
          <w:b/>
          <w:sz w:val="20"/>
        </w:rPr>
        <w:t xml:space="preserve"> Public Schools</w:t>
      </w:r>
    </w:p>
    <w:p w14:paraId="24A8AC26" w14:textId="77777777" w:rsidR="007D6CBD" w:rsidRPr="0003343C" w:rsidRDefault="007D6CBD" w:rsidP="007D6CBD">
      <w:pPr>
        <w:spacing w:after="0"/>
        <w:jc w:val="center"/>
        <w:rPr>
          <w:rFonts w:ascii="Calibri" w:eastAsia="Calibri" w:hAnsi="Calibri" w:cs="Times New Roman"/>
          <w:b/>
          <w:sz w:val="20"/>
        </w:rPr>
      </w:pPr>
      <w:r w:rsidRPr="0003343C">
        <w:rPr>
          <w:rFonts w:ascii="Calibri" w:eastAsia="Calibri" w:hAnsi="Calibri" w:cs="Times New Roman"/>
          <w:b/>
          <w:sz w:val="20"/>
        </w:rPr>
        <w:t>201</w:t>
      </w:r>
      <w:r>
        <w:rPr>
          <w:rFonts w:ascii="Calibri" w:eastAsia="Calibri" w:hAnsi="Calibri" w:cs="Times New Roman"/>
          <w:b/>
          <w:sz w:val="20"/>
        </w:rPr>
        <w:t>7</w:t>
      </w:r>
      <w:r w:rsidRPr="0003343C">
        <w:rPr>
          <w:rFonts w:ascii="Calibri" w:eastAsia="Calibri" w:hAnsi="Calibri" w:cs="Times New Roman"/>
          <w:b/>
          <w:sz w:val="20"/>
        </w:rPr>
        <w:t>–201</w:t>
      </w:r>
      <w:r>
        <w:rPr>
          <w:rFonts w:ascii="Calibri" w:eastAsia="Calibri" w:hAnsi="Calibri" w:cs="Times New Roman"/>
          <w:b/>
          <w:sz w:val="20"/>
        </w:rPr>
        <w:t>8</w:t>
      </w:r>
      <w:r w:rsidRPr="0003343C">
        <w:rPr>
          <w:rFonts w:ascii="Calibri" w:eastAsia="Calibri" w:hAnsi="Calibri" w:cs="Times New Roman"/>
          <w:b/>
          <w:sz w:val="20"/>
        </w:rPr>
        <w:t xml:space="preserve"> Student Enrollment by Race/Ethnicity</w:t>
      </w:r>
    </w:p>
    <w:tbl>
      <w:tblPr>
        <w:tblStyle w:val="TableGrid"/>
        <w:tblW w:w="0" w:type="auto"/>
        <w:tblLook w:val="04A0" w:firstRow="1" w:lastRow="0" w:firstColumn="1" w:lastColumn="0" w:noHBand="0" w:noVBand="1"/>
        <w:tblCaption w:val="Table B1a: Wakefield Public Schools"/>
        <w:tblDescription w:val="2017–2018 Student Enrollment by Race/Ethnicity&#10;"/>
      </w:tblPr>
      <w:tblGrid>
        <w:gridCol w:w="2898"/>
        <w:gridCol w:w="1489"/>
        <w:gridCol w:w="1490"/>
        <w:gridCol w:w="1489"/>
        <w:gridCol w:w="1490"/>
      </w:tblGrid>
      <w:tr w:rsidR="007D6CBD" w:rsidRPr="0003343C" w14:paraId="2272C79B" w14:textId="77777777" w:rsidTr="00BB0032">
        <w:trPr>
          <w:tblHeader/>
        </w:trPr>
        <w:tc>
          <w:tcPr>
            <w:tcW w:w="2898" w:type="dxa"/>
          </w:tcPr>
          <w:p w14:paraId="75E0E3E6" w14:textId="02847A80" w:rsidR="007D6CBD" w:rsidRPr="0003343C" w:rsidRDefault="007D6CBD" w:rsidP="00FE49D0">
            <w:pPr>
              <w:spacing w:after="0" w:line="240" w:lineRule="auto"/>
              <w:rPr>
                <w:rFonts w:ascii="Calibri" w:eastAsia="Times New Roman" w:hAnsi="Calibri" w:cs="Times New Roman"/>
                <w:b/>
                <w:sz w:val="20"/>
                <w:szCs w:val="20"/>
              </w:rPr>
            </w:pPr>
            <w:r w:rsidRPr="0003343C">
              <w:rPr>
                <w:rFonts w:ascii="Calibri" w:eastAsia="Times New Roman" w:hAnsi="Calibri" w:cs="Times New Roman"/>
                <w:b/>
                <w:sz w:val="20"/>
                <w:szCs w:val="20"/>
              </w:rPr>
              <w:t>Group</w:t>
            </w:r>
          </w:p>
        </w:tc>
        <w:tc>
          <w:tcPr>
            <w:tcW w:w="1489" w:type="dxa"/>
          </w:tcPr>
          <w:p w14:paraId="4F93F44D" w14:textId="77777777" w:rsidR="007D6CBD" w:rsidRPr="0003343C" w:rsidRDefault="007D6CBD" w:rsidP="00642879">
            <w:pPr>
              <w:spacing w:after="0" w:line="240" w:lineRule="auto"/>
              <w:jc w:val="center"/>
              <w:rPr>
                <w:rFonts w:ascii="Calibri" w:eastAsia="Times New Roman" w:hAnsi="Calibri" w:cs="Times New Roman"/>
                <w:b/>
                <w:sz w:val="20"/>
                <w:szCs w:val="20"/>
              </w:rPr>
            </w:pPr>
            <w:r w:rsidRPr="0003343C">
              <w:rPr>
                <w:rFonts w:ascii="Calibri" w:eastAsia="Times New Roman" w:hAnsi="Calibri" w:cs="Times New Roman"/>
                <w:b/>
                <w:sz w:val="20"/>
                <w:szCs w:val="20"/>
              </w:rPr>
              <w:t>District</w:t>
            </w:r>
          </w:p>
        </w:tc>
        <w:tc>
          <w:tcPr>
            <w:tcW w:w="1490" w:type="dxa"/>
            <w:shd w:val="clear" w:color="auto" w:fill="D9D9D9" w:themeFill="background1" w:themeFillShade="D9"/>
          </w:tcPr>
          <w:p w14:paraId="7A1010A6" w14:textId="77777777" w:rsidR="007D6CBD" w:rsidRPr="0003343C" w:rsidRDefault="007D6CBD" w:rsidP="00642879">
            <w:pPr>
              <w:spacing w:after="0" w:line="240" w:lineRule="auto"/>
              <w:jc w:val="center"/>
              <w:rPr>
                <w:rFonts w:ascii="Calibri" w:eastAsia="Times New Roman" w:hAnsi="Calibri" w:cs="Times New Roman"/>
                <w:b/>
                <w:sz w:val="20"/>
                <w:szCs w:val="20"/>
              </w:rPr>
            </w:pPr>
            <w:r w:rsidRPr="0003343C">
              <w:rPr>
                <w:rFonts w:ascii="Calibri" w:eastAsia="Times New Roman" w:hAnsi="Calibri" w:cs="Times New Roman"/>
                <w:b/>
                <w:sz w:val="20"/>
                <w:szCs w:val="20"/>
              </w:rPr>
              <w:t>Percent</w:t>
            </w:r>
          </w:p>
          <w:p w14:paraId="555BB8F9" w14:textId="77777777" w:rsidR="007D6CBD" w:rsidRPr="0003343C" w:rsidRDefault="007D6CBD" w:rsidP="00642879">
            <w:pPr>
              <w:spacing w:after="0" w:line="240" w:lineRule="auto"/>
              <w:jc w:val="center"/>
              <w:rPr>
                <w:rFonts w:ascii="Calibri" w:eastAsia="Times New Roman" w:hAnsi="Calibri" w:cs="Times New Roman"/>
                <w:b/>
                <w:sz w:val="20"/>
                <w:szCs w:val="20"/>
              </w:rPr>
            </w:pPr>
            <w:r w:rsidRPr="0003343C">
              <w:rPr>
                <w:rFonts w:ascii="Calibri" w:eastAsia="Times New Roman" w:hAnsi="Calibri" w:cs="Times New Roman"/>
                <w:b/>
                <w:sz w:val="20"/>
                <w:szCs w:val="20"/>
              </w:rPr>
              <w:t>of Total</w:t>
            </w:r>
          </w:p>
        </w:tc>
        <w:tc>
          <w:tcPr>
            <w:tcW w:w="1489" w:type="dxa"/>
          </w:tcPr>
          <w:p w14:paraId="3AD40E49" w14:textId="77777777" w:rsidR="007D6CBD" w:rsidRPr="0003343C" w:rsidRDefault="007D6CBD" w:rsidP="00642879">
            <w:pPr>
              <w:spacing w:after="0" w:line="240" w:lineRule="auto"/>
              <w:jc w:val="center"/>
              <w:rPr>
                <w:rFonts w:ascii="Calibri" w:eastAsia="Times New Roman" w:hAnsi="Calibri" w:cs="Times New Roman"/>
                <w:b/>
                <w:sz w:val="20"/>
                <w:szCs w:val="20"/>
              </w:rPr>
            </w:pPr>
            <w:r w:rsidRPr="0003343C">
              <w:rPr>
                <w:rFonts w:ascii="Calibri" w:eastAsia="Times New Roman" w:hAnsi="Calibri" w:cs="Times New Roman"/>
                <w:b/>
                <w:sz w:val="20"/>
                <w:szCs w:val="20"/>
              </w:rPr>
              <w:t>State</w:t>
            </w:r>
          </w:p>
        </w:tc>
        <w:tc>
          <w:tcPr>
            <w:tcW w:w="1490" w:type="dxa"/>
            <w:shd w:val="clear" w:color="auto" w:fill="D9D9D9" w:themeFill="background1" w:themeFillShade="D9"/>
          </w:tcPr>
          <w:p w14:paraId="7434DA96" w14:textId="77777777" w:rsidR="007D6CBD" w:rsidRPr="0003343C" w:rsidRDefault="007D6CBD" w:rsidP="00642879">
            <w:pPr>
              <w:spacing w:after="0" w:line="240" w:lineRule="auto"/>
              <w:jc w:val="center"/>
              <w:rPr>
                <w:rFonts w:ascii="Calibri" w:eastAsia="Times New Roman" w:hAnsi="Calibri" w:cs="Times New Roman"/>
                <w:b/>
                <w:sz w:val="20"/>
                <w:szCs w:val="20"/>
              </w:rPr>
            </w:pPr>
            <w:r w:rsidRPr="0003343C">
              <w:rPr>
                <w:rFonts w:ascii="Calibri" w:eastAsia="Times New Roman" w:hAnsi="Calibri" w:cs="Times New Roman"/>
                <w:b/>
                <w:sz w:val="20"/>
                <w:szCs w:val="20"/>
              </w:rPr>
              <w:t>Percent of</w:t>
            </w:r>
          </w:p>
          <w:p w14:paraId="2AB2A50E" w14:textId="77777777" w:rsidR="007D6CBD" w:rsidRPr="0003343C" w:rsidRDefault="007D6CBD" w:rsidP="00642879">
            <w:pPr>
              <w:spacing w:after="0" w:line="240" w:lineRule="auto"/>
              <w:jc w:val="center"/>
              <w:rPr>
                <w:rFonts w:ascii="Calibri" w:eastAsia="Times New Roman" w:hAnsi="Calibri" w:cs="Times New Roman"/>
                <w:b/>
                <w:sz w:val="20"/>
                <w:szCs w:val="20"/>
              </w:rPr>
            </w:pPr>
            <w:r w:rsidRPr="0003343C">
              <w:rPr>
                <w:rFonts w:ascii="Calibri" w:eastAsia="Times New Roman" w:hAnsi="Calibri" w:cs="Times New Roman"/>
                <w:b/>
                <w:sz w:val="20"/>
                <w:szCs w:val="20"/>
              </w:rPr>
              <w:t>Total</w:t>
            </w:r>
          </w:p>
        </w:tc>
      </w:tr>
      <w:tr w:rsidR="007D6CBD" w:rsidRPr="0003343C" w14:paraId="6BB92001" w14:textId="77777777" w:rsidTr="00DF5AC6">
        <w:tc>
          <w:tcPr>
            <w:tcW w:w="2898" w:type="dxa"/>
          </w:tcPr>
          <w:p w14:paraId="28603DA8" w14:textId="77777777" w:rsidR="007D6CBD" w:rsidRPr="0003343C" w:rsidRDefault="007D6CBD" w:rsidP="00642879">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African-American</w:t>
            </w:r>
          </w:p>
        </w:tc>
        <w:tc>
          <w:tcPr>
            <w:tcW w:w="1489" w:type="dxa"/>
            <w:tcBorders>
              <w:top w:val="nil"/>
              <w:left w:val="single" w:sz="4" w:space="0" w:color="auto"/>
              <w:bottom w:val="single" w:sz="4" w:space="0" w:color="auto"/>
              <w:right w:val="single" w:sz="4" w:space="0" w:color="auto"/>
            </w:tcBorders>
            <w:shd w:val="clear" w:color="auto" w:fill="auto"/>
          </w:tcPr>
          <w:p w14:paraId="0F2A204A" w14:textId="77777777" w:rsidR="007D6CBD" w:rsidRPr="002170E2" w:rsidRDefault="007D6CBD" w:rsidP="00642879">
            <w:pPr>
              <w:spacing w:after="0"/>
              <w:jc w:val="center"/>
              <w:rPr>
                <w:sz w:val="20"/>
                <w:szCs w:val="20"/>
              </w:rPr>
            </w:pPr>
            <w:r w:rsidRPr="002170E2">
              <w:rPr>
                <w:sz w:val="20"/>
                <w:szCs w:val="20"/>
              </w:rPr>
              <w:t>89</w:t>
            </w:r>
          </w:p>
        </w:tc>
        <w:tc>
          <w:tcPr>
            <w:tcW w:w="1490" w:type="dxa"/>
            <w:tcBorders>
              <w:top w:val="nil"/>
              <w:left w:val="nil"/>
              <w:bottom w:val="single" w:sz="4" w:space="0" w:color="auto"/>
              <w:right w:val="single" w:sz="4" w:space="0" w:color="auto"/>
            </w:tcBorders>
            <w:shd w:val="clear" w:color="auto" w:fill="D9D9D9" w:themeFill="background1" w:themeFillShade="D9"/>
          </w:tcPr>
          <w:p w14:paraId="5E256A95" w14:textId="77777777" w:rsidR="007D6CBD" w:rsidRPr="002170E2" w:rsidRDefault="007D6CBD" w:rsidP="00642879">
            <w:pPr>
              <w:spacing w:after="0"/>
              <w:jc w:val="center"/>
              <w:rPr>
                <w:sz w:val="20"/>
                <w:szCs w:val="20"/>
              </w:rPr>
            </w:pPr>
            <w:r w:rsidRPr="002170E2">
              <w:rPr>
                <w:sz w:val="20"/>
                <w:szCs w:val="20"/>
              </w:rPr>
              <w:t>2.5%</w:t>
            </w:r>
          </w:p>
        </w:tc>
        <w:tc>
          <w:tcPr>
            <w:tcW w:w="1489" w:type="dxa"/>
            <w:tcBorders>
              <w:top w:val="single" w:sz="12" w:space="0" w:color="auto"/>
              <w:left w:val="nil"/>
              <w:bottom w:val="single" w:sz="4" w:space="0" w:color="auto"/>
              <w:right w:val="single" w:sz="4" w:space="0" w:color="auto"/>
            </w:tcBorders>
            <w:shd w:val="clear" w:color="auto" w:fill="auto"/>
          </w:tcPr>
          <w:p w14:paraId="5C76BCB4" w14:textId="77777777" w:rsidR="007D6CBD" w:rsidRPr="002170E2" w:rsidRDefault="007D6CBD" w:rsidP="00642879">
            <w:pPr>
              <w:spacing w:after="0" w:line="240" w:lineRule="auto"/>
              <w:jc w:val="center"/>
              <w:rPr>
                <w:rFonts w:ascii="Calibri" w:hAnsi="Calibri" w:cs="Calibri"/>
                <w:color w:val="000000"/>
                <w:sz w:val="20"/>
                <w:szCs w:val="20"/>
              </w:rPr>
            </w:pPr>
            <w:r w:rsidRPr="002170E2">
              <w:rPr>
                <w:rFonts w:ascii="Calibri" w:hAnsi="Calibri" w:cs="Calibri"/>
                <w:color w:val="000000"/>
                <w:sz w:val="20"/>
                <w:szCs w:val="20"/>
              </w:rPr>
              <w:t>86,305</w:t>
            </w:r>
          </w:p>
        </w:tc>
        <w:tc>
          <w:tcPr>
            <w:tcW w:w="1490" w:type="dxa"/>
            <w:tcBorders>
              <w:top w:val="nil"/>
              <w:left w:val="nil"/>
              <w:bottom w:val="single" w:sz="4" w:space="0" w:color="auto"/>
              <w:right w:val="single" w:sz="4" w:space="0" w:color="auto"/>
            </w:tcBorders>
            <w:shd w:val="clear" w:color="auto" w:fill="D9D9D9" w:themeFill="background1" w:themeFillShade="D9"/>
          </w:tcPr>
          <w:p w14:paraId="523238C8" w14:textId="77777777" w:rsidR="007D6CBD" w:rsidRPr="002170E2" w:rsidRDefault="007D6CBD" w:rsidP="00642879">
            <w:pPr>
              <w:spacing w:after="0" w:line="240" w:lineRule="auto"/>
              <w:jc w:val="center"/>
              <w:rPr>
                <w:rFonts w:ascii="Calibri" w:hAnsi="Calibri" w:cs="Calibri"/>
                <w:color w:val="000000"/>
                <w:sz w:val="20"/>
                <w:szCs w:val="20"/>
              </w:rPr>
            </w:pPr>
            <w:r w:rsidRPr="002170E2">
              <w:rPr>
                <w:rFonts w:ascii="Calibri" w:hAnsi="Calibri" w:cs="Calibri"/>
                <w:color w:val="000000"/>
                <w:sz w:val="20"/>
                <w:szCs w:val="20"/>
              </w:rPr>
              <w:t>9.0%</w:t>
            </w:r>
          </w:p>
        </w:tc>
      </w:tr>
      <w:tr w:rsidR="007D6CBD" w:rsidRPr="0003343C" w14:paraId="05DFCB8C" w14:textId="77777777" w:rsidTr="00DF5AC6">
        <w:tc>
          <w:tcPr>
            <w:tcW w:w="2898" w:type="dxa"/>
          </w:tcPr>
          <w:p w14:paraId="380DADEA" w14:textId="77777777" w:rsidR="007D6CBD" w:rsidRPr="0003343C" w:rsidRDefault="007D6CBD" w:rsidP="00642879">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Asian</w:t>
            </w:r>
          </w:p>
        </w:tc>
        <w:tc>
          <w:tcPr>
            <w:tcW w:w="1489" w:type="dxa"/>
            <w:tcBorders>
              <w:top w:val="nil"/>
              <w:left w:val="single" w:sz="4" w:space="0" w:color="auto"/>
              <w:bottom w:val="single" w:sz="4" w:space="0" w:color="auto"/>
              <w:right w:val="single" w:sz="4" w:space="0" w:color="auto"/>
            </w:tcBorders>
            <w:shd w:val="clear" w:color="auto" w:fill="auto"/>
          </w:tcPr>
          <w:p w14:paraId="7FD5C50B" w14:textId="77777777" w:rsidR="007D6CBD" w:rsidRPr="002170E2" w:rsidRDefault="007D6CBD" w:rsidP="00642879">
            <w:pPr>
              <w:spacing w:after="0"/>
              <w:jc w:val="center"/>
              <w:rPr>
                <w:sz w:val="20"/>
                <w:szCs w:val="20"/>
              </w:rPr>
            </w:pPr>
            <w:r w:rsidRPr="002170E2">
              <w:rPr>
                <w:sz w:val="20"/>
                <w:szCs w:val="20"/>
              </w:rPr>
              <w:t>120</w:t>
            </w:r>
          </w:p>
        </w:tc>
        <w:tc>
          <w:tcPr>
            <w:tcW w:w="1490" w:type="dxa"/>
            <w:tcBorders>
              <w:top w:val="nil"/>
              <w:left w:val="nil"/>
              <w:bottom w:val="single" w:sz="4" w:space="0" w:color="auto"/>
              <w:right w:val="single" w:sz="4" w:space="0" w:color="auto"/>
            </w:tcBorders>
            <w:shd w:val="clear" w:color="auto" w:fill="D9D9D9" w:themeFill="background1" w:themeFillShade="D9"/>
          </w:tcPr>
          <w:p w14:paraId="46F52B6F" w14:textId="77777777" w:rsidR="007D6CBD" w:rsidRPr="002170E2" w:rsidRDefault="007D6CBD" w:rsidP="00642879">
            <w:pPr>
              <w:spacing w:after="0"/>
              <w:jc w:val="center"/>
              <w:rPr>
                <w:sz w:val="20"/>
                <w:szCs w:val="20"/>
              </w:rPr>
            </w:pPr>
            <w:r w:rsidRPr="002170E2">
              <w:rPr>
                <w:sz w:val="20"/>
                <w:szCs w:val="20"/>
              </w:rPr>
              <w:t>3.4%</w:t>
            </w:r>
          </w:p>
        </w:tc>
        <w:tc>
          <w:tcPr>
            <w:tcW w:w="1489" w:type="dxa"/>
            <w:tcBorders>
              <w:top w:val="nil"/>
              <w:left w:val="nil"/>
              <w:bottom w:val="single" w:sz="4" w:space="0" w:color="auto"/>
              <w:right w:val="single" w:sz="4" w:space="0" w:color="auto"/>
            </w:tcBorders>
            <w:shd w:val="clear" w:color="auto" w:fill="auto"/>
          </w:tcPr>
          <w:p w14:paraId="469025A7" w14:textId="77777777" w:rsidR="007D6CBD" w:rsidRPr="002170E2" w:rsidRDefault="007D6CBD" w:rsidP="00642879">
            <w:pPr>
              <w:spacing w:after="0" w:line="240" w:lineRule="auto"/>
              <w:jc w:val="center"/>
              <w:rPr>
                <w:rFonts w:ascii="Calibri" w:hAnsi="Calibri" w:cs="Calibri"/>
                <w:color w:val="000000"/>
                <w:sz w:val="20"/>
                <w:szCs w:val="20"/>
              </w:rPr>
            </w:pPr>
            <w:r w:rsidRPr="002170E2">
              <w:rPr>
                <w:rFonts w:ascii="Calibri" w:hAnsi="Calibri" w:cs="Calibri"/>
                <w:color w:val="000000"/>
                <w:sz w:val="20"/>
                <w:szCs w:val="20"/>
              </w:rPr>
              <w:t>65,667</w:t>
            </w:r>
          </w:p>
        </w:tc>
        <w:tc>
          <w:tcPr>
            <w:tcW w:w="1490" w:type="dxa"/>
            <w:tcBorders>
              <w:top w:val="nil"/>
              <w:left w:val="nil"/>
              <w:bottom w:val="single" w:sz="4" w:space="0" w:color="auto"/>
              <w:right w:val="single" w:sz="4" w:space="0" w:color="auto"/>
            </w:tcBorders>
            <w:shd w:val="clear" w:color="auto" w:fill="D9D9D9" w:themeFill="background1" w:themeFillShade="D9"/>
          </w:tcPr>
          <w:p w14:paraId="230159D3" w14:textId="77777777" w:rsidR="007D6CBD" w:rsidRPr="002170E2" w:rsidRDefault="007D6CBD" w:rsidP="00642879">
            <w:pPr>
              <w:spacing w:after="0" w:line="240" w:lineRule="auto"/>
              <w:jc w:val="center"/>
              <w:rPr>
                <w:rFonts w:ascii="Calibri" w:hAnsi="Calibri" w:cs="Calibri"/>
                <w:color w:val="000000"/>
                <w:sz w:val="20"/>
                <w:szCs w:val="20"/>
              </w:rPr>
            </w:pPr>
            <w:r w:rsidRPr="002170E2">
              <w:rPr>
                <w:rFonts w:ascii="Calibri" w:hAnsi="Calibri" w:cs="Calibri"/>
                <w:color w:val="000000"/>
                <w:sz w:val="20"/>
                <w:szCs w:val="20"/>
              </w:rPr>
              <w:t>6.9%</w:t>
            </w:r>
          </w:p>
        </w:tc>
      </w:tr>
      <w:tr w:rsidR="007D6CBD" w:rsidRPr="0003343C" w14:paraId="434B45BD" w14:textId="77777777" w:rsidTr="00DF5AC6">
        <w:tc>
          <w:tcPr>
            <w:tcW w:w="2898" w:type="dxa"/>
          </w:tcPr>
          <w:p w14:paraId="75906FCE" w14:textId="77777777" w:rsidR="007D6CBD" w:rsidRPr="0003343C" w:rsidRDefault="007D6CBD" w:rsidP="00642879">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Hispanic</w:t>
            </w:r>
          </w:p>
        </w:tc>
        <w:tc>
          <w:tcPr>
            <w:tcW w:w="1489" w:type="dxa"/>
            <w:tcBorders>
              <w:top w:val="nil"/>
              <w:left w:val="single" w:sz="4" w:space="0" w:color="auto"/>
              <w:bottom w:val="single" w:sz="4" w:space="0" w:color="auto"/>
              <w:right w:val="single" w:sz="4" w:space="0" w:color="auto"/>
            </w:tcBorders>
            <w:shd w:val="clear" w:color="auto" w:fill="auto"/>
          </w:tcPr>
          <w:p w14:paraId="411E29A6" w14:textId="77777777" w:rsidR="007D6CBD" w:rsidRPr="002170E2" w:rsidRDefault="007D6CBD" w:rsidP="00642879">
            <w:pPr>
              <w:spacing w:after="0"/>
              <w:jc w:val="center"/>
              <w:rPr>
                <w:sz w:val="20"/>
                <w:szCs w:val="20"/>
              </w:rPr>
            </w:pPr>
            <w:r w:rsidRPr="002170E2">
              <w:rPr>
                <w:sz w:val="20"/>
                <w:szCs w:val="20"/>
              </w:rPr>
              <w:t>204</w:t>
            </w:r>
          </w:p>
        </w:tc>
        <w:tc>
          <w:tcPr>
            <w:tcW w:w="1490" w:type="dxa"/>
            <w:tcBorders>
              <w:top w:val="nil"/>
              <w:left w:val="nil"/>
              <w:bottom w:val="single" w:sz="4" w:space="0" w:color="auto"/>
              <w:right w:val="single" w:sz="4" w:space="0" w:color="auto"/>
            </w:tcBorders>
            <w:shd w:val="clear" w:color="auto" w:fill="D9D9D9" w:themeFill="background1" w:themeFillShade="D9"/>
          </w:tcPr>
          <w:p w14:paraId="3D3089DD" w14:textId="77777777" w:rsidR="007D6CBD" w:rsidRPr="002170E2" w:rsidRDefault="007D6CBD" w:rsidP="00642879">
            <w:pPr>
              <w:spacing w:after="0"/>
              <w:jc w:val="center"/>
              <w:rPr>
                <w:sz w:val="20"/>
                <w:szCs w:val="20"/>
              </w:rPr>
            </w:pPr>
            <w:r w:rsidRPr="002170E2">
              <w:rPr>
                <w:sz w:val="20"/>
                <w:szCs w:val="20"/>
              </w:rPr>
              <w:t>5.8%</w:t>
            </w:r>
          </w:p>
        </w:tc>
        <w:tc>
          <w:tcPr>
            <w:tcW w:w="1489" w:type="dxa"/>
            <w:tcBorders>
              <w:top w:val="nil"/>
              <w:left w:val="nil"/>
              <w:bottom w:val="single" w:sz="4" w:space="0" w:color="auto"/>
              <w:right w:val="single" w:sz="4" w:space="0" w:color="auto"/>
            </w:tcBorders>
            <w:shd w:val="clear" w:color="auto" w:fill="auto"/>
          </w:tcPr>
          <w:p w14:paraId="0A25C4D8" w14:textId="77777777" w:rsidR="007D6CBD" w:rsidRPr="002170E2" w:rsidRDefault="007D6CBD" w:rsidP="00642879">
            <w:pPr>
              <w:spacing w:after="0" w:line="240" w:lineRule="auto"/>
              <w:jc w:val="center"/>
              <w:rPr>
                <w:rFonts w:ascii="Calibri" w:hAnsi="Calibri" w:cs="Calibri"/>
                <w:color w:val="000000"/>
                <w:sz w:val="20"/>
                <w:szCs w:val="20"/>
              </w:rPr>
            </w:pPr>
            <w:r w:rsidRPr="002170E2">
              <w:rPr>
                <w:rFonts w:ascii="Calibri" w:hAnsi="Calibri" w:cs="Calibri"/>
                <w:color w:val="000000"/>
                <w:sz w:val="20"/>
                <w:szCs w:val="20"/>
              </w:rPr>
              <w:t>191,201</w:t>
            </w:r>
          </w:p>
        </w:tc>
        <w:tc>
          <w:tcPr>
            <w:tcW w:w="1490" w:type="dxa"/>
            <w:tcBorders>
              <w:top w:val="nil"/>
              <w:left w:val="nil"/>
              <w:bottom w:val="single" w:sz="4" w:space="0" w:color="auto"/>
              <w:right w:val="single" w:sz="4" w:space="0" w:color="auto"/>
            </w:tcBorders>
            <w:shd w:val="clear" w:color="auto" w:fill="D9D9D9" w:themeFill="background1" w:themeFillShade="D9"/>
          </w:tcPr>
          <w:p w14:paraId="65FD58F9" w14:textId="77777777" w:rsidR="007D6CBD" w:rsidRPr="002170E2" w:rsidRDefault="007D6CBD" w:rsidP="00642879">
            <w:pPr>
              <w:spacing w:after="0" w:line="240" w:lineRule="auto"/>
              <w:jc w:val="center"/>
              <w:rPr>
                <w:rFonts w:ascii="Calibri" w:hAnsi="Calibri" w:cs="Calibri"/>
                <w:color w:val="000000"/>
                <w:sz w:val="20"/>
                <w:szCs w:val="20"/>
              </w:rPr>
            </w:pPr>
            <w:r w:rsidRPr="002170E2">
              <w:rPr>
                <w:rFonts w:ascii="Calibri" w:hAnsi="Calibri" w:cs="Calibri"/>
                <w:color w:val="000000"/>
                <w:sz w:val="20"/>
                <w:szCs w:val="20"/>
              </w:rPr>
              <w:t>20.0%</w:t>
            </w:r>
          </w:p>
        </w:tc>
      </w:tr>
      <w:tr w:rsidR="007D6CBD" w:rsidRPr="0003343C" w14:paraId="0320949F" w14:textId="77777777" w:rsidTr="00DF5AC6">
        <w:tc>
          <w:tcPr>
            <w:tcW w:w="2898" w:type="dxa"/>
          </w:tcPr>
          <w:p w14:paraId="39BF321C" w14:textId="77777777" w:rsidR="007D6CBD" w:rsidRPr="0003343C" w:rsidRDefault="007D6CBD" w:rsidP="00642879">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Native American</w:t>
            </w:r>
          </w:p>
        </w:tc>
        <w:tc>
          <w:tcPr>
            <w:tcW w:w="1489" w:type="dxa"/>
            <w:tcBorders>
              <w:top w:val="nil"/>
              <w:left w:val="single" w:sz="4" w:space="0" w:color="auto"/>
              <w:bottom w:val="single" w:sz="4" w:space="0" w:color="auto"/>
              <w:right w:val="single" w:sz="4" w:space="0" w:color="auto"/>
            </w:tcBorders>
            <w:shd w:val="clear" w:color="auto" w:fill="auto"/>
          </w:tcPr>
          <w:p w14:paraId="76F23CD4" w14:textId="77777777" w:rsidR="007D6CBD" w:rsidRPr="002170E2" w:rsidRDefault="007D6CBD" w:rsidP="00642879">
            <w:pPr>
              <w:spacing w:after="0"/>
              <w:jc w:val="center"/>
              <w:rPr>
                <w:sz w:val="20"/>
                <w:szCs w:val="20"/>
              </w:rPr>
            </w:pPr>
            <w:r w:rsidRPr="002170E2">
              <w:rPr>
                <w:sz w:val="20"/>
                <w:szCs w:val="20"/>
              </w:rPr>
              <w:t>6</w:t>
            </w:r>
          </w:p>
        </w:tc>
        <w:tc>
          <w:tcPr>
            <w:tcW w:w="1490" w:type="dxa"/>
            <w:tcBorders>
              <w:top w:val="nil"/>
              <w:left w:val="nil"/>
              <w:bottom w:val="single" w:sz="4" w:space="0" w:color="auto"/>
              <w:right w:val="single" w:sz="4" w:space="0" w:color="auto"/>
            </w:tcBorders>
            <w:shd w:val="clear" w:color="auto" w:fill="D9D9D9" w:themeFill="background1" w:themeFillShade="D9"/>
          </w:tcPr>
          <w:p w14:paraId="461476FE" w14:textId="77777777" w:rsidR="007D6CBD" w:rsidRPr="002170E2" w:rsidRDefault="007D6CBD" w:rsidP="00642879">
            <w:pPr>
              <w:spacing w:after="0"/>
              <w:jc w:val="center"/>
              <w:rPr>
                <w:sz w:val="20"/>
                <w:szCs w:val="20"/>
              </w:rPr>
            </w:pPr>
            <w:r w:rsidRPr="002170E2">
              <w:rPr>
                <w:sz w:val="20"/>
                <w:szCs w:val="20"/>
              </w:rPr>
              <w:t>0.2%</w:t>
            </w:r>
          </w:p>
        </w:tc>
        <w:tc>
          <w:tcPr>
            <w:tcW w:w="1489" w:type="dxa"/>
            <w:tcBorders>
              <w:top w:val="nil"/>
              <w:left w:val="nil"/>
              <w:bottom w:val="single" w:sz="4" w:space="0" w:color="auto"/>
              <w:right w:val="single" w:sz="4" w:space="0" w:color="auto"/>
            </w:tcBorders>
            <w:shd w:val="clear" w:color="auto" w:fill="auto"/>
          </w:tcPr>
          <w:p w14:paraId="1A25D05B" w14:textId="77777777" w:rsidR="007D6CBD" w:rsidRPr="002170E2" w:rsidRDefault="007D6CBD" w:rsidP="00642879">
            <w:pPr>
              <w:spacing w:after="0" w:line="240" w:lineRule="auto"/>
              <w:jc w:val="center"/>
              <w:rPr>
                <w:rFonts w:ascii="Calibri" w:hAnsi="Calibri" w:cs="Calibri"/>
                <w:color w:val="000000"/>
                <w:sz w:val="20"/>
                <w:szCs w:val="20"/>
              </w:rPr>
            </w:pPr>
            <w:r w:rsidRPr="002170E2">
              <w:rPr>
                <w:rFonts w:ascii="Calibri" w:hAnsi="Calibri" w:cs="Calibri"/>
                <w:color w:val="000000"/>
                <w:sz w:val="20"/>
                <w:szCs w:val="20"/>
              </w:rPr>
              <w:t>2,103</w:t>
            </w:r>
          </w:p>
        </w:tc>
        <w:tc>
          <w:tcPr>
            <w:tcW w:w="1490" w:type="dxa"/>
            <w:tcBorders>
              <w:top w:val="nil"/>
              <w:left w:val="nil"/>
              <w:bottom w:val="single" w:sz="4" w:space="0" w:color="auto"/>
              <w:right w:val="single" w:sz="4" w:space="0" w:color="auto"/>
            </w:tcBorders>
            <w:shd w:val="clear" w:color="auto" w:fill="D9D9D9" w:themeFill="background1" w:themeFillShade="D9"/>
          </w:tcPr>
          <w:p w14:paraId="37B703FB" w14:textId="77777777" w:rsidR="007D6CBD" w:rsidRPr="002170E2" w:rsidRDefault="007D6CBD" w:rsidP="00642879">
            <w:pPr>
              <w:spacing w:after="0" w:line="240" w:lineRule="auto"/>
              <w:jc w:val="center"/>
              <w:rPr>
                <w:rFonts w:ascii="Calibri" w:hAnsi="Calibri" w:cs="Calibri"/>
                <w:color w:val="000000"/>
                <w:sz w:val="20"/>
                <w:szCs w:val="20"/>
              </w:rPr>
            </w:pPr>
            <w:r w:rsidRPr="002170E2">
              <w:rPr>
                <w:rFonts w:ascii="Calibri" w:hAnsi="Calibri" w:cs="Calibri"/>
                <w:color w:val="000000"/>
                <w:sz w:val="20"/>
                <w:szCs w:val="20"/>
              </w:rPr>
              <w:t>0.2%</w:t>
            </w:r>
          </w:p>
        </w:tc>
      </w:tr>
      <w:tr w:rsidR="007D6CBD" w:rsidRPr="0003343C" w14:paraId="422A02AC" w14:textId="77777777" w:rsidTr="00DF5AC6">
        <w:tc>
          <w:tcPr>
            <w:tcW w:w="2898" w:type="dxa"/>
          </w:tcPr>
          <w:p w14:paraId="13F24279" w14:textId="77777777" w:rsidR="007D6CBD" w:rsidRPr="0003343C" w:rsidRDefault="007D6CBD" w:rsidP="00642879">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White</w:t>
            </w:r>
          </w:p>
        </w:tc>
        <w:tc>
          <w:tcPr>
            <w:tcW w:w="1489" w:type="dxa"/>
            <w:tcBorders>
              <w:top w:val="nil"/>
              <w:left w:val="single" w:sz="4" w:space="0" w:color="auto"/>
              <w:bottom w:val="single" w:sz="4" w:space="0" w:color="auto"/>
              <w:right w:val="single" w:sz="4" w:space="0" w:color="auto"/>
            </w:tcBorders>
            <w:shd w:val="clear" w:color="auto" w:fill="auto"/>
          </w:tcPr>
          <w:p w14:paraId="4FECE3F7" w14:textId="77777777" w:rsidR="007D6CBD" w:rsidRPr="002170E2" w:rsidRDefault="007D6CBD" w:rsidP="00642879">
            <w:pPr>
              <w:spacing w:after="0"/>
              <w:jc w:val="center"/>
              <w:rPr>
                <w:sz w:val="20"/>
                <w:szCs w:val="20"/>
              </w:rPr>
            </w:pPr>
            <w:r w:rsidRPr="002170E2">
              <w:rPr>
                <w:sz w:val="20"/>
                <w:szCs w:val="20"/>
              </w:rPr>
              <w:t>2,975</w:t>
            </w:r>
          </w:p>
        </w:tc>
        <w:tc>
          <w:tcPr>
            <w:tcW w:w="1490" w:type="dxa"/>
            <w:tcBorders>
              <w:top w:val="nil"/>
              <w:left w:val="nil"/>
              <w:bottom w:val="single" w:sz="4" w:space="0" w:color="auto"/>
              <w:right w:val="single" w:sz="4" w:space="0" w:color="auto"/>
            </w:tcBorders>
            <w:shd w:val="clear" w:color="auto" w:fill="D9D9D9" w:themeFill="background1" w:themeFillShade="D9"/>
          </w:tcPr>
          <w:p w14:paraId="4DF25A90" w14:textId="77777777" w:rsidR="007D6CBD" w:rsidRPr="002170E2" w:rsidRDefault="007D6CBD" w:rsidP="00642879">
            <w:pPr>
              <w:spacing w:after="0"/>
              <w:jc w:val="center"/>
              <w:rPr>
                <w:sz w:val="20"/>
                <w:szCs w:val="20"/>
              </w:rPr>
            </w:pPr>
            <w:r w:rsidRPr="002170E2">
              <w:rPr>
                <w:sz w:val="20"/>
                <w:szCs w:val="20"/>
              </w:rPr>
              <w:t>84.9%</w:t>
            </w:r>
          </w:p>
        </w:tc>
        <w:tc>
          <w:tcPr>
            <w:tcW w:w="1489" w:type="dxa"/>
            <w:tcBorders>
              <w:top w:val="nil"/>
              <w:left w:val="nil"/>
              <w:bottom w:val="single" w:sz="4" w:space="0" w:color="auto"/>
              <w:right w:val="single" w:sz="4" w:space="0" w:color="auto"/>
            </w:tcBorders>
            <w:shd w:val="clear" w:color="auto" w:fill="auto"/>
          </w:tcPr>
          <w:p w14:paraId="65892C5D" w14:textId="77777777" w:rsidR="007D6CBD" w:rsidRPr="002170E2" w:rsidRDefault="007D6CBD" w:rsidP="00642879">
            <w:pPr>
              <w:spacing w:after="0" w:line="240" w:lineRule="auto"/>
              <w:jc w:val="center"/>
              <w:rPr>
                <w:rFonts w:ascii="Calibri" w:hAnsi="Calibri" w:cs="Calibri"/>
                <w:color w:val="000000"/>
                <w:sz w:val="20"/>
                <w:szCs w:val="20"/>
              </w:rPr>
            </w:pPr>
            <w:r w:rsidRPr="002170E2">
              <w:rPr>
                <w:rFonts w:ascii="Calibri" w:hAnsi="Calibri" w:cs="Calibri"/>
                <w:color w:val="000000"/>
                <w:sz w:val="20"/>
                <w:szCs w:val="20"/>
              </w:rPr>
              <w:t>573,335</w:t>
            </w:r>
          </w:p>
        </w:tc>
        <w:tc>
          <w:tcPr>
            <w:tcW w:w="1490" w:type="dxa"/>
            <w:tcBorders>
              <w:top w:val="nil"/>
              <w:left w:val="nil"/>
              <w:bottom w:val="single" w:sz="4" w:space="0" w:color="auto"/>
              <w:right w:val="single" w:sz="4" w:space="0" w:color="auto"/>
            </w:tcBorders>
            <w:shd w:val="clear" w:color="auto" w:fill="D9D9D9" w:themeFill="background1" w:themeFillShade="D9"/>
          </w:tcPr>
          <w:p w14:paraId="5A77D4C2" w14:textId="77777777" w:rsidR="007D6CBD" w:rsidRPr="002170E2" w:rsidRDefault="007D6CBD" w:rsidP="00642879">
            <w:pPr>
              <w:spacing w:after="0" w:line="240" w:lineRule="auto"/>
              <w:jc w:val="center"/>
              <w:rPr>
                <w:rFonts w:ascii="Calibri" w:hAnsi="Calibri" w:cs="Calibri"/>
                <w:color w:val="000000"/>
                <w:sz w:val="20"/>
                <w:szCs w:val="20"/>
              </w:rPr>
            </w:pPr>
            <w:r w:rsidRPr="002170E2">
              <w:rPr>
                <w:rFonts w:ascii="Calibri" w:hAnsi="Calibri" w:cs="Calibri"/>
                <w:color w:val="000000"/>
                <w:sz w:val="20"/>
                <w:szCs w:val="20"/>
              </w:rPr>
              <w:t>60.1%</w:t>
            </w:r>
          </w:p>
        </w:tc>
      </w:tr>
      <w:tr w:rsidR="007D6CBD" w:rsidRPr="0003343C" w14:paraId="661E35FF" w14:textId="77777777" w:rsidTr="00DF5AC6">
        <w:tc>
          <w:tcPr>
            <w:tcW w:w="2898" w:type="dxa"/>
          </w:tcPr>
          <w:p w14:paraId="60B56569" w14:textId="77777777" w:rsidR="007D6CBD" w:rsidRPr="0003343C" w:rsidRDefault="007D6CBD" w:rsidP="00642879">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Native Hawaiian</w:t>
            </w:r>
          </w:p>
        </w:tc>
        <w:tc>
          <w:tcPr>
            <w:tcW w:w="1489" w:type="dxa"/>
            <w:tcBorders>
              <w:top w:val="nil"/>
              <w:left w:val="single" w:sz="4" w:space="0" w:color="auto"/>
              <w:bottom w:val="single" w:sz="4" w:space="0" w:color="auto"/>
              <w:right w:val="single" w:sz="4" w:space="0" w:color="auto"/>
            </w:tcBorders>
            <w:shd w:val="clear" w:color="auto" w:fill="auto"/>
          </w:tcPr>
          <w:p w14:paraId="2A0060B0" w14:textId="77777777" w:rsidR="007D6CBD" w:rsidRPr="002170E2" w:rsidRDefault="007D6CBD" w:rsidP="00642879">
            <w:pPr>
              <w:spacing w:after="0"/>
              <w:jc w:val="center"/>
              <w:rPr>
                <w:sz w:val="20"/>
                <w:szCs w:val="20"/>
              </w:rPr>
            </w:pPr>
            <w:r w:rsidRPr="002170E2">
              <w:rPr>
                <w:sz w:val="20"/>
                <w:szCs w:val="20"/>
              </w:rPr>
              <w:t>7</w:t>
            </w:r>
          </w:p>
        </w:tc>
        <w:tc>
          <w:tcPr>
            <w:tcW w:w="1490" w:type="dxa"/>
            <w:tcBorders>
              <w:top w:val="nil"/>
              <w:left w:val="nil"/>
              <w:bottom w:val="single" w:sz="4" w:space="0" w:color="auto"/>
              <w:right w:val="single" w:sz="4" w:space="0" w:color="auto"/>
            </w:tcBorders>
            <w:shd w:val="clear" w:color="auto" w:fill="D9D9D9" w:themeFill="background1" w:themeFillShade="D9"/>
          </w:tcPr>
          <w:p w14:paraId="6B89F6DC" w14:textId="77777777" w:rsidR="007D6CBD" w:rsidRPr="002170E2" w:rsidRDefault="007D6CBD" w:rsidP="00642879">
            <w:pPr>
              <w:spacing w:after="0"/>
              <w:jc w:val="center"/>
              <w:rPr>
                <w:sz w:val="20"/>
                <w:szCs w:val="20"/>
              </w:rPr>
            </w:pPr>
            <w:r w:rsidRPr="002170E2">
              <w:rPr>
                <w:sz w:val="20"/>
                <w:szCs w:val="20"/>
              </w:rPr>
              <w:t>0.2%</w:t>
            </w:r>
          </w:p>
        </w:tc>
        <w:tc>
          <w:tcPr>
            <w:tcW w:w="1489" w:type="dxa"/>
            <w:tcBorders>
              <w:top w:val="nil"/>
              <w:left w:val="nil"/>
              <w:bottom w:val="single" w:sz="4" w:space="0" w:color="auto"/>
              <w:right w:val="single" w:sz="4" w:space="0" w:color="auto"/>
            </w:tcBorders>
            <w:shd w:val="clear" w:color="auto" w:fill="auto"/>
          </w:tcPr>
          <w:p w14:paraId="26D0353C" w14:textId="77777777" w:rsidR="007D6CBD" w:rsidRPr="002170E2" w:rsidRDefault="007D6CBD" w:rsidP="00642879">
            <w:pPr>
              <w:spacing w:after="0" w:line="240" w:lineRule="auto"/>
              <w:jc w:val="center"/>
              <w:rPr>
                <w:rFonts w:ascii="Calibri" w:hAnsi="Calibri" w:cs="Calibri"/>
                <w:color w:val="000000"/>
                <w:sz w:val="20"/>
                <w:szCs w:val="20"/>
              </w:rPr>
            </w:pPr>
            <w:r w:rsidRPr="002170E2">
              <w:rPr>
                <w:rFonts w:ascii="Calibri" w:hAnsi="Calibri" w:cs="Calibri"/>
                <w:color w:val="000000"/>
                <w:sz w:val="20"/>
                <w:szCs w:val="20"/>
              </w:rPr>
              <w:t>818</w:t>
            </w:r>
          </w:p>
        </w:tc>
        <w:tc>
          <w:tcPr>
            <w:tcW w:w="1490" w:type="dxa"/>
            <w:tcBorders>
              <w:top w:val="nil"/>
              <w:left w:val="nil"/>
              <w:bottom w:val="single" w:sz="4" w:space="0" w:color="auto"/>
              <w:right w:val="single" w:sz="4" w:space="0" w:color="auto"/>
            </w:tcBorders>
            <w:shd w:val="clear" w:color="auto" w:fill="D9D9D9" w:themeFill="background1" w:themeFillShade="D9"/>
          </w:tcPr>
          <w:p w14:paraId="1C96F413" w14:textId="77777777" w:rsidR="007D6CBD" w:rsidRPr="002170E2" w:rsidRDefault="007D6CBD" w:rsidP="00642879">
            <w:pPr>
              <w:spacing w:after="0" w:line="240" w:lineRule="auto"/>
              <w:jc w:val="center"/>
              <w:rPr>
                <w:rFonts w:ascii="Calibri" w:hAnsi="Calibri" w:cs="Calibri"/>
                <w:color w:val="000000"/>
                <w:sz w:val="20"/>
                <w:szCs w:val="20"/>
              </w:rPr>
            </w:pPr>
            <w:r w:rsidRPr="002170E2">
              <w:rPr>
                <w:rFonts w:ascii="Calibri" w:hAnsi="Calibri" w:cs="Calibri"/>
                <w:color w:val="000000"/>
                <w:sz w:val="20"/>
                <w:szCs w:val="20"/>
              </w:rPr>
              <w:t>0.1%</w:t>
            </w:r>
          </w:p>
        </w:tc>
      </w:tr>
      <w:tr w:rsidR="007D6CBD" w:rsidRPr="0003343C" w14:paraId="298DDD4E" w14:textId="77777777" w:rsidTr="00DF5AC6">
        <w:tc>
          <w:tcPr>
            <w:tcW w:w="2898" w:type="dxa"/>
          </w:tcPr>
          <w:p w14:paraId="300A6136" w14:textId="77777777" w:rsidR="007D6CBD" w:rsidRPr="0003343C" w:rsidRDefault="007D6CBD" w:rsidP="00642879">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 xml:space="preserve">Multi-Race, Non-Hispanic </w:t>
            </w:r>
          </w:p>
        </w:tc>
        <w:tc>
          <w:tcPr>
            <w:tcW w:w="1489" w:type="dxa"/>
            <w:tcBorders>
              <w:top w:val="nil"/>
              <w:left w:val="single" w:sz="4" w:space="0" w:color="auto"/>
              <w:bottom w:val="single" w:sz="4" w:space="0" w:color="auto"/>
              <w:right w:val="single" w:sz="4" w:space="0" w:color="auto"/>
            </w:tcBorders>
            <w:shd w:val="clear" w:color="auto" w:fill="auto"/>
          </w:tcPr>
          <w:p w14:paraId="19402BD6" w14:textId="77777777" w:rsidR="007D6CBD" w:rsidRPr="002170E2" w:rsidRDefault="007D6CBD" w:rsidP="00642879">
            <w:pPr>
              <w:spacing w:after="0"/>
              <w:jc w:val="center"/>
              <w:rPr>
                <w:sz w:val="20"/>
                <w:szCs w:val="20"/>
              </w:rPr>
            </w:pPr>
            <w:r w:rsidRPr="002170E2">
              <w:rPr>
                <w:sz w:val="20"/>
                <w:szCs w:val="20"/>
              </w:rPr>
              <w:t>104</w:t>
            </w:r>
          </w:p>
        </w:tc>
        <w:tc>
          <w:tcPr>
            <w:tcW w:w="1490" w:type="dxa"/>
            <w:tcBorders>
              <w:top w:val="nil"/>
              <w:left w:val="nil"/>
              <w:bottom w:val="single" w:sz="4" w:space="0" w:color="auto"/>
              <w:right w:val="single" w:sz="4" w:space="0" w:color="auto"/>
            </w:tcBorders>
            <w:shd w:val="clear" w:color="auto" w:fill="D9D9D9" w:themeFill="background1" w:themeFillShade="D9"/>
          </w:tcPr>
          <w:p w14:paraId="4DDE74B4" w14:textId="77777777" w:rsidR="007D6CBD" w:rsidRPr="002170E2" w:rsidRDefault="007D6CBD" w:rsidP="00642879">
            <w:pPr>
              <w:spacing w:after="0"/>
              <w:jc w:val="center"/>
              <w:rPr>
                <w:sz w:val="20"/>
                <w:szCs w:val="20"/>
              </w:rPr>
            </w:pPr>
            <w:r w:rsidRPr="002170E2">
              <w:rPr>
                <w:sz w:val="20"/>
                <w:szCs w:val="20"/>
              </w:rPr>
              <w:t>3.0%</w:t>
            </w:r>
          </w:p>
        </w:tc>
        <w:tc>
          <w:tcPr>
            <w:tcW w:w="1489" w:type="dxa"/>
            <w:tcBorders>
              <w:top w:val="nil"/>
              <w:left w:val="nil"/>
              <w:bottom w:val="nil"/>
              <w:right w:val="single" w:sz="4" w:space="0" w:color="auto"/>
            </w:tcBorders>
            <w:shd w:val="clear" w:color="auto" w:fill="auto"/>
          </w:tcPr>
          <w:p w14:paraId="6A2FED90" w14:textId="77777777" w:rsidR="007D6CBD" w:rsidRPr="002170E2" w:rsidRDefault="007D6CBD" w:rsidP="00642879">
            <w:pPr>
              <w:spacing w:after="0" w:line="240" w:lineRule="auto"/>
              <w:jc w:val="center"/>
              <w:rPr>
                <w:rFonts w:ascii="Calibri" w:hAnsi="Calibri" w:cs="Calibri"/>
                <w:color w:val="000000"/>
                <w:sz w:val="20"/>
                <w:szCs w:val="20"/>
              </w:rPr>
            </w:pPr>
            <w:r w:rsidRPr="002170E2">
              <w:rPr>
                <w:rFonts w:ascii="Calibri" w:hAnsi="Calibri" w:cs="Calibri"/>
                <w:color w:val="000000"/>
                <w:sz w:val="20"/>
                <w:szCs w:val="20"/>
              </w:rPr>
              <w:t>34,605</w:t>
            </w:r>
          </w:p>
        </w:tc>
        <w:tc>
          <w:tcPr>
            <w:tcW w:w="1490" w:type="dxa"/>
            <w:tcBorders>
              <w:top w:val="nil"/>
              <w:left w:val="nil"/>
              <w:bottom w:val="single" w:sz="4" w:space="0" w:color="auto"/>
              <w:right w:val="single" w:sz="4" w:space="0" w:color="auto"/>
            </w:tcBorders>
            <w:shd w:val="clear" w:color="auto" w:fill="D9D9D9" w:themeFill="background1" w:themeFillShade="D9"/>
          </w:tcPr>
          <w:p w14:paraId="4BB994CA" w14:textId="77777777" w:rsidR="007D6CBD" w:rsidRPr="002170E2" w:rsidRDefault="007D6CBD" w:rsidP="00642879">
            <w:pPr>
              <w:spacing w:after="0" w:line="240" w:lineRule="auto"/>
              <w:jc w:val="center"/>
              <w:rPr>
                <w:rFonts w:ascii="Calibri" w:hAnsi="Calibri" w:cs="Calibri"/>
                <w:color w:val="000000"/>
                <w:sz w:val="20"/>
                <w:szCs w:val="20"/>
              </w:rPr>
            </w:pPr>
            <w:r w:rsidRPr="002170E2">
              <w:rPr>
                <w:rFonts w:ascii="Calibri" w:hAnsi="Calibri" w:cs="Calibri"/>
                <w:color w:val="000000"/>
                <w:sz w:val="20"/>
                <w:szCs w:val="20"/>
              </w:rPr>
              <w:t>3.6%</w:t>
            </w:r>
          </w:p>
        </w:tc>
      </w:tr>
      <w:tr w:rsidR="007D6CBD" w:rsidRPr="0003343C" w14:paraId="00823CB0" w14:textId="77777777" w:rsidTr="00DF5AC6">
        <w:tc>
          <w:tcPr>
            <w:tcW w:w="2898" w:type="dxa"/>
            <w:tcBorders>
              <w:bottom w:val="single" w:sz="4" w:space="0" w:color="auto"/>
            </w:tcBorders>
          </w:tcPr>
          <w:p w14:paraId="426FBD99" w14:textId="2F5C2F1C" w:rsidR="007D6CBD" w:rsidRPr="00F76BEE" w:rsidRDefault="007D6CBD" w:rsidP="00D85F8C">
            <w:pPr>
              <w:spacing w:after="0" w:line="240" w:lineRule="auto"/>
              <w:rPr>
                <w:rFonts w:ascii="Calibri" w:eastAsia="Times New Roman" w:hAnsi="Calibri" w:cs="Times New Roman"/>
                <w:sz w:val="20"/>
                <w:szCs w:val="20"/>
              </w:rPr>
            </w:pPr>
            <w:r w:rsidRPr="00F76BEE">
              <w:rPr>
                <w:rFonts w:ascii="Calibri" w:eastAsia="Times New Roman" w:hAnsi="Calibri" w:cs="Times New Roman"/>
                <w:sz w:val="20"/>
                <w:szCs w:val="20"/>
              </w:rPr>
              <w:t xml:space="preserve">All </w:t>
            </w:r>
          </w:p>
        </w:tc>
        <w:tc>
          <w:tcPr>
            <w:tcW w:w="1489" w:type="dxa"/>
            <w:tcBorders>
              <w:top w:val="nil"/>
              <w:left w:val="single" w:sz="4" w:space="0" w:color="auto"/>
              <w:bottom w:val="single" w:sz="4" w:space="0" w:color="auto"/>
              <w:right w:val="single" w:sz="4" w:space="0" w:color="auto"/>
            </w:tcBorders>
            <w:shd w:val="clear" w:color="auto" w:fill="auto"/>
          </w:tcPr>
          <w:p w14:paraId="53C95C44" w14:textId="77777777" w:rsidR="007D6CBD" w:rsidRPr="002170E2" w:rsidRDefault="007D6CBD" w:rsidP="00642879">
            <w:pPr>
              <w:spacing w:after="0"/>
              <w:jc w:val="center"/>
              <w:rPr>
                <w:sz w:val="20"/>
                <w:szCs w:val="20"/>
              </w:rPr>
            </w:pPr>
            <w:r w:rsidRPr="002170E2">
              <w:rPr>
                <w:sz w:val="20"/>
                <w:szCs w:val="20"/>
              </w:rPr>
              <w:t>3,505</w:t>
            </w:r>
          </w:p>
        </w:tc>
        <w:tc>
          <w:tcPr>
            <w:tcW w:w="1490" w:type="dxa"/>
            <w:tcBorders>
              <w:top w:val="nil"/>
              <w:left w:val="nil"/>
              <w:bottom w:val="single" w:sz="4" w:space="0" w:color="auto"/>
              <w:right w:val="single" w:sz="4" w:space="0" w:color="auto"/>
            </w:tcBorders>
            <w:shd w:val="clear" w:color="auto" w:fill="D9D9D9" w:themeFill="background1" w:themeFillShade="D9"/>
          </w:tcPr>
          <w:p w14:paraId="6EE573B1" w14:textId="77777777" w:rsidR="007D6CBD" w:rsidRPr="002170E2" w:rsidRDefault="007D6CBD" w:rsidP="00642879">
            <w:pPr>
              <w:spacing w:after="0"/>
              <w:jc w:val="center"/>
              <w:rPr>
                <w:sz w:val="20"/>
                <w:szCs w:val="20"/>
              </w:rPr>
            </w:pPr>
            <w:r w:rsidRPr="002170E2">
              <w:rPr>
                <w:sz w:val="20"/>
                <w:szCs w:val="20"/>
              </w:rPr>
              <w:t>100.0%</w:t>
            </w:r>
          </w:p>
        </w:tc>
        <w:tc>
          <w:tcPr>
            <w:tcW w:w="1489" w:type="dxa"/>
            <w:tcBorders>
              <w:top w:val="single" w:sz="4" w:space="0" w:color="auto"/>
              <w:left w:val="nil"/>
              <w:bottom w:val="single" w:sz="4" w:space="0" w:color="auto"/>
              <w:right w:val="single" w:sz="4" w:space="0" w:color="auto"/>
            </w:tcBorders>
            <w:shd w:val="clear" w:color="auto" w:fill="auto"/>
          </w:tcPr>
          <w:p w14:paraId="73944914" w14:textId="77777777" w:rsidR="007D6CBD" w:rsidRPr="002170E2" w:rsidRDefault="007D6CBD" w:rsidP="00642879">
            <w:pPr>
              <w:spacing w:after="0" w:line="240" w:lineRule="auto"/>
              <w:jc w:val="center"/>
              <w:rPr>
                <w:rFonts w:ascii="Calibri" w:hAnsi="Calibri" w:cs="Calibri"/>
                <w:color w:val="000000"/>
                <w:sz w:val="20"/>
                <w:szCs w:val="20"/>
              </w:rPr>
            </w:pPr>
            <w:r w:rsidRPr="002170E2">
              <w:rPr>
                <w:rFonts w:ascii="Calibri" w:hAnsi="Calibri" w:cs="Calibri"/>
                <w:color w:val="000000"/>
                <w:sz w:val="20"/>
                <w:szCs w:val="20"/>
              </w:rPr>
              <w:t>954,034</w:t>
            </w:r>
          </w:p>
        </w:tc>
        <w:tc>
          <w:tcPr>
            <w:tcW w:w="1490" w:type="dxa"/>
            <w:tcBorders>
              <w:top w:val="nil"/>
              <w:left w:val="nil"/>
              <w:bottom w:val="single" w:sz="4" w:space="0" w:color="auto"/>
              <w:right w:val="single" w:sz="4" w:space="0" w:color="auto"/>
            </w:tcBorders>
            <w:shd w:val="clear" w:color="auto" w:fill="D9D9D9" w:themeFill="background1" w:themeFillShade="D9"/>
          </w:tcPr>
          <w:p w14:paraId="1AC4872B" w14:textId="77777777" w:rsidR="007D6CBD" w:rsidRPr="002170E2" w:rsidRDefault="007D6CBD" w:rsidP="00642879">
            <w:pPr>
              <w:spacing w:after="0" w:line="240" w:lineRule="auto"/>
              <w:jc w:val="center"/>
              <w:rPr>
                <w:rFonts w:ascii="Calibri" w:hAnsi="Calibri" w:cs="Calibri"/>
                <w:color w:val="000000"/>
                <w:sz w:val="20"/>
                <w:szCs w:val="20"/>
              </w:rPr>
            </w:pPr>
            <w:r w:rsidRPr="002170E2">
              <w:rPr>
                <w:rFonts w:ascii="Calibri" w:hAnsi="Calibri" w:cs="Calibri"/>
                <w:color w:val="000000"/>
                <w:sz w:val="20"/>
                <w:szCs w:val="20"/>
              </w:rPr>
              <w:t>100.0%</w:t>
            </w:r>
          </w:p>
        </w:tc>
      </w:tr>
      <w:tr w:rsidR="007D6CBD" w:rsidRPr="0003343C" w14:paraId="176B4323" w14:textId="77777777" w:rsidTr="00DF5AC6">
        <w:tc>
          <w:tcPr>
            <w:tcW w:w="8856" w:type="dxa"/>
            <w:gridSpan w:val="5"/>
            <w:tcBorders>
              <w:left w:val="nil"/>
              <w:bottom w:val="nil"/>
              <w:right w:val="nil"/>
            </w:tcBorders>
          </w:tcPr>
          <w:p w14:paraId="1F5EEB08" w14:textId="77777777" w:rsidR="007D6CBD" w:rsidRPr="0003343C" w:rsidRDefault="007D6CBD" w:rsidP="00642879">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Note: As of October 1, 201</w:t>
            </w:r>
            <w:r>
              <w:rPr>
                <w:rFonts w:ascii="Calibri" w:eastAsia="Times New Roman" w:hAnsi="Calibri" w:cs="Times New Roman"/>
                <w:sz w:val="20"/>
                <w:szCs w:val="20"/>
              </w:rPr>
              <w:t>7</w:t>
            </w:r>
          </w:p>
        </w:tc>
      </w:tr>
    </w:tbl>
    <w:p w14:paraId="08FB61A9" w14:textId="77777777" w:rsidR="007D6CBD" w:rsidRPr="0003343C" w:rsidRDefault="007D6CBD" w:rsidP="007D6CBD">
      <w:pPr>
        <w:spacing w:after="0"/>
        <w:rPr>
          <w:rFonts w:ascii="Calibri" w:eastAsia="Calibri" w:hAnsi="Calibri" w:cs="Times New Roman"/>
          <w:sz w:val="20"/>
        </w:rPr>
      </w:pPr>
    </w:p>
    <w:p w14:paraId="2EDE3440" w14:textId="388496D4" w:rsidR="007D6CBD" w:rsidRPr="0003343C" w:rsidRDefault="007D6CBD" w:rsidP="007D6CBD">
      <w:pPr>
        <w:spacing w:after="0"/>
        <w:jc w:val="center"/>
        <w:rPr>
          <w:b/>
          <w:sz w:val="20"/>
        </w:rPr>
      </w:pPr>
      <w:r w:rsidRPr="0003343C">
        <w:rPr>
          <w:b/>
          <w:sz w:val="20"/>
        </w:rPr>
        <w:t>Table B1b</w:t>
      </w:r>
      <w:r w:rsidR="00596332">
        <w:rPr>
          <w:b/>
          <w:sz w:val="20"/>
        </w:rPr>
        <w:t>:</w:t>
      </w:r>
      <w:r w:rsidRPr="0003343C">
        <w:rPr>
          <w:rFonts w:ascii="Calibri" w:eastAsia="Calibri" w:hAnsi="Calibri" w:cs="Times New Roman"/>
          <w:b/>
          <w:sz w:val="20"/>
        </w:rPr>
        <w:t xml:space="preserve"> </w:t>
      </w:r>
      <w:r w:rsidRPr="002170E2">
        <w:rPr>
          <w:rFonts w:ascii="Calibri" w:eastAsia="Calibri" w:hAnsi="Calibri" w:cs="Times New Roman"/>
          <w:b/>
          <w:sz w:val="20"/>
        </w:rPr>
        <w:t>Wakefield Public Schools</w:t>
      </w:r>
    </w:p>
    <w:p w14:paraId="1D873EA7" w14:textId="77777777" w:rsidR="007D6CBD" w:rsidRPr="0003343C" w:rsidRDefault="007D6CBD" w:rsidP="007D6CBD">
      <w:pPr>
        <w:spacing w:after="0"/>
        <w:jc w:val="center"/>
        <w:rPr>
          <w:b/>
          <w:sz w:val="20"/>
        </w:rPr>
      </w:pPr>
      <w:r w:rsidRPr="0003343C">
        <w:rPr>
          <w:b/>
          <w:sz w:val="20"/>
        </w:rPr>
        <w:t>201</w:t>
      </w:r>
      <w:r>
        <w:rPr>
          <w:b/>
          <w:sz w:val="20"/>
        </w:rPr>
        <w:t>7</w:t>
      </w:r>
      <w:r w:rsidRPr="0003343C">
        <w:rPr>
          <w:b/>
          <w:sz w:val="20"/>
        </w:rPr>
        <w:t>–201</w:t>
      </w:r>
      <w:r>
        <w:rPr>
          <w:b/>
          <w:sz w:val="20"/>
        </w:rPr>
        <w:t>8</w:t>
      </w:r>
      <w:r w:rsidRPr="0003343C">
        <w:rPr>
          <w:b/>
          <w:sz w:val="20"/>
        </w:rPr>
        <w:t xml:space="preserve"> Student Enrollment by High Needs Populations</w:t>
      </w:r>
    </w:p>
    <w:tbl>
      <w:tblPr>
        <w:tblStyle w:val="TableGrid"/>
        <w:tblW w:w="8858" w:type="dxa"/>
        <w:tblLayout w:type="fixed"/>
        <w:tblLook w:val="04A0" w:firstRow="1" w:lastRow="0" w:firstColumn="1" w:lastColumn="0" w:noHBand="0" w:noVBand="1"/>
        <w:tblCaption w:val="Table B1b: Wakefield Public Schools"/>
        <w:tblDescription w:val="2017–2018 Student Enrollment by High Needs Populations&#10;"/>
      </w:tblPr>
      <w:tblGrid>
        <w:gridCol w:w="2268"/>
        <w:gridCol w:w="900"/>
        <w:gridCol w:w="1197"/>
        <w:gridCol w:w="1198"/>
        <w:gridCol w:w="935"/>
        <w:gridCol w:w="1180"/>
        <w:gridCol w:w="1180"/>
      </w:tblGrid>
      <w:tr w:rsidR="007D6CBD" w:rsidRPr="0003343C" w14:paraId="443FA087" w14:textId="77777777" w:rsidTr="00BB0032">
        <w:trPr>
          <w:tblHeader/>
        </w:trPr>
        <w:tc>
          <w:tcPr>
            <w:tcW w:w="2268" w:type="dxa"/>
            <w:vMerge w:val="restart"/>
          </w:tcPr>
          <w:p w14:paraId="687B3BC2" w14:textId="44B05590" w:rsidR="007D6CBD" w:rsidRPr="0003343C" w:rsidRDefault="007D6CBD" w:rsidP="00FE49D0">
            <w:pPr>
              <w:spacing w:after="0"/>
              <w:rPr>
                <w:rFonts w:ascii="Calibri" w:eastAsia="Calibri" w:hAnsi="Calibri" w:cs="Times New Roman"/>
                <w:b/>
                <w:sz w:val="20"/>
                <w:szCs w:val="20"/>
              </w:rPr>
            </w:pPr>
            <w:r w:rsidRPr="0003343C">
              <w:rPr>
                <w:rFonts w:ascii="Calibri" w:eastAsia="Calibri" w:hAnsi="Calibri" w:cs="Times New Roman"/>
                <w:b/>
                <w:sz w:val="20"/>
                <w:szCs w:val="20"/>
              </w:rPr>
              <w:t>Group</w:t>
            </w:r>
          </w:p>
        </w:tc>
        <w:tc>
          <w:tcPr>
            <w:tcW w:w="3295" w:type="dxa"/>
            <w:gridSpan w:val="3"/>
          </w:tcPr>
          <w:p w14:paraId="5AB074AD" w14:textId="77777777" w:rsidR="007D6CBD" w:rsidRPr="0003343C" w:rsidRDefault="007D6CBD" w:rsidP="00642879">
            <w:pPr>
              <w:spacing w:after="0"/>
              <w:jc w:val="center"/>
              <w:rPr>
                <w:rFonts w:ascii="Calibri" w:eastAsia="Calibri" w:hAnsi="Calibri" w:cs="Times New Roman"/>
                <w:b/>
                <w:sz w:val="20"/>
                <w:szCs w:val="20"/>
              </w:rPr>
            </w:pPr>
            <w:r w:rsidRPr="0003343C">
              <w:rPr>
                <w:rFonts w:ascii="Calibri" w:eastAsia="Calibri" w:hAnsi="Calibri" w:cs="Times New Roman"/>
                <w:b/>
                <w:sz w:val="20"/>
                <w:szCs w:val="20"/>
              </w:rPr>
              <w:t>District</w:t>
            </w:r>
          </w:p>
        </w:tc>
        <w:tc>
          <w:tcPr>
            <w:tcW w:w="3295" w:type="dxa"/>
            <w:gridSpan w:val="3"/>
          </w:tcPr>
          <w:p w14:paraId="3E790849" w14:textId="77777777" w:rsidR="007D6CBD" w:rsidRPr="0003343C" w:rsidRDefault="007D6CBD" w:rsidP="00642879">
            <w:pPr>
              <w:spacing w:after="0"/>
              <w:jc w:val="center"/>
              <w:rPr>
                <w:rFonts w:ascii="Calibri" w:eastAsia="Calibri" w:hAnsi="Calibri" w:cs="Times New Roman"/>
                <w:b/>
                <w:sz w:val="20"/>
                <w:szCs w:val="20"/>
              </w:rPr>
            </w:pPr>
            <w:r w:rsidRPr="0003343C">
              <w:rPr>
                <w:rFonts w:ascii="Calibri" w:eastAsia="Calibri" w:hAnsi="Calibri" w:cs="Times New Roman"/>
                <w:b/>
                <w:sz w:val="20"/>
                <w:szCs w:val="20"/>
              </w:rPr>
              <w:t>State</w:t>
            </w:r>
          </w:p>
        </w:tc>
      </w:tr>
      <w:tr w:rsidR="007D6CBD" w:rsidRPr="0003343C" w14:paraId="1835EC67" w14:textId="77777777" w:rsidTr="00DF5AC6">
        <w:tc>
          <w:tcPr>
            <w:tcW w:w="2268" w:type="dxa"/>
            <w:vMerge/>
          </w:tcPr>
          <w:p w14:paraId="57FE23DF" w14:textId="77777777" w:rsidR="007D6CBD" w:rsidRPr="0003343C" w:rsidRDefault="007D6CBD" w:rsidP="00642879">
            <w:pPr>
              <w:spacing w:after="0"/>
              <w:rPr>
                <w:rFonts w:ascii="Calibri" w:eastAsia="Calibri" w:hAnsi="Calibri" w:cs="Times New Roman"/>
                <w:sz w:val="20"/>
                <w:szCs w:val="20"/>
              </w:rPr>
            </w:pPr>
          </w:p>
        </w:tc>
        <w:tc>
          <w:tcPr>
            <w:tcW w:w="900" w:type="dxa"/>
          </w:tcPr>
          <w:p w14:paraId="4BB31121" w14:textId="77777777" w:rsidR="007D6CBD" w:rsidRPr="0003343C" w:rsidRDefault="007D6CBD" w:rsidP="00642879">
            <w:pPr>
              <w:spacing w:after="0"/>
              <w:jc w:val="center"/>
              <w:rPr>
                <w:rFonts w:ascii="Calibri" w:eastAsia="Calibri" w:hAnsi="Calibri" w:cs="Times New Roman"/>
                <w:b/>
                <w:sz w:val="20"/>
                <w:szCs w:val="20"/>
              </w:rPr>
            </w:pPr>
            <w:r w:rsidRPr="0003343C">
              <w:rPr>
                <w:rFonts w:ascii="Calibri" w:eastAsia="Calibri" w:hAnsi="Calibri" w:cs="Times New Roman"/>
                <w:b/>
                <w:sz w:val="20"/>
                <w:szCs w:val="20"/>
              </w:rPr>
              <w:t>N</w:t>
            </w:r>
          </w:p>
        </w:tc>
        <w:tc>
          <w:tcPr>
            <w:tcW w:w="1197" w:type="dxa"/>
            <w:shd w:val="clear" w:color="auto" w:fill="D9D9D9" w:themeFill="background1" w:themeFillShade="D9"/>
          </w:tcPr>
          <w:p w14:paraId="2FA50724" w14:textId="77777777" w:rsidR="007D6CBD" w:rsidRPr="0003343C" w:rsidRDefault="007D6CBD" w:rsidP="00642879">
            <w:pPr>
              <w:spacing w:after="0"/>
              <w:jc w:val="center"/>
              <w:rPr>
                <w:rFonts w:ascii="Calibri" w:eastAsia="Calibri" w:hAnsi="Calibri" w:cs="Times New Roman"/>
                <w:b/>
                <w:sz w:val="20"/>
                <w:szCs w:val="20"/>
              </w:rPr>
            </w:pPr>
            <w:r w:rsidRPr="0003343C">
              <w:rPr>
                <w:rFonts w:ascii="Calibri" w:eastAsia="Calibri" w:hAnsi="Calibri" w:cs="Times New Roman"/>
                <w:b/>
                <w:sz w:val="20"/>
                <w:szCs w:val="20"/>
              </w:rPr>
              <w:t>Percent of High Needs</w:t>
            </w:r>
          </w:p>
        </w:tc>
        <w:tc>
          <w:tcPr>
            <w:tcW w:w="1198" w:type="dxa"/>
            <w:shd w:val="clear" w:color="auto" w:fill="D9D9D9" w:themeFill="background1" w:themeFillShade="D9"/>
          </w:tcPr>
          <w:p w14:paraId="690FB5FC" w14:textId="77777777" w:rsidR="007D6CBD" w:rsidRPr="0003343C" w:rsidRDefault="007D6CBD" w:rsidP="00642879">
            <w:pPr>
              <w:spacing w:after="0"/>
              <w:jc w:val="center"/>
              <w:rPr>
                <w:rFonts w:ascii="Calibri" w:eastAsia="Calibri" w:hAnsi="Calibri" w:cs="Times New Roman"/>
                <w:b/>
                <w:sz w:val="20"/>
                <w:szCs w:val="20"/>
              </w:rPr>
            </w:pPr>
            <w:r w:rsidRPr="0003343C">
              <w:rPr>
                <w:rFonts w:ascii="Calibri" w:eastAsia="Calibri" w:hAnsi="Calibri" w:cs="Times New Roman"/>
                <w:b/>
                <w:sz w:val="20"/>
                <w:szCs w:val="20"/>
              </w:rPr>
              <w:t>Percent of District</w:t>
            </w:r>
          </w:p>
        </w:tc>
        <w:tc>
          <w:tcPr>
            <w:tcW w:w="935" w:type="dxa"/>
          </w:tcPr>
          <w:p w14:paraId="1AC57072" w14:textId="77777777" w:rsidR="007D6CBD" w:rsidRPr="0003343C" w:rsidRDefault="007D6CBD" w:rsidP="00642879">
            <w:pPr>
              <w:spacing w:after="0"/>
              <w:jc w:val="center"/>
              <w:rPr>
                <w:rFonts w:ascii="Calibri" w:eastAsia="Calibri" w:hAnsi="Calibri" w:cs="Times New Roman"/>
                <w:b/>
                <w:sz w:val="20"/>
                <w:szCs w:val="20"/>
              </w:rPr>
            </w:pPr>
            <w:r w:rsidRPr="0003343C">
              <w:rPr>
                <w:rFonts w:ascii="Calibri" w:eastAsia="Calibri" w:hAnsi="Calibri" w:cs="Times New Roman"/>
                <w:b/>
                <w:sz w:val="20"/>
                <w:szCs w:val="20"/>
              </w:rPr>
              <w:t>N</w:t>
            </w:r>
          </w:p>
        </w:tc>
        <w:tc>
          <w:tcPr>
            <w:tcW w:w="1180" w:type="dxa"/>
            <w:shd w:val="clear" w:color="auto" w:fill="D9D9D9" w:themeFill="background1" w:themeFillShade="D9"/>
          </w:tcPr>
          <w:p w14:paraId="23778E79" w14:textId="77777777" w:rsidR="007D6CBD" w:rsidRPr="0003343C" w:rsidRDefault="007D6CBD" w:rsidP="00642879">
            <w:pPr>
              <w:spacing w:after="0"/>
              <w:jc w:val="center"/>
              <w:rPr>
                <w:rFonts w:ascii="Calibri" w:eastAsia="Calibri" w:hAnsi="Calibri" w:cs="Times New Roman"/>
                <w:b/>
                <w:sz w:val="20"/>
                <w:szCs w:val="20"/>
              </w:rPr>
            </w:pPr>
            <w:r w:rsidRPr="0003343C">
              <w:rPr>
                <w:rFonts w:ascii="Calibri" w:eastAsia="Calibri" w:hAnsi="Calibri" w:cs="Times New Roman"/>
                <w:b/>
                <w:sz w:val="20"/>
                <w:szCs w:val="20"/>
              </w:rPr>
              <w:t>Percent of High Needs</w:t>
            </w:r>
          </w:p>
        </w:tc>
        <w:tc>
          <w:tcPr>
            <w:tcW w:w="1180" w:type="dxa"/>
            <w:shd w:val="clear" w:color="auto" w:fill="D9D9D9" w:themeFill="background1" w:themeFillShade="D9"/>
          </w:tcPr>
          <w:p w14:paraId="3CA16F41" w14:textId="77777777" w:rsidR="007D6CBD" w:rsidRPr="0003343C" w:rsidRDefault="007D6CBD" w:rsidP="00642879">
            <w:pPr>
              <w:spacing w:after="0"/>
              <w:jc w:val="center"/>
              <w:rPr>
                <w:rFonts w:ascii="Calibri" w:eastAsia="Calibri" w:hAnsi="Calibri" w:cs="Times New Roman"/>
                <w:b/>
                <w:sz w:val="20"/>
                <w:szCs w:val="20"/>
              </w:rPr>
            </w:pPr>
            <w:r w:rsidRPr="0003343C">
              <w:rPr>
                <w:rFonts w:ascii="Calibri" w:eastAsia="Calibri" w:hAnsi="Calibri" w:cs="Times New Roman"/>
                <w:b/>
                <w:sz w:val="20"/>
                <w:szCs w:val="20"/>
              </w:rPr>
              <w:t>Percent of State</w:t>
            </w:r>
          </w:p>
        </w:tc>
      </w:tr>
      <w:tr w:rsidR="007D6CBD" w:rsidRPr="0003343C" w14:paraId="30D4BE53" w14:textId="77777777" w:rsidTr="00DF5AC6">
        <w:tc>
          <w:tcPr>
            <w:tcW w:w="2268" w:type="dxa"/>
          </w:tcPr>
          <w:p w14:paraId="67BAF273" w14:textId="77777777" w:rsidR="007D6CBD" w:rsidRPr="0003343C" w:rsidRDefault="007D6CBD" w:rsidP="00642879">
            <w:pPr>
              <w:spacing w:after="0"/>
              <w:rPr>
                <w:rFonts w:ascii="Calibri" w:eastAsia="Calibri" w:hAnsi="Calibri" w:cs="Times New Roman"/>
                <w:sz w:val="20"/>
                <w:szCs w:val="20"/>
              </w:rPr>
            </w:pPr>
            <w:r w:rsidRPr="0003343C">
              <w:rPr>
                <w:rFonts w:ascii="Calibri" w:eastAsia="Calibri" w:hAnsi="Calibri" w:cs="Times New Roman"/>
                <w:sz w:val="20"/>
                <w:szCs w:val="20"/>
              </w:rPr>
              <w:t>Students w/ disabilities</w:t>
            </w:r>
          </w:p>
        </w:tc>
        <w:tc>
          <w:tcPr>
            <w:tcW w:w="900" w:type="dxa"/>
            <w:tcBorders>
              <w:top w:val="nil"/>
              <w:left w:val="single" w:sz="4" w:space="0" w:color="auto"/>
              <w:bottom w:val="single" w:sz="4" w:space="0" w:color="auto"/>
              <w:right w:val="single" w:sz="4" w:space="0" w:color="auto"/>
            </w:tcBorders>
            <w:shd w:val="clear" w:color="auto" w:fill="auto"/>
          </w:tcPr>
          <w:p w14:paraId="09F4071D" w14:textId="77777777" w:rsidR="007D6CBD" w:rsidRPr="002170E2" w:rsidRDefault="007D6CBD" w:rsidP="00642879">
            <w:pPr>
              <w:spacing w:after="0"/>
              <w:jc w:val="center"/>
              <w:rPr>
                <w:sz w:val="20"/>
                <w:szCs w:val="20"/>
              </w:rPr>
            </w:pPr>
            <w:r w:rsidRPr="002170E2">
              <w:rPr>
                <w:sz w:val="20"/>
                <w:szCs w:val="20"/>
              </w:rPr>
              <w:t>579</w:t>
            </w:r>
          </w:p>
        </w:tc>
        <w:tc>
          <w:tcPr>
            <w:tcW w:w="1197" w:type="dxa"/>
            <w:tcBorders>
              <w:top w:val="nil"/>
              <w:left w:val="nil"/>
              <w:bottom w:val="single" w:sz="4" w:space="0" w:color="auto"/>
              <w:right w:val="single" w:sz="4" w:space="0" w:color="auto"/>
            </w:tcBorders>
            <w:shd w:val="clear" w:color="auto" w:fill="D9D9D9" w:themeFill="background1" w:themeFillShade="D9"/>
          </w:tcPr>
          <w:p w14:paraId="71C19523" w14:textId="77777777" w:rsidR="007D6CBD" w:rsidRPr="002170E2" w:rsidRDefault="007D6CBD" w:rsidP="00642879">
            <w:pPr>
              <w:spacing w:after="0"/>
              <w:jc w:val="center"/>
              <w:rPr>
                <w:sz w:val="20"/>
                <w:szCs w:val="20"/>
              </w:rPr>
            </w:pPr>
            <w:r w:rsidRPr="002170E2">
              <w:rPr>
                <w:sz w:val="20"/>
                <w:szCs w:val="20"/>
              </w:rPr>
              <w:t>61.0%</w:t>
            </w:r>
          </w:p>
        </w:tc>
        <w:tc>
          <w:tcPr>
            <w:tcW w:w="1198" w:type="dxa"/>
            <w:tcBorders>
              <w:top w:val="nil"/>
              <w:left w:val="nil"/>
              <w:bottom w:val="single" w:sz="4" w:space="0" w:color="auto"/>
              <w:right w:val="single" w:sz="4" w:space="0" w:color="auto"/>
            </w:tcBorders>
            <w:shd w:val="clear" w:color="auto" w:fill="D9D9D9" w:themeFill="background1" w:themeFillShade="D9"/>
          </w:tcPr>
          <w:p w14:paraId="2A8342FF" w14:textId="77777777" w:rsidR="007D6CBD" w:rsidRPr="002170E2" w:rsidRDefault="007D6CBD" w:rsidP="00642879">
            <w:pPr>
              <w:spacing w:after="0"/>
              <w:jc w:val="center"/>
              <w:rPr>
                <w:sz w:val="20"/>
                <w:szCs w:val="20"/>
              </w:rPr>
            </w:pPr>
            <w:r w:rsidRPr="002170E2">
              <w:rPr>
                <w:sz w:val="20"/>
                <w:szCs w:val="20"/>
              </w:rPr>
              <w:t>16.3%</w:t>
            </w:r>
          </w:p>
        </w:tc>
        <w:tc>
          <w:tcPr>
            <w:tcW w:w="935" w:type="dxa"/>
            <w:tcBorders>
              <w:top w:val="nil"/>
              <w:left w:val="nil"/>
              <w:bottom w:val="single" w:sz="4" w:space="0" w:color="auto"/>
              <w:right w:val="single" w:sz="4" w:space="0" w:color="auto"/>
            </w:tcBorders>
            <w:shd w:val="clear" w:color="auto" w:fill="auto"/>
          </w:tcPr>
          <w:p w14:paraId="08ADFE0B" w14:textId="77777777" w:rsidR="007D6CBD" w:rsidRPr="002170E2" w:rsidRDefault="007D6CBD" w:rsidP="00642879">
            <w:pPr>
              <w:spacing w:after="0" w:line="240" w:lineRule="auto"/>
              <w:jc w:val="center"/>
              <w:rPr>
                <w:rFonts w:ascii="Calibri" w:hAnsi="Calibri" w:cs="Calibri"/>
                <w:color w:val="000000"/>
                <w:sz w:val="20"/>
                <w:szCs w:val="20"/>
              </w:rPr>
            </w:pPr>
            <w:r w:rsidRPr="002170E2">
              <w:rPr>
                <w:rFonts w:ascii="Calibri" w:hAnsi="Calibri" w:cs="Calibri"/>
                <w:color w:val="000000"/>
                <w:sz w:val="20"/>
                <w:szCs w:val="20"/>
              </w:rPr>
              <w:t>171,061</w:t>
            </w:r>
          </w:p>
        </w:tc>
        <w:tc>
          <w:tcPr>
            <w:tcW w:w="1180" w:type="dxa"/>
            <w:tcBorders>
              <w:top w:val="nil"/>
              <w:left w:val="nil"/>
              <w:bottom w:val="single" w:sz="4" w:space="0" w:color="auto"/>
              <w:right w:val="single" w:sz="4" w:space="0" w:color="auto"/>
            </w:tcBorders>
            <w:shd w:val="clear" w:color="auto" w:fill="D9D9D9" w:themeFill="background1" w:themeFillShade="D9"/>
          </w:tcPr>
          <w:p w14:paraId="15F79177" w14:textId="77777777" w:rsidR="007D6CBD" w:rsidRPr="002170E2" w:rsidRDefault="007D6CBD" w:rsidP="00642879">
            <w:pPr>
              <w:spacing w:after="0" w:line="240" w:lineRule="auto"/>
              <w:jc w:val="center"/>
              <w:rPr>
                <w:rFonts w:ascii="Calibri" w:hAnsi="Calibri" w:cs="Calibri"/>
                <w:color w:val="000000"/>
                <w:sz w:val="20"/>
                <w:szCs w:val="20"/>
              </w:rPr>
            </w:pPr>
            <w:r w:rsidRPr="002170E2">
              <w:rPr>
                <w:rFonts w:ascii="Calibri" w:hAnsi="Calibri" w:cs="Calibri"/>
                <w:color w:val="000000"/>
                <w:sz w:val="20"/>
                <w:szCs w:val="20"/>
              </w:rPr>
              <w:t>38.0%</w:t>
            </w:r>
          </w:p>
        </w:tc>
        <w:tc>
          <w:tcPr>
            <w:tcW w:w="1180" w:type="dxa"/>
            <w:tcBorders>
              <w:top w:val="nil"/>
              <w:left w:val="nil"/>
              <w:bottom w:val="single" w:sz="4" w:space="0" w:color="auto"/>
              <w:right w:val="single" w:sz="4" w:space="0" w:color="auto"/>
            </w:tcBorders>
            <w:shd w:val="clear" w:color="auto" w:fill="D9D9D9" w:themeFill="background1" w:themeFillShade="D9"/>
          </w:tcPr>
          <w:p w14:paraId="55942ED0" w14:textId="77777777" w:rsidR="007D6CBD" w:rsidRPr="002170E2" w:rsidRDefault="007D6CBD" w:rsidP="00642879">
            <w:pPr>
              <w:spacing w:after="0" w:line="240" w:lineRule="auto"/>
              <w:jc w:val="center"/>
              <w:rPr>
                <w:rFonts w:ascii="Calibri" w:hAnsi="Calibri" w:cs="Calibri"/>
                <w:color w:val="000000"/>
                <w:sz w:val="20"/>
                <w:szCs w:val="20"/>
              </w:rPr>
            </w:pPr>
            <w:r w:rsidRPr="002170E2">
              <w:rPr>
                <w:rFonts w:ascii="Calibri" w:hAnsi="Calibri" w:cs="Calibri"/>
                <w:color w:val="000000"/>
                <w:sz w:val="20"/>
                <w:szCs w:val="20"/>
              </w:rPr>
              <w:t>17.7%</w:t>
            </w:r>
          </w:p>
        </w:tc>
      </w:tr>
      <w:tr w:rsidR="007D6CBD" w:rsidRPr="0003343C" w14:paraId="77E98A64" w14:textId="77777777" w:rsidTr="00DF5AC6">
        <w:tc>
          <w:tcPr>
            <w:tcW w:w="2268" w:type="dxa"/>
          </w:tcPr>
          <w:p w14:paraId="6C964B0B" w14:textId="3BCF3E38" w:rsidR="007D6CBD" w:rsidRPr="0003343C" w:rsidRDefault="007D6CBD" w:rsidP="001C77C1">
            <w:pPr>
              <w:spacing w:after="0"/>
              <w:rPr>
                <w:rFonts w:ascii="Calibri" w:eastAsia="Calibri" w:hAnsi="Calibri" w:cs="Times New Roman"/>
                <w:sz w:val="20"/>
                <w:szCs w:val="20"/>
              </w:rPr>
            </w:pPr>
            <w:r w:rsidRPr="0003343C">
              <w:rPr>
                <w:rFonts w:ascii="Calibri" w:eastAsia="Calibri" w:hAnsi="Calibri" w:cs="Times New Roman"/>
                <w:sz w:val="20"/>
                <w:szCs w:val="20"/>
              </w:rPr>
              <w:t>Econ. Dis.</w:t>
            </w:r>
          </w:p>
        </w:tc>
        <w:tc>
          <w:tcPr>
            <w:tcW w:w="900" w:type="dxa"/>
            <w:tcBorders>
              <w:top w:val="nil"/>
              <w:left w:val="single" w:sz="4" w:space="0" w:color="auto"/>
              <w:bottom w:val="single" w:sz="4" w:space="0" w:color="auto"/>
              <w:right w:val="single" w:sz="4" w:space="0" w:color="auto"/>
            </w:tcBorders>
            <w:shd w:val="clear" w:color="auto" w:fill="auto"/>
          </w:tcPr>
          <w:p w14:paraId="5CC9DD7B" w14:textId="77777777" w:rsidR="007D6CBD" w:rsidRPr="002170E2" w:rsidRDefault="007D6CBD" w:rsidP="00642879">
            <w:pPr>
              <w:spacing w:after="0"/>
              <w:jc w:val="center"/>
              <w:rPr>
                <w:sz w:val="20"/>
                <w:szCs w:val="20"/>
              </w:rPr>
            </w:pPr>
            <w:r w:rsidRPr="002170E2">
              <w:rPr>
                <w:sz w:val="20"/>
                <w:szCs w:val="20"/>
              </w:rPr>
              <w:t>449</w:t>
            </w:r>
          </w:p>
        </w:tc>
        <w:tc>
          <w:tcPr>
            <w:tcW w:w="1197" w:type="dxa"/>
            <w:tcBorders>
              <w:top w:val="nil"/>
              <w:left w:val="nil"/>
              <w:bottom w:val="single" w:sz="4" w:space="0" w:color="auto"/>
              <w:right w:val="single" w:sz="4" w:space="0" w:color="auto"/>
            </w:tcBorders>
            <w:shd w:val="clear" w:color="auto" w:fill="D9D9D9" w:themeFill="background1" w:themeFillShade="D9"/>
          </w:tcPr>
          <w:p w14:paraId="47429485" w14:textId="77777777" w:rsidR="007D6CBD" w:rsidRPr="002170E2" w:rsidRDefault="007D6CBD" w:rsidP="00642879">
            <w:pPr>
              <w:spacing w:after="0"/>
              <w:jc w:val="center"/>
              <w:rPr>
                <w:sz w:val="20"/>
                <w:szCs w:val="20"/>
              </w:rPr>
            </w:pPr>
            <w:r w:rsidRPr="002170E2">
              <w:rPr>
                <w:sz w:val="20"/>
                <w:szCs w:val="20"/>
              </w:rPr>
              <w:t>47.3%</w:t>
            </w:r>
          </w:p>
        </w:tc>
        <w:tc>
          <w:tcPr>
            <w:tcW w:w="1198" w:type="dxa"/>
            <w:tcBorders>
              <w:top w:val="nil"/>
              <w:left w:val="nil"/>
              <w:bottom w:val="single" w:sz="4" w:space="0" w:color="auto"/>
              <w:right w:val="single" w:sz="4" w:space="0" w:color="auto"/>
            </w:tcBorders>
            <w:shd w:val="clear" w:color="auto" w:fill="D9D9D9" w:themeFill="background1" w:themeFillShade="D9"/>
          </w:tcPr>
          <w:p w14:paraId="60488E2D" w14:textId="77777777" w:rsidR="007D6CBD" w:rsidRPr="002170E2" w:rsidRDefault="007D6CBD" w:rsidP="00642879">
            <w:pPr>
              <w:spacing w:after="0"/>
              <w:jc w:val="center"/>
              <w:rPr>
                <w:sz w:val="20"/>
                <w:szCs w:val="20"/>
              </w:rPr>
            </w:pPr>
            <w:r w:rsidRPr="002170E2">
              <w:rPr>
                <w:sz w:val="20"/>
                <w:szCs w:val="20"/>
              </w:rPr>
              <w:t>12.8%</w:t>
            </w:r>
          </w:p>
        </w:tc>
        <w:tc>
          <w:tcPr>
            <w:tcW w:w="935" w:type="dxa"/>
            <w:tcBorders>
              <w:top w:val="nil"/>
              <w:left w:val="nil"/>
              <w:bottom w:val="single" w:sz="4" w:space="0" w:color="auto"/>
              <w:right w:val="single" w:sz="4" w:space="0" w:color="auto"/>
            </w:tcBorders>
            <w:shd w:val="clear" w:color="auto" w:fill="auto"/>
          </w:tcPr>
          <w:p w14:paraId="5A8348B6" w14:textId="77777777" w:rsidR="007D6CBD" w:rsidRPr="002170E2" w:rsidRDefault="007D6CBD" w:rsidP="00642879">
            <w:pPr>
              <w:spacing w:after="0" w:line="240" w:lineRule="auto"/>
              <w:jc w:val="center"/>
              <w:rPr>
                <w:rFonts w:ascii="Calibri" w:hAnsi="Calibri" w:cs="Calibri"/>
                <w:color w:val="000000"/>
                <w:sz w:val="20"/>
                <w:szCs w:val="20"/>
              </w:rPr>
            </w:pPr>
            <w:r w:rsidRPr="002170E2">
              <w:rPr>
                <w:rFonts w:ascii="Calibri" w:hAnsi="Calibri" w:cs="Calibri"/>
                <w:color w:val="000000"/>
                <w:sz w:val="20"/>
                <w:szCs w:val="20"/>
              </w:rPr>
              <w:t>305,203</w:t>
            </w:r>
          </w:p>
        </w:tc>
        <w:tc>
          <w:tcPr>
            <w:tcW w:w="1180" w:type="dxa"/>
            <w:tcBorders>
              <w:top w:val="nil"/>
              <w:left w:val="nil"/>
              <w:bottom w:val="single" w:sz="4" w:space="0" w:color="auto"/>
              <w:right w:val="single" w:sz="4" w:space="0" w:color="auto"/>
            </w:tcBorders>
            <w:shd w:val="clear" w:color="auto" w:fill="D9D9D9" w:themeFill="background1" w:themeFillShade="D9"/>
          </w:tcPr>
          <w:p w14:paraId="79894B53" w14:textId="77777777" w:rsidR="007D6CBD" w:rsidRPr="002170E2" w:rsidRDefault="007D6CBD" w:rsidP="00642879">
            <w:pPr>
              <w:spacing w:after="0" w:line="240" w:lineRule="auto"/>
              <w:jc w:val="center"/>
              <w:rPr>
                <w:rFonts w:ascii="Calibri" w:hAnsi="Calibri" w:cs="Calibri"/>
                <w:color w:val="000000"/>
                <w:sz w:val="20"/>
                <w:szCs w:val="20"/>
              </w:rPr>
            </w:pPr>
            <w:r w:rsidRPr="002170E2">
              <w:rPr>
                <w:rFonts w:ascii="Calibri" w:hAnsi="Calibri" w:cs="Calibri"/>
                <w:color w:val="000000"/>
                <w:sz w:val="20"/>
                <w:szCs w:val="20"/>
              </w:rPr>
              <w:t>67.9%</w:t>
            </w:r>
          </w:p>
        </w:tc>
        <w:tc>
          <w:tcPr>
            <w:tcW w:w="1180" w:type="dxa"/>
            <w:tcBorders>
              <w:top w:val="nil"/>
              <w:left w:val="nil"/>
              <w:bottom w:val="single" w:sz="4" w:space="0" w:color="auto"/>
              <w:right w:val="single" w:sz="4" w:space="0" w:color="auto"/>
            </w:tcBorders>
            <w:shd w:val="clear" w:color="auto" w:fill="D9D9D9" w:themeFill="background1" w:themeFillShade="D9"/>
          </w:tcPr>
          <w:p w14:paraId="231BADDC" w14:textId="77777777" w:rsidR="007D6CBD" w:rsidRPr="002170E2" w:rsidRDefault="007D6CBD" w:rsidP="00642879">
            <w:pPr>
              <w:spacing w:after="0" w:line="240" w:lineRule="auto"/>
              <w:jc w:val="center"/>
              <w:rPr>
                <w:rFonts w:ascii="Calibri" w:hAnsi="Calibri" w:cs="Calibri"/>
                <w:color w:val="000000"/>
                <w:sz w:val="20"/>
                <w:szCs w:val="20"/>
              </w:rPr>
            </w:pPr>
            <w:r w:rsidRPr="002170E2">
              <w:rPr>
                <w:rFonts w:ascii="Calibri" w:hAnsi="Calibri" w:cs="Calibri"/>
                <w:color w:val="000000"/>
                <w:sz w:val="20"/>
                <w:szCs w:val="20"/>
              </w:rPr>
              <w:t>32.0%</w:t>
            </w:r>
          </w:p>
        </w:tc>
      </w:tr>
      <w:tr w:rsidR="007D6CBD" w:rsidRPr="0003343C" w14:paraId="544468B5" w14:textId="77777777" w:rsidTr="00DF5AC6">
        <w:tc>
          <w:tcPr>
            <w:tcW w:w="2268" w:type="dxa"/>
          </w:tcPr>
          <w:p w14:paraId="556F0461" w14:textId="77777777" w:rsidR="007D6CBD" w:rsidRPr="0003343C" w:rsidRDefault="007D6CBD" w:rsidP="00642879">
            <w:pPr>
              <w:spacing w:after="0"/>
              <w:rPr>
                <w:rFonts w:ascii="Calibri" w:eastAsia="Calibri" w:hAnsi="Calibri" w:cs="Times New Roman"/>
                <w:sz w:val="20"/>
                <w:szCs w:val="20"/>
              </w:rPr>
            </w:pPr>
            <w:r w:rsidRPr="0003343C">
              <w:rPr>
                <w:rFonts w:ascii="Calibri" w:eastAsia="Calibri" w:hAnsi="Calibri" w:cs="Times New Roman"/>
                <w:sz w:val="20"/>
                <w:szCs w:val="20"/>
              </w:rPr>
              <w:t>ELLs and Former ELLs</w:t>
            </w:r>
          </w:p>
        </w:tc>
        <w:tc>
          <w:tcPr>
            <w:tcW w:w="900" w:type="dxa"/>
            <w:tcBorders>
              <w:top w:val="nil"/>
              <w:left w:val="single" w:sz="4" w:space="0" w:color="auto"/>
              <w:bottom w:val="single" w:sz="4" w:space="0" w:color="auto"/>
              <w:right w:val="single" w:sz="4" w:space="0" w:color="auto"/>
            </w:tcBorders>
            <w:shd w:val="clear" w:color="auto" w:fill="auto"/>
          </w:tcPr>
          <w:p w14:paraId="1F07E65D" w14:textId="77777777" w:rsidR="007D6CBD" w:rsidRPr="002170E2" w:rsidRDefault="007D6CBD" w:rsidP="00642879">
            <w:pPr>
              <w:spacing w:after="0"/>
              <w:jc w:val="center"/>
              <w:rPr>
                <w:sz w:val="20"/>
                <w:szCs w:val="20"/>
              </w:rPr>
            </w:pPr>
            <w:r w:rsidRPr="002170E2">
              <w:rPr>
                <w:sz w:val="20"/>
                <w:szCs w:val="20"/>
              </w:rPr>
              <w:t>62</w:t>
            </w:r>
          </w:p>
        </w:tc>
        <w:tc>
          <w:tcPr>
            <w:tcW w:w="1197" w:type="dxa"/>
            <w:tcBorders>
              <w:top w:val="nil"/>
              <w:left w:val="nil"/>
              <w:bottom w:val="single" w:sz="4" w:space="0" w:color="auto"/>
              <w:right w:val="single" w:sz="4" w:space="0" w:color="auto"/>
            </w:tcBorders>
            <w:shd w:val="clear" w:color="auto" w:fill="D9D9D9" w:themeFill="background1" w:themeFillShade="D9"/>
          </w:tcPr>
          <w:p w14:paraId="0D1D518F" w14:textId="77777777" w:rsidR="007D6CBD" w:rsidRPr="002170E2" w:rsidRDefault="007D6CBD" w:rsidP="00642879">
            <w:pPr>
              <w:spacing w:after="0"/>
              <w:jc w:val="center"/>
              <w:rPr>
                <w:sz w:val="20"/>
                <w:szCs w:val="20"/>
              </w:rPr>
            </w:pPr>
            <w:r w:rsidRPr="002170E2">
              <w:rPr>
                <w:sz w:val="20"/>
                <w:szCs w:val="20"/>
              </w:rPr>
              <w:t>6.5%</w:t>
            </w:r>
          </w:p>
        </w:tc>
        <w:tc>
          <w:tcPr>
            <w:tcW w:w="1198" w:type="dxa"/>
            <w:tcBorders>
              <w:top w:val="nil"/>
              <w:left w:val="nil"/>
              <w:bottom w:val="single" w:sz="4" w:space="0" w:color="auto"/>
              <w:right w:val="single" w:sz="4" w:space="0" w:color="auto"/>
            </w:tcBorders>
            <w:shd w:val="clear" w:color="auto" w:fill="D9D9D9" w:themeFill="background1" w:themeFillShade="D9"/>
          </w:tcPr>
          <w:p w14:paraId="38CE9146" w14:textId="77777777" w:rsidR="007D6CBD" w:rsidRPr="002170E2" w:rsidRDefault="007D6CBD" w:rsidP="00642879">
            <w:pPr>
              <w:spacing w:after="0"/>
              <w:jc w:val="center"/>
              <w:rPr>
                <w:sz w:val="20"/>
                <w:szCs w:val="20"/>
              </w:rPr>
            </w:pPr>
            <w:r w:rsidRPr="002170E2">
              <w:rPr>
                <w:sz w:val="20"/>
                <w:szCs w:val="20"/>
              </w:rPr>
              <w:t>1.8%</w:t>
            </w:r>
          </w:p>
        </w:tc>
        <w:tc>
          <w:tcPr>
            <w:tcW w:w="935" w:type="dxa"/>
            <w:tcBorders>
              <w:top w:val="nil"/>
              <w:left w:val="nil"/>
              <w:bottom w:val="single" w:sz="4" w:space="0" w:color="auto"/>
              <w:right w:val="single" w:sz="4" w:space="0" w:color="auto"/>
            </w:tcBorders>
            <w:shd w:val="clear" w:color="auto" w:fill="auto"/>
          </w:tcPr>
          <w:p w14:paraId="67A7F85A" w14:textId="77777777" w:rsidR="007D6CBD" w:rsidRPr="002170E2" w:rsidRDefault="007D6CBD" w:rsidP="00642879">
            <w:pPr>
              <w:spacing w:after="0" w:line="240" w:lineRule="auto"/>
              <w:jc w:val="center"/>
              <w:rPr>
                <w:rFonts w:ascii="Calibri" w:hAnsi="Calibri" w:cs="Calibri"/>
                <w:color w:val="000000"/>
                <w:sz w:val="20"/>
                <w:szCs w:val="20"/>
              </w:rPr>
            </w:pPr>
            <w:r w:rsidRPr="002170E2">
              <w:rPr>
                <w:rFonts w:ascii="Calibri" w:hAnsi="Calibri" w:cs="Calibri"/>
                <w:color w:val="000000"/>
                <w:sz w:val="20"/>
                <w:szCs w:val="20"/>
              </w:rPr>
              <w:t>97,334</w:t>
            </w:r>
          </w:p>
        </w:tc>
        <w:tc>
          <w:tcPr>
            <w:tcW w:w="1180" w:type="dxa"/>
            <w:tcBorders>
              <w:top w:val="nil"/>
              <w:left w:val="nil"/>
              <w:bottom w:val="single" w:sz="4" w:space="0" w:color="auto"/>
              <w:right w:val="single" w:sz="4" w:space="0" w:color="auto"/>
            </w:tcBorders>
            <w:shd w:val="clear" w:color="auto" w:fill="D9D9D9" w:themeFill="background1" w:themeFillShade="D9"/>
          </w:tcPr>
          <w:p w14:paraId="31EF914D" w14:textId="77777777" w:rsidR="007D6CBD" w:rsidRPr="002170E2" w:rsidRDefault="007D6CBD" w:rsidP="00642879">
            <w:pPr>
              <w:spacing w:after="0" w:line="240" w:lineRule="auto"/>
              <w:jc w:val="center"/>
              <w:rPr>
                <w:rFonts w:ascii="Calibri" w:hAnsi="Calibri" w:cs="Calibri"/>
                <w:color w:val="000000"/>
                <w:sz w:val="20"/>
                <w:szCs w:val="20"/>
              </w:rPr>
            </w:pPr>
            <w:r w:rsidRPr="002170E2">
              <w:rPr>
                <w:rFonts w:ascii="Calibri" w:hAnsi="Calibri" w:cs="Calibri"/>
                <w:color w:val="000000"/>
                <w:sz w:val="20"/>
                <w:szCs w:val="20"/>
              </w:rPr>
              <w:t>21.6%</w:t>
            </w:r>
          </w:p>
        </w:tc>
        <w:tc>
          <w:tcPr>
            <w:tcW w:w="1180" w:type="dxa"/>
            <w:tcBorders>
              <w:top w:val="nil"/>
              <w:left w:val="nil"/>
              <w:bottom w:val="single" w:sz="4" w:space="0" w:color="auto"/>
              <w:right w:val="single" w:sz="4" w:space="0" w:color="auto"/>
            </w:tcBorders>
            <w:shd w:val="clear" w:color="auto" w:fill="D9D9D9" w:themeFill="background1" w:themeFillShade="D9"/>
          </w:tcPr>
          <w:p w14:paraId="4EA6136F" w14:textId="77777777" w:rsidR="007D6CBD" w:rsidRPr="002170E2" w:rsidRDefault="007D6CBD" w:rsidP="00642879">
            <w:pPr>
              <w:spacing w:after="0" w:line="240" w:lineRule="auto"/>
              <w:jc w:val="center"/>
              <w:rPr>
                <w:rFonts w:ascii="Calibri" w:hAnsi="Calibri" w:cs="Calibri"/>
                <w:color w:val="000000"/>
                <w:sz w:val="20"/>
                <w:szCs w:val="20"/>
              </w:rPr>
            </w:pPr>
            <w:r w:rsidRPr="002170E2">
              <w:rPr>
                <w:rFonts w:ascii="Calibri" w:hAnsi="Calibri" w:cs="Calibri"/>
                <w:color w:val="000000"/>
                <w:sz w:val="20"/>
                <w:szCs w:val="20"/>
              </w:rPr>
              <w:t>10.2%</w:t>
            </w:r>
          </w:p>
        </w:tc>
      </w:tr>
      <w:tr w:rsidR="007D6CBD" w:rsidRPr="0003343C" w14:paraId="3B2CFEE1" w14:textId="77777777" w:rsidTr="00DF5AC6">
        <w:tc>
          <w:tcPr>
            <w:tcW w:w="2268" w:type="dxa"/>
            <w:tcBorders>
              <w:bottom w:val="single" w:sz="4" w:space="0" w:color="auto"/>
            </w:tcBorders>
          </w:tcPr>
          <w:p w14:paraId="5F71CA5C" w14:textId="77777777" w:rsidR="007D6CBD" w:rsidRPr="0003343C" w:rsidRDefault="007D6CBD" w:rsidP="00642879">
            <w:pPr>
              <w:spacing w:after="0"/>
              <w:rPr>
                <w:rFonts w:ascii="Calibri" w:eastAsia="Calibri" w:hAnsi="Calibri" w:cs="Times New Roman"/>
                <w:sz w:val="20"/>
                <w:szCs w:val="20"/>
              </w:rPr>
            </w:pPr>
            <w:r w:rsidRPr="0003343C">
              <w:rPr>
                <w:rFonts w:ascii="Calibri" w:eastAsia="Calibri" w:hAnsi="Calibri" w:cs="Times New Roman"/>
                <w:sz w:val="20"/>
                <w:szCs w:val="20"/>
              </w:rPr>
              <w:t>All high needs students</w:t>
            </w:r>
          </w:p>
        </w:tc>
        <w:tc>
          <w:tcPr>
            <w:tcW w:w="900" w:type="dxa"/>
            <w:tcBorders>
              <w:top w:val="nil"/>
              <w:left w:val="single" w:sz="4" w:space="0" w:color="auto"/>
              <w:bottom w:val="single" w:sz="4" w:space="0" w:color="auto"/>
              <w:right w:val="single" w:sz="4" w:space="0" w:color="auto"/>
            </w:tcBorders>
            <w:shd w:val="clear" w:color="auto" w:fill="auto"/>
          </w:tcPr>
          <w:p w14:paraId="2B6D06C3" w14:textId="77777777" w:rsidR="007D6CBD" w:rsidRPr="002170E2" w:rsidRDefault="007D6CBD" w:rsidP="00642879">
            <w:pPr>
              <w:spacing w:after="0"/>
              <w:jc w:val="center"/>
              <w:rPr>
                <w:sz w:val="20"/>
                <w:szCs w:val="20"/>
              </w:rPr>
            </w:pPr>
            <w:r w:rsidRPr="002170E2">
              <w:rPr>
                <w:sz w:val="20"/>
                <w:szCs w:val="20"/>
              </w:rPr>
              <w:t>949</w:t>
            </w:r>
          </w:p>
        </w:tc>
        <w:tc>
          <w:tcPr>
            <w:tcW w:w="1197" w:type="dxa"/>
            <w:tcBorders>
              <w:top w:val="nil"/>
              <w:left w:val="nil"/>
              <w:bottom w:val="single" w:sz="4" w:space="0" w:color="auto"/>
              <w:right w:val="single" w:sz="4" w:space="0" w:color="auto"/>
            </w:tcBorders>
            <w:shd w:val="clear" w:color="auto" w:fill="D9D9D9" w:themeFill="background1" w:themeFillShade="D9"/>
          </w:tcPr>
          <w:p w14:paraId="10A92A6E" w14:textId="77777777" w:rsidR="007D6CBD" w:rsidRPr="002170E2" w:rsidRDefault="007D6CBD" w:rsidP="00642879">
            <w:pPr>
              <w:spacing w:after="0"/>
              <w:jc w:val="center"/>
              <w:rPr>
                <w:sz w:val="20"/>
                <w:szCs w:val="20"/>
              </w:rPr>
            </w:pPr>
            <w:r w:rsidRPr="002170E2">
              <w:rPr>
                <w:sz w:val="20"/>
                <w:szCs w:val="20"/>
              </w:rPr>
              <w:t>100.0%</w:t>
            </w:r>
          </w:p>
        </w:tc>
        <w:tc>
          <w:tcPr>
            <w:tcW w:w="1198" w:type="dxa"/>
            <w:tcBorders>
              <w:top w:val="nil"/>
              <w:left w:val="nil"/>
              <w:bottom w:val="single" w:sz="4" w:space="0" w:color="auto"/>
              <w:right w:val="single" w:sz="4" w:space="0" w:color="auto"/>
            </w:tcBorders>
            <w:shd w:val="clear" w:color="auto" w:fill="D9D9D9" w:themeFill="background1" w:themeFillShade="D9"/>
          </w:tcPr>
          <w:p w14:paraId="44CD6B4B" w14:textId="77777777" w:rsidR="007D6CBD" w:rsidRPr="002170E2" w:rsidRDefault="007D6CBD" w:rsidP="00642879">
            <w:pPr>
              <w:spacing w:after="0"/>
              <w:jc w:val="center"/>
              <w:rPr>
                <w:sz w:val="20"/>
                <w:szCs w:val="20"/>
              </w:rPr>
            </w:pPr>
            <w:r w:rsidRPr="002170E2">
              <w:rPr>
                <w:sz w:val="20"/>
                <w:szCs w:val="20"/>
              </w:rPr>
              <w:t>26.8%</w:t>
            </w:r>
          </w:p>
        </w:tc>
        <w:tc>
          <w:tcPr>
            <w:tcW w:w="935" w:type="dxa"/>
            <w:tcBorders>
              <w:top w:val="nil"/>
              <w:left w:val="nil"/>
              <w:bottom w:val="single" w:sz="4" w:space="0" w:color="auto"/>
              <w:right w:val="single" w:sz="4" w:space="0" w:color="auto"/>
            </w:tcBorders>
            <w:shd w:val="clear" w:color="auto" w:fill="auto"/>
          </w:tcPr>
          <w:p w14:paraId="1799F1F8" w14:textId="77777777" w:rsidR="007D6CBD" w:rsidRPr="002170E2" w:rsidRDefault="007D6CBD" w:rsidP="00642879">
            <w:pPr>
              <w:spacing w:after="0" w:line="240" w:lineRule="auto"/>
              <w:jc w:val="center"/>
              <w:rPr>
                <w:rFonts w:ascii="Calibri" w:hAnsi="Calibri" w:cs="Calibri"/>
                <w:color w:val="000000"/>
                <w:sz w:val="20"/>
                <w:szCs w:val="20"/>
              </w:rPr>
            </w:pPr>
            <w:r w:rsidRPr="002170E2">
              <w:rPr>
                <w:rFonts w:ascii="Calibri" w:hAnsi="Calibri" w:cs="Calibri"/>
                <w:color w:val="000000"/>
                <w:sz w:val="20"/>
                <w:szCs w:val="20"/>
              </w:rPr>
              <w:t>449,584</w:t>
            </w:r>
          </w:p>
        </w:tc>
        <w:tc>
          <w:tcPr>
            <w:tcW w:w="1180" w:type="dxa"/>
            <w:tcBorders>
              <w:top w:val="nil"/>
              <w:left w:val="nil"/>
              <w:bottom w:val="single" w:sz="4" w:space="0" w:color="auto"/>
              <w:right w:val="single" w:sz="4" w:space="0" w:color="auto"/>
            </w:tcBorders>
            <w:shd w:val="clear" w:color="auto" w:fill="D9D9D9" w:themeFill="background1" w:themeFillShade="D9"/>
          </w:tcPr>
          <w:p w14:paraId="07E462C8" w14:textId="77777777" w:rsidR="007D6CBD" w:rsidRPr="002170E2" w:rsidRDefault="007D6CBD" w:rsidP="00642879">
            <w:pPr>
              <w:spacing w:after="0" w:line="240" w:lineRule="auto"/>
              <w:jc w:val="center"/>
              <w:rPr>
                <w:rFonts w:ascii="Calibri" w:hAnsi="Calibri" w:cs="Calibri"/>
                <w:color w:val="000000"/>
                <w:sz w:val="20"/>
                <w:szCs w:val="20"/>
              </w:rPr>
            </w:pPr>
            <w:r w:rsidRPr="002170E2">
              <w:rPr>
                <w:rFonts w:ascii="Calibri" w:hAnsi="Calibri" w:cs="Calibri"/>
                <w:color w:val="000000"/>
                <w:sz w:val="20"/>
                <w:szCs w:val="20"/>
              </w:rPr>
              <w:t>100.0%</w:t>
            </w:r>
          </w:p>
        </w:tc>
        <w:tc>
          <w:tcPr>
            <w:tcW w:w="1180" w:type="dxa"/>
            <w:tcBorders>
              <w:top w:val="nil"/>
              <w:left w:val="nil"/>
              <w:bottom w:val="single" w:sz="4" w:space="0" w:color="auto"/>
              <w:right w:val="single" w:sz="4" w:space="0" w:color="auto"/>
            </w:tcBorders>
            <w:shd w:val="clear" w:color="auto" w:fill="D9D9D9" w:themeFill="background1" w:themeFillShade="D9"/>
          </w:tcPr>
          <w:p w14:paraId="5FAE4229" w14:textId="77777777" w:rsidR="007D6CBD" w:rsidRPr="002170E2" w:rsidRDefault="007D6CBD" w:rsidP="00642879">
            <w:pPr>
              <w:spacing w:after="0" w:line="240" w:lineRule="auto"/>
              <w:jc w:val="center"/>
              <w:rPr>
                <w:rFonts w:ascii="Calibri" w:hAnsi="Calibri" w:cs="Calibri"/>
                <w:color w:val="000000"/>
                <w:sz w:val="20"/>
                <w:szCs w:val="20"/>
              </w:rPr>
            </w:pPr>
            <w:r w:rsidRPr="002170E2">
              <w:rPr>
                <w:rFonts w:ascii="Calibri" w:hAnsi="Calibri" w:cs="Calibri"/>
                <w:color w:val="000000"/>
                <w:sz w:val="20"/>
                <w:szCs w:val="20"/>
              </w:rPr>
              <w:t>46.6%</w:t>
            </w:r>
          </w:p>
        </w:tc>
      </w:tr>
      <w:tr w:rsidR="007D6CBD" w:rsidRPr="0003343C" w14:paraId="12988F85" w14:textId="77777777" w:rsidTr="00DF5AC6">
        <w:tc>
          <w:tcPr>
            <w:tcW w:w="8858" w:type="dxa"/>
            <w:gridSpan w:val="7"/>
            <w:tcBorders>
              <w:left w:val="nil"/>
              <w:bottom w:val="nil"/>
              <w:right w:val="nil"/>
            </w:tcBorders>
          </w:tcPr>
          <w:p w14:paraId="483ACB5D" w14:textId="77777777" w:rsidR="007D6CBD" w:rsidRPr="0003343C" w:rsidRDefault="007D6CBD" w:rsidP="00642879">
            <w:pPr>
              <w:spacing w:after="0"/>
              <w:rPr>
                <w:rFonts w:ascii="Calibri" w:eastAsia="Calibri" w:hAnsi="Calibri" w:cs="Times New Roman"/>
                <w:sz w:val="20"/>
              </w:rPr>
            </w:pPr>
            <w:r w:rsidRPr="0003343C">
              <w:rPr>
                <w:rFonts w:ascii="Calibri" w:eastAsia="Calibri" w:hAnsi="Calibri" w:cs="Times New Roman"/>
                <w:sz w:val="20"/>
                <w:szCs w:val="24"/>
              </w:rPr>
              <w:t>Notes: As of October 1, 201</w:t>
            </w:r>
            <w:r>
              <w:rPr>
                <w:rFonts w:ascii="Calibri" w:eastAsia="Calibri" w:hAnsi="Calibri" w:cs="Times New Roman"/>
                <w:sz w:val="20"/>
                <w:szCs w:val="24"/>
              </w:rPr>
              <w:t>7</w:t>
            </w:r>
            <w:r w:rsidRPr="0003343C">
              <w:rPr>
                <w:rFonts w:ascii="Calibri" w:eastAsia="Calibri" w:hAnsi="Calibri" w:cs="Times New Roman"/>
                <w:sz w:val="20"/>
                <w:szCs w:val="24"/>
              </w:rPr>
              <w:t xml:space="preserve">. District and state numbers and percentages for students with disabilities and high needs students are calculated including students in out-of-district placements. Total district enrollment including students in out-of-district placement is </w:t>
            </w:r>
            <w:r>
              <w:rPr>
                <w:rFonts w:ascii="Calibri" w:eastAsia="Calibri" w:hAnsi="Calibri" w:cs="Times New Roman"/>
                <w:sz w:val="20"/>
                <w:szCs w:val="24"/>
              </w:rPr>
              <w:t>3,543</w:t>
            </w:r>
            <w:r w:rsidRPr="0003343C">
              <w:rPr>
                <w:rFonts w:ascii="Calibri" w:eastAsia="Calibri" w:hAnsi="Calibri" w:cs="Times New Roman"/>
                <w:sz w:val="20"/>
                <w:szCs w:val="24"/>
              </w:rPr>
              <w:t xml:space="preserve">; total state enrollment including students in out-of-district placement is </w:t>
            </w:r>
            <w:r>
              <w:rPr>
                <w:rFonts w:ascii="Calibri" w:eastAsia="Calibri" w:hAnsi="Calibri" w:cs="Times New Roman"/>
                <w:sz w:val="20"/>
                <w:szCs w:val="24"/>
              </w:rPr>
              <w:t>964,806</w:t>
            </w:r>
            <w:r w:rsidRPr="0003343C">
              <w:rPr>
                <w:rFonts w:ascii="Calibri" w:eastAsia="Calibri" w:hAnsi="Calibri" w:cs="Times New Roman"/>
                <w:sz w:val="20"/>
                <w:szCs w:val="24"/>
              </w:rPr>
              <w:t>.</w:t>
            </w:r>
          </w:p>
        </w:tc>
      </w:tr>
    </w:tbl>
    <w:p w14:paraId="175A38D5" w14:textId="77777777" w:rsidR="002F1EBE" w:rsidRPr="002F1EBE" w:rsidRDefault="002F1EBE" w:rsidP="002F1EBE">
      <w:pPr>
        <w:spacing w:after="0"/>
        <w:rPr>
          <w:rFonts w:ascii="Calibri" w:eastAsia="Calibri" w:hAnsi="Calibri" w:cs="Times New Roman"/>
          <w:sz w:val="20"/>
        </w:rPr>
      </w:pPr>
    </w:p>
    <w:p w14:paraId="7B42FA26" w14:textId="77777777" w:rsidR="002F1EBE" w:rsidRPr="002F1EBE" w:rsidRDefault="002F1EBE" w:rsidP="002F1EBE">
      <w:pPr>
        <w:spacing w:after="0"/>
        <w:rPr>
          <w:rFonts w:ascii="Calibri" w:eastAsia="Calibri" w:hAnsi="Calibri" w:cs="Times New Roman"/>
          <w:sz w:val="20"/>
        </w:rPr>
      </w:pPr>
    </w:p>
    <w:p w14:paraId="53837B8A" w14:textId="77777777" w:rsidR="002F1EBE" w:rsidRPr="002F1EBE" w:rsidRDefault="002F1EBE" w:rsidP="002F1EBE">
      <w:pPr>
        <w:spacing w:after="0"/>
        <w:rPr>
          <w:rFonts w:ascii="Calibri" w:eastAsia="Calibri" w:hAnsi="Calibri" w:cs="Times New Roman"/>
          <w:sz w:val="20"/>
        </w:rPr>
      </w:pPr>
    </w:p>
    <w:p w14:paraId="76274129" w14:textId="77777777" w:rsidR="002F1EBE" w:rsidRPr="002F1EBE" w:rsidRDefault="002F1EBE" w:rsidP="002F1EBE">
      <w:pPr>
        <w:spacing w:after="0" w:line="240" w:lineRule="auto"/>
        <w:rPr>
          <w:rFonts w:ascii="Calibri" w:eastAsia="Calibri" w:hAnsi="Calibri" w:cs="Times New Roman"/>
          <w:sz w:val="20"/>
        </w:rPr>
      </w:pPr>
      <w:r w:rsidRPr="002F1EBE">
        <w:rPr>
          <w:rFonts w:ascii="Calibri" w:eastAsia="Calibri" w:hAnsi="Calibri" w:cs="Times New Roman"/>
          <w:sz w:val="20"/>
        </w:rPr>
        <w:br w:type="page"/>
      </w:r>
    </w:p>
    <w:p w14:paraId="40C24484" w14:textId="77777777" w:rsidR="0041333E" w:rsidRPr="00380233" w:rsidRDefault="0041333E" w:rsidP="0041333E">
      <w:pPr>
        <w:spacing w:after="0"/>
        <w:jc w:val="center"/>
        <w:rPr>
          <w:rFonts w:ascii="Calibri" w:eastAsia="Calibri" w:hAnsi="Calibri" w:cs="Times New Roman"/>
          <w:b/>
          <w:sz w:val="20"/>
        </w:rPr>
      </w:pPr>
      <w:r w:rsidRPr="00380233">
        <w:rPr>
          <w:rFonts w:ascii="Calibri" w:eastAsia="Calibri" w:hAnsi="Calibri" w:cs="Times New Roman"/>
          <w:b/>
          <w:sz w:val="20"/>
        </w:rPr>
        <w:lastRenderedPageBreak/>
        <w:t>Table B</w:t>
      </w:r>
      <w:r>
        <w:rPr>
          <w:rFonts w:ascii="Calibri" w:eastAsia="Calibri" w:hAnsi="Calibri" w:cs="Times New Roman"/>
          <w:b/>
          <w:sz w:val="20"/>
        </w:rPr>
        <w:t>2</w:t>
      </w:r>
      <w:r w:rsidRPr="00380233">
        <w:rPr>
          <w:rFonts w:ascii="Calibri" w:eastAsia="Calibri" w:hAnsi="Calibri" w:cs="Times New Roman"/>
          <w:b/>
          <w:sz w:val="20"/>
        </w:rPr>
        <w:t xml:space="preserve">: </w:t>
      </w:r>
      <w:r w:rsidRPr="002170E2">
        <w:rPr>
          <w:rFonts w:ascii="Calibri" w:eastAsia="Calibri" w:hAnsi="Calibri" w:cs="Times New Roman"/>
          <w:b/>
          <w:sz w:val="20"/>
        </w:rPr>
        <w:t>Wakefield Public Schools</w:t>
      </w:r>
    </w:p>
    <w:p w14:paraId="77CB44A1" w14:textId="77777777" w:rsidR="0041333E" w:rsidRPr="00380233" w:rsidRDefault="0041333E" w:rsidP="0041333E">
      <w:pPr>
        <w:spacing w:after="0" w:line="240" w:lineRule="auto"/>
        <w:jc w:val="center"/>
        <w:rPr>
          <w:rFonts w:ascii="Times New Roman" w:eastAsia="Times New Roman" w:hAnsi="Times New Roman" w:cs="Times New Roman"/>
          <w:kern w:val="28"/>
          <w:sz w:val="24"/>
          <w:szCs w:val="24"/>
        </w:rPr>
      </w:pPr>
      <w:r w:rsidRPr="00380233">
        <w:rPr>
          <w:rFonts w:ascii="Calibri" w:eastAsia="Calibri" w:hAnsi="Calibri" w:cs="Times New Roman"/>
          <w:b/>
          <w:sz w:val="20"/>
        </w:rPr>
        <w:t>Attendance Rates, 201</w:t>
      </w:r>
      <w:r>
        <w:rPr>
          <w:rFonts w:ascii="Calibri" w:eastAsia="Calibri" w:hAnsi="Calibri" w:cs="Times New Roman"/>
          <w:b/>
          <w:sz w:val="20"/>
        </w:rPr>
        <w:t>4</w:t>
      </w:r>
      <w:r w:rsidRPr="00380233">
        <w:rPr>
          <w:rFonts w:ascii="Calibri" w:eastAsia="Calibri" w:hAnsi="Calibri" w:cs="Times New Roman"/>
          <w:b/>
          <w:sz w:val="20"/>
        </w:rPr>
        <w:t>–201</w:t>
      </w:r>
      <w:r>
        <w:rPr>
          <w:rFonts w:ascii="Calibri" w:eastAsia="Calibri" w:hAnsi="Calibri" w:cs="Times New Roman"/>
          <w:b/>
          <w:sz w:val="20"/>
        </w:rPr>
        <w:t>7</w:t>
      </w:r>
    </w:p>
    <w:tbl>
      <w:tblPr>
        <w:tblStyle w:val="TableGrid"/>
        <w:tblW w:w="9000" w:type="dxa"/>
        <w:tblInd w:w="-162" w:type="dxa"/>
        <w:tblBorders>
          <w:left w:val="none" w:sz="0" w:space="0" w:color="auto"/>
          <w:bottom w:val="none" w:sz="0" w:space="0" w:color="auto"/>
          <w:right w:val="none" w:sz="0" w:space="0" w:color="auto"/>
        </w:tblBorders>
        <w:tblLayout w:type="fixed"/>
        <w:tblLook w:val="04A0" w:firstRow="1" w:lastRow="0" w:firstColumn="1" w:lastColumn="0" w:noHBand="0" w:noVBand="1"/>
        <w:tblCaption w:val="Table B2: Wakefield Public Schools"/>
        <w:tblDescription w:val="Attendance Rates, 2014–2017&#10;"/>
      </w:tblPr>
      <w:tblGrid>
        <w:gridCol w:w="1980"/>
        <w:gridCol w:w="1002"/>
        <w:gridCol w:w="1003"/>
        <w:gridCol w:w="1003"/>
        <w:gridCol w:w="1003"/>
        <w:gridCol w:w="1003"/>
        <w:gridCol w:w="1003"/>
        <w:gridCol w:w="1003"/>
      </w:tblGrid>
      <w:tr w:rsidR="0041333E" w:rsidRPr="00380233" w14:paraId="59C284ED" w14:textId="77777777" w:rsidTr="00BB0032">
        <w:trPr>
          <w:trHeight w:val="288"/>
          <w:tblHeader/>
        </w:trPr>
        <w:tc>
          <w:tcPr>
            <w:tcW w:w="1980" w:type="dxa"/>
            <w:tcBorders>
              <w:left w:val="single" w:sz="4" w:space="0" w:color="auto"/>
              <w:bottom w:val="single" w:sz="4" w:space="0" w:color="auto"/>
            </w:tcBorders>
            <w:shd w:val="clear" w:color="auto" w:fill="D9D9D9" w:themeFill="background1" w:themeFillShade="D9"/>
            <w:vAlign w:val="center"/>
          </w:tcPr>
          <w:p w14:paraId="4C14DC08" w14:textId="77777777" w:rsidR="0041333E" w:rsidRPr="00FE0920" w:rsidRDefault="0041333E" w:rsidP="00E22258">
            <w:pPr>
              <w:spacing w:after="0" w:line="240" w:lineRule="auto"/>
              <w:rPr>
                <w:rFonts w:ascii="Calibri" w:eastAsia="Times New Roman" w:hAnsi="Calibri" w:cs="Times New Roman"/>
                <w:b/>
                <w:sz w:val="20"/>
                <w:szCs w:val="20"/>
              </w:rPr>
            </w:pPr>
            <w:r w:rsidRPr="00FE0920">
              <w:rPr>
                <w:rFonts w:ascii="Calibri" w:eastAsia="Times New Roman" w:hAnsi="Calibri" w:cs="Times New Roman"/>
                <w:b/>
                <w:sz w:val="20"/>
                <w:szCs w:val="20"/>
              </w:rPr>
              <w:t>Group</w:t>
            </w:r>
          </w:p>
        </w:tc>
        <w:tc>
          <w:tcPr>
            <w:tcW w:w="1002" w:type="dxa"/>
            <w:tcBorders>
              <w:bottom w:val="single" w:sz="4" w:space="0" w:color="auto"/>
            </w:tcBorders>
            <w:shd w:val="clear" w:color="auto" w:fill="D9D9D9" w:themeFill="background1" w:themeFillShade="D9"/>
            <w:vAlign w:val="center"/>
          </w:tcPr>
          <w:p w14:paraId="574A0F5F" w14:textId="77777777" w:rsidR="0041333E" w:rsidRPr="00FE0920" w:rsidRDefault="0041333E" w:rsidP="00642879">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N (2017)</w:t>
            </w:r>
          </w:p>
        </w:tc>
        <w:tc>
          <w:tcPr>
            <w:tcW w:w="1003" w:type="dxa"/>
            <w:tcBorders>
              <w:bottom w:val="single" w:sz="4" w:space="0" w:color="auto"/>
            </w:tcBorders>
            <w:shd w:val="clear" w:color="auto" w:fill="D9D9D9" w:themeFill="background1" w:themeFillShade="D9"/>
            <w:vAlign w:val="center"/>
          </w:tcPr>
          <w:p w14:paraId="4F3CA200" w14:textId="77777777" w:rsidR="0041333E" w:rsidRPr="00FE0920" w:rsidRDefault="0041333E" w:rsidP="00642879">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4</w:t>
            </w:r>
          </w:p>
        </w:tc>
        <w:tc>
          <w:tcPr>
            <w:tcW w:w="1003" w:type="dxa"/>
            <w:tcBorders>
              <w:bottom w:val="single" w:sz="4" w:space="0" w:color="auto"/>
            </w:tcBorders>
            <w:shd w:val="clear" w:color="auto" w:fill="D9D9D9" w:themeFill="background1" w:themeFillShade="D9"/>
            <w:vAlign w:val="center"/>
          </w:tcPr>
          <w:p w14:paraId="641FC8D1" w14:textId="77777777" w:rsidR="0041333E" w:rsidRPr="00FE0920" w:rsidRDefault="0041333E" w:rsidP="00642879">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5</w:t>
            </w:r>
          </w:p>
        </w:tc>
        <w:tc>
          <w:tcPr>
            <w:tcW w:w="1003" w:type="dxa"/>
            <w:tcBorders>
              <w:bottom w:val="single" w:sz="4" w:space="0" w:color="auto"/>
            </w:tcBorders>
            <w:shd w:val="clear" w:color="auto" w:fill="D9D9D9" w:themeFill="background1" w:themeFillShade="D9"/>
            <w:vAlign w:val="center"/>
          </w:tcPr>
          <w:p w14:paraId="3267EC91" w14:textId="77777777" w:rsidR="0041333E" w:rsidRPr="00FE0920" w:rsidRDefault="0041333E" w:rsidP="00642879">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6</w:t>
            </w:r>
          </w:p>
        </w:tc>
        <w:tc>
          <w:tcPr>
            <w:tcW w:w="1003" w:type="dxa"/>
            <w:tcBorders>
              <w:bottom w:val="single" w:sz="4" w:space="0" w:color="auto"/>
            </w:tcBorders>
            <w:shd w:val="clear" w:color="auto" w:fill="D9D9D9" w:themeFill="background1" w:themeFillShade="D9"/>
            <w:vAlign w:val="center"/>
          </w:tcPr>
          <w:p w14:paraId="57EB4D11" w14:textId="77777777" w:rsidR="0041333E" w:rsidRPr="00FE0920" w:rsidRDefault="0041333E" w:rsidP="00642879">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7</w:t>
            </w:r>
          </w:p>
        </w:tc>
        <w:tc>
          <w:tcPr>
            <w:tcW w:w="1003" w:type="dxa"/>
            <w:tcBorders>
              <w:bottom w:val="single" w:sz="4" w:space="0" w:color="auto"/>
            </w:tcBorders>
            <w:shd w:val="clear" w:color="auto" w:fill="D9D9D9" w:themeFill="background1" w:themeFillShade="D9"/>
            <w:vAlign w:val="center"/>
          </w:tcPr>
          <w:p w14:paraId="78F86F92" w14:textId="77777777" w:rsidR="0041333E" w:rsidRPr="00FE0920" w:rsidRDefault="0041333E" w:rsidP="00642879">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4-yr Change</w:t>
            </w:r>
          </w:p>
        </w:tc>
        <w:tc>
          <w:tcPr>
            <w:tcW w:w="1003" w:type="dxa"/>
            <w:tcBorders>
              <w:bottom w:val="single" w:sz="4" w:space="0" w:color="auto"/>
              <w:right w:val="single" w:sz="4" w:space="0" w:color="auto"/>
            </w:tcBorders>
            <w:shd w:val="clear" w:color="auto" w:fill="D9D9D9" w:themeFill="background1" w:themeFillShade="D9"/>
            <w:vAlign w:val="center"/>
          </w:tcPr>
          <w:p w14:paraId="6DDD318B" w14:textId="77777777" w:rsidR="0041333E" w:rsidRPr="00FE0920" w:rsidRDefault="0041333E" w:rsidP="00642879">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State (201</w:t>
            </w:r>
            <w:r>
              <w:rPr>
                <w:rFonts w:ascii="Calibri" w:eastAsia="Times New Roman" w:hAnsi="Calibri" w:cs="Times New Roman"/>
                <w:b/>
                <w:sz w:val="20"/>
                <w:szCs w:val="20"/>
              </w:rPr>
              <w:t>7</w:t>
            </w:r>
            <w:r w:rsidRPr="00FE0920">
              <w:rPr>
                <w:rFonts w:ascii="Calibri" w:eastAsia="Times New Roman" w:hAnsi="Calibri" w:cs="Times New Roman"/>
                <w:b/>
                <w:sz w:val="20"/>
                <w:szCs w:val="20"/>
              </w:rPr>
              <w:t>)</w:t>
            </w:r>
          </w:p>
        </w:tc>
      </w:tr>
      <w:tr w:rsidR="0041333E" w:rsidRPr="00380233" w14:paraId="74C4C051" w14:textId="77777777" w:rsidTr="00642879">
        <w:trPr>
          <w:trHeight w:val="278"/>
        </w:trPr>
        <w:tc>
          <w:tcPr>
            <w:tcW w:w="1980" w:type="dxa"/>
            <w:tcBorders>
              <w:left w:val="single" w:sz="4" w:space="0" w:color="auto"/>
              <w:bottom w:val="single" w:sz="4" w:space="0" w:color="auto"/>
            </w:tcBorders>
            <w:shd w:val="clear" w:color="auto" w:fill="auto"/>
            <w:vAlign w:val="center"/>
          </w:tcPr>
          <w:p w14:paraId="16725370" w14:textId="77777777" w:rsidR="0041333E" w:rsidRDefault="0041333E" w:rsidP="00E22258">
            <w:pPr>
              <w:spacing w:after="0" w:line="240" w:lineRule="auto"/>
              <w:rPr>
                <w:rFonts w:ascii="Calibri" w:hAnsi="Calibri"/>
                <w:color w:val="000000"/>
                <w:sz w:val="20"/>
                <w:szCs w:val="20"/>
              </w:rPr>
            </w:pPr>
            <w:r>
              <w:rPr>
                <w:rFonts w:ascii="Calibri" w:hAnsi="Calibri"/>
                <w:color w:val="000000"/>
                <w:sz w:val="20"/>
                <w:szCs w:val="20"/>
              </w:rPr>
              <w:t>High Needs</w:t>
            </w:r>
          </w:p>
        </w:tc>
        <w:tc>
          <w:tcPr>
            <w:tcW w:w="1002" w:type="dxa"/>
            <w:tcBorders>
              <w:top w:val="nil"/>
              <w:left w:val="single" w:sz="4" w:space="0" w:color="auto"/>
              <w:bottom w:val="single" w:sz="4" w:space="0" w:color="auto"/>
              <w:right w:val="single" w:sz="4" w:space="0" w:color="auto"/>
            </w:tcBorders>
            <w:shd w:val="clear" w:color="auto" w:fill="auto"/>
            <w:vAlign w:val="center"/>
          </w:tcPr>
          <w:p w14:paraId="3AF7B346" w14:textId="77777777" w:rsidR="0041333E" w:rsidRPr="002170E2" w:rsidRDefault="0041333E" w:rsidP="00642879">
            <w:pPr>
              <w:spacing w:after="0" w:line="240" w:lineRule="auto"/>
              <w:jc w:val="center"/>
              <w:rPr>
                <w:sz w:val="20"/>
                <w:szCs w:val="20"/>
              </w:rPr>
            </w:pPr>
            <w:r w:rsidRPr="002170E2">
              <w:rPr>
                <w:sz w:val="20"/>
                <w:szCs w:val="20"/>
              </w:rPr>
              <w:t>966</w:t>
            </w:r>
          </w:p>
        </w:tc>
        <w:tc>
          <w:tcPr>
            <w:tcW w:w="1003" w:type="dxa"/>
            <w:tcBorders>
              <w:top w:val="nil"/>
              <w:left w:val="nil"/>
              <w:bottom w:val="single" w:sz="4" w:space="0" w:color="auto"/>
              <w:right w:val="single" w:sz="4" w:space="0" w:color="auto"/>
            </w:tcBorders>
            <w:shd w:val="clear" w:color="auto" w:fill="auto"/>
            <w:vAlign w:val="center"/>
          </w:tcPr>
          <w:p w14:paraId="4BA55820" w14:textId="77777777" w:rsidR="0041333E" w:rsidRPr="002170E2" w:rsidRDefault="0041333E" w:rsidP="00642879">
            <w:pPr>
              <w:spacing w:after="0" w:line="240" w:lineRule="auto"/>
              <w:jc w:val="center"/>
              <w:rPr>
                <w:sz w:val="20"/>
                <w:szCs w:val="20"/>
              </w:rPr>
            </w:pPr>
            <w:r w:rsidRPr="002170E2">
              <w:rPr>
                <w:sz w:val="20"/>
                <w:szCs w:val="20"/>
              </w:rPr>
              <w:t>94.1</w:t>
            </w:r>
          </w:p>
        </w:tc>
        <w:tc>
          <w:tcPr>
            <w:tcW w:w="1003" w:type="dxa"/>
            <w:tcBorders>
              <w:top w:val="nil"/>
              <w:left w:val="nil"/>
              <w:bottom w:val="single" w:sz="4" w:space="0" w:color="auto"/>
              <w:right w:val="single" w:sz="4" w:space="0" w:color="auto"/>
            </w:tcBorders>
            <w:shd w:val="clear" w:color="auto" w:fill="auto"/>
            <w:vAlign w:val="center"/>
          </w:tcPr>
          <w:p w14:paraId="21329958" w14:textId="77777777" w:rsidR="0041333E" w:rsidRPr="002170E2" w:rsidRDefault="0041333E" w:rsidP="00642879">
            <w:pPr>
              <w:spacing w:after="0" w:line="240" w:lineRule="auto"/>
              <w:jc w:val="center"/>
              <w:rPr>
                <w:sz w:val="20"/>
                <w:szCs w:val="20"/>
              </w:rPr>
            </w:pPr>
            <w:r w:rsidRPr="002170E2">
              <w:rPr>
                <w:sz w:val="20"/>
                <w:szCs w:val="20"/>
              </w:rPr>
              <w:t>94.0</w:t>
            </w:r>
          </w:p>
        </w:tc>
        <w:tc>
          <w:tcPr>
            <w:tcW w:w="1003" w:type="dxa"/>
            <w:tcBorders>
              <w:top w:val="nil"/>
              <w:left w:val="nil"/>
              <w:bottom w:val="single" w:sz="4" w:space="0" w:color="auto"/>
              <w:right w:val="single" w:sz="4" w:space="0" w:color="auto"/>
            </w:tcBorders>
            <w:shd w:val="clear" w:color="auto" w:fill="auto"/>
            <w:vAlign w:val="center"/>
          </w:tcPr>
          <w:p w14:paraId="2D319704" w14:textId="77777777" w:rsidR="0041333E" w:rsidRPr="002170E2" w:rsidRDefault="0041333E" w:rsidP="00642879">
            <w:pPr>
              <w:spacing w:after="0" w:line="240" w:lineRule="auto"/>
              <w:jc w:val="center"/>
              <w:rPr>
                <w:sz w:val="20"/>
                <w:szCs w:val="20"/>
              </w:rPr>
            </w:pPr>
            <w:r w:rsidRPr="002170E2">
              <w:rPr>
                <w:sz w:val="20"/>
                <w:szCs w:val="20"/>
              </w:rPr>
              <w:t>93.6</w:t>
            </w:r>
          </w:p>
        </w:tc>
        <w:tc>
          <w:tcPr>
            <w:tcW w:w="1003" w:type="dxa"/>
            <w:tcBorders>
              <w:top w:val="nil"/>
              <w:left w:val="nil"/>
              <w:bottom w:val="single" w:sz="4" w:space="0" w:color="auto"/>
              <w:right w:val="single" w:sz="4" w:space="0" w:color="auto"/>
            </w:tcBorders>
            <w:shd w:val="clear" w:color="auto" w:fill="auto"/>
            <w:vAlign w:val="center"/>
          </w:tcPr>
          <w:p w14:paraId="627B4A52" w14:textId="77777777" w:rsidR="0041333E" w:rsidRPr="002170E2" w:rsidRDefault="0041333E" w:rsidP="00642879">
            <w:pPr>
              <w:spacing w:after="0" w:line="240" w:lineRule="auto"/>
              <w:jc w:val="center"/>
              <w:rPr>
                <w:sz w:val="20"/>
                <w:szCs w:val="20"/>
              </w:rPr>
            </w:pPr>
            <w:r w:rsidRPr="002170E2">
              <w:rPr>
                <w:sz w:val="20"/>
                <w:szCs w:val="20"/>
              </w:rPr>
              <w:t>93.5</w:t>
            </w:r>
          </w:p>
        </w:tc>
        <w:tc>
          <w:tcPr>
            <w:tcW w:w="1003" w:type="dxa"/>
            <w:tcBorders>
              <w:top w:val="single" w:sz="8" w:space="0" w:color="auto"/>
              <w:left w:val="nil"/>
              <w:bottom w:val="single" w:sz="8" w:space="0" w:color="auto"/>
              <w:right w:val="single" w:sz="8" w:space="0" w:color="auto"/>
            </w:tcBorders>
            <w:shd w:val="clear" w:color="auto" w:fill="auto"/>
            <w:vAlign w:val="center"/>
          </w:tcPr>
          <w:p w14:paraId="2EDF0BC6" w14:textId="77777777" w:rsidR="0041333E" w:rsidRPr="002170E2" w:rsidRDefault="0041333E" w:rsidP="00642879">
            <w:pPr>
              <w:spacing w:after="0" w:line="240" w:lineRule="auto"/>
              <w:jc w:val="center"/>
              <w:rPr>
                <w:sz w:val="20"/>
                <w:szCs w:val="20"/>
              </w:rPr>
            </w:pPr>
            <w:r w:rsidRPr="002170E2">
              <w:rPr>
                <w:sz w:val="20"/>
                <w:szCs w:val="20"/>
              </w:rPr>
              <w:t>-0.6</w:t>
            </w:r>
          </w:p>
        </w:tc>
        <w:tc>
          <w:tcPr>
            <w:tcW w:w="1003" w:type="dxa"/>
            <w:tcBorders>
              <w:bottom w:val="single" w:sz="4" w:space="0" w:color="auto"/>
              <w:right w:val="single" w:sz="4" w:space="0" w:color="auto"/>
            </w:tcBorders>
            <w:shd w:val="clear" w:color="auto" w:fill="auto"/>
            <w:vAlign w:val="center"/>
          </w:tcPr>
          <w:p w14:paraId="3DD3788E" w14:textId="77777777" w:rsidR="0041333E" w:rsidRPr="002170E2" w:rsidRDefault="0041333E" w:rsidP="00642879">
            <w:pPr>
              <w:spacing w:after="0" w:line="240" w:lineRule="auto"/>
              <w:jc w:val="center"/>
              <w:rPr>
                <w:sz w:val="20"/>
                <w:szCs w:val="20"/>
              </w:rPr>
            </w:pPr>
            <w:r w:rsidRPr="002170E2">
              <w:rPr>
                <w:sz w:val="20"/>
                <w:szCs w:val="20"/>
              </w:rPr>
              <w:t>93.1</w:t>
            </w:r>
          </w:p>
        </w:tc>
      </w:tr>
      <w:tr w:rsidR="0041333E" w:rsidRPr="00380233" w14:paraId="51BE940E" w14:textId="77777777" w:rsidTr="00642879">
        <w:trPr>
          <w:trHeight w:val="288"/>
        </w:trPr>
        <w:tc>
          <w:tcPr>
            <w:tcW w:w="1980" w:type="dxa"/>
            <w:tcBorders>
              <w:left w:val="single" w:sz="4" w:space="0" w:color="auto"/>
              <w:bottom w:val="single" w:sz="4" w:space="0" w:color="auto"/>
            </w:tcBorders>
            <w:shd w:val="clear" w:color="auto" w:fill="D9D9D9" w:themeFill="background1" w:themeFillShade="D9"/>
            <w:vAlign w:val="center"/>
          </w:tcPr>
          <w:p w14:paraId="3B12D05F" w14:textId="77777777" w:rsidR="0041333E" w:rsidRDefault="0041333E" w:rsidP="00E22258">
            <w:pPr>
              <w:spacing w:after="0" w:line="240" w:lineRule="auto"/>
              <w:rPr>
                <w:rFonts w:ascii="Calibri" w:hAnsi="Calibri"/>
                <w:color w:val="000000"/>
                <w:sz w:val="20"/>
                <w:szCs w:val="20"/>
              </w:rPr>
            </w:pPr>
            <w:r>
              <w:rPr>
                <w:rFonts w:ascii="Calibri" w:hAnsi="Calibri"/>
                <w:color w:val="000000"/>
                <w:sz w:val="20"/>
                <w:szCs w:val="20"/>
              </w:rPr>
              <w:t>Econ. Dis.</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5BD0AA8C" w14:textId="77777777" w:rsidR="0041333E" w:rsidRPr="002170E2" w:rsidRDefault="0041333E" w:rsidP="00642879">
            <w:pPr>
              <w:spacing w:after="0" w:line="240" w:lineRule="auto"/>
              <w:jc w:val="center"/>
              <w:rPr>
                <w:sz w:val="20"/>
                <w:szCs w:val="20"/>
              </w:rPr>
            </w:pPr>
            <w:r w:rsidRPr="002170E2">
              <w:rPr>
                <w:sz w:val="20"/>
                <w:szCs w:val="20"/>
              </w:rPr>
              <w:t>457</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6F2B951F" w14:textId="77777777" w:rsidR="0041333E" w:rsidRPr="002170E2" w:rsidRDefault="0041333E" w:rsidP="00642879">
            <w:pPr>
              <w:spacing w:after="0" w:line="240" w:lineRule="auto"/>
              <w:jc w:val="center"/>
              <w:rPr>
                <w:sz w:val="20"/>
                <w:szCs w:val="20"/>
              </w:rPr>
            </w:pPr>
            <w:r w:rsidRPr="002170E2">
              <w:rPr>
                <w:sz w:val="20"/>
                <w:szCs w:val="20"/>
              </w:rPr>
              <w:t>--</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7604C569" w14:textId="77777777" w:rsidR="0041333E" w:rsidRPr="002170E2" w:rsidRDefault="0041333E" w:rsidP="00642879">
            <w:pPr>
              <w:spacing w:after="0" w:line="240" w:lineRule="auto"/>
              <w:jc w:val="center"/>
              <w:rPr>
                <w:sz w:val="20"/>
                <w:szCs w:val="20"/>
              </w:rPr>
            </w:pPr>
            <w:r w:rsidRPr="002170E2">
              <w:rPr>
                <w:sz w:val="20"/>
                <w:szCs w:val="20"/>
              </w:rPr>
              <w:t>92.8</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301656CA" w14:textId="77777777" w:rsidR="0041333E" w:rsidRPr="002170E2" w:rsidRDefault="0041333E" w:rsidP="00642879">
            <w:pPr>
              <w:spacing w:after="0" w:line="240" w:lineRule="auto"/>
              <w:jc w:val="center"/>
              <w:rPr>
                <w:sz w:val="20"/>
                <w:szCs w:val="20"/>
              </w:rPr>
            </w:pPr>
            <w:r w:rsidRPr="002170E2">
              <w:rPr>
                <w:sz w:val="20"/>
                <w:szCs w:val="20"/>
              </w:rPr>
              <w:t>92.5</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640C50C8" w14:textId="77777777" w:rsidR="0041333E" w:rsidRPr="002170E2" w:rsidRDefault="0041333E" w:rsidP="00642879">
            <w:pPr>
              <w:spacing w:after="0" w:line="240" w:lineRule="auto"/>
              <w:jc w:val="center"/>
              <w:rPr>
                <w:sz w:val="20"/>
                <w:szCs w:val="20"/>
              </w:rPr>
            </w:pPr>
            <w:r w:rsidRPr="002170E2">
              <w:rPr>
                <w:sz w:val="20"/>
                <w:szCs w:val="20"/>
              </w:rPr>
              <w:t>92.8</w:t>
            </w:r>
          </w:p>
        </w:tc>
        <w:tc>
          <w:tcPr>
            <w:tcW w:w="1003" w:type="dxa"/>
            <w:tcBorders>
              <w:top w:val="nil"/>
              <w:left w:val="nil"/>
              <w:bottom w:val="single" w:sz="8" w:space="0" w:color="auto"/>
              <w:right w:val="single" w:sz="8" w:space="0" w:color="auto"/>
            </w:tcBorders>
            <w:shd w:val="clear" w:color="auto" w:fill="D9D9D9" w:themeFill="background1" w:themeFillShade="D9"/>
            <w:vAlign w:val="center"/>
          </w:tcPr>
          <w:p w14:paraId="4783FAD9" w14:textId="77777777" w:rsidR="0041333E" w:rsidRPr="002170E2" w:rsidRDefault="0041333E" w:rsidP="00642879">
            <w:pPr>
              <w:spacing w:after="0" w:line="240" w:lineRule="auto"/>
              <w:jc w:val="center"/>
              <w:rPr>
                <w:sz w:val="20"/>
                <w:szCs w:val="20"/>
              </w:rPr>
            </w:pPr>
            <w:r>
              <w:rPr>
                <w:sz w:val="20"/>
                <w:szCs w:val="20"/>
              </w:rPr>
              <w:t>--</w:t>
            </w:r>
          </w:p>
        </w:tc>
        <w:tc>
          <w:tcPr>
            <w:tcW w:w="1003" w:type="dxa"/>
            <w:tcBorders>
              <w:bottom w:val="single" w:sz="4" w:space="0" w:color="auto"/>
              <w:right w:val="single" w:sz="4" w:space="0" w:color="auto"/>
            </w:tcBorders>
            <w:shd w:val="clear" w:color="auto" w:fill="D9D9D9" w:themeFill="background1" w:themeFillShade="D9"/>
            <w:vAlign w:val="center"/>
          </w:tcPr>
          <w:p w14:paraId="2D3B29C7" w14:textId="77777777" w:rsidR="0041333E" w:rsidRPr="002170E2" w:rsidRDefault="0041333E" w:rsidP="00642879">
            <w:pPr>
              <w:spacing w:after="0" w:line="240" w:lineRule="auto"/>
              <w:jc w:val="center"/>
              <w:rPr>
                <w:sz w:val="20"/>
                <w:szCs w:val="20"/>
              </w:rPr>
            </w:pPr>
            <w:r w:rsidRPr="002170E2">
              <w:rPr>
                <w:sz w:val="20"/>
                <w:szCs w:val="20"/>
              </w:rPr>
              <w:t>92.6</w:t>
            </w:r>
          </w:p>
        </w:tc>
      </w:tr>
      <w:tr w:rsidR="0041333E" w:rsidRPr="00380233" w14:paraId="2BC86C22" w14:textId="77777777" w:rsidTr="00642879">
        <w:trPr>
          <w:trHeight w:val="288"/>
        </w:trPr>
        <w:tc>
          <w:tcPr>
            <w:tcW w:w="1980" w:type="dxa"/>
            <w:tcBorders>
              <w:left w:val="single" w:sz="4" w:space="0" w:color="auto"/>
              <w:bottom w:val="single" w:sz="4" w:space="0" w:color="auto"/>
            </w:tcBorders>
            <w:shd w:val="clear" w:color="auto" w:fill="auto"/>
            <w:vAlign w:val="center"/>
          </w:tcPr>
          <w:p w14:paraId="1742B1FC" w14:textId="77777777" w:rsidR="0041333E" w:rsidRDefault="0041333E" w:rsidP="00E22258">
            <w:pPr>
              <w:spacing w:after="0" w:line="240" w:lineRule="auto"/>
              <w:rPr>
                <w:rFonts w:ascii="Calibri" w:hAnsi="Calibri"/>
                <w:color w:val="000000"/>
                <w:sz w:val="20"/>
                <w:szCs w:val="20"/>
              </w:rPr>
            </w:pPr>
            <w:r>
              <w:rPr>
                <w:rFonts w:ascii="Calibri" w:hAnsi="Calibri"/>
                <w:color w:val="000000"/>
                <w:sz w:val="20"/>
                <w:szCs w:val="20"/>
              </w:rPr>
              <w:t>ELLs</w:t>
            </w:r>
          </w:p>
        </w:tc>
        <w:tc>
          <w:tcPr>
            <w:tcW w:w="1002" w:type="dxa"/>
            <w:tcBorders>
              <w:top w:val="nil"/>
              <w:left w:val="single" w:sz="4" w:space="0" w:color="auto"/>
              <w:bottom w:val="single" w:sz="4" w:space="0" w:color="auto"/>
              <w:right w:val="single" w:sz="4" w:space="0" w:color="auto"/>
            </w:tcBorders>
            <w:shd w:val="clear" w:color="auto" w:fill="auto"/>
            <w:vAlign w:val="center"/>
          </w:tcPr>
          <w:p w14:paraId="74B2BC4D" w14:textId="77777777" w:rsidR="0041333E" w:rsidRPr="002170E2" w:rsidRDefault="0041333E" w:rsidP="00642879">
            <w:pPr>
              <w:spacing w:after="0" w:line="240" w:lineRule="auto"/>
              <w:jc w:val="center"/>
              <w:rPr>
                <w:sz w:val="20"/>
                <w:szCs w:val="20"/>
              </w:rPr>
            </w:pPr>
            <w:r w:rsidRPr="002170E2">
              <w:rPr>
                <w:sz w:val="20"/>
                <w:szCs w:val="20"/>
              </w:rPr>
              <w:t>67</w:t>
            </w:r>
          </w:p>
        </w:tc>
        <w:tc>
          <w:tcPr>
            <w:tcW w:w="1003" w:type="dxa"/>
            <w:tcBorders>
              <w:top w:val="nil"/>
              <w:left w:val="nil"/>
              <w:bottom w:val="single" w:sz="4" w:space="0" w:color="auto"/>
              <w:right w:val="single" w:sz="4" w:space="0" w:color="auto"/>
            </w:tcBorders>
            <w:shd w:val="clear" w:color="auto" w:fill="auto"/>
            <w:vAlign w:val="center"/>
          </w:tcPr>
          <w:p w14:paraId="07EED92D" w14:textId="77777777" w:rsidR="0041333E" w:rsidRPr="002170E2" w:rsidRDefault="0041333E" w:rsidP="00642879">
            <w:pPr>
              <w:spacing w:after="0" w:line="240" w:lineRule="auto"/>
              <w:jc w:val="center"/>
              <w:rPr>
                <w:sz w:val="20"/>
                <w:szCs w:val="20"/>
              </w:rPr>
            </w:pPr>
            <w:r w:rsidRPr="002170E2">
              <w:rPr>
                <w:sz w:val="20"/>
                <w:szCs w:val="20"/>
              </w:rPr>
              <w:t>96.0</w:t>
            </w:r>
          </w:p>
        </w:tc>
        <w:tc>
          <w:tcPr>
            <w:tcW w:w="1003" w:type="dxa"/>
            <w:tcBorders>
              <w:top w:val="nil"/>
              <w:left w:val="nil"/>
              <w:bottom w:val="single" w:sz="4" w:space="0" w:color="auto"/>
              <w:right w:val="single" w:sz="4" w:space="0" w:color="auto"/>
            </w:tcBorders>
            <w:shd w:val="clear" w:color="auto" w:fill="auto"/>
            <w:vAlign w:val="center"/>
          </w:tcPr>
          <w:p w14:paraId="710E48EB" w14:textId="77777777" w:rsidR="0041333E" w:rsidRPr="002170E2" w:rsidRDefault="0041333E" w:rsidP="00642879">
            <w:pPr>
              <w:spacing w:after="0" w:line="240" w:lineRule="auto"/>
              <w:jc w:val="center"/>
              <w:rPr>
                <w:sz w:val="20"/>
                <w:szCs w:val="20"/>
              </w:rPr>
            </w:pPr>
            <w:r w:rsidRPr="002170E2">
              <w:rPr>
                <w:sz w:val="20"/>
                <w:szCs w:val="20"/>
              </w:rPr>
              <w:t>94.7</w:t>
            </w:r>
          </w:p>
        </w:tc>
        <w:tc>
          <w:tcPr>
            <w:tcW w:w="1003" w:type="dxa"/>
            <w:tcBorders>
              <w:top w:val="nil"/>
              <w:left w:val="nil"/>
              <w:bottom w:val="single" w:sz="4" w:space="0" w:color="auto"/>
              <w:right w:val="single" w:sz="4" w:space="0" w:color="auto"/>
            </w:tcBorders>
            <w:shd w:val="clear" w:color="auto" w:fill="auto"/>
            <w:vAlign w:val="center"/>
          </w:tcPr>
          <w:p w14:paraId="4C105AB4" w14:textId="77777777" w:rsidR="0041333E" w:rsidRPr="002170E2" w:rsidRDefault="0041333E" w:rsidP="00642879">
            <w:pPr>
              <w:spacing w:after="0" w:line="240" w:lineRule="auto"/>
              <w:jc w:val="center"/>
              <w:rPr>
                <w:sz w:val="20"/>
                <w:szCs w:val="20"/>
              </w:rPr>
            </w:pPr>
            <w:r w:rsidRPr="002170E2">
              <w:rPr>
                <w:sz w:val="20"/>
                <w:szCs w:val="20"/>
              </w:rPr>
              <w:t>94.9</w:t>
            </w:r>
          </w:p>
        </w:tc>
        <w:tc>
          <w:tcPr>
            <w:tcW w:w="1003" w:type="dxa"/>
            <w:tcBorders>
              <w:top w:val="nil"/>
              <w:left w:val="nil"/>
              <w:bottom w:val="single" w:sz="4" w:space="0" w:color="auto"/>
              <w:right w:val="single" w:sz="4" w:space="0" w:color="auto"/>
            </w:tcBorders>
            <w:shd w:val="clear" w:color="auto" w:fill="auto"/>
            <w:vAlign w:val="center"/>
          </w:tcPr>
          <w:p w14:paraId="2A7484A2" w14:textId="77777777" w:rsidR="0041333E" w:rsidRPr="002170E2" w:rsidRDefault="0041333E" w:rsidP="00642879">
            <w:pPr>
              <w:spacing w:after="0" w:line="240" w:lineRule="auto"/>
              <w:jc w:val="center"/>
              <w:rPr>
                <w:sz w:val="20"/>
                <w:szCs w:val="20"/>
              </w:rPr>
            </w:pPr>
            <w:r w:rsidRPr="002170E2">
              <w:rPr>
                <w:sz w:val="20"/>
                <w:szCs w:val="20"/>
              </w:rPr>
              <w:t>94.8</w:t>
            </w:r>
          </w:p>
        </w:tc>
        <w:tc>
          <w:tcPr>
            <w:tcW w:w="1003" w:type="dxa"/>
            <w:tcBorders>
              <w:top w:val="nil"/>
              <w:left w:val="nil"/>
              <w:bottom w:val="single" w:sz="8" w:space="0" w:color="auto"/>
              <w:right w:val="single" w:sz="8" w:space="0" w:color="auto"/>
            </w:tcBorders>
            <w:shd w:val="clear" w:color="auto" w:fill="auto"/>
            <w:vAlign w:val="center"/>
          </w:tcPr>
          <w:p w14:paraId="5310FB24" w14:textId="77777777" w:rsidR="0041333E" w:rsidRPr="002170E2" w:rsidRDefault="0041333E" w:rsidP="00642879">
            <w:pPr>
              <w:spacing w:after="0" w:line="240" w:lineRule="auto"/>
              <w:jc w:val="center"/>
              <w:rPr>
                <w:sz w:val="20"/>
                <w:szCs w:val="20"/>
              </w:rPr>
            </w:pPr>
            <w:r w:rsidRPr="002170E2">
              <w:rPr>
                <w:sz w:val="20"/>
                <w:szCs w:val="20"/>
              </w:rPr>
              <w:t>-1.2</w:t>
            </w:r>
          </w:p>
        </w:tc>
        <w:tc>
          <w:tcPr>
            <w:tcW w:w="1003" w:type="dxa"/>
            <w:tcBorders>
              <w:bottom w:val="single" w:sz="4" w:space="0" w:color="auto"/>
              <w:right w:val="single" w:sz="4" w:space="0" w:color="auto"/>
            </w:tcBorders>
            <w:shd w:val="clear" w:color="auto" w:fill="auto"/>
            <w:vAlign w:val="center"/>
          </w:tcPr>
          <w:p w14:paraId="4D7F6812" w14:textId="77777777" w:rsidR="0041333E" w:rsidRPr="002170E2" w:rsidRDefault="0041333E" w:rsidP="00642879">
            <w:pPr>
              <w:spacing w:after="0" w:line="240" w:lineRule="auto"/>
              <w:jc w:val="center"/>
              <w:rPr>
                <w:sz w:val="20"/>
                <w:szCs w:val="20"/>
              </w:rPr>
            </w:pPr>
            <w:r w:rsidRPr="002170E2">
              <w:rPr>
                <w:sz w:val="20"/>
                <w:szCs w:val="20"/>
              </w:rPr>
              <w:t>93.5</w:t>
            </w:r>
          </w:p>
        </w:tc>
      </w:tr>
      <w:tr w:rsidR="0041333E" w:rsidRPr="00380233" w14:paraId="1B739576" w14:textId="77777777" w:rsidTr="00642879">
        <w:trPr>
          <w:trHeight w:val="288"/>
        </w:trPr>
        <w:tc>
          <w:tcPr>
            <w:tcW w:w="1980" w:type="dxa"/>
            <w:tcBorders>
              <w:left w:val="single" w:sz="4" w:space="0" w:color="auto"/>
              <w:bottom w:val="single" w:sz="4" w:space="0" w:color="auto"/>
            </w:tcBorders>
            <w:shd w:val="clear" w:color="auto" w:fill="D9D9D9" w:themeFill="background1" w:themeFillShade="D9"/>
            <w:vAlign w:val="center"/>
          </w:tcPr>
          <w:p w14:paraId="42E915EA" w14:textId="77777777" w:rsidR="0041333E" w:rsidRDefault="0041333E" w:rsidP="00E22258">
            <w:pPr>
              <w:spacing w:after="0" w:line="240" w:lineRule="auto"/>
              <w:rPr>
                <w:rFonts w:ascii="Calibri" w:hAnsi="Calibri"/>
                <w:color w:val="000000"/>
                <w:sz w:val="20"/>
                <w:szCs w:val="20"/>
              </w:rPr>
            </w:pPr>
            <w:r>
              <w:rPr>
                <w:rFonts w:ascii="Calibri" w:hAnsi="Calibri"/>
                <w:color w:val="000000"/>
                <w:sz w:val="20"/>
                <w:szCs w:val="20"/>
              </w:rPr>
              <w:t>SWD</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02FA8961" w14:textId="77777777" w:rsidR="0041333E" w:rsidRPr="002170E2" w:rsidRDefault="0041333E" w:rsidP="00642879">
            <w:pPr>
              <w:spacing w:after="0" w:line="240" w:lineRule="auto"/>
              <w:jc w:val="center"/>
              <w:rPr>
                <w:sz w:val="20"/>
                <w:szCs w:val="20"/>
              </w:rPr>
            </w:pPr>
            <w:r w:rsidRPr="002170E2">
              <w:rPr>
                <w:sz w:val="20"/>
                <w:szCs w:val="20"/>
              </w:rPr>
              <w:t>606</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6074F9C5" w14:textId="77777777" w:rsidR="0041333E" w:rsidRPr="002170E2" w:rsidRDefault="0041333E" w:rsidP="00642879">
            <w:pPr>
              <w:spacing w:after="0" w:line="240" w:lineRule="auto"/>
              <w:jc w:val="center"/>
              <w:rPr>
                <w:sz w:val="20"/>
                <w:szCs w:val="20"/>
              </w:rPr>
            </w:pPr>
            <w:r w:rsidRPr="002170E2">
              <w:rPr>
                <w:sz w:val="20"/>
                <w:szCs w:val="20"/>
              </w:rPr>
              <w:t>94.1</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029EE8DE" w14:textId="77777777" w:rsidR="0041333E" w:rsidRPr="002170E2" w:rsidRDefault="0041333E" w:rsidP="00642879">
            <w:pPr>
              <w:spacing w:after="0" w:line="240" w:lineRule="auto"/>
              <w:jc w:val="center"/>
              <w:rPr>
                <w:sz w:val="20"/>
                <w:szCs w:val="20"/>
              </w:rPr>
            </w:pPr>
            <w:r w:rsidRPr="002170E2">
              <w:rPr>
                <w:sz w:val="20"/>
                <w:szCs w:val="20"/>
              </w:rPr>
              <w:t>94.0</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25583F27" w14:textId="77777777" w:rsidR="0041333E" w:rsidRPr="002170E2" w:rsidRDefault="0041333E" w:rsidP="00642879">
            <w:pPr>
              <w:spacing w:after="0" w:line="240" w:lineRule="auto"/>
              <w:jc w:val="center"/>
              <w:rPr>
                <w:sz w:val="20"/>
                <w:szCs w:val="20"/>
              </w:rPr>
            </w:pPr>
            <w:r w:rsidRPr="002170E2">
              <w:rPr>
                <w:sz w:val="20"/>
                <w:szCs w:val="20"/>
              </w:rPr>
              <w:t>93.8</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457B7EFB" w14:textId="77777777" w:rsidR="0041333E" w:rsidRPr="002170E2" w:rsidRDefault="0041333E" w:rsidP="00642879">
            <w:pPr>
              <w:spacing w:after="0" w:line="240" w:lineRule="auto"/>
              <w:jc w:val="center"/>
              <w:rPr>
                <w:sz w:val="20"/>
                <w:szCs w:val="20"/>
              </w:rPr>
            </w:pPr>
            <w:r w:rsidRPr="002170E2">
              <w:rPr>
                <w:sz w:val="20"/>
                <w:szCs w:val="20"/>
              </w:rPr>
              <w:t>93.4</w:t>
            </w:r>
          </w:p>
        </w:tc>
        <w:tc>
          <w:tcPr>
            <w:tcW w:w="1003" w:type="dxa"/>
            <w:tcBorders>
              <w:top w:val="nil"/>
              <w:left w:val="nil"/>
              <w:bottom w:val="single" w:sz="8" w:space="0" w:color="auto"/>
              <w:right w:val="single" w:sz="8" w:space="0" w:color="auto"/>
            </w:tcBorders>
            <w:shd w:val="clear" w:color="auto" w:fill="D9D9D9" w:themeFill="background1" w:themeFillShade="D9"/>
            <w:vAlign w:val="center"/>
          </w:tcPr>
          <w:p w14:paraId="2DC33C6D" w14:textId="77777777" w:rsidR="0041333E" w:rsidRPr="002170E2" w:rsidRDefault="0041333E" w:rsidP="00642879">
            <w:pPr>
              <w:spacing w:after="0" w:line="240" w:lineRule="auto"/>
              <w:jc w:val="center"/>
              <w:rPr>
                <w:sz w:val="20"/>
                <w:szCs w:val="20"/>
              </w:rPr>
            </w:pPr>
            <w:r w:rsidRPr="002170E2">
              <w:rPr>
                <w:sz w:val="20"/>
                <w:szCs w:val="20"/>
              </w:rPr>
              <w:t>-0.7</w:t>
            </w:r>
          </w:p>
        </w:tc>
        <w:tc>
          <w:tcPr>
            <w:tcW w:w="1003" w:type="dxa"/>
            <w:tcBorders>
              <w:bottom w:val="single" w:sz="4" w:space="0" w:color="auto"/>
              <w:right w:val="single" w:sz="4" w:space="0" w:color="auto"/>
            </w:tcBorders>
            <w:shd w:val="clear" w:color="auto" w:fill="D9D9D9" w:themeFill="background1" w:themeFillShade="D9"/>
            <w:vAlign w:val="center"/>
          </w:tcPr>
          <w:p w14:paraId="35F1E1E3" w14:textId="77777777" w:rsidR="0041333E" w:rsidRPr="002170E2" w:rsidRDefault="0041333E" w:rsidP="00642879">
            <w:pPr>
              <w:spacing w:after="0" w:line="240" w:lineRule="auto"/>
              <w:jc w:val="center"/>
              <w:rPr>
                <w:sz w:val="20"/>
                <w:szCs w:val="20"/>
              </w:rPr>
            </w:pPr>
            <w:r w:rsidRPr="002170E2">
              <w:rPr>
                <w:sz w:val="20"/>
                <w:szCs w:val="20"/>
              </w:rPr>
              <w:t>93.0</w:t>
            </w:r>
          </w:p>
        </w:tc>
      </w:tr>
      <w:tr w:rsidR="0041333E" w:rsidRPr="00380233" w14:paraId="3FEF9692" w14:textId="77777777" w:rsidTr="00642879">
        <w:trPr>
          <w:trHeight w:val="288"/>
        </w:trPr>
        <w:tc>
          <w:tcPr>
            <w:tcW w:w="1980" w:type="dxa"/>
            <w:tcBorders>
              <w:left w:val="single" w:sz="4" w:space="0" w:color="auto"/>
              <w:bottom w:val="single" w:sz="4" w:space="0" w:color="auto"/>
            </w:tcBorders>
            <w:shd w:val="clear" w:color="auto" w:fill="auto"/>
            <w:vAlign w:val="center"/>
          </w:tcPr>
          <w:p w14:paraId="3C399B19" w14:textId="1892BA12" w:rsidR="0041333E" w:rsidRDefault="0041333E" w:rsidP="00E22258">
            <w:pPr>
              <w:spacing w:after="0" w:line="240" w:lineRule="auto"/>
              <w:rPr>
                <w:rFonts w:ascii="Calibri" w:hAnsi="Calibri"/>
                <w:color w:val="000000"/>
                <w:sz w:val="18"/>
                <w:szCs w:val="18"/>
              </w:rPr>
            </w:pPr>
            <w:r w:rsidRPr="00E22258">
              <w:rPr>
                <w:rFonts w:ascii="Calibri" w:hAnsi="Calibri"/>
                <w:color w:val="000000"/>
                <w:sz w:val="20"/>
                <w:szCs w:val="20"/>
              </w:rPr>
              <w:t>African American</w:t>
            </w:r>
          </w:p>
        </w:tc>
        <w:tc>
          <w:tcPr>
            <w:tcW w:w="1002" w:type="dxa"/>
            <w:tcBorders>
              <w:top w:val="nil"/>
              <w:left w:val="single" w:sz="4" w:space="0" w:color="auto"/>
              <w:bottom w:val="single" w:sz="4" w:space="0" w:color="auto"/>
              <w:right w:val="single" w:sz="4" w:space="0" w:color="auto"/>
            </w:tcBorders>
            <w:shd w:val="clear" w:color="auto" w:fill="auto"/>
            <w:vAlign w:val="center"/>
          </w:tcPr>
          <w:p w14:paraId="08FFCFA6" w14:textId="77777777" w:rsidR="0041333E" w:rsidRPr="002170E2" w:rsidRDefault="0041333E" w:rsidP="00642879">
            <w:pPr>
              <w:spacing w:after="0" w:line="240" w:lineRule="auto"/>
              <w:jc w:val="center"/>
              <w:rPr>
                <w:sz w:val="20"/>
                <w:szCs w:val="20"/>
              </w:rPr>
            </w:pPr>
            <w:r w:rsidRPr="002170E2">
              <w:rPr>
                <w:sz w:val="20"/>
                <w:szCs w:val="20"/>
              </w:rPr>
              <w:t>89</w:t>
            </w:r>
          </w:p>
        </w:tc>
        <w:tc>
          <w:tcPr>
            <w:tcW w:w="1003" w:type="dxa"/>
            <w:tcBorders>
              <w:top w:val="nil"/>
              <w:left w:val="nil"/>
              <w:bottom w:val="single" w:sz="4" w:space="0" w:color="auto"/>
              <w:right w:val="single" w:sz="4" w:space="0" w:color="auto"/>
            </w:tcBorders>
            <w:shd w:val="clear" w:color="auto" w:fill="auto"/>
            <w:vAlign w:val="center"/>
          </w:tcPr>
          <w:p w14:paraId="58CDC44E" w14:textId="77777777" w:rsidR="0041333E" w:rsidRPr="002170E2" w:rsidRDefault="0041333E" w:rsidP="00642879">
            <w:pPr>
              <w:spacing w:after="0" w:line="240" w:lineRule="auto"/>
              <w:jc w:val="center"/>
              <w:rPr>
                <w:sz w:val="20"/>
                <w:szCs w:val="20"/>
              </w:rPr>
            </w:pPr>
            <w:r w:rsidRPr="002170E2">
              <w:rPr>
                <w:sz w:val="20"/>
                <w:szCs w:val="20"/>
              </w:rPr>
              <w:t>95.1</w:t>
            </w:r>
          </w:p>
        </w:tc>
        <w:tc>
          <w:tcPr>
            <w:tcW w:w="1003" w:type="dxa"/>
            <w:tcBorders>
              <w:top w:val="nil"/>
              <w:left w:val="nil"/>
              <w:bottom w:val="single" w:sz="4" w:space="0" w:color="auto"/>
              <w:right w:val="single" w:sz="4" w:space="0" w:color="auto"/>
            </w:tcBorders>
            <w:shd w:val="clear" w:color="auto" w:fill="auto"/>
            <w:vAlign w:val="center"/>
          </w:tcPr>
          <w:p w14:paraId="68F0DC98" w14:textId="77777777" w:rsidR="0041333E" w:rsidRPr="002170E2" w:rsidRDefault="0041333E" w:rsidP="00642879">
            <w:pPr>
              <w:spacing w:after="0" w:line="240" w:lineRule="auto"/>
              <w:jc w:val="center"/>
              <w:rPr>
                <w:sz w:val="20"/>
                <w:szCs w:val="20"/>
              </w:rPr>
            </w:pPr>
            <w:r w:rsidRPr="002170E2">
              <w:rPr>
                <w:sz w:val="20"/>
                <w:szCs w:val="20"/>
              </w:rPr>
              <w:t>95.1</w:t>
            </w:r>
          </w:p>
        </w:tc>
        <w:tc>
          <w:tcPr>
            <w:tcW w:w="1003" w:type="dxa"/>
            <w:tcBorders>
              <w:top w:val="nil"/>
              <w:left w:val="nil"/>
              <w:bottom w:val="single" w:sz="4" w:space="0" w:color="auto"/>
              <w:right w:val="single" w:sz="4" w:space="0" w:color="auto"/>
            </w:tcBorders>
            <w:shd w:val="clear" w:color="auto" w:fill="auto"/>
            <w:vAlign w:val="center"/>
          </w:tcPr>
          <w:p w14:paraId="7B4BA183" w14:textId="77777777" w:rsidR="0041333E" w:rsidRPr="002170E2" w:rsidRDefault="0041333E" w:rsidP="00642879">
            <w:pPr>
              <w:spacing w:after="0" w:line="240" w:lineRule="auto"/>
              <w:jc w:val="center"/>
              <w:rPr>
                <w:sz w:val="20"/>
                <w:szCs w:val="20"/>
              </w:rPr>
            </w:pPr>
            <w:r w:rsidRPr="002170E2">
              <w:rPr>
                <w:sz w:val="20"/>
                <w:szCs w:val="20"/>
              </w:rPr>
              <w:t>94.9</w:t>
            </w:r>
          </w:p>
        </w:tc>
        <w:tc>
          <w:tcPr>
            <w:tcW w:w="1003" w:type="dxa"/>
            <w:tcBorders>
              <w:top w:val="nil"/>
              <w:left w:val="nil"/>
              <w:bottom w:val="single" w:sz="4" w:space="0" w:color="auto"/>
              <w:right w:val="single" w:sz="4" w:space="0" w:color="auto"/>
            </w:tcBorders>
            <w:shd w:val="clear" w:color="auto" w:fill="auto"/>
            <w:vAlign w:val="center"/>
          </w:tcPr>
          <w:p w14:paraId="1F8006D1" w14:textId="77777777" w:rsidR="0041333E" w:rsidRPr="002170E2" w:rsidRDefault="0041333E" w:rsidP="00642879">
            <w:pPr>
              <w:spacing w:after="0" w:line="240" w:lineRule="auto"/>
              <w:jc w:val="center"/>
              <w:rPr>
                <w:sz w:val="20"/>
                <w:szCs w:val="20"/>
              </w:rPr>
            </w:pPr>
            <w:r w:rsidRPr="002170E2">
              <w:rPr>
                <w:sz w:val="20"/>
                <w:szCs w:val="20"/>
              </w:rPr>
              <w:t>93.5</w:t>
            </w:r>
          </w:p>
        </w:tc>
        <w:tc>
          <w:tcPr>
            <w:tcW w:w="1003" w:type="dxa"/>
            <w:tcBorders>
              <w:top w:val="nil"/>
              <w:left w:val="nil"/>
              <w:bottom w:val="single" w:sz="8" w:space="0" w:color="auto"/>
              <w:right w:val="single" w:sz="8" w:space="0" w:color="auto"/>
            </w:tcBorders>
            <w:shd w:val="clear" w:color="auto" w:fill="auto"/>
            <w:vAlign w:val="center"/>
          </w:tcPr>
          <w:p w14:paraId="0D924CE1" w14:textId="77777777" w:rsidR="0041333E" w:rsidRPr="002170E2" w:rsidRDefault="0041333E" w:rsidP="00642879">
            <w:pPr>
              <w:spacing w:after="0" w:line="240" w:lineRule="auto"/>
              <w:jc w:val="center"/>
              <w:rPr>
                <w:sz w:val="20"/>
                <w:szCs w:val="20"/>
              </w:rPr>
            </w:pPr>
            <w:r w:rsidRPr="002170E2">
              <w:rPr>
                <w:sz w:val="20"/>
                <w:szCs w:val="20"/>
              </w:rPr>
              <w:t>-1.6</w:t>
            </w:r>
          </w:p>
        </w:tc>
        <w:tc>
          <w:tcPr>
            <w:tcW w:w="1003" w:type="dxa"/>
            <w:tcBorders>
              <w:bottom w:val="single" w:sz="4" w:space="0" w:color="auto"/>
              <w:right w:val="single" w:sz="4" w:space="0" w:color="auto"/>
            </w:tcBorders>
            <w:shd w:val="clear" w:color="auto" w:fill="auto"/>
            <w:vAlign w:val="center"/>
          </w:tcPr>
          <w:p w14:paraId="409C1C1F" w14:textId="77777777" w:rsidR="0041333E" w:rsidRPr="002170E2" w:rsidRDefault="0041333E" w:rsidP="00642879">
            <w:pPr>
              <w:spacing w:after="0" w:line="240" w:lineRule="auto"/>
              <w:jc w:val="center"/>
              <w:rPr>
                <w:sz w:val="20"/>
                <w:szCs w:val="20"/>
              </w:rPr>
            </w:pPr>
            <w:r w:rsidRPr="002170E2">
              <w:rPr>
                <w:sz w:val="20"/>
                <w:szCs w:val="20"/>
              </w:rPr>
              <w:t>94.0</w:t>
            </w:r>
          </w:p>
        </w:tc>
      </w:tr>
      <w:tr w:rsidR="0041333E" w:rsidRPr="00380233" w14:paraId="385FE026" w14:textId="77777777" w:rsidTr="00642879">
        <w:trPr>
          <w:trHeight w:val="288"/>
        </w:trPr>
        <w:tc>
          <w:tcPr>
            <w:tcW w:w="1980" w:type="dxa"/>
            <w:tcBorders>
              <w:left w:val="single" w:sz="4" w:space="0" w:color="auto"/>
              <w:bottom w:val="single" w:sz="4" w:space="0" w:color="auto"/>
            </w:tcBorders>
            <w:shd w:val="clear" w:color="auto" w:fill="D9D9D9" w:themeFill="background1" w:themeFillShade="D9"/>
            <w:vAlign w:val="center"/>
          </w:tcPr>
          <w:p w14:paraId="6570398D" w14:textId="77777777" w:rsidR="0041333E" w:rsidRDefault="0041333E" w:rsidP="00E22258">
            <w:pPr>
              <w:spacing w:after="0" w:line="240" w:lineRule="auto"/>
              <w:rPr>
                <w:rFonts w:ascii="Calibri" w:hAnsi="Calibri"/>
                <w:color w:val="000000"/>
                <w:sz w:val="20"/>
                <w:szCs w:val="20"/>
              </w:rPr>
            </w:pPr>
            <w:r>
              <w:rPr>
                <w:rFonts w:ascii="Calibri" w:hAnsi="Calibri"/>
                <w:color w:val="000000"/>
                <w:sz w:val="20"/>
                <w:szCs w:val="20"/>
              </w:rPr>
              <w:t>Asian</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1D5CC040" w14:textId="77777777" w:rsidR="0041333E" w:rsidRPr="002170E2" w:rsidRDefault="0041333E" w:rsidP="00642879">
            <w:pPr>
              <w:spacing w:after="0" w:line="240" w:lineRule="auto"/>
              <w:jc w:val="center"/>
              <w:rPr>
                <w:sz w:val="20"/>
                <w:szCs w:val="20"/>
              </w:rPr>
            </w:pPr>
            <w:r w:rsidRPr="002170E2">
              <w:rPr>
                <w:sz w:val="20"/>
                <w:szCs w:val="20"/>
              </w:rPr>
              <w:t>118</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0A480B8E" w14:textId="77777777" w:rsidR="0041333E" w:rsidRPr="002170E2" w:rsidRDefault="0041333E" w:rsidP="00642879">
            <w:pPr>
              <w:spacing w:after="0" w:line="240" w:lineRule="auto"/>
              <w:jc w:val="center"/>
              <w:rPr>
                <w:sz w:val="20"/>
                <w:szCs w:val="20"/>
              </w:rPr>
            </w:pPr>
            <w:r w:rsidRPr="002170E2">
              <w:rPr>
                <w:sz w:val="20"/>
                <w:szCs w:val="20"/>
              </w:rPr>
              <w:t>97.2</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08EFF1D3" w14:textId="77777777" w:rsidR="0041333E" w:rsidRPr="002170E2" w:rsidRDefault="0041333E" w:rsidP="00642879">
            <w:pPr>
              <w:spacing w:after="0" w:line="240" w:lineRule="auto"/>
              <w:jc w:val="center"/>
              <w:rPr>
                <w:sz w:val="20"/>
                <w:szCs w:val="20"/>
              </w:rPr>
            </w:pPr>
            <w:r w:rsidRPr="002170E2">
              <w:rPr>
                <w:sz w:val="20"/>
                <w:szCs w:val="20"/>
              </w:rPr>
              <w:t>96.1</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781CD7B5" w14:textId="77777777" w:rsidR="0041333E" w:rsidRPr="002170E2" w:rsidRDefault="0041333E" w:rsidP="00642879">
            <w:pPr>
              <w:spacing w:after="0" w:line="240" w:lineRule="auto"/>
              <w:jc w:val="center"/>
              <w:rPr>
                <w:sz w:val="20"/>
                <w:szCs w:val="20"/>
              </w:rPr>
            </w:pPr>
            <w:r w:rsidRPr="002170E2">
              <w:rPr>
                <w:sz w:val="20"/>
                <w:szCs w:val="20"/>
              </w:rPr>
              <w:t>96.2</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058C3378" w14:textId="77777777" w:rsidR="0041333E" w:rsidRPr="002170E2" w:rsidRDefault="0041333E" w:rsidP="00642879">
            <w:pPr>
              <w:spacing w:after="0" w:line="240" w:lineRule="auto"/>
              <w:jc w:val="center"/>
              <w:rPr>
                <w:sz w:val="20"/>
                <w:szCs w:val="20"/>
              </w:rPr>
            </w:pPr>
            <w:r w:rsidRPr="002170E2">
              <w:rPr>
                <w:sz w:val="20"/>
                <w:szCs w:val="20"/>
              </w:rPr>
              <w:t>95.8</w:t>
            </w:r>
          </w:p>
        </w:tc>
        <w:tc>
          <w:tcPr>
            <w:tcW w:w="1003" w:type="dxa"/>
            <w:tcBorders>
              <w:top w:val="nil"/>
              <w:left w:val="nil"/>
              <w:bottom w:val="single" w:sz="8" w:space="0" w:color="auto"/>
              <w:right w:val="single" w:sz="8" w:space="0" w:color="auto"/>
            </w:tcBorders>
            <w:shd w:val="clear" w:color="auto" w:fill="D9D9D9" w:themeFill="background1" w:themeFillShade="D9"/>
            <w:vAlign w:val="center"/>
          </w:tcPr>
          <w:p w14:paraId="6E9F27AE" w14:textId="77777777" w:rsidR="0041333E" w:rsidRPr="002170E2" w:rsidRDefault="0041333E" w:rsidP="00642879">
            <w:pPr>
              <w:spacing w:after="0" w:line="240" w:lineRule="auto"/>
              <w:jc w:val="center"/>
              <w:rPr>
                <w:sz w:val="20"/>
                <w:szCs w:val="20"/>
              </w:rPr>
            </w:pPr>
            <w:r w:rsidRPr="002170E2">
              <w:rPr>
                <w:sz w:val="20"/>
                <w:szCs w:val="20"/>
              </w:rPr>
              <w:t>-1.4</w:t>
            </w:r>
          </w:p>
        </w:tc>
        <w:tc>
          <w:tcPr>
            <w:tcW w:w="1003" w:type="dxa"/>
            <w:tcBorders>
              <w:bottom w:val="single" w:sz="4" w:space="0" w:color="auto"/>
              <w:right w:val="single" w:sz="4" w:space="0" w:color="auto"/>
            </w:tcBorders>
            <w:shd w:val="clear" w:color="auto" w:fill="D9D9D9" w:themeFill="background1" w:themeFillShade="D9"/>
            <w:vAlign w:val="center"/>
          </w:tcPr>
          <w:p w14:paraId="6AC23B0A" w14:textId="77777777" w:rsidR="0041333E" w:rsidRPr="002170E2" w:rsidRDefault="0041333E" w:rsidP="00642879">
            <w:pPr>
              <w:spacing w:after="0" w:line="240" w:lineRule="auto"/>
              <w:jc w:val="center"/>
              <w:rPr>
                <w:sz w:val="20"/>
                <w:szCs w:val="20"/>
              </w:rPr>
            </w:pPr>
            <w:r w:rsidRPr="002170E2">
              <w:rPr>
                <w:sz w:val="20"/>
                <w:szCs w:val="20"/>
              </w:rPr>
              <w:t>96.3</w:t>
            </w:r>
          </w:p>
        </w:tc>
      </w:tr>
      <w:tr w:rsidR="0041333E" w:rsidRPr="00380233" w14:paraId="7E9F7DE2" w14:textId="77777777" w:rsidTr="00642879">
        <w:trPr>
          <w:trHeight w:val="288"/>
        </w:trPr>
        <w:tc>
          <w:tcPr>
            <w:tcW w:w="1980" w:type="dxa"/>
            <w:tcBorders>
              <w:left w:val="single" w:sz="4" w:space="0" w:color="auto"/>
              <w:bottom w:val="single" w:sz="4" w:space="0" w:color="auto"/>
            </w:tcBorders>
            <w:shd w:val="clear" w:color="auto" w:fill="auto"/>
            <w:vAlign w:val="center"/>
          </w:tcPr>
          <w:p w14:paraId="5126F2C3" w14:textId="77777777" w:rsidR="0041333E" w:rsidRDefault="0041333E" w:rsidP="00E22258">
            <w:pPr>
              <w:spacing w:after="0" w:line="240" w:lineRule="auto"/>
              <w:rPr>
                <w:rFonts w:ascii="Calibri" w:hAnsi="Calibri"/>
                <w:color w:val="000000"/>
                <w:sz w:val="20"/>
                <w:szCs w:val="20"/>
              </w:rPr>
            </w:pPr>
            <w:r>
              <w:rPr>
                <w:rFonts w:ascii="Calibri" w:hAnsi="Calibri"/>
                <w:color w:val="000000"/>
                <w:sz w:val="20"/>
                <w:szCs w:val="20"/>
              </w:rPr>
              <w:t>Hispanic or Latino</w:t>
            </w:r>
          </w:p>
        </w:tc>
        <w:tc>
          <w:tcPr>
            <w:tcW w:w="1002" w:type="dxa"/>
            <w:tcBorders>
              <w:top w:val="nil"/>
              <w:left w:val="single" w:sz="4" w:space="0" w:color="auto"/>
              <w:bottom w:val="single" w:sz="4" w:space="0" w:color="auto"/>
              <w:right w:val="single" w:sz="4" w:space="0" w:color="auto"/>
            </w:tcBorders>
            <w:shd w:val="clear" w:color="auto" w:fill="auto"/>
            <w:vAlign w:val="center"/>
          </w:tcPr>
          <w:p w14:paraId="5E3BFE53" w14:textId="77777777" w:rsidR="0041333E" w:rsidRPr="002170E2" w:rsidRDefault="0041333E" w:rsidP="00642879">
            <w:pPr>
              <w:spacing w:after="0" w:line="240" w:lineRule="auto"/>
              <w:jc w:val="center"/>
              <w:rPr>
                <w:sz w:val="20"/>
                <w:szCs w:val="20"/>
              </w:rPr>
            </w:pPr>
            <w:r w:rsidRPr="002170E2">
              <w:rPr>
                <w:sz w:val="20"/>
                <w:szCs w:val="20"/>
              </w:rPr>
              <w:t>204</w:t>
            </w:r>
          </w:p>
        </w:tc>
        <w:tc>
          <w:tcPr>
            <w:tcW w:w="1003" w:type="dxa"/>
            <w:tcBorders>
              <w:top w:val="nil"/>
              <w:left w:val="nil"/>
              <w:bottom w:val="single" w:sz="4" w:space="0" w:color="auto"/>
              <w:right w:val="single" w:sz="4" w:space="0" w:color="auto"/>
            </w:tcBorders>
            <w:shd w:val="clear" w:color="auto" w:fill="auto"/>
            <w:vAlign w:val="center"/>
          </w:tcPr>
          <w:p w14:paraId="3E98AE0A" w14:textId="77777777" w:rsidR="0041333E" w:rsidRPr="002170E2" w:rsidRDefault="0041333E" w:rsidP="00642879">
            <w:pPr>
              <w:spacing w:after="0" w:line="240" w:lineRule="auto"/>
              <w:jc w:val="center"/>
              <w:rPr>
                <w:sz w:val="20"/>
                <w:szCs w:val="20"/>
              </w:rPr>
            </w:pPr>
            <w:r w:rsidRPr="002170E2">
              <w:rPr>
                <w:sz w:val="20"/>
                <w:szCs w:val="20"/>
              </w:rPr>
              <w:t>95.7</w:t>
            </w:r>
          </w:p>
        </w:tc>
        <w:tc>
          <w:tcPr>
            <w:tcW w:w="1003" w:type="dxa"/>
            <w:tcBorders>
              <w:top w:val="nil"/>
              <w:left w:val="nil"/>
              <w:bottom w:val="single" w:sz="4" w:space="0" w:color="auto"/>
              <w:right w:val="single" w:sz="4" w:space="0" w:color="auto"/>
            </w:tcBorders>
            <w:shd w:val="clear" w:color="auto" w:fill="auto"/>
            <w:vAlign w:val="center"/>
          </w:tcPr>
          <w:p w14:paraId="02598117" w14:textId="77777777" w:rsidR="0041333E" w:rsidRPr="002170E2" w:rsidRDefault="0041333E" w:rsidP="00642879">
            <w:pPr>
              <w:spacing w:after="0" w:line="240" w:lineRule="auto"/>
              <w:jc w:val="center"/>
              <w:rPr>
                <w:sz w:val="20"/>
                <w:szCs w:val="20"/>
              </w:rPr>
            </w:pPr>
            <w:r w:rsidRPr="002170E2">
              <w:rPr>
                <w:sz w:val="20"/>
                <w:szCs w:val="20"/>
              </w:rPr>
              <w:t>94.6</w:t>
            </w:r>
          </w:p>
        </w:tc>
        <w:tc>
          <w:tcPr>
            <w:tcW w:w="1003" w:type="dxa"/>
            <w:tcBorders>
              <w:top w:val="nil"/>
              <w:left w:val="nil"/>
              <w:bottom w:val="single" w:sz="4" w:space="0" w:color="auto"/>
              <w:right w:val="single" w:sz="4" w:space="0" w:color="auto"/>
            </w:tcBorders>
            <w:shd w:val="clear" w:color="auto" w:fill="auto"/>
            <w:vAlign w:val="center"/>
          </w:tcPr>
          <w:p w14:paraId="3EB9FF76" w14:textId="77777777" w:rsidR="0041333E" w:rsidRPr="002170E2" w:rsidRDefault="0041333E" w:rsidP="00642879">
            <w:pPr>
              <w:spacing w:after="0" w:line="240" w:lineRule="auto"/>
              <w:jc w:val="center"/>
              <w:rPr>
                <w:sz w:val="20"/>
                <w:szCs w:val="20"/>
              </w:rPr>
            </w:pPr>
            <w:r w:rsidRPr="002170E2">
              <w:rPr>
                <w:sz w:val="20"/>
                <w:szCs w:val="20"/>
              </w:rPr>
              <w:t>94.6</w:t>
            </w:r>
          </w:p>
        </w:tc>
        <w:tc>
          <w:tcPr>
            <w:tcW w:w="1003" w:type="dxa"/>
            <w:tcBorders>
              <w:top w:val="nil"/>
              <w:left w:val="nil"/>
              <w:bottom w:val="single" w:sz="4" w:space="0" w:color="auto"/>
              <w:right w:val="single" w:sz="4" w:space="0" w:color="auto"/>
            </w:tcBorders>
            <w:shd w:val="clear" w:color="auto" w:fill="auto"/>
            <w:vAlign w:val="center"/>
          </w:tcPr>
          <w:p w14:paraId="008A1CE0" w14:textId="77777777" w:rsidR="0041333E" w:rsidRPr="002170E2" w:rsidRDefault="0041333E" w:rsidP="00642879">
            <w:pPr>
              <w:spacing w:after="0" w:line="240" w:lineRule="auto"/>
              <w:jc w:val="center"/>
              <w:rPr>
                <w:sz w:val="20"/>
                <w:szCs w:val="20"/>
              </w:rPr>
            </w:pPr>
            <w:r w:rsidRPr="002170E2">
              <w:rPr>
                <w:sz w:val="20"/>
                <w:szCs w:val="20"/>
              </w:rPr>
              <w:t>94.5</w:t>
            </w:r>
          </w:p>
        </w:tc>
        <w:tc>
          <w:tcPr>
            <w:tcW w:w="1003" w:type="dxa"/>
            <w:tcBorders>
              <w:top w:val="nil"/>
              <w:left w:val="nil"/>
              <w:bottom w:val="single" w:sz="8" w:space="0" w:color="auto"/>
              <w:right w:val="single" w:sz="8" w:space="0" w:color="auto"/>
            </w:tcBorders>
            <w:shd w:val="clear" w:color="auto" w:fill="auto"/>
            <w:vAlign w:val="center"/>
          </w:tcPr>
          <w:p w14:paraId="4D828109" w14:textId="77777777" w:rsidR="0041333E" w:rsidRPr="002170E2" w:rsidRDefault="0041333E" w:rsidP="00642879">
            <w:pPr>
              <w:spacing w:after="0" w:line="240" w:lineRule="auto"/>
              <w:jc w:val="center"/>
              <w:rPr>
                <w:sz w:val="20"/>
                <w:szCs w:val="20"/>
              </w:rPr>
            </w:pPr>
            <w:r w:rsidRPr="002170E2">
              <w:rPr>
                <w:sz w:val="20"/>
                <w:szCs w:val="20"/>
              </w:rPr>
              <w:t>-1.2</w:t>
            </w:r>
          </w:p>
        </w:tc>
        <w:tc>
          <w:tcPr>
            <w:tcW w:w="1003" w:type="dxa"/>
            <w:tcBorders>
              <w:bottom w:val="single" w:sz="4" w:space="0" w:color="auto"/>
              <w:right w:val="single" w:sz="4" w:space="0" w:color="auto"/>
            </w:tcBorders>
            <w:shd w:val="clear" w:color="auto" w:fill="auto"/>
            <w:vAlign w:val="center"/>
          </w:tcPr>
          <w:p w14:paraId="229D10F0" w14:textId="77777777" w:rsidR="0041333E" w:rsidRPr="002170E2" w:rsidRDefault="0041333E" w:rsidP="00642879">
            <w:pPr>
              <w:spacing w:after="0" w:line="240" w:lineRule="auto"/>
              <w:jc w:val="center"/>
              <w:rPr>
                <w:sz w:val="20"/>
                <w:szCs w:val="20"/>
              </w:rPr>
            </w:pPr>
            <w:r w:rsidRPr="002170E2">
              <w:rPr>
                <w:sz w:val="20"/>
                <w:szCs w:val="20"/>
              </w:rPr>
              <w:t>92.8</w:t>
            </w:r>
          </w:p>
        </w:tc>
      </w:tr>
      <w:tr w:rsidR="0041333E" w:rsidRPr="00380233" w14:paraId="10E1AFF2" w14:textId="77777777" w:rsidTr="00642879">
        <w:trPr>
          <w:trHeight w:val="288"/>
        </w:trPr>
        <w:tc>
          <w:tcPr>
            <w:tcW w:w="1980" w:type="dxa"/>
            <w:tcBorders>
              <w:left w:val="single" w:sz="4" w:space="0" w:color="auto"/>
              <w:bottom w:val="single" w:sz="4" w:space="0" w:color="auto"/>
            </w:tcBorders>
            <w:shd w:val="clear" w:color="auto" w:fill="D9D9D9" w:themeFill="background1" w:themeFillShade="D9"/>
            <w:vAlign w:val="center"/>
          </w:tcPr>
          <w:p w14:paraId="47AD37DE" w14:textId="77777777" w:rsidR="0041333E" w:rsidRDefault="0041333E" w:rsidP="00E22258">
            <w:pPr>
              <w:spacing w:after="0" w:line="240" w:lineRule="auto"/>
              <w:rPr>
                <w:rFonts w:ascii="Calibri" w:hAnsi="Calibri"/>
                <w:color w:val="000000"/>
                <w:sz w:val="20"/>
                <w:szCs w:val="20"/>
              </w:rPr>
            </w:pPr>
            <w:r>
              <w:rPr>
                <w:rFonts w:ascii="Calibri" w:hAnsi="Calibri"/>
                <w:color w:val="000000"/>
                <w:sz w:val="20"/>
                <w:szCs w:val="20"/>
              </w:rPr>
              <w:t>Multi-Race</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5B4527B9" w14:textId="77777777" w:rsidR="0041333E" w:rsidRPr="002170E2" w:rsidRDefault="0041333E" w:rsidP="00642879">
            <w:pPr>
              <w:spacing w:after="0" w:line="240" w:lineRule="auto"/>
              <w:jc w:val="center"/>
              <w:rPr>
                <w:sz w:val="20"/>
                <w:szCs w:val="20"/>
              </w:rPr>
            </w:pPr>
            <w:r w:rsidRPr="002170E2">
              <w:rPr>
                <w:sz w:val="20"/>
                <w:szCs w:val="20"/>
              </w:rPr>
              <w:t>100</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0711C984" w14:textId="77777777" w:rsidR="0041333E" w:rsidRPr="002170E2" w:rsidRDefault="0041333E" w:rsidP="00642879">
            <w:pPr>
              <w:spacing w:after="0" w:line="240" w:lineRule="auto"/>
              <w:jc w:val="center"/>
              <w:rPr>
                <w:sz w:val="20"/>
                <w:szCs w:val="20"/>
              </w:rPr>
            </w:pPr>
            <w:r w:rsidRPr="002170E2">
              <w:rPr>
                <w:sz w:val="20"/>
                <w:szCs w:val="20"/>
              </w:rPr>
              <w:t>96.1</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506C703E" w14:textId="77777777" w:rsidR="0041333E" w:rsidRPr="002170E2" w:rsidRDefault="0041333E" w:rsidP="00642879">
            <w:pPr>
              <w:spacing w:after="0" w:line="240" w:lineRule="auto"/>
              <w:jc w:val="center"/>
              <w:rPr>
                <w:sz w:val="20"/>
                <w:szCs w:val="20"/>
              </w:rPr>
            </w:pPr>
            <w:r w:rsidRPr="002170E2">
              <w:rPr>
                <w:sz w:val="20"/>
                <w:szCs w:val="20"/>
              </w:rPr>
              <w:t>95.6</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6B1AE991" w14:textId="77777777" w:rsidR="0041333E" w:rsidRPr="002170E2" w:rsidRDefault="0041333E" w:rsidP="00642879">
            <w:pPr>
              <w:spacing w:after="0" w:line="240" w:lineRule="auto"/>
              <w:jc w:val="center"/>
              <w:rPr>
                <w:sz w:val="20"/>
                <w:szCs w:val="20"/>
              </w:rPr>
            </w:pPr>
            <w:r w:rsidRPr="002170E2">
              <w:rPr>
                <w:sz w:val="20"/>
                <w:szCs w:val="20"/>
              </w:rPr>
              <w:t>96.1</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027F40DD" w14:textId="77777777" w:rsidR="0041333E" w:rsidRPr="002170E2" w:rsidRDefault="0041333E" w:rsidP="00642879">
            <w:pPr>
              <w:spacing w:after="0" w:line="240" w:lineRule="auto"/>
              <w:jc w:val="center"/>
              <w:rPr>
                <w:sz w:val="20"/>
                <w:szCs w:val="20"/>
              </w:rPr>
            </w:pPr>
            <w:r w:rsidRPr="002170E2">
              <w:rPr>
                <w:sz w:val="20"/>
                <w:szCs w:val="20"/>
              </w:rPr>
              <w:t>95.7</w:t>
            </w:r>
          </w:p>
        </w:tc>
        <w:tc>
          <w:tcPr>
            <w:tcW w:w="1003" w:type="dxa"/>
            <w:tcBorders>
              <w:top w:val="nil"/>
              <w:left w:val="nil"/>
              <w:bottom w:val="single" w:sz="8" w:space="0" w:color="auto"/>
              <w:right w:val="single" w:sz="8" w:space="0" w:color="auto"/>
            </w:tcBorders>
            <w:shd w:val="clear" w:color="auto" w:fill="D9D9D9" w:themeFill="background1" w:themeFillShade="D9"/>
            <w:vAlign w:val="center"/>
          </w:tcPr>
          <w:p w14:paraId="66E80206" w14:textId="77777777" w:rsidR="0041333E" w:rsidRPr="002170E2" w:rsidRDefault="0041333E" w:rsidP="00642879">
            <w:pPr>
              <w:spacing w:after="0" w:line="240" w:lineRule="auto"/>
              <w:jc w:val="center"/>
              <w:rPr>
                <w:sz w:val="20"/>
                <w:szCs w:val="20"/>
              </w:rPr>
            </w:pPr>
            <w:r w:rsidRPr="002170E2">
              <w:rPr>
                <w:sz w:val="20"/>
                <w:szCs w:val="20"/>
              </w:rPr>
              <w:t>-0.4</w:t>
            </w:r>
          </w:p>
        </w:tc>
        <w:tc>
          <w:tcPr>
            <w:tcW w:w="1003" w:type="dxa"/>
            <w:tcBorders>
              <w:bottom w:val="single" w:sz="4" w:space="0" w:color="auto"/>
              <w:right w:val="single" w:sz="4" w:space="0" w:color="auto"/>
            </w:tcBorders>
            <w:shd w:val="clear" w:color="auto" w:fill="D9D9D9" w:themeFill="background1" w:themeFillShade="D9"/>
            <w:vAlign w:val="center"/>
          </w:tcPr>
          <w:p w14:paraId="6DA292AC" w14:textId="77777777" w:rsidR="0041333E" w:rsidRPr="002170E2" w:rsidRDefault="0041333E" w:rsidP="00642879">
            <w:pPr>
              <w:spacing w:after="0" w:line="240" w:lineRule="auto"/>
              <w:jc w:val="center"/>
              <w:rPr>
                <w:sz w:val="20"/>
                <w:szCs w:val="20"/>
              </w:rPr>
            </w:pPr>
            <w:r w:rsidRPr="002170E2">
              <w:rPr>
                <w:sz w:val="20"/>
                <w:szCs w:val="20"/>
              </w:rPr>
              <w:t>94.5</w:t>
            </w:r>
          </w:p>
        </w:tc>
      </w:tr>
      <w:tr w:rsidR="0041333E" w:rsidRPr="00380233" w14:paraId="26625A54" w14:textId="77777777" w:rsidTr="00642879">
        <w:trPr>
          <w:trHeight w:val="288"/>
        </w:trPr>
        <w:tc>
          <w:tcPr>
            <w:tcW w:w="1980" w:type="dxa"/>
            <w:tcBorders>
              <w:left w:val="single" w:sz="4" w:space="0" w:color="auto"/>
              <w:bottom w:val="single" w:sz="4" w:space="0" w:color="auto"/>
            </w:tcBorders>
            <w:shd w:val="clear" w:color="auto" w:fill="auto"/>
            <w:vAlign w:val="center"/>
          </w:tcPr>
          <w:p w14:paraId="3D279A46" w14:textId="77777777" w:rsidR="0041333E" w:rsidRDefault="0041333E" w:rsidP="00E22258">
            <w:pPr>
              <w:spacing w:after="0" w:line="240" w:lineRule="auto"/>
              <w:rPr>
                <w:rFonts w:ascii="Calibri" w:hAnsi="Calibri"/>
                <w:color w:val="000000"/>
                <w:sz w:val="20"/>
                <w:szCs w:val="20"/>
              </w:rPr>
            </w:pPr>
            <w:r>
              <w:rPr>
                <w:rFonts w:ascii="Calibri" w:hAnsi="Calibri"/>
                <w:color w:val="000000"/>
                <w:sz w:val="20"/>
                <w:szCs w:val="20"/>
              </w:rPr>
              <w:t>White</w:t>
            </w:r>
          </w:p>
        </w:tc>
        <w:tc>
          <w:tcPr>
            <w:tcW w:w="1002" w:type="dxa"/>
            <w:tcBorders>
              <w:top w:val="nil"/>
              <w:left w:val="single" w:sz="4" w:space="0" w:color="auto"/>
              <w:bottom w:val="single" w:sz="4" w:space="0" w:color="auto"/>
              <w:right w:val="single" w:sz="4" w:space="0" w:color="auto"/>
            </w:tcBorders>
            <w:shd w:val="clear" w:color="auto" w:fill="auto"/>
            <w:vAlign w:val="center"/>
          </w:tcPr>
          <w:p w14:paraId="33565495" w14:textId="77777777" w:rsidR="0041333E" w:rsidRPr="002170E2" w:rsidRDefault="0041333E" w:rsidP="00642879">
            <w:pPr>
              <w:spacing w:after="0" w:line="240" w:lineRule="auto"/>
              <w:jc w:val="center"/>
              <w:rPr>
                <w:sz w:val="20"/>
                <w:szCs w:val="20"/>
              </w:rPr>
            </w:pPr>
            <w:r w:rsidRPr="002170E2">
              <w:rPr>
                <w:sz w:val="20"/>
                <w:szCs w:val="20"/>
              </w:rPr>
              <w:t>3,086</w:t>
            </w:r>
          </w:p>
        </w:tc>
        <w:tc>
          <w:tcPr>
            <w:tcW w:w="1003" w:type="dxa"/>
            <w:tcBorders>
              <w:top w:val="nil"/>
              <w:left w:val="nil"/>
              <w:bottom w:val="single" w:sz="4" w:space="0" w:color="auto"/>
              <w:right w:val="single" w:sz="4" w:space="0" w:color="auto"/>
            </w:tcBorders>
            <w:shd w:val="clear" w:color="auto" w:fill="auto"/>
            <w:vAlign w:val="center"/>
          </w:tcPr>
          <w:p w14:paraId="11F7BA37" w14:textId="77777777" w:rsidR="0041333E" w:rsidRPr="002170E2" w:rsidRDefault="0041333E" w:rsidP="00642879">
            <w:pPr>
              <w:spacing w:after="0" w:line="240" w:lineRule="auto"/>
              <w:jc w:val="center"/>
              <w:rPr>
                <w:sz w:val="20"/>
                <w:szCs w:val="20"/>
              </w:rPr>
            </w:pPr>
            <w:r w:rsidRPr="002170E2">
              <w:rPr>
                <w:sz w:val="20"/>
                <w:szCs w:val="20"/>
              </w:rPr>
              <w:t>95.9</w:t>
            </w:r>
          </w:p>
        </w:tc>
        <w:tc>
          <w:tcPr>
            <w:tcW w:w="1003" w:type="dxa"/>
            <w:tcBorders>
              <w:top w:val="nil"/>
              <w:left w:val="nil"/>
              <w:bottom w:val="single" w:sz="4" w:space="0" w:color="auto"/>
              <w:right w:val="single" w:sz="4" w:space="0" w:color="auto"/>
            </w:tcBorders>
            <w:shd w:val="clear" w:color="auto" w:fill="auto"/>
            <w:vAlign w:val="center"/>
          </w:tcPr>
          <w:p w14:paraId="67AF7A8A" w14:textId="77777777" w:rsidR="0041333E" w:rsidRPr="002170E2" w:rsidRDefault="0041333E" w:rsidP="00642879">
            <w:pPr>
              <w:spacing w:after="0" w:line="240" w:lineRule="auto"/>
              <w:jc w:val="center"/>
              <w:rPr>
                <w:sz w:val="20"/>
                <w:szCs w:val="20"/>
              </w:rPr>
            </w:pPr>
            <w:r w:rsidRPr="002170E2">
              <w:rPr>
                <w:sz w:val="20"/>
                <w:szCs w:val="20"/>
              </w:rPr>
              <w:t>95.5</w:t>
            </w:r>
          </w:p>
        </w:tc>
        <w:tc>
          <w:tcPr>
            <w:tcW w:w="1003" w:type="dxa"/>
            <w:tcBorders>
              <w:top w:val="nil"/>
              <w:left w:val="nil"/>
              <w:bottom w:val="single" w:sz="4" w:space="0" w:color="auto"/>
              <w:right w:val="single" w:sz="4" w:space="0" w:color="auto"/>
            </w:tcBorders>
            <w:shd w:val="clear" w:color="auto" w:fill="auto"/>
            <w:vAlign w:val="center"/>
          </w:tcPr>
          <w:p w14:paraId="51FCE091" w14:textId="77777777" w:rsidR="0041333E" w:rsidRPr="002170E2" w:rsidRDefault="0041333E" w:rsidP="00642879">
            <w:pPr>
              <w:spacing w:after="0" w:line="240" w:lineRule="auto"/>
              <w:jc w:val="center"/>
              <w:rPr>
                <w:sz w:val="20"/>
                <w:szCs w:val="20"/>
              </w:rPr>
            </w:pPr>
            <w:r w:rsidRPr="002170E2">
              <w:rPr>
                <w:sz w:val="20"/>
                <w:szCs w:val="20"/>
              </w:rPr>
              <w:t>95.4</w:t>
            </w:r>
          </w:p>
        </w:tc>
        <w:tc>
          <w:tcPr>
            <w:tcW w:w="1003" w:type="dxa"/>
            <w:tcBorders>
              <w:top w:val="nil"/>
              <w:left w:val="nil"/>
              <w:bottom w:val="single" w:sz="4" w:space="0" w:color="auto"/>
              <w:right w:val="single" w:sz="4" w:space="0" w:color="auto"/>
            </w:tcBorders>
            <w:shd w:val="clear" w:color="auto" w:fill="auto"/>
            <w:vAlign w:val="center"/>
          </w:tcPr>
          <w:p w14:paraId="6D3FEBBF" w14:textId="77777777" w:rsidR="0041333E" w:rsidRPr="002170E2" w:rsidRDefault="0041333E" w:rsidP="00642879">
            <w:pPr>
              <w:spacing w:after="0" w:line="240" w:lineRule="auto"/>
              <w:jc w:val="center"/>
              <w:rPr>
                <w:sz w:val="20"/>
                <w:szCs w:val="20"/>
              </w:rPr>
            </w:pPr>
            <w:r w:rsidRPr="002170E2">
              <w:rPr>
                <w:sz w:val="20"/>
                <w:szCs w:val="20"/>
              </w:rPr>
              <w:t>95.3</w:t>
            </w:r>
          </w:p>
        </w:tc>
        <w:tc>
          <w:tcPr>
            <w:tcW w:w="1003" w:type="dxa"/>
            <w:tcBorders>
              <w:top w:val="nil"/>
              <w:left w:val="nil"/>
              <w:bottom w:val="single" w:sz="8" w:space="0" w:color="auto"/>
              <w:right w:val="single" w:sz="8" w:space="0" w:color="auto"/>
            </w:tcBorders>
            <w:shd w:val="clear" w:color="auto" w:fill="auto"/>
            <w:vAlign w:val="center"/>
          </w:tcPr>
          <w:p w14:paraId="4843ECC2" w14:textId="77777777" w:rsidR="0041333E" w:rsidRPr="002170E2" w:rsidRDefault="0041333E" w:rsidP="00642879">
            <w:pPr>
              <w:spacing w:after="0" w:line="240" w:lineRule="auto"/>
              <w:jc w:val="center"/>
              <w:rPr>
                <w:sz w:val="20"/>
                <w:szCs w:val="20"/>
              </w:rPr>
            </w:pPr>
            <w:r w:rsidRPr="002170E2">
              <w:rPr>
                <w:sz w:val="20"/>
                <w:szCs w:val="20"/>
              </w:rPr>
              <w:t>-0.6</w:t>
            </w:r>
          </w:p>
        </w:tc>
        <w:tc>
          <w:tcPr>
            <w:tcW w:w="1003" w:type="dxa"/>
            <w:tcBorders>
              <w:bottom w:val="single" w:sz="4" w:space="0" w:color="auto"/>
              <w:right w:val="single" w:sz="4" w:space="0" w:color="auto"/>
            </w:tcBorders>
            <w:shd w:val="clear" w:color="auto" w:fill="auto"/>
            <w:vAlign w:val="center"/>
          </w:tcPr>
          <w:p w14:paraId="70DE9761" w14:textId="77777777" w:rsidR="0041333E" w:rsidRPr="002170E2" w:rsidRDefault="0041333E" w:rsidP="00642879">
            <w:pPr>
              <w:spacing w:after="0" w:line="240" w:lineRule="auto"/>
              <w:jc w:val="center"/>
              <w:rPr>
                <w:sz w:val="20"/>
                <w:szCs w:val="20"/>
              </w:rPr>
            </w:pPr>
            <w:r w:rsidRPr="002170E2">
              <w:rPr>
                <w:sz w:val="20"/>
                <w:szCs w:val="20"/>
              </w:rPr>
              <w:t>95.1</w:t>
            </w:r>
          </w:p>
        </w:tc>
      </w:tr>
      <w:tr w:rsidR="0041333E" w:rsidRPr="00380233" w14:paraId="2F115DC4" w14:textId="77777777" w:rsidTr="00642879">
        <w:trPr>
          <w:trHeight w:val="288"/>
        </w:trPr>
        <w:tc>
          <w:tcPr>
            <w:tcW w:w="1980" w:type="dxa"/>
            <w:tcBorders>
              <w:left w:val="single" w:sz="4" w:space="0" w:color="auto"/>
              <w:bottom w:val="single" w:sz="4" w:space="0" w:color="auto"/>
            </w:tcBorders>
            <w:shd w:val="clear" w:color="auto" w:fill="D9D9D9" w:themeFill="background1" w:themeFillShade="D9"/>
            <w:vAlign w:val="center"/>
          </w:tcPr>
          <w:p w14:paraId="2630062F" w14:textId="4FF90234" w:rsidR="0041333E" w:rsidRDefault="0041333E" w:rsidP="00E22258">
            <w:pPr>
              <w:spacing w:after="0" w:line="240" w:lineRule="auto"/>
              <w:rPr>
                <w:rFonts w:ascii="Calibri" w:hAnsi="Calibri"/>
                <w:color w:val="000000"/>
                <w:sz w:val="20"/>
                <w:szCs w:val="20"/>
              </w:rPr>
            </w:pPr>
            <w:r>
              <w:rPr>
                <w:rFonts w:ascii="Calibri" w:hAnsi="Calibri"/>
                <w:color w:val="000000"/>
                <w:sz w:val="20"/>
                <w:szCs w:val="20"/>
              </w:rPr>
              <w:t xml:space="preserve">All </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1B69FF5C" w14:textId="77777777" w:rsidR="0041333E" w:rsidRPr="002170E2" w:rsidRDefault="0041333E" w:rsidP="00642879">
            <w:pPr>
              <w:spacing w:after="0" w:line="240" w:lineRule="auto"/>
              <w:jc w:val="center"/>
              <w:rPr>
                <w:sz w:val="20"/>
                <w:szCs w:val="20"/>
              </w:rPr>
            </w:pPr>
            <w:r w:rsidRPr="002170E2">
              <w:rPr>
                <w:sz w:val="20"/>
                <w:szCs w:val="20"/>
              </w:rPr>
              <w:t>3,608</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4C762E6F" w14:textId="77777777" w:rsidR="0041333E" w:rsidRPr="002170E2" w:rsidRDefault="0041333E" w:rsidP="00642879">
            <w:pPr>
              <w:spacing w:after="0" w:line="240" w:lineRule="auto"/>
              <w:jc w:val="center"/>
              <w:rPr>
                <w:sz w:val="20"/>
                <w:szCs w:val="20"/>
              </w:rPr>
            </w:pPr>
            <w:r w:rsidRPr="002170E2">
              <w:rPr>
                <w:sz w:val="20"/>
                <w:szCs w:val="20"/>
              </w:rPr>
              <w:t>95.8</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6CE03323" w14:textId="77777777" w:rsidR="0041333E" w:rsidRPr="002170E2" w:rsidRDefault="0041333E" w:rsidP="00642879">
            <w:pPr>
              <w:spacing w:after="0" w:line="240" w:lineRule="auto"/>
              <w:jc w:val="center"/>
              <w:rPr>
                <w:sz w:val="20"/>
                <w:szCs w:val="20"/>
              </w:rPr>
            </w:pPr>
            <w:r w:rsidRPr="002170E2">
              <w:rPr>
                <w:sz w:val="20"/>
                <w:szCs w:val="20"/>
              </w:rPr>
              <w:t>95.5</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7016A53F" w14:textId="77777777" w:rsidR="0041333E" w:rsidRPr="002170E2" w:rsidRDefault="0041333E" w:rsidP="00642879">
            <w:pPr>
              <w:spacing w:after="0" w:line="240" w:lineRule="auto"/>
              <w:jc w:val="center"/>
              <w:rPr>
                <w:sz w:val="20"/>
                <w:szCs w:val="20"/>
              </w:rPr>
            </w:pPr>
            <w:r w:rsidRPr="002170E2">
              <w:rPr>
                <w:sz w:val="20"/>
                <w:szCs w:val="20"/>
              </w:rPr>
              <w:t>95.4</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2FCE5281" w14:textId="77777777" w:rsidR="0041333E" w:rsidRPr="002170E2" w:rsidRDefault="0041333E" w:rsidP="00642879">
            <w:pPr>
              <w:spacing w:after="0" w:line="240" w:lineRule="auto"/>
              <w:jc w:val="center"/>
              <w:rPr>
                <w:sz w:val="20"/>
                <w:szCs w:val="20"/>
              </w:rPr>
            </w:pPr>
            <w:r w:rsidRPr="002170E2">
              <w:rPr>
                <w:sz w:val="20"/>
                <w:szCs w:val="20"/>
              </w:rPr>
              <w:t>95.3</w:t>
            </w:r>
          </w:p>
        </w:tc>
        <w:tc>
          <w:tcPr>
            <w:tcW w:w="1003" w:type="dxa"/>
            <w:tcBorders>
              <w:top w:val="nil"/>
              <w:left w:val="nil"/>
              <w:bottom w:val="single" w:sz="8" w:space="0" w:color="auto"/>
              <w:right w:val="single" w:sz="8" w:space="0" w:color="auto"/>
            </w:tcBorders>
            <w:shd w:val="clear" w:color="auto" w:fill="D9D9D9" w:themeFill="background1" w:themeFillShade="D9"/>
            <w:vAlign w:val="center"/>
          </w:tcPr>
          <w:p w14:paraId="193FF901" w14:textId="77777777" w:rsidR="0041333E" w:rsidRPr="002170E2" w:rsidRDefault="0041333E" w:rsidP="00642879">
            <w:pPr>
              <w:spacing w:after="0" w:line="240" w:lineRule="auto"/>
              <w:jc w:val="center"/>
              <w:rPr>
                <w:sz w:val="20"/>
                <w:szCs w:val="20"/>
              </w:rPr>
            </w:pPr>
            <w:r w:rsidRPr="002170E2">
              <w:rPr>
                <w:sz w:val="20"/>
                <w:szCs w:val="20"/>
              </w:rPr>
              <w:t>-0.5</w:t>
            </w:r>
          </w:p>
        </w:tc>
        <w:tc>
          <w:tcPr>
            <w:tcW w:w="1003" w:type="dxa"/>
            <w:tcBorders>
              <w:bottom w:val="single" w:sz="4" w:space="0" w:color="auto"/>
              <w:right w:val="single" w:sz="4" w:space="0" w:color="auto"/>
            </w:tcBorders>
            <w:shd w:val="clear" w:color="auto" w:fill="D9D9D9" w:themeFill="background1" w:themeFillShade="D9"/>
            <w:vAlign w:val="center"/>
          </w:tcPr>
          <w:p w14:paraId="4640628C" w14:textId="77777777" w:rsidR="0041333E" w:rsidRPr="002170E2" w:rsidRDefault="0041333E" w:rsidP="00642879">
            <w:pPr>
              <w:spacing w:after="0" w:line="240" w:lineRule="auto"/>
              <w:jc w:val="center"/>
              <w:rPr>
                <w:sz w:val="20"/>
                <w:szCs w:val="20"/>
              </w:rPr>
            </w:pPr>
            <w:r w:rsidRPr="002170E2">
              <w:rPr>
                <w:sz w:val="20"/>
                <w:szCs w:val="20"/>
              </w:rPr>
              <w:t>94.6</w:t>
            </w:r>
          </w:p>
        </w:tc>
      </w:tr>
      <w:tr w:rsidR="0041333E" w:rsidRPr="00380233" w14:paraId="65A22320" w14:textId="77777777" w:rsidTr="00642879">
        <w:trPr>
          <w:trHeight w:val="288"/>
        </w:trPr>
        <w:tc>
          <w:tcPr>
            <w:tcW w:w="9000" w:type="dxa"/>
            <w:gridSpan w:val="8"/>
            <w:tcBorders>
              <w:bottom w:val="nil"/>
              <w:right w:val="nil"/>
            </w:tcBorders>
            <w:shd w:val="clear" w:color="auto" w:fill="auto"/>
            <w:vAlign w:val="center"/>
          </w:tcPr>
          <w:p w14:paraId="4846F7ED" w14:textId="77777777" w:rsidR="0041333E" w:rsidRPr="003F6B54" w:rsidRDefault="0041333E" w:rsidP="00642879">
            <w:pPr>
              <w:spacing w:after="0" w:line="240" w:lineRule="auto"/>
              <w:rPr>
                <w:color w:val="000000"/>
                <w:sz w:val="20"/>
                <w:szCs w:val="20"/>
              </w:rPr>
            </w:pPr>
            <w:r w:rsidRPr="00380233">
              <w:rPr>
                <w:rFonts w:ascii="Calibri" w:eastAsia="Times New Roman" w:hAnsi="Calibri" w:cs="Times New Roman"/>
                <w:sz w:val="20"/>
                <w:szCs w:val="20"/>
              </w:rPr>
              <w:t xml:space="preserve">Notes: </w:t>
            </w:r>
            <w:r w:rsidRPr="00380233">
              <w:rPr>
                <w:rFonts w:ascii="Calibri" w:eastAsia="Times New Roman" w:hAnsi="Calibri" w:cs="Times New Roman"/>
                <w:bCs/>
                <w:sz w:val="20"/>
                <w:szCs w:val="20"/>
              </w:rPr>
              <w:t>The attendance rate is calculated by dividing the total number of days students attended school by the total number of days students were enrolled in a particular school year. A student’s attendance rate is counted toward any district the student attended. In addition, district attendance rates included students who were out placed in public collaborative or private alternative schools/programs at public expense. Attendance rates have been rounded; percent change is based on unrounded numbers.</w:t>
            </w:r>
          </w:p>
        </w:tc>
      </w:tr>
    </w:tbl>
    <w:p w14:paraId="182A6F46" w14:textId="77777777" w:rsidR="0041333E" w:rsidRPr="00380233" w:rsidRDefault="0041333E" w:rsidP="0041333E">
      <w:pPr>
        <w:spacing w:after="0" w:line="240" w:lineRule="auto"/>
        <w:rPr>
          <w:rFonts w:ascii="Calibri" w:eastAsia="Times New Roman" w:hAnsi="Calibri" w:cs="Times New Roman"/>
          <w:sz w:val="20"/>
          <w:szCs w:val="20"/>
        </w:rPr>
      </w:pPr>
    </w:p>
    <w:p w14:paraId="0454303D" w14:textId="77777777" w:rsidR="002F1EBE" w:rsidRPr="002F1EBE" w:rsidRDefault="002F1EBE" w:rsidP="002F1EBE">
      <w:pPr>
        <w:spacing w:after="0"/>
        <w:jc w:val="center"/>
        <w:rPr>
          <w:rFonts w:ascii="Calibri" w:eastAsia="Calibri" w:hAnsi="Calibri" w:cs="Times New Roman"/>
          <w:b/>
          <w:sz w:val="20"/>
        </w:rPr>
      </w:pPr>
    </w:p>
    <w:p w14:paraId="5BBF2536" w14:textId="77777777" w:rsidR="002F1EBE" w:rsidRPr="002F1EBE" w:rsidRDefault="002F1EBE" w:rsidP="002F1EBE">
      <w:pPr>
        <w:spacing w:after="0" w:line="240" w:lineRule="auto"/>
        <w:rPr>
          <w:rFonts w:ascii="Calibri" w:eastAsia="Times New Roman" w:hAnsi="Calibri" w:cs="Times New Roman"/>
          <w:sz w:val="20"/>
          <w:szCs w:val="20"/>
        </w:rPr>
        <w:sectPr w:rsidR="002F1EBE" w:rsidRPr="002F1EBE" w:rsidSect="004F40CF">
          <w:footerReference w:type="default" r:id="rId37"/>
          <w:pgSz w:w="12240" w:h="15840"/>
          <w:pgMar w:top="1440" w:right="1440" w:bottom="1440" w:left="1440" w:header="720" w:footer="720" w:gutter="0"/>
          <w:pgNumType w:start="1"/>
          <w:cols w:space="720"/>
          <w:docGrid w:linePitch="360"/>
        </w:sectPr>
      </w:pPr>
    </w:p>
    <w:p w14:paraId="68A07152" w14:textId="77777777" w:rsidR="00596332" w:rsidRPr="00E41D40" w:rsidRDefault="00596332" w:rsidP="00596332">
      <w:pPr>
        <w:spacing w:after="0"/>
        <w:jc w:val="center"/>
        <w:rPr>
          <w:rFonts w:ascii="Calibri" w:eastAsia="Calibri" w:hAnsi="Calibri" w:cs="Times New Roman"/>
          <w:b/>
          <w:sz w:val="20"/>
        </w:rPr>
      </w:pPr>
      <w:r w:rsidRPr="00E41D40">
        <w:rPr>
          <w:rFonts w:ascii="Calibri" w:eastAsia="Calibri" w:hAnsi="Calibri" w:cs="Times New Roman"/>
          <w:b/>
          <w:sz w:val="20"/>
        </w:rPr>
        <w:lastRenderedPageBreak/>
        <w:t>Table B</w:t>
      </w:r>
      <w:r>
        <w:rPr>
          <w:rFonts w:ascii="Calibri" w:eastAsia="Calibri" w:hAnsi="Calibri" w:cs="Times New Roman"/>
          <w:b/>
          <w:sz w:val="20"/>
        </w:rPr>
        <w:t>3</w:t>
      </w:r>
      <w:r w:rsidRPr="00E41D40">
        <w:rPr>
          <w:rFonts w:ascii="Calibri" w:eastAsia="Calibri" w:hAnsi="Calibri" w:cs="Times New Roman"/>
          <w:b/>
          <w:sz w:val="20"/>
        </w:rPr>
        <w:t xml:space="preserve">: </w:t>
      </w:r>
      <w:r w:rsidRPr="002170E2">
        <w:rPr>
          <w:rFonts w:ascii="Calibri" w:eastAsia="Calibri" w:hAnsi="Calibri" w:cs="Times New Roman"/>
          <w:b/>
          <w:sz w:val="20"/>
        </w:rPr>
        <w:t>Wakefield Public Schools</w:t>
      </w:r>
    </w:p>
    <w:p w14:paraId="6E284D53" w14:textId="77777777" w:rsidR="00596332" w:rsidRPr="00E41D40" w:rsidRDefault="00596332" w:rsidP="00596332">
      <w:pPr>
        <w:spacing w:after="0"/>
        <w:jc w:val="center"/>
        <w:rPr>
          <w:rFonts w:ascii="Calibri" w:eastAsia="Calibri" w:hAnsi="Calibri" w:cs="Times New Roman"/>
          <w:b/>
          <w:sz w:val="20"/>
        </w:rPr>
      </w:pPr>
      <w:r w:rsidRPr="00E41D40">
        <w:rPr>
          <w:rFonts w:ascii="Calibri" w:eastAsia="Calibri" w:hAnsi="Calibri" w:cs="Times New Roman"/>
          <w:b/>
          <w:sz w:val="20"/>
        </w:rPr>
        <w:t>Expenditures, Chapter 70 State Aid, and Net School Spending Fiscal Years 201</w:t>
      </w:r>
      <w:r>
        <w:rPr>
          <w:rFonts w:ascii="Calibri" w:eastAsia="Calibri" w:hAnsi="Calibri" w:cs="Times New Roman"/>
          <w:b/>
          <w:sz w:val="20"/>
        </w:rPr>
        <w:t>5</w:t>
      </w:r>
      <w:r w:rsidRPr="00E41D40">
        <w:rPr>
          <w:rFonts w:ascii="Calibri" w:eastAsia="Calibri" w:hAnsi="Calibri" w:cs="Times New Roman"/>
          <w:b/>
          <w:sz w:val="20"/>
        </w:rPr>
        <w:t>–201</w:t>
      </w:r>
      <w:r>
        <w:rPr>
          <w:rFonts w:ascii="Calibri" w:eastAsia="Calibri" w:hAnsi="Calibri" w:cs="Times New Roman"/>
          <w:b/>
          <w:sz w:val="20"/>
        </w:rPr>
        <w:t>7</w:t>
      </w:r>
    </w:p>
    <w:tbl>
      <w:tblPr>
        <w:tblW w:w="11610"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Caption w:val="Table B3: Wakefield Public Schools"/>
        <w:tblDescription w:val="Expenditures, Chapter 70 State Aid, and Net School Spending Fiscal Years 2015–2017&#10;"/>
      </w:tblPr>
      <w:tblGrid>
        <w:gridCol w:w="3420"/>
        <w:gridCol w:w="1350"/>
        <w:gridCol w:w="70"/>
        <w:gridCol w:w="1290"/>
        <w:gridCol w:w="1287"/>
        <w:gridCol w:w="143"/>
        <w:gridCol w:w="1260"/>
        <w:gridCol w:w="90"/>
        <w:gridCol w:w="1260"/>
        <w:gridCol w:w="180"/>
        <w:gridCol w:w="1260"/>
      </w:tblGrid>
      <w:tr w:rsidR="00596332" w:rsidRPr="00E41D40" w14:paraId="1EFF9F81" w14:textId="77777777" w:rsidTr="00DF5AC6">
        <w:trPr>
          <w:trHeight w:val="300"/>
        </w:trPr>
        <w:tc>
          <w:tcPr>
            <w:tcW w:w="3420" w:type="dxa"/>
            <w:tcBorders>
              <w:left w:val="single" w:sz="4" w:space="0" w:color="auto"/>
              <w:bottom w:val="single" w:sz="12" w:space="0" w:color="auto"/>
              <w:right w:val="single" w:sz="12" w:space="0" w:color="auto"/>
            </w:tcBorders>
            <w:noWrap/>
          </w:tcPr>
          <w:p w14:paraId="1B2B50A2" w14:textId="77777777" w:rsidR="00596332" w:rsidRPr="00E41D40" w:rsidRDefault="00596332" w:rsidP="00642879">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 </w:t>
            </w:r>
          </w:p>
        </w:tc>
        <w:tc>
          <w:tcPr>
            <w:tcW w:w="2710" w:type="dxa"/>
            <w:gridSpan w:val="3"/>
            <w:tcBorders>
              <w:left w:val="single" w:sz="12" w:space="0" w:color="auto"/>
              <w:bottom w:val="single" w:sz="12" w:space="0" w:color="auto"/>
              <w:right w:val="single" w:sz="12" w:space="0" w:color="auto"/>
            </w:tcBorders>
            <w:noWrap/>
          </w:tcPr>
          <w:p w14:paraId="67C1047B" w14:textId="77777777" w:rsidR="00596332" w:rsidRPr="00E41D40" w:rsidRDefault="00596332" w:rsidP="00642879">
            <w:pPr>
              <w:widowControl w:val="0"/>
              <w:overflowPunct w:val="0"/>
              <w:adjustRightInd w:val="0"/>
              <w:spacing w:after="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FY1</w:t>
            </w:r>
            <w:r>
              <w:rPr>
                <w:rFonts w:ascii="Calibri" w:eastAsia="Times New Roman" w:hAnsi="Calibri" w:cs="Times New Roman"/>
                <w:b/>
                <w:kern w:val="28"/>
                <w:sz w:val="20"/>
                <w:szCs w:val="20"/>
              </w:rPr>
              <w:t>5</w:t>
            </w:r>
          </w:p>
        </w:tc>
        <w:tc>
          <w:tcPr>
            <w:tcW w:w="2690" w:type="dxa"/>
            <w:gridSpan w:val="3"/>
            <w:tcBorders>
              <w:left w:val="single" w:sz="12" w:space="0" w:color="auto"/>
              <w:bottom w:val="single" w:sz="12" w:space="0" w:color="auto"/>
              <w:right w:val="single" w:sz="12" w:space="0" w:color="auto"/>
            </w:tcBorders>
            <w:noWrap/>
          </w:tcPr>
          <w:p w14:paraId="72D5D446" w14:textId="77777777" w:rsidR="00596332" w:rsidRPr="00E41D40" w:rsidRDefault="00596332" w:rsidP="00642879">
            <w:pPr>
              <w:widowControl w:val="0"/>
              <w:overflowPunct w:val="0"/>
              <w:adjustRightInd w:val="0"/>
              <w:spacing w:after="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FY1</w:t>
            </w:r>
            <w:r>
              <w:rPr>
                <w:rFonts w:ascii="Calibri" w:eastAsia="Times New Roman" w:hAnsi="Calibri" w:cs="Times New Roman"/>
                <w:b/>
                <w:kern w:val="28"/>
                <w:sz w:val="20"/>
                <w:szCs w:val="20"/>
              </w:rPr>
              <w:t>6</w:t>
            </w:r>
          </w:p>
        </w:tc>
        <w:tc>
          <w:tcPr>
            <w:tcW w:w="2790" w:type="dxa"/>
            <w:gridSpan w:val="4"/>
            <w:tcBorders>
              <w:left w:val="single" w:sz="12" w:space="0" w:color="auto"/>
              <w:bottom w:val="single" w:sz="12" w:space="0" w:color="auto"/>
              <w:right w:val="single" w:sz="4" w:space="0" w:color="auto"/>
            </w:tcBorders>
            <w:noWrap/>
          </w:tcPr>
          <w:p w14:paraId="103D695C" w14:textId="77777777" w:rsidR="00596332" w:rsidRPr="00E41D40" w:rsidRDefault="00596332" w:rsidP="00642879">
            <w:pPr>
              <w:widowControl w:val="0"/>
              <w:overflowPunct w:val="0"/>
              <w:adjustRightInd w:val="0"/>
              <w:spacing w:after="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FY1</w:t>
            </w:r>
            <w:r>
              <w:rPr>
                <w:rFonts w:ascii="Calibri" w:eastAsia="Times New Roman" w:hAnsi="Calibri" w:cs="Times New Roman"/>
                <w:b/>
                <w:kern w:val="28"/>
                <w:sz w:val="20"/>
                <w:szCs w:val="20"/>
              </w:rPr>
              <w:t>7</w:t>
            </w:r>
          </w:p>
        </w:tc>
      </w:tr>
      <w:tr w:rsidR="00596332" w:rsidRPr="00E41D40" w14:paraId="380F3CBF" w14:textId="77777777" w:rsidTr="00DF5AC6">
        <w:trPr>
          <w:trHeight w:val="315"/>
        </w:trPr>
        <w:tc>
          <w:tcPr>
            <w:tcW w:w="3420" w:type="dxa"/>
            <w:tcBorders>
              <w:top w:val="single" w:sz="12" w:space="0" w:color="auto"/>
              <w:left w:val="single" w:sz="4" w:space="0" w:color="auto"/>
              <w:bottom w:val="single" w:sz="12" w:space="0" w:color="auto"/>
              <w:right w:val="single" w:sz="12" w:space="0" w:color="auto"/>
            </w:tcBorders>
            <w:noWrap/>
          </w:tcPr>
          <w:p w14:paraId="4F96CA5D" w14:textId="77777777" w:rsidR="00596332" w:rsidRPr="00E41D40" w:rsidRDefault="00596332" w:rsidP="00642879">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 </w:t>
            </w:r>
          </w:p>
        </w:tc>
        <w:tc>
          <w:tcPr>
            <w:tcW w:w="1420" w:type="dxa"/>
            <w:gridSpan w:val="2"/>
            <w:tcBorders>
              <w:top w:val="single" w:sz="12" w:space="0" w:color="auto"/>
              <w:left w:val="single" w:sz="12" w:space="0" w:color="auto"/>
              <w:bottom w:val="single" w:sz="12" w:space="0" w:color="auto"/>
              <w:right w:val="single" w:sz="4" w:space="0" w:color="auto"/>
            </w:tcBorders>
            <w:noWrap/>
          </w:tcPr>
          <w:p w14:paraId="66DE3BF5" w14:textId="77777777" w:rsidR="00596332" w:rsidRPr="00E41D40" w:rsidRDefault="00596332" w:rsidP="00642879">
            <w:pPr>
              <w:widowControl w:val="0"/>
              <w:overflowPunct w:val="0"/>
              <w:adjustRightInd w:val="0"/>
              <w:spacing w:after="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Estimated</w:t>
            </w:r>
          </w:p>
        </w:tc>
        <w:tc>
          <w:tcPr>
            <w:tcW w:w="1290" w:type="dxa"/>
            <w:tcBorders>
              <w:top w:val="single" w:sz="12" w:space="0" w:color="auto"/>
              <w:left w:val="single" w:sz="4" w:space="0" w:color="auto"/>
              <w:bottom w:val="single" w:sz="12" w:space="0" w:color="auto"/>
              <w:right w:val="single" w:sz="12" w:space="0" w:color="auto"/>
            </w:tcBorders>
            <w:noWrap/>
          </w:tcPr>
          <w:p w14:paraId="76AF0E9A" w14:textId="77777777" w:rsidR="00596332" w:rsidRPr="00E41D40" w:rsidRDefault="00596332" w:rsidP="00642879">
            <w:pPr>
              <w:widowControl w:val="0"/>
              <w:overflowPunct w:val="0"/>
              <w:adjustRightInd w:val="0"/>
              <w:spacing w:after="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Actual</w:t>
            </w:r>
          </w:p>
        </w:tc>
        <w:tc>
          <w:tcPr>
            <w:tcW w:w="1287" w:type="dxa"/>
            <w:tcBorders>
              <w:top w:val="single" w:sz="12" w:space="0" w:color="auto"/>
              <w:left w:val="single" w:sz="12" w:space="0" w:color="auto"/>
              <w:bottom w:val="single" w:sz="12" w:space="0" w:color="auto"/>
              <w:right w:val="single" w:sz="4" w:space="0" w:color="auto"/>
            </w:tcBorders>
            <w:noWrap/>
          </w:tcPr>
          <w:p w14:paraId="34D019AA" w14:textId="77777777" w:rsidR="00596332" w:rsidRPr="00E41D40" w:rsidRDefault="00596332" w:rsidP="00642879">
            <w:pPr>
              <w:widowControl w:val="0"/>
              <w:overflowPunct w:val="0"/>
              <w:adjustRightInd w:val="0"/>
              <w:spacing w:after="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Estimated</w:t>
            </w:r>
          </w:p>
        </w:tc>
        <w:tc>
          <w:tcPr>
            <w:tcW w:w="1403" w:type="dxa"/>
            <w:gridSpan w:val="2"/>
            <w:tcBorders>
              <w:top w:val="single" w:sz="12" w:space="0" w:color="auto"/>
              <w:left w:val="single" w:sz="4" w:space="0" w:color="auto"/>
              <w:bottom w:val="single" w:sz="12" w:space="0" w:color="auto"/>
              <w:right w:val="single" w:sz="12" w:space="0" w:color="auto"/>
            </w:tcBorders>
            <w:noWrap/>
          </w:tcPr>
          <w:p w14:paraId="2E756201" w14:textId="77777777" w:rsidR="00596332" w:rsidRPr="00E41D40" w:rsidRDefault="00596332" w:rsidP="00642879">
            <w:pPr>
              <w:widowControl w:val="0"/>
              <w:overflowPunct w:val="0"/>
              <w:adjustRightInd w:val="0"/>
              <w:spacing w:after="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Actual</w:t>
            </w:r>
          </w:p>
        </w:tc>
        <w:tc>
          <w:tcPr>
            <w:tcW w:w="1350" w:type="dxa"/>
            <w:gridSpan w:val="2"/>
            <w:tcBorders>
              <w:top w:val="single" w:sz="12" w:space="0" w:color="auto"/>
              <w:left w:val="single" w:sz="12" w:space="0" w:color="auto"/>
              <w:bottom w:val="single" w:sz="12" w:space="0" w:color="auto"/>
              <w:right w:val="single" w:sz="4" w:space="0" w:color="auto"/>
            </w:tcBorders>
            <w:noWrap/>
          </w:tcPr>
          <w:p w14:paraId="683D92A2" w14:textId="77777777" w:rsidR="00596332" w:rsidRPr="00E41D40" w:rsidRDefault="00596332" w:rsidP="00642879">
            <w:pPr>
              <w:widowControl w:val="0"/>
              <w:overflowPunct w:val="0"/>
              <w:adjustRightInd w:val="0"/>
              <w:spacing w:after="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Estimated</w:t>
            </w:r>
          </w:p>
        </w:tc>
        <w:tc>
          <w:tcPr>
            <w:tcW w:w="1440" w:type="dxa"/>
            <w:gridSpan w:val="2"/>
            <w:tcBorders>
              <w:top w:val="single" w:sz="12" w:space="0" w:color="auto"/>
              <w:left w:val="single" w:sz="12" w:space="0" w:color="auto"/>
              <w:bottom w:val="single" w:sz="12" w:space="0" w:color="auto"/>
              <w:right w:val="single" w:sz="4" w:space="0" w:color="auto"/>
            </w:tcBorders>
          </w:tcPr>
          <w:p w14:paraId="1D2F3BA0" w14:textId="77777777" w:rsidR="00596332" w:rsidRPr="00E41D40" w:rsidRDefault="00596332" w:rsidP="00642879">
            <w:pPr>
              <w:widowControl w:val="0"/>
              <w:overflowPunct w:val="0"/>
              <w:adjustRightInd w:val="0"/>
              <w:spacing w:after="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Actual</w:t>
            </w:r>
          </w:p>
        </w:tc>
      </w:tr>
      <w:tr w:rsidR="00596332" w:rsidRPr="00E41D40" w14:paraId="26B526E2" w14:textId="77777777" w:rsidTr="00DF5AC6">
        <w:trPr>
          <w:trHeight w:val="315"/>
        </w:trPr>
        <w:tc>
          <w:tcPr>
            <w:tcW w:w="11610" w:type="dxa"/>
            <w:gridSpan w:val="11"/>
            <w:tcBorders>
              <w:top w:val="single" w:sz="12" w:space="0" w:color="auto"/>
            </w:tcBorders>
            <w:shd w:val="pct10" w:color="auto" w:fill="auto"/>
          </w:tcPr>
          <w:p w14:paraId="3B9A3A23" w14:textId="77777777" w:rsidR="00596332" w:rsidRPr="00E41D40" w:rsidRDefault="00596332" w:rsidP="00642879">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Expenditures</w:t>
            </w:r>
          </w:p>
        </w:tc>
      </w:tr>
      <w:tr w:rsidR="00596332" w:rsidRPr="00E41D40" w14:paraId="3A64A670" w14:textId="77777777" w:rsidTr="00DF5AC6">
        <w:trPr>
          <w:trHeight w:val="300"/>
        </w:trPr>
        <w:tc>
          <w:tcPr>
            <w:tcW w:w="3420" w:type="dxa"/>
            <w:tcBorders>
              <w:right w:val="single" w:sz="12" w:space="0" w:color="auto"/>
            </w:tcBorders>
          </w:tcPr>
          <w:p w14:paraId="0EA18199" w14:textId="77777777" w:rsidR="00596332" w:rsidRPr="00E41D40" w:rsidRDefault="00596332" w:rsidP="00642879">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From local appropriations for schools:</w:t>
            </w:r>
          </w:p>
        </w:tc>
        <w:tc>
          <w:tcPr>
            <w:tcW w:w="8190" w:type="dxa"/>
            <w:gridSpan w:val="10"/>
            <w:tcBorders>
              <w:left w:val="single" w:sz="12" w:space="0" w:color="auto"/>
            </w:tcBorders>
            <w:shd w:val="pct5" w:color="auto" w:fill="auto"/>
          </w:tcPr>
          <w:p w14:paraId="64F587B9" w14:textId="77777777" w:rsidR="00596332" w:rsidRPr="00E41D40" w:rsidRDefault="00596332" w:rsidP="00642879">
            <w:pPr>
              <w:widowControl w:val="0"/>
              <w:overflowPunct w:val="0"/>
              <w:adjustRightInd w:val="0"/>
              <w:spacing w:after="0" w:line="240" w:lineRule="auto"/>
              <w:jc w:val="right"/>
              <w:rPr>
                <w:rFonts w:ascii="Calibri" w:eastAsia="Times New Roman" w:hAnsi="Calibri" w:cs="Times New Roman"/>
                <w:kern w:val="28"/>
                <w:sz w:val="20"/>
                <w:szCs w:val="20"/>
              </w:rPr>
            </w:pPr>
          </w:p>
        </w:tc>
      </w:tr>
      <w:tr w:rsidR="00596332" w:rsidRPr="00E41D40" w14:paraId="1B7FB334" w14:textId="77777777" w:rsidTr="00DF5AC6">
        <w:trPr>
          <w:trHeight w:val="300"/>
        </w:trPr>
        <w:tc>
          <w:tcPr>
            <w:tcW w:w="3420" w:type="dxa"/>
            <w:tcBorders>
              <w:right w:val="single" w:sz="12" w:space="0" w:color="auto"/>
            </w:tcBorders>
            <w:noWrap/>
          </w:tcPr>
          <w:p w14:paraId="4251F58C" w14:textId="77777777" w:rsidR="00596332" w:rsidRPr="00E41D40" w:rsidRDefault="00596332" w:rsidP="00642879">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By school committee</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5D45D40C" w14:textId="77777777" w:rsidR="00596332" w:rsidRPr="00166B6B" w:rsidRDefault="00596332" w:rsidP="00642879">
            <w:pPr>
              <w:spacing w:after="0" w:line="240" w:lineRule="auto"/>
              <w:jc w:val="center"/>
              <w:rPr>
                <w:sz w:val="20"/>
                <w:szCs w:val="20"/>
              </w:rPr>
            </w:pPr>
            <w:r w:rsidRPr="00166B6B">
              <w:rPr>
                <w:sz w:val="20"/>
                <w:szCs w:val="20"/>
              </w:rPr>
              <w:t>$31,228,727</w:t>
            </w:r>
          </w:p>
        </w:tc>
        <w:tc>
          <w:tcPr>
            <w:tcW w:w="1360" w:type="dxa"/>
            <w:gridSpan w:val="2"/>
            <w:tcBorders>
              <w:top w:val="single" w:sz="4" w:space="0" w:color="auto"/>
              <w:left w:val="nil"/>
              <w:bottom w:val="single" w:sz="4" w:space="0" w:color="auto"/>
              <w:right w:val="single" w:sz="4" w:space="0" w:color="auto"/>
            </w:tcBorders>
            <w:shd w:val="clear" w:color="auto" w:fill="auto"/>
            <w:noWrap/>
          </w:tcPr>
          <w:p w14:paraId="5AE4C88B" w14:textId="77777777" w:rsidR="00596332" w:rsidRPr="00166B6B" w:rsidRDefault="00596332" w:rsidP="00642879">
            <w:pPr>
              <w:spacing w:after="0" w:line="240" w:lineRule="auto"/>
              <w:jc w:val="center"/>
              <w:rPr>
                <w:sz w:val="20"/>
                <w:szCs w:val="20"/>
              </w:rPr>
            </w:pPr>
            <w:r w:rsidRPr="00166B6B">
              <w:rPr>
                <w:sz w:val="20"/>
                <w:szCs w:val="20"/>
              </w:rPr>
              <w:t>$31,480,551</w:t>
            </w:r>
          </w:p>
        </w:tc>
        <w:tc>
          <w:tcPr>
            <w:tcW w:w="1430" w:type="dxa"/>
            <w:gridSpan w:val="2"/>
            <w:tcBorders>
              <w:top w:val="single" w:sz="4" w:space="0" w:color="auto"/>
              <w:left w:val="nil"/>
              <w:bottom w:val="single" w:sz="4" w:space="0" w:color="auto"/>
              <w:right w:val="single" w:sz="4" w:space="0" w:color="auto"/>
            </w:tcBorders>
            <w:shd w:val="clear" w:color="auto" w:fill="auto"/>
            <w:noWrap/>
          </w:tcPr>
          <w:p w14:paraId="15EE63D3" w14:textId="77777777" w:rsidR="00596332" w:rsidRPr="00166B6B" w:rsidRDefault="00596332" w:rsidP="00642879">
            <w:pPr>
              <w:spacing w:after="0" w:line="240" w:lineRule="auto"/>
              <w:jc w:val="center"/>
              <w:rPr>
                <w:sz w:val="20"/>
                <w:szCs w:val="20"/>
              </w:rPr>
            </w:pPr>
            <w:r w:rsidRPr="00166B6B">
              <w:rPr>
                <w:sz w:val="20"/>
                <w:szCs w:val="20"/>
              </w:rPr>
              <w:t>$34,847,085</w:t>
            </w:r>
          </w:p>
        </w:tc>
        <w:tc>
          <w:tcPr>
            <w:tcW w:w="1350" w:type="dxa"/>
            <w:gridSpan w:val="2"/>
            <w:tcBorders>
              <w:top w:val="single" w:sz="4" w:space="0" w:color="auto"/>
              <w:left w:val="nil"/>
              <w:bottom w:val="single" w:sz="4" w:space="0" w:color="auto"/>
              <w:right w:val="single" w:sz="4" w:space="0" w:color="auto"/>
            </w:tcBorders>
            <w:shd w:val="clear" w:color="auto" w:fill="auto"/>
            <w:noWrap/>
          </w:tcPr>
          <w:p w14:paraId="75785BA2" w14:textId="77777777" w:rsidR="00596332" w:rsidRPr="00166B6B" w:rsidRDefault="00596332" w:rsidP="00642879">
            <w:pPr>
              <w:spacing w:after="0" w:line="240" w:lineRule="auto"/>
              <w:jc w:val="center"/>
              <w:rPr>
                <w:sz w:val="20"/>
                <w:szCs w:val="20"/>
              </w:rPr>
            </w:pPr>
            <w:r w:rsidRPr="00166B6B">
              <w:rPr>
                <w:sz w:val="20"/>
                <w:szCs w:val="20"/>
              </w:rPr>
              <w:t>$34,844,883</w:t>
            </w:r>
          </w:p>
        </w:tc>
        <w:tc>
          <w:tcPr>
            <w:tcW w:w="1440" w:type="dxa"/>
            <w:gridSpan w:val="2"/>
            <w:tcBorders>
              <w:left w:val="single" w:sz="12" w:space="0" w:color="auto"/>
            </w:tcBorders>
            <w:noWrap/>
          </w:tcPr>
          <w:p w14:paraId="256048B8" w14:textId="0426E26F" w:rsidR="00596332" w:rsidRPr="00166B6B" w:rsidRDefault="00F3192E" w:rsidP="00642879">
            <w:pPr>
              <w:spacing w:after="0" w:line="240" w:lineRule="auto"/>
              <w:jc w:val="center"/>
              <w:rPr>
                <w:sz w:val="20"/>
                <w:szCs w:val="20"/>
              </w:rPr>
            </w:pPr>
            <w:r>
              <w:rPr>
                <w:sz w:val="20"/>
                <w:szCs w:val="20"/>
              </w:rPr>
              <w:t>$36,357,670</w:t>
            </w:r>
          </w:p>
        </w:tc>
        <w:tc>
          <w:tcPr>
            <w:tcW w:w="1260" w:type="dxa"/>
            <w:tcBorders>
              <w:left w:val="single" w:sz="12" w:space="0" w:color="auto"/>
            </w:tcBorders>
          </w:tcPr>
          <w:p w14:paraId="79D27FD9" w14:textId="516D8031" w:rsidR="00596332" w:rsidRPr="00166B6B" w:rsidRDefault="00F3192E" w:rsidP="00642879">
            <w:pPr>
              <w:spacing w:after="0" w:line="240" w:lineRule="auto"/>
              <w:jc w:val="center"/>
              <w:rPr>
                <w:sz w:val="20"/>
                <w:szCs w:val="20"/>
              </w:rPr>
            </w:pPr>
            <w:r>
              <w:rPr>
                <w:sz w:val="20"/>
                <w:szCs w:val="20"/>
              </w:rPr>
              <w:t>$36,348,317</w:t>
            </w:r>
          </w:p>
        </w:tc>
      </w:tr>
      <w:tr w:rsidR="00596332" w:rsidRPr="00E41D40" w14:paraId="1F4DC9F7" w14:textId="77777777" w:rsidTr="00DF5AC6">
        <w:trPr>
          <w:trHeight w:val="300"/>
        </w:trPr>
        <w:tc>
          <w:tcPr>
            <w:tcW w:w="3420" w:type="dxa"/>
            <w:tcBorders>
              <w:right w:val="single" w:sz="12" w:space="0" w:color="auto"/>
            </w:tcBorders>
            <w:noWrap/>
          </w:tcPr>
          <w:p w14:paraId="0D0A7FAD" w14:textId="77777777" w:rsidR="00596332" w:rsidRPr="00E41D40" w:rsidRDefault="00596332" w:rsidP="00642879">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By municipality</w:t>
            </w:r>
          </w:p>
        </w:tc>
        <w:tc>
          <w:tcPr>
            <w:tcW w:w="1350" w:type="dxa"/>
            <w:tcBorders>
              <w:top w:val="nil"/>
              <w:left w:val="single" w:sz="4" w:space="0" w:color="auto"/>
              <w:bottom w:val="single" w:sz="4" w:space="0" w:color="auto"/>
              <w:right w:val="single" w:sz="4" w:space="0" w:color="auto"/>
            </w:tcBorders>
            <w:shd w:val="clear" w:color="auto" w:fill="auto"/>
            <w:noWrap/>
          </w:tcPr>
          <w:p w14:paraId="66D0C2A6" w14:textId="77777777" w:rsidR="00596332" w:rsidRPr="00166B6B" w:rsidRDefault="00596332" w:rsidP="00642879">
            <w:pPr>
              <w:spacing w:after="0" w:line="240" w:lineRule="auto"/>
              <w:jc w:val="center"/>
              <w:rPr>
                <w:sz w:val="20"/>
                <w:szCs w:val="20"/>
              </w:rPr>
            </w:pPr>
            <w:r w:rsidRPr="00166B6B">
              <w:rPr>
                <w:sz w:val="20"/>
                <w:szCs w:val="20"/>
              </w:rPr>
              <w:t>$15,927,397</w:t>
            </w:r>
          </w:p>
        </w:tc>
        <w:tc>
          <w:tcPr>
            <w:tcW w:w="1360" w:type="dxa"/>
            <w:gridSpan w:val="2"/>
            <w:tcBorders>
              <w:top w:val="nil"/>
              <w:left w:val="nil"/>
              <w:bottom w:val="single" w:sz="4" w:space="0" w:color="auto"/>
              <w:right w:val="single" w:sz="4" w:space="0" w:color="auto"/>
            </w:tcBorders>
            <w:shd w:val="clear" w:color="auto" w:fill="auto"/>
            <w:noWrap/>
          </w:tcPr>
          <w:p w14:paraId="71C839FC" w14:textId="77777777" w:rsidR="00596332" w:rsidRPr="00166B6B" w:rsidRDefault="00596332" w:rsidP="00642879">
            <w:pPr>
              <w:spacing w:after="0" w:line="240" w:lineRule="auto"/>
              <w:jc w:val="center"/>
              <w:rPr>
                <w:sz w:val="20"/>
                <w:szCs w:val="20"/>
              </w:rPr>
            </w:pPr>
            <w:r w:rsidRPr="00166B6B">
              <w:rPr>
                <w:sz w:val="20"/>
                <w:szCs w:val="20"/>
              </w:rPr>
              <w:t>$26,801,494</w:t>
            </w:r>
          </w:p>
        </w:tc>
        <w:tc>
          <w:tcPr>
            <w:tcW w:w="1430" w:type="dxa"/>
            <w:gridSpan w:val="2"/>
            <w:tcBorders>
              <w:top w:val="nil"/>
              <w:left w:val="nil"/>
              <w:bottom w:val="single" w:sz="4" w:space="0" w:color="auto"/>
              <w:right w:val="single" w:sz="4" w:space="0" w:color="auto"/>
            </w:tcBorders>
            <w:shd w:val="clear" w:color="auto" w:fill="auto"/>
            <w:noWrap/>
          </w:tcPr>
          <w:p w14:paraId="29657707" w14:textId="77777777" w:rsidR="00596332" w:rsidRPr="00166B6B" w:rsidRDefault="00596332" w:rsidP="00642879">
            <w:pPr>
              <w:spacing w:after="0" w:line="240" w:lineRule="auto"/>
              <w:jc w:val="center"/>
              <w:rPr>
                <w:sz w:val="20"/>
                <w:szCs w:val="20"/>
              </w:rPr>
            </w:pPr>
            <w:r w:rsidRPr="00166B6B">
              <w:rPr>
                <w:sz w:val="20"/>
                <w:szCs w:val="20"/>
              </w:rPr>
              <w:t>$16,366,969</w:t>
            </w:r>
          </w:p>
        </w:tc>
        <w:tc>
          <w:tcPr>
            <w:tcW w:w="1350" w:type="dxa"/>
            <w:gridSpan w:val="2"/>
            <w:tcBorders>
              <w:top w:val="nil"/>
              <w:left w:val="nil"/>
              <w:bottom w:val="single" w:sz="4" w:space="0" w:color="auto"/>
              <w:right w:val="single" w:sz="4" w:space="0" w:color="auto"/>
            </w:tcBorders>
            <w:shd w:val="clear" w:color="auto" w:fill="auto"/>
            <w:noWrap/>
          </w:tcPr>
          <w:p w14:paraId="34941266" w14:textId="77777777" w:rsidR="00596332" w:rsidRPr="00166B6B" w:rsidRDefault="00596332" w:rsidP="00642879">
            <w:pPr>
              <w:spacing w:after="0" w:line="240" w:lineRule="auto"/>
              <w:jc w:val="center"/>
              <w:rPr>
                <w:sz w:val="20"/>
                <w:szCs w:val="20"/>
              </w:rPr>
            </w:pPr>
            <w:r w:rsidRPr="00166B6B">
              <w:rPr>
                <w:sz w:val="20"/>
                <w:szCs w:val="20"/>
              </w:rPr>
              <w:t>$18,730,147</w:t>
            </w:r>
          </w:p>
        </w:tc>
        <w:tc>
          <w:tcPr>
            <w:tcW w:w="1440" w:type="dxa"/>
            <w:gridSpan w:val="2"/>
            <w:tcBorders>
              <w:left w:val="single" w:sz="12" w:space="0" w:color="auto"/>
            </w:tcBorders>
            <w:noWrap/>
          </w:tcPr>
          <w:p w14:paraId="2F929824" w14:textId="0610AA22" w:rsidR="00596332" w:rsidRPr="00166B6B" w:rsidRDefault="00F3192E" w:rsidP="00642879">
            <w:pPr>
              <w:spacing w:after="0" w:line="240" w:lineRule="auto"/>
              <w:jc w:val="center"/>
              <w:rPr>
                <w:sz w:val="20"/>
                <w:szCs w:val="20"/>
              </w:rPr>
            </w:pPr>
            <w:r>
              <w:rPr>
                <w:sz w:val="20"/>
                <w:szCs w:val="20"/>
              </w:rPr>
              <w:t>$17,280,556</w:t>
            </w:r>
          </w:p>
        </w:tc>
        <w:tc>
          <w:tcPr>
            <w:tcW w:w="1260" w:type="dxa"/>
            <w:tcBorders>
              <w:left w:val="single" w:sz="12" w:space="0" w:color="auto"/>
            </w:tcBorders>
          </w:tcPr>
          <w:p w14:paraId="25E362B0" w14:textId="1ED6718A" w:rsidR="00596332" w:rsidRPr="00166B6B" w:rsidRDefault="00F3192E" w:rsidP="00F3192E">
            <w:pPr>
              <w:spacing w:after="0" w:line="240" w:lineRule="auto"/>
              <w:jc w:val="center"/>
              <w:rPr>
                <w:sz w:val="20"/>
                <w:szCs w:val="20"/>
              </w:rPr>
            </w:pPr>
            <w:r>
              <w:rPr>
                <w:sz w:val="20"/>
                <w:szCs w:val="20"/>
              </w:rPr>
              <w:t>$16,841,052</w:t>
            </w:r>
          </w:p>
        </w:tc>
      </w:tr>
      <w:tr w:rsidR="00596332" w:rsidRPr="00E41D40" w14:paraId="0A5804CE" w14:textId="77777777" w:rsidTr="00DF5AC6">
        <w:trPr>
          <w:trHeight w:val="300"/>
        </w:trPr>
        <w:tc>
          <w:tcPr>
            <w:tcW w:w="3420" w:type="dxa"/>
            <w:tcBorders>
              <w:right w:val="single" w:sz="12" w:space="0" w:color="auto"/>
            </w:tcBorders>
            <w:noWrap/>
          </w:tcPr>
          <w:p w14:paraId="0649BBE9" w14:textId="77777777" w:rsidR="00596332" w:rsidRPr="00E41D40" w:rsidRDefault="00596332" w:rsidP="00642879">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Total from local appropriations</w:t>
            </w:r>
          </w:p>
        </w:tc>
        <w:tc>
          <w:tcPr>
            <w:tcW w:w="1350" w:type="dxa"/>
            <w:tcBorders>
              <w:top w:val="nil"/>
              <w:left w:val="single" w:sz="4" w:space="0" w:color="auto"/>
              <w:bottom w:val="single" w:sz="4" w:space="0" w:color="auto"/>
              <w:right w:val="single" w:sz="4" w:space="0" w:color="auto"/>
            </w:tcBorders>
            <w:shd w:val="clear" w:color="auto" w:fill="auto"/>
            <w:noWrap/>
          </w:tcPr>
          <w:p w14:paraId="55BA8F71" w14:textId="77777777" w:rsidR="00596332" w:rsidRPr="00166B6B" w:rsidRDefault="00596332" w:rsidP="00642879">
            <w:pPr>
              <w:spacing w:after="0" w:line="240" w:lineRule="auto"/>
              <w:jc w:val="center"/>
              <w:rPr>
                <w:sz w:val="20"/>
                <w:szCs w:val="20"/>
              </w:rPr>
            </w:pPr>
            <w:r w:rsidRPr="00166B6B">
              <w:rPr>
                <w:sz w:val="20"/>
                <w:szCs w:val="20"/>
              </w:rPr>
              <w:t>$47,156,124</w:t>
            </w:r>
          </w:p>
        </w:tc>
        <w:tc>
          <w:tcPr>
            <w:tcW w:w="1360" w:type="dxa"/>
            <w:gridSpan w:val="2"/>
            <w:tcBorders>
              <w:top w:val="nil"/>
              <w:left w:val="nil"/>
              <w:bottom w:val="single" w:sz="4" w:space="0" w:color="auto"/>
              <w:right w:val="single" w:sz="4" w:space="0" w:color="auto"/>
            </w:tcBorders>
            <w:shd w:val="clear" w:color="auto" w:fill="auto"/>
            <w:noWrap/>
          </w:tcPr>
          <w:p w14:paraId="711DCBEC" w14:textId="77777777" w:rsidR="00596332" w:rsidRPr="00166B6B" w:rsidRDefault="00596332" w:rsidP="00642879">
            <w:pPr>
              <w:spacing w:after="0" w:line="240" w:lineRule="auto"/>
              <w:jc w:val="center"/>
              <w:rPr>
                <w:sz w:val="20"/>
                <w:szCs w:val="20"/>
              </w:rPr>
            </w:pPr>
            <w:r w:rsidRPr="00166B6B">
              <w:rPr>
                <w:sz w:val="20"/>
                <w:szCs w:val="20"/>
              </w:rPr>
              <w:t>$58,282,045</w:t>
            </w:r>
          </w:p>
        </w:tc>
        <w:tc>
          <w:tcPr>
            <w:tcW w:w="1430" w:type="dxa"/>
            <w:gridSpan w:val="2"/>
            <w:tcBorders>
              <w:top w:val="nil"/>
              <w:left w:val="nil"/>
              <w:bottom w:val="single" w:sz="4" w:space="0" w:color="auto"/>
              <w:right w:val="single" w:sz="4" w:space="0" w:color="auto"/>
            </w:tcBorders>
            <w:shd w:val="clear" w:color="auto" w:fill="auto"/>
            <w:noWrap/>
          </w:tcPr>
          <w:p w14:paraId="1F250FD4" w14:textId="77777777" w:rsidR="00596332" w:rsidRPr="00166B6B" w:rsidRDefault="00596332" w:rsidP="00642879">
            <w:pPr>
              <w:spacing w:after="0" w:line="240" w:lineRule="auto"/>
              <w:jc w:val="center"/>
              <w:rPr>
                <w:sz w:val="20"/>
                <w:szCs w:val="20"/>
              </w:rPr>
            </w:pPr>
            <w:r w:rsidRPr="00166B6B">
              <w:rPr>
                <w:sz w:val="20"/>
                <w:szCs w:val="20"/>
              </w:rPr>
              <w:t>$51,214,054</w:t>
            </w:r>
          </w:p>
        </w:tc>
        <w:tc>
          <w:tcPr>
            <w:tcW w:w="1350" w:type="dxa"/>
            <w:gridSpan w:val="2"/>
            <w:tcBorders>
              <w:top w:val="nil"/>
              <w:left w:val="nil"/>
              <w:bottom w:val="single" w:sz="4" w:space="0" w:color="auto"/>
              <w:right w:val="single" w:sz="4" w:space="0" w:color="auto"/>
            </w:tcBorders>
            <w:shd w:val="clear" w:color="auto" w:fill="auto"/>
            <w:noWrap/>
          </w:tcPr>
          <w:p w14:paraId="6BDCEB7D" w14:textId="77777777" w:rsidR="00596332" w:rsidRPr="00166B6B" w:rsidRDefault="00596332" w:rsidP="00642879">
            <w:pPr>
              <w:spacing w:after="0" w:line="240" w:lineRule="auto"/>
              <w:jc w:val="center"/>
              <w:rPr>
                <w:sz w:val="20"/>
                <w:szCs w:val="20"/>
              </w:rPr>
            </w:pPr>
            <w:r w:rsidRPr="00166B6B">
              <w:rPr>
                <w:sz w:val="20"/>
                <w:szCs w:val="20"/>
              </w:rPr>
              <w:t>$53,575,030</w:t>
            </w:r>
          </w:p>
        </w:tc>
        <w:tc>
          <w:tcPr>
            <w:tcW w:w="1440" w:type="dxa"/>
            <w:gridSpan w:val="2"/>
            <w:tcBorders>
              <w:left w:val="single" w:sz="12" w:space="0" w:color="auto"/>
            </w:tcBorders>
            <w:noWrap/>
          </w:tcPr>
          <w:p w14:paraId="15431273" w14:textId="23CE7D26" w:rsidR="00596332" w:rsidRPr="00166B6B" w:rsidRDefault="00F3192E" w:rsidP="00642879">
            <w:pPr>
              <w:spacing w:after="0" w:line="240" w:lineRule="auto"/>
              <w:jc w:val="center"/>
              <w:rPr>
                <w:sz w:val="20"/>
                <w:szCs w:val="20"/>
              </w:rPr>
            </w:pPr>
            <w:r>
              <w:rPr>
                <w:sz w:val="20"/>
                <w:szCs w:val="20"/>
              </w:rPr>
              <w:t>$53,638,226</w:t>
            </w:r>
          </w:p>
        </w:tc>
        <w:tc>
          <w:tcPr>
            <w:tcW w:w="1260" w:type="dxa"/>
            <w:tcBorders>
              <w:left w:val="single" w:sz="12" w:space="0" w:color="auto"/>
            </w:tcBorders>
          </w:tcPr>
          <w:p w14:paraId="492778F4" w14:textId="43A3CF41" w:rsidR="00596332" w:rsidRPr="00166B6B" w:rsidRDefault="00F3192E" w:rsidP="00642879">
            <w:pPr>
              <w:spacing w:after="0" w:line="240" w:lineRule="auto"/>
              <w:jc w:val="center"/>
              <w:rPr>
                <w:sz w:val="20"/>
                <w:szCs w:val="20"/>
              </w:rPr>
            </w:pPr>
            <w:r>
              <w:rPr>
                <w:sz w:val="20"/>
                <w:szCs w:val="20"/>
              </w:rPr>
              <w:t>$53,189,369</w:t>
            </w:r>
          </w:p>
        </w:tc>
      </w:tr>
      <w:tr w:rsidR="00596332" w:rsidRPr="00E41D40" w14:paraId="4E9438C9" w14:textId="77777777" w:rsidTr="00DF5AC6">
        <w:trPr>
          <w:trHeight w:val="300"/>
        </w:trPr>
        <w:tc>
          <w:tcPr>
            <w:tcW w:w="3420" w:type="dxa"/>
            <w:tcBorders>
              <w:right w:val="single" w:sz="12" w:space="0" w:color="auto"/>
            </w:tcBorders>
          </w:tcPr>
          <w:p w14:paraId="6DBD1658" w14:textId="77777777" w:rsidR="00596332" w:rsidRPr="00E41D40" w:rsidRDefault="00596332" w:rsidP="00642879">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From revolving funds and grants</w:t>
            </w:r>
          </w:p>
        </w:tc>
        <w:tc>
          <w:tcPr>
            <w:tcW w:w="1350" w:type="dxa"/>
            <w:tcBorders>
              <w:top w:val="nil"/>
              <w:left w:val="single" w:sz="4" w:space="0" w:color="auto"/>
              <w:bottom w:val="single" w:sz="4" w:space="0" w:color="auto"/>
              <w:right w:val="single" w:sz="4" w:space="0" w:color="auto"/>
            </w:tcBorders>
            <w:shd w:val="clear" w:color="auto" w:fill="auto"/>
            <w:noWrap/>
          </w:tcPr>
          <w:p w14:paraId="0A0F2110" w14:textId="77777777" w:rsidR="00596332" w:rsidRPr="00166B6B" w:rsidRDefault="00596332" w:rsidP="00642879">
            <w:pPr>
              <w:spacing w:after="0" w:line="240" w:lineRule="auto"/>
              <w:jc w:val="center"/>
              <w:rPr>
                <w:sz w:val="20"/>
                <w:szCs w:val="20"/>
              </w:rPr>
            </w:pPr>
            <w:r w:rsidRPr="00166B6B">
              <w:rPr>
                <w:sz w:val="20"/>
                <w:szCs w:val="20"/>
              </w:rPr>
              <w:t>--</w:t>
            </w:r>
          </w:p>
        </w:tc>
        <w:tc>
          <w:tcPr>
            <w:tcW w:w="1360" w:type="dxa"/>
            <w:gridSpan w:val="2"/>
            <w:tcBorders>
              <w:top w:val="nil"/>
              <w:left w:val="nil"/>
              <w:bottom w:val="single" w:sz="4" w:space="0" w:color="auto"/>
              <w:right w:val="single" w:sz="4" w:space="0" w:color="auto"/>
            </w:tcBorders>
            <w:shd w:val="clear" w:color="auto" w:fill="auto"/>
            <w:noWrap/>
          </w:tcPr>
          <w:p w14:paraId="0174164B" w14:textId="77777777" w:rsidR="00596332" w:rsidRPr="00166B6B" w:rsidRDefault="00596332" w:rsidP="00642879">
            <w:pPr>
              <w:spacing w:after="0" w:line="240" w:lineRule="auto"/>
              <w:jc w:val="center"/>
              <w:rPr>
                <w:sz w:val="20"/>
                <w:szCs w:val="20"/>
              </w:rPr>
            </w:pPr>
            <w:r w:rsidRPr="00166B6B">
              <w:rPr>
                <w:sz w:val="20"/>
                <w:szCs w:val="20"/>
              </w:rPr>
              <w:t>$6,000,006</w:t>
            </w:r>
          </w:p>
        </w:tc>
        <w:tc>
          <w:tcPr>
            <w:tcW w:w="1430" w:type="dxa"/>
            <w:gridSpan w:val="2"/>
            <w:tcBorders>
              <w:top w:val="nil"/>
              <w:left w:val="nil"/>
              <w:bottom w:val="single" w:sz="4" w:space="0" w:color="auto"/>
              <w:right w:val="single" w:sz="4" w:space="0" w:color="auto"/>
            </w:tcBorders>
            <w:shd w:val="clear" w:color="auto" w:fill="auto"/>
            <w:noWrap/>
          </w:tcPr>
          <w:p w14:paraId="5D87E68E" w14:textId="77777777" w:rsidR="00596332" w:rsidRPr="00166B6B" w:rsidRDefault="00596332" w:rsidP="00642879">
            <w:pPr>
              <w:spacing w:after="0" w:line="240" w:lineRule="auto"/>
              <w:jc w:val="center"/>
              <w:rPr>
                <w:sz w:val="20"/>
                <w:szCs w:val="20"/>
              </w:rPr>
            </w:pPr>
            <w:r w:rsidRPr="00166B6B">
              <w:rPr>
                <w:sz w:val="20"/>
                <w:szCs w:val="20"/>
              </w:rPr>
              <w:t>--</w:t>
            </w:r>
          </w:p>
        </w:tc>
        <w:tc>
          <w:tcPr>
            <w:tcW w:w="1350" w:type="dxa"/>
            <w:gridSpan w:val="2"/>
            <w:tcBorders>
              <w:top w:val="nil"/>
              <w:left w:val="nil"/>
              <w:bottom w:val="single" w:sz="4" w:space="0" w:color="auto"/>
              <w:right w:val="single" w:sz="4" w:space="0" w:color="auto"/>
            </w:tcBorders>
            <w:shd w:val="clear" w:color="auto" w:fill="auto"/>
            <w:noWrap/>
          </w:tcPr>
          <w:p w14:paraId="41A4AEFA" w14:textId="77777777" w:rsidR="00596332" w:rsidRPr="00166B6B" w:rsidRDefault="00596332" w:rsidP="00642879">
            <w:pPr>
              <w:spacing w:after="0" w:line="240" w:lineRule="auto"/>
              <w:jc w:val="center"/>
              <w:rPr>
                <w:sz w:val="20"/>
                <w:szCs w:val="20"/>
              </w:rPr>
            </w:pPr>
            <w:r w:rsidRPr="00166B6B">
              <w:rPr>
                <w:sz w:val="20"/>
                <w:szCs w:val="20"/>
              </w:rPr>
              <w:t>$5,733,603</w:t>
            </w:r>
          </w:p>
        </w:tc>
        <w:tc>
          <w:tcPr>
            <w:tcW w:w="1440" w:type="dxa"/>
            <w:gridSpan w:val="2"/>
            <w:tcBorders>
              <w:left w:val="single" w:sz="12" w:space="0" w:color="auto"/>
            </w:tcBorders>
            <w:noWrap/>
          </w:tcPr>
          <w:p w14:paraId="65D98682" w14:textId="77777777" w:rsidR="00596332" w:rsidRPr="00166B6B" w:rsidRDefault="00596332" w:rsidP="00642879">
            <w:pPr>
              <w:spacing w:after="0" w:line="240" w:lineRule="auto"/>
              <w:jc w:val="center"/>
              <w:rPr>
                <w:sz w:val="20"/>
                <w:szCs w:val="20"/>
              </w:rPr>
            </w:pPr>
            <w:r w:rsidRPr="00166B6B">
              <w:rPr>
                <w:sz w:val="20"/>
                <w:szCs w:val="20"/>
              </w:rPr>
              <w:t>--</w:t>
            </w:r>
          </w:p>
        </w:tc>
        <w:tc>
          <w:tcPr>
            <w:tcW w:w="1260" w:type="dxa"/>
            <w:tcBorders>
              <w:left w:val="single" w:sz="12" w:space="0" w:color="auto"/>
            </w:tcBorders>
          </w:tcPr>
          <w:p w14:paraId="650A1353" w14:textId="7E52D025" w:rsidR="00596332" w:rsidRPr="00166B6B" w:rsidRDefault="00F3192E" w:rsidP="00642879">
            <w:pPr>
              <w:spacing w:after="0" w:line="240" w:lineRule="auto"/>
              <w:jc w:val="center"/>
              <w:rPr>
                <w:sz w:val="20"/>
                <w:szCs w:val="20"/>
              </w:rPr>
            </w:pPr>
            <w:r>
              <w:rPr>
                <w:sz w:val="20"/>
                <w:szCs w:val="20"/>
              </w:rPr>
              <w:t>$6,526,731</w:t>
            </w:r>
          </w:p>
        </w:tc>
      </w:tr>
      <w:tr w:rsidR="00596332" w:rsidRPr="00E41D40" w14:paraId="129F3F25" w14:textId="77777777" w:rsidTr="00DF5AC6">
        <w:trPr>
          <w:trHeight w:val="315"/>
        </w:trPr>
        <w:tc>
          <w:tcPr>
            <w:tcW w:w="3420" w:type="dxa"/>
            <w:tcBorders>
              <w:right w:val="single" w:sz="12" w:space="0" w:color="auto"/>
            </w:tcBorders>
          </w:tcPr>
          <w:p w14:paraId="2753447F" w14:textId="77777777" w:rsidR="00596332" w:rsidRPr="00E41D40" w:rsidRDefault="00596332" w:rsidP="00642879">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Total expenditures</w:t>
            </w:r>
          </w:p>
        </w:tc>
        <w:tc>
          <w:tcPr>
            <w:tcW w:w="1350" w:type="dxa"/>
            <w:tcBorders>
              <w:top w:val="nil"/>
              <w:left w:val="single" w:sz="4" w:space="0" w:color="auto"/>
              <w:bottom w:val="single" w:sz="4" w:space="0" w:color="auto"/>
              <w:right w:val="single" w:sz="4" w:space="0" w:color="auto"/>
            </w:tcBorders>
            <w:shd w:val="clear" w:color="auto" w:fill="auto"/>
            <w:noWrap/>
          </w:tcPr>
          <w:p w14:paraId="40778EEF" w14:textId="77777777" w:rsidR="00596332" w:rsidRPr="00166B6B" w:rsidRDefault="00596332" w:rsidP="00642879">
            <w:pPr>
              <w:spacing w:after="0" w:line="240" w:lineRule="auto"/>
              <w:jc w:val="center"/>
              <w:rPr>
                <w:sz w:val="20"/>
                <w:szCs w:val="20"/>
              </w:rPr>
            </w:pPr>
            <w:r w:rsidRPr="00166B6B">
              <w:rPr>
                <w:sz w:val="20"/>
                <w:szCs w:val="20"/>
              </w:rPr>
              <w:t>--</w:t>
            </w:r>
          </w:p>
        </w:tc>
        <w:tc>
          <w:tcPr>
            <w:tcW w:w="1360" w:type="dxa"/>
            <w:gridSpan w:val="2"/>
            <w:tcBorders>
              <w:top w:val="nil"/>
              <w:left w:val="nil"/>
              <w:bottom w:val="single" w:sz="4" w:space="0" w:color="auto"/>
              <w:right w:val="single" w:sz="4" w:space="0" w:color="auto"/>
            </w:tcBorders>
            <w:shd w:val="clear" w:color="auto" w:fill="auto"/>
            <w:noWrap/>
          </w:tcPr>
          <w:p w14:paraId="45B335A6" w14:textId="77777777" w:rsidR="00596332" w:rsidRPr="00166B6B" w:rsidRDefault="00596332" w:rsidP="00642879">
            <w:pPr>
              <w:spacing w:after="0" w:line="240" w:lineRule="auto"/>
              <w:jc w:val="center"/>
              <w:rPr>
                <w:sz w:val="20"/>
                <w:szCs w:val="20"/>
              </w:rPr>
            </w:pPr>
            <w:r w:rsidRPr="00166B6B">
              <w:rPr>
                <w:sz w:val="20"/>
                <w:szCs w:val="20"/>
              </w:rPr>
              <w:t>$64,282,051</w:t>
            </w:r>
          </w:p>
        </w:tc>
        <w:tc>
          <w:tcPr>
            <w:tcW w:w="1430" w:type="dxa"/>
            <w:gridSpan w:val="2"/>
            <w:tcBorders>
              <w:top w:val="nil"/>
              <w:left w:val="nil"/>
              <w:bottom w:val="single" w:sz="4" w:space="0" w:color="auto"/>
              <w:right w:val="single" w:sz="4" w:space="0" w:color="auto"/>
            </w:tcBorders>
            <w:shd w:val="clear" w:color="auto" w:fill="auto"/>
            <w:noWrap/>
          </w:tcPr>
          <w:p w14:paraId="071DFE72" w14:textId="77777777" w:rsidR="00596332" w:rsidRPr="00166B6B" w:rsidRDefault="00596332" w:rsidP="00642879">
            <w:pPr>
              <w:spacing w:after="0" w:line="240" w:lineRule="auto"/>
              <w:jc w:val="center"/>
              <w:rPr>
                <w:sz w:val="20"/>
                <w:szCs w:val="20"/>
              </w:rPr>
            </w:pPr>
            <w:r w:rsidRPr="00166B6B">
              <w:rPr>
                <w:sz w:val="20"/>
                <w:szCs w:val="20"/>
              </w:rPr>
              <w:t>--</w:t>
            </w:r>
          </w:p>
        </w:tc>
        <w:tc>
          <w:tcPr>
            <w:tcW w:w="1350" w:type="dxa"/>
            <w:gridSpan w:val="2"/>
            <w:tcBorders>
              <w:top w:val="nil"/>
              <w:left w:val="nil"/>
              <w:bottom w:val="single" w:sz="4" w:space="0" w:color="auto"/>
              <w:right w:val="single" w:sz="4" w:space="0" w:color="auto"/>
            </w:tcBorders>
            <w:shd w:val="clear" w:color="auto" w:fill="auto"/>
            <w:noWrap/>
          </w:tcPr>
          <w:p w14:paraId="24B7066D" w14:textId="77777777" w:rsidR="00596332" w:rsidRPr="00166B6B" w:rsidRDefault="00596332" w:rsidP="00642879">
            <w:pPr>
              <w:spacing w:after="0" w:line="240" w:lineRule="auto"/>
              <w:jc w:val="center"/>
              <w:rPr>
                <w:sz w:val="20"/>
                <w:szCs w:val="20"/>
              </w:rPr>
            </w:pPr>
            <w:r w:rsidRPr="00166B6B">
              <w:rPr>
                <w:sz w:val="20"/>
                <w:szCs w:val="20"/>
              </w:rPr>
              <w:t>$59,308,633</w:t>
            </w:r>
          </w:p>
        </w:tc>
        <w:tc>
          <w:tcPr>
            <w:tcW w:w="1440" w:type="dxa"/>
            <w:gridSpan w:val="2"/>
            <w:tcBorders>
              <w:left w:val="single" w:sz="12" w:space="0" w:color="auto"/>
            </w:tcBorders>
            <w:noWrap/>
          </w:tcPr>
          <w:p w14:paraId="1C7E411E" w14:textId="77777777" w:rsidR="00596332" w:rsidRPr="00166B6B" w:rsidRDefault="00596332" w:rsidP="00642879">
            <w:pPr>
              <w:spacing w:after="0" w:line="240" w:lineRule="auto"/>
              <w:jc w:val="center"/>
              <w:rPr>
                <w:sz w:val="20"/>
                <w:szCs w:val="20"/>
              </w:rPr>
            </w:pPr>
            <w:r w:rsidRPr="00166B6B">
              <w:rPr>
                <w:sz w:val="20"/>
                <w:szCs w:val="20"/>
              </w:rPr>
              <w:t>--</w:t>
            </w:r>
          </w:p>
        </w:tc>
        <w:tc>
          <w:tcPr>
            <w:tcW w:w="1260" w:type="dxa"/>
            <w:tcBorders>
              <w:left w:val="single" w:sz="12" w:space="0" w:color="auto"/>
            </w:tcBorders>
          </w:tcPr>
          <w:p w14:paraId="3294D43F" w14:textId="4A080BFC" w:rsidR="00596332" w:rsidRPr="00166B6B" w:rsidRDefault="00F3192E" w:rsidP="00642879">
            <w:pPr>
              <w:spacing w:after="0" w:line="240" w:lineRule="auto"/>
              <w:jc w:val="center"/>
              <w:rPr>
                <w:sz w:val="20"/>
                <w:szCs w:val="20"/>
              </w:rPr>
            </w:pPr>
            <w:r>
              <w:rPr>
                <w:sz w:val="20"/>
                <w:szCs w:val="20"/>
              </w:rPr>
              <w:t>$59,716,100</w:t>
            </w:r>
          </w:p>
        </w:tc>
      </w:tr>
      <w:tr w:rsidR="00596332" w:rsidRPr="00E41D40" w14:paraId="5798A5A7" w14:textId="77777777" w:rsidTr="00DF5AC6">
        <w:trPr>
          <w:trHeight w:val="315"/>
        </w:trPr>
        <w:tc>
          <w:tcPr>
            <w:tcW w:w="11610" w:type="dxa"/>
            <w:gridSpan w:val="11"/>
            <w:shd w:val="clear" w:color="auto" w:fill="E6E6E6"/>
          </w:tcPr>
          <w:p w14:paraId="02462225" w14:textId="77777777" w:rsidR="00596332" w:rsidRPr="00E41D40" w:rsidRDefault="00596332" w:rsidP="00642879">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Chapter 70 aid to education program</w:t>
            </w:r>
          </w:p>
        </w:tc>
      </w:tr>
      <w:tr w:rsidR="00596332" w:rsidRPr="00E41D40" w14:paraId="2C4F4145" w14:textId="77777777" w:rsidTr="00DF5AC6">
        <w:trPr>
          <w:trHeight w:val="300"/>
        </w:trPr>
        <w:tc>
          <w:tcPr>
            <w:tcW w:w="3420" w:type="dxa"/>
            <w:tcBorders>
              <w:right w:val="single" w:sz="12" w:space="0" w:color="auto"/>
            </w:tcBorders>
            <w:noWrap/>
          </w:tcPr>
          <w:p w14:paraId="1617EB10" w14:textId="77777777" w:rsidR="00596332" w:rsidRPr="00E41D40" w:rsidRDefault="00596332" w:rsidP="00642879">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Chapter 70 state aid*</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2EA184CD" w14:textId="77777777" w:rsidR="00596332" w:rsidRPr="00166B6B" w:rsidRDefault="00596332" w:rsidP="00642879">
            <w:pPr>
              <w:spacing w:after="0" w:line="240" w:lineRule="auto"/>
              <w:jc w:val="center"/>
              <w:rPr>
                <w:sz w:val="20"/>
                <w:szCs w:val="20"/>
              </w:rPr>
            </w:pPr>
            <w:r w:rsidRPr="00166B6B">
              <w:rPr>
                <w:sz w:val="20"/>
                <w:szCs w:val="20"/>
              </w:rPr>
              <w:t>--</w:t>
            </w:r>
          </w:p>
        </w:tc>
        <w:tc>
          <w:tcPr>
            <w:tcW w:w="1360" w:type="dxa"/>
            <w:gridSpan w:val="2"/>
            <w:tcBorders>
              <w:top w:val="single" w:sz="4" w:space="0" w:color="auto"/>
              <w:left w:val="nil"/>
              <w:bottom w:val="single" w:sz="4" w:space="0" w:color="auto"/>
              <w:right w:val="single" w:sz="4" w:space="0" w:color="auto"/>
            </w:tcBorders>
            <w:shd w:val="clear" w:color="auto" w:fill="auto"/>
            <w:noWrap/>
          </w:tcPr>
          <w:p w14:paraId="05708AF6" w14:textId="77777777" w:rsidR="00596332" w:rsidRPr="00166B6B" w:rsidRDefault="00596332" w:rsidP="00642879">
            <w:pPr>
              <w:spacing w:after="0" w:line="240" w:lineRule="auto"/>
              <w:jc w:val="center"/>
              <w:rPr>
                <w:sz w:val="20"/>
                <w:szCs w:val="20"/>
              </w:rPr>
            </w:pPr>
            <w:r w:rsidRPr="00166B6B">
              <w:rPr>
                <w:sz w:val="20"/>
                <w:szCs w:val="20"/>
              </w:rPr>
              <w:t>$5,317,017</w:t>
            </w:r>
          </w:p>
        </w:tc>
        <w:tc>
          <w:tcPr>
            <w:tcW w:w="1430" w:type="dxa"/>
            <w:gridSpan w:val="2"/>
            <w:tcBorders>
              <w:top w:val="single" w:sz="4" w:space="0" w:color="auto"/>
              <w:left w:val="nil"/>
              <w:bottom w:val="single" w:sz="4" w:space="0" w:color="auto"/>
              <w:right w:val="single" w:sz="4" w:space="0" w:color="auto"/>
            </w:tcBorders>
            <w:shd w:val="clear" w:color="auto" w:fill="auto"/>
            <w:noWrap/>
          </w:tcPr>
          <w:p w14:paraId="498FB4B7" w14:textId="77777777" w:rsidR="00596332" w:rsidRPr="00166B6B" w:rsidRDefault="00596332" w:rsidP="00642879">
            <w:pPr>
              <w:spacing w:after="0" w:line="240" w:lineRule="auto"/>
              <w:jc w:val="center"/>
              <w:rPr>
                <w:sz w:val="20"/>
                <w:szCs w:val="20"/>
              </w:rPr>
            </w:pPr>
            <w:r w:rsidRPr="00166B6B">
              <w:rPr>
                <w:sz w:val="20"/>
                <w:szCs w:val="20"/>
              </w:rPr>
              <w:t>--</w:t>
            </w:r>
          </w:p>
        </w:tc>
        <w:tc>
          <w:tcPr>
            <w:tcW w:w="1350" w:type="dxa"/>
            <w:gridSpan w:val="2"/>
            <w:tcBorders>
              <w:top w:val="single" w:sz="4" w:space="0" w:color="auto"/>
              <w:left w:val="nil"/>
              <w:bottom w:val="single" w:sz="4" w:space="0" w:color="auto"/>
              <w:right w:val="single" w:sz="4" w:space="0" w:color="auto"/>
            </w:tcBorders>
            <w:shd w:val="clear" w:color="auto" w:fill="auto"/>
            <w:noWrap/>
          </w:tcPr>
          <w:p w14:paraId="2914B6E9" w14:textId="77777777" w:rsidR="00596332" w:rsidRPr="00166B6B" w:rsidRDefault="00596332" w:rsidP="00642879">
            <w:pPr>
              <w:spacing w:after="0" w:line="240" w:lineRule="auto"/>
              <w:jc w:val="center"/>
              <w:rPr>
                <w:sz w:val="20"/>
                <w:szCs w:val="20"/>
              </w:rPr>
            </w:pPr>
            <w:r w:rsidRPr="00166B6B">
              <w:rPr>
                <w:sz w:val="20"/>
                <w:szCs w:val="20"/>
              </w:rPr>
              <w:t>$5,401,367</w:t>
            </w:r>
          </w:p>
        </w:tc>
        <w:tc>
          <w:tcPr>
            <w:tcW w:w="1440" w:type="dxa"/>
            <w:gridSpan w:val="2"/>
            <w:tcBorders>
              <w:top w:val="single" w:sz="4" w:space="0" w:color="auto"/>
              <w:left w:val="nil"/>
              <w:bottom w:val="single" w:sz="4" w:space="0" w:color="auto"/>
              <w:right w:val="single" w:sz="4" w:space="0" w:color="auto"/>
            </w:tcBorders>
            <w:shd w:val="clear" w:color="auto" w:fill="auto"/>
            <w:noWrap/>
          </w:tcPr>
          <w:p w14:paraId="1AB9C7BD" w14:textId="77777777" w:rsidR="00596332" w:rsidRPr="00166B6B" w:rsidRDefault="00596332" w:rsidP="00642879">
            <w:pPr>
              <w:spacing w:after="0" w:line="240" w:lineRule="auto"/>
              <w:jc w:val="center"/>
              <w:rPr>
                <w:sz w:val="20"/>
                <w:szCs w:val="20"/>
              </w:rPr>
            </w:pPr>
            <w:r w:rsidRPr="00166B6B">
              <w:rPr>
                <w:sz w:val="20"/>
                <w:szCs w:val="20"/>
              </w:rPr>
              <w:t>--</w:t>
            </w:r>
          </w:p>
        </w:tc>
        <w:tc>
          <w:tcPr>
            <w:tcW w:w="1260" w:type="dxa"/>
            <w:tcBorders>
              <w:top w:val="single" w:sz="4" w:space="0" w:color="auto"/>
              <w:left w:val="nil"/>
              <w:bottom w:val="single" w:sz="4" w:space="0" w:color="auto"/>
              <w:right w:val="single" w:sz="4" w:space="0" w:color="auto"/>
            </w:tcBorders>
            <w:shd w:val="clear" w:color="auto" w:fill="auto"/>
          </w:tcPr>
          <w:p w14:paraId="64304EE3" w14:textId="77777777" w:rsidR="00596332" w:rsidRPr="00166B6B" w:rsidRDefault="00596332" w:rsidP="00642879">
            <w:pPr>
              <w:spacing w:after="0" w:line="240" w:lineRule="auto"/>
              <w:jc w:val="center"/>
              <w:rPr>
                <w:sz w:val="20"/>
                <w:szCs w:val="20"/>
              </w:rPr>
            </w:pPr>
            <w:r w:rsidRPr="00166B6B">
              <w:rPr>
                <w:sz w:val="20"/>
                <w:szCs w:val="20"/>
              </w:rPr>
              <w:t>$5,844,577</w:t>
            </w:r>
          </w:p>
        </w:tc>
      </w:tr>
      <w:tr w:rsidR="00596332" w:rsidRPr="00E41D40" w14:paraId="48AE4A51" w14:textId="77777777" w:rsidTr="00DF5AC6">
        <w:trPr>
          <w:trHeight w:val="300"/>
        </w:trPr>
        <w:tc>
          <w:tcPr>
            <w:tcW w:w="3420" w:type="dxa"/>
            <w:tcBorders>
              <w:right w:val="single" w:sz="12" w:space="0" w:color="auto"/>
            </w:tcBorders>
            <w:noWrap/>
          </w:tcPr>
          <w:p w14:paraId="7787AFA2" w14:textId="77777777" w:rsidR="00596332" w:rsidRPr="00E41D40" w:rsidRDefault="00596332" w:rsidP="00642879">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Required local contribution</w:t>
            </w:r>
          </w:p>
        </w:tc>
        <w:tc>
          <w:tcPr>
            <w:tcW w:w="1350" w:type="dxa"/>
            <w:tcBorders>
              <w:top w:val="nil"/>
              <w:left w:val="single" w:sz="4" w:space="0" w:color="auto"/>
              <w:bottom w:val="single" w:sz="4" w:space="0" w:color="auto"/>
              <w:right w:val="single" w:sz="4" w:space="0" w:color="auto"/>
            </w:tcBorders>
            <w:shd w:val="clear" w:color="auto" w:fill="auto"/>
            <w:noWrap/>
          </w:tcPr>
          <w:p w14:paraId="2B69C334" w14:textId="77777777" w:rsidR="00596332" w:rsidRPr="00166B6B" w:rsidRDefault="00596332" w:rsidP="00642879">
            <w:pPr>
              <w:spacing w:after="0" w:line="240" w:lineRule="auto"/>
              <w:jc w:val="center"/>
              <w:rPr>
                <w:sz w:val="20"/>
                <w:szCs w:val="20"/>
              </w:rPr>
            </w:pPr>
            <w:r w:rsidRPr="00166B6B">
              <w:rPr>
                <w:sz w:val="20"/>
                <w:szCs w:val="20"/>
              </w:rPr>
              <w:t>--</w:t>
            </w:r>
          </w:p>
        </w:tc>
        <w:tc>
          <w:tcPr>
            <w:tcW w:w="1360" w:type="dxa"/>
            <w:gridSpan w:val="2"/>
            <w:tcBorders>
              <w:top w:val="nil"/>
              <w:left w:val="nil"/>
              <w:bottom w:val="single" w:sz="4" w:space="0" w:color="auto"/>
              <w:right w:val="single" w:sz="4" w:space="0" w:color="auto"/>
            </w:tcBorders>
            <w:shd w:val="clear" w:color="auto" w:fill="auto"/>
            <w:noWrap/>
          </w:tcPr>
          <w:p w14:paraId="1372645B" w14:textId="77777777" w:rsidR="00596332" w:rsidRPr="00166B6B" w:rsidRDefault="00596332" w:rsidP="00642879">
            <w:pPr>
              <w:spacing w:after="0" w:line="240" w:lineRule="auto"/>
              <w:jc w:val="center"/>
              <w:rPr>
                <w:sz w:val="20"/>
                <w:szCs w:val="20"/>
              </w:rPr>
            </w:pPr>
            <w:r w:rsidRPr="00166B6B">
              <w:rPr>
                <w:sz w:val="20"/>
                <w:szCs w:val="20"/>
              </w:rPr>
              <w:t>$27,532,408</w:t>
            </w:r>
          </w:p>
        </w:tc>
        <w:tc>
          <w:tcPr>
            <w:tcW w:w="1430" w:type="dxa"/>
            <w:gridSpan w:val="2"/>
            <w:tcBorders>
              <w:top w:val="nil"/>
              <w:left w:val="nil"/>
              <w:bottom w:val="single" w:sz="4" w:space="0" w:color="auto"/>
              <w:right w:val="single" w:sz="4" w:space="0" w:color="auto"/>
            </w:tcBorders>
            <w:shd w:val="clear" w:color="auto" w:fill="auto"/>
            <w:noWrap/>
          </w:tcPr>
          <w:p w14:paraId="2680AEF5" w14:textId="77777777" w:rsidR="00596332" w:rsidRPr="00166B6B" w:rsidRDefault="00596332" w:rsidP="00642879">
            <w:pPr>
              <w:spacing w:after="0" w:line="240" w:lineRule="auto"/>
              <w:jc w:val="center"/>
              <w:rPr>
                <w:sz w:val="20"/>
                <w:szCs w:val="20"/>
              </w:rPr>
            </w:pPr>
            <w:r w:rsidRPr="00166B6B">
              <w:rPr>
                <w:sz w:val="20"/>
                <w:szCs w:val="20"/>
              </w:rPr>
              <w:t>--</w:t>
            </w:r>
          </w:p>
        </w:tc>
        <w:tc>
          <w:tcPr>
            <w:tcW w:w="1350" w:type="dxa"/>
            <w:gridSpan w:val="2"/>
            <w:tcBorders>
              <w:top w:val="nil"/>
              <w:left w:val="nil"/>
              <w:bottom w:val="single" w:sz="4" w:space="0" w:color="auto"/>
              <w:right w:val="single" w:sz="4" w:space="0" w:color="auto"/>
            </w:tcBorders>
            <w:shd w:val="clear" w:color="auto" w:fill="auto"/>
            <w:noWrap/>
          </w:tcPr>
          <w:p w14:paraId="31C4B3D0" w14:textId="77777777" w:rsidR="00596332" w:rsidRPr="00166B6B" w:rsidRDefault="00596332" w:rsidP="00642879">
            <w:pPr>
              <w:spacing w:after="0" w:line="240" w:lineRule="auto"/>
              <w:jc w:val="center"/>
              <w:rPr>
                <w:sz w:val="20"/>
                <w:szCs w:val="20"/>
              </w:rPr>
            </w:pPr>
            <w:r w:rsidRPr="00166B6B">
              <w:rPr>
                <w:sz w:val="20"/>
                <w:szCs w:val="20"/>
              </w:rPr>
              <w:t>$27,898,292</w:t>
            </w:r>
          </w:p>
        </w:tc>
        <w:tc>
          <w:tcPr>
            <w:tcW w:w="1440" w:type="dxa"/>
            <w:gridSpan w:val="2"/>
            <w:tcBorders>
              <w:top w:val="nil"/>
              <w:left w:val="nil"/>
              <w:bottom w:val="single" w:sz="4" w:space="0" w:color="auto"/>
              <w:right w:val="single" w:sz="4" w:space="0" w:color="auto"/>
            </w:tcBorders>
            <w:shd w:val="clear" w:color="auto" w:fill="auto"/>
            <w:noWrap/>
          </w:tcPr>
          <w:p w14:paraId="6232FEFD" w14:textId="77777777" w:rsidR="00596332" w:rsidRPr="00166B6B" w:rsidRDefault="00596332" w:rsidP="00642879">
            <w:pPr>
              <w:spacing w:after="0" w:line="240" w:lineRule="auto"/>
              <w:jc w:val="center"/>
              <w:rPr>
                <w:sz w:val="20"/>
                <w:szCs w:val="20"/>
              </w:rPr>
            </w:pPr>
            <w:r w:rsidRPr="00166B6B">
              <w:rPr>
                <w:sz w:val="20"/>
                <w:szCs w:val="20"/>
              </w:rPr>
              <w:t>--</w:t>
            </w:r>
          </w:p>
        </w:tc>
        <w:tc>
          <w:tcPr>
            <w:tcW w:w="1260" w:type="dxa"/>
            <w:tcBorders>
              <w:top w:val="nil"/>
              <w:left w:val="nil"/>
              <w:bottom w:val="single" w:sz="4" w:space="0" w:color="auto"/>
              <w:right w:val="single" w:sz="4" w:space="0" w:color="auto"/>
            </w:tcBorders>
            <w:shd w:val="clear" w:color="auto" w:fill="auto"/>
          </w:tcPr>
          <w:p w14:paraId="596D143D" w14:textId="77777777" w:rsidR="00596332" w:rsidRPr="00166B6B" w:rsidRDefault="00596332" w:rsidP="00642879">
            <w:pPr>
              <w:spacing w:after="0" w:line="240" w:lineRule="auto"/>
              <w:jc w:val="center"/>
              <w:rPr>
                <w:sz w:val="20"/>
                <w:szCs w:val="20"/>
              </w:rPr>
            </w:pPr>
            <w:r w:rsidRPr="00166B6B">
              <w:rPr>
                <w:sz w:val="20"/>
                <w:szCs w:val="20"/>
              </w:rPr>
              <w:t>$28,386,107</w:t>
            </w:r>
          </w:p>
        </w:tc>
      </w:tr>
      <w:tr w:rsidR="00596332" w:rsidRPr="00E41D40" w14:paraId="2D99E9FD" w14:textId="77777777" w:rsidTr="00DF5AC6">
        <w:trPr>
          <w:trHeight w:val="34"/>
        </w:trPr>
        <w:tc>
          <w:tcPr>
            <w:tcW w:w="3420" w:type="dxa"/>
            <w:tcBorders>
              <w:right w:val="single" w:sz="12" w:space="0" w:color="auto"/>
            </w:tcBorders>
            <w:noWrap/>
          </w:tcPr>
          <w:p w14:paraId="6165DD51" w14:textId="77777777" w:rsidR="00596332" w:rsidRPr="00E41D40" w:rsidRDefault="00596332" w:rsidP="00642879">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Required net school spending**</w:t>
            </w:r>
          </w:p>
        </w:tc>
        <w:tc>
          <w:tcPr>
            <w:tcW w:w="1350" w:type="dxa"/>
            <w:tcBorders>
              <w:top w:val="nil"/>
              <w:left w:val="single" w:sz="4" w:space="0" w:color="auto"/>
              <w:bottom w:val="single" w:sz="4" w:space="0" w:color="auto"/>
              <w:right w:val="single" w:sz="4" w:space="0" w:color="auto"/>
            </w:tcBorders>
            <w:shd w:val="clear" w:color="auto" w:fill="auto"/>
            <w:noWrap/>
          </w:tcPr>
          <w:p w14:paraId="1BE848BD" w14:textId="77777777" w:rsidR="00596332" w:rsidRPr="00166B6B" w:rsidRDefault="00596332" w:rsidP="00642879">
            <w:pPr>
              <w:spacing w:after="0" w:line="240" w:lineRule="auto"/>
              <w:jc w:val="center"/>
              <w:rPr>
                <w:sz w:val="20"/>
                <w:szCs w:val="20"/>
              </w:rPr>
            </w:pPr>
            <w:r w:rsidRPr="00166B6B">
              <w:rPr>
                <w:sz w:val="20"/>
                <w:szCs w:val="20"/>
              </w:rPr>
              <w:t>--</w:t>
            </w:r>
          </w:p>
        </w:tc>
        <w:tc>
          <w:tcPr>
            <w:tcW w:w="1360" w:type="dxa"/>
            <w:gridSpan w:val="2"/>
            <w:tcBorders>
              <w:top w:val="nil"/>
              <w:left w:val="nil"/>
              <w:bottom w:val="single" w:sz="4" w:space="0" w:color="auto"/>
              <w:right w:val="single" w:sz="4" w:space="0" w:color="auto"/>
            </w:tcBorders>
            <w:shd w:val="clear" w:color="auto" w:fill="auto"/>
            <w:noWrap/>
          </w:tcPr>
          <w:p w14:paraId="393B4C1C" w14:textId="77777777" w:rsidR="00596332" w:rsidRPr="00166B6B" w:rsidRDefault="00596332" w:rsidP="00642879">
            <w:pPr>
              <w:spacing w:after="0" w:line="240" w:lineRule="auto"/>
              <w:jc w:val="center"/>
              <w:rPr>
                <w:sz w:val="20"/>
                <w:szCs w:val="20"/>
              </w:rPr>
            </w:pPr>
            <w:r w:rsidRPr="00166B6B">
              <w:rPr>
                <w:sz w:val="20"/>
                <w:szCs w:val="20"/>
              </w:rPr>
              <w:t>$32,849,425</w:t>
            </w:r>
          </w:p>
        </w:tc>
        <w:tc>
          <w:tcPr>
            <w:tcW w:w="1430" w:type="dxa"/>
            <w:gridSpan w:val="2"/>
            <w:tcBorders>
              <w:top w:val="nil"/>
              <w:left w:val="nil"/>
              <w:bottom w:val="single" w:sz="4" w:space="0" w:color="auto"/>
              <w:right w:val="single" w:sz="4" w:space="0" w:color="auto"/>
            </w:tcBorders>
            <w:shd w:val="clear" w:color="auto" w:fill="auto"/>
            <w:noWrap/>
          </w:tcPr>
          <w:p w14:paraId="32E392A8" w14:textId="77777777" w:rsidR="00596332" w:rsidRPr="00166B6B" w:rsidRDefault="00596332" w:rsidP="00642879">
            <w:pPr>
              <w:spacing w:after="0" w:line="240" w:lineRule="auto"/>
              <w:jc w:val="center"/>
              <w:rPr>
                <w:sz w:val="20"/>
                <w:szCs w:val="20"/>
              </w:rPr>
            </w:pPr>
            <w:r w:rsidRPr="00166B6B">
              <w:rPr>
                <w:sz w:val="20"/>
                <w:szCs w:val="20"/>
              </w:rPr>
              <w:t>--</w:t>
            </w:r>
          </w:p>
        </w:tc>
        <w:tc>
          <w:tcPr>
            <w:tcW w:w="1350" w:type="dxa"/>
            <w:gridSpan w:val="2"/>
            <w:tcBorders>
              <w:top w:val="nil"/>
              <w:left w:val="nil"/>
              <w:bottom w:val="single" w:sz="4" w:space="0" w:color="auto"/>
              <w:right w:val="single" w:sz="4" w:space="0" w:color="auto"/>
            </w:tcBorders>
            <w:shd w:val="clear" w:color="auto" w:fill="auto"/>
            <w:noWrap/>
          </w:tcPr>
          <w:p w14:paraId="5F7E119E" w14:textId="77777777" w:rsidR="00596332" w:rsidRPr="00166B6B" w:rsidRDefault="00596332" w:rsidP="00642879">
            <w:pPr>
              <w:spacing w:after="0" w:line="240" w:lineRule="auto"/>
              <w:jc w:val="center"/>
              <w:rPr>
                <w:sz w:val="20"/>
                <w:szCs w:val="20"/>
              </w:rPr>
            </w:pPr>
            <w:r w:rsidRPr="00166B6B">
              <w:rPr>
                <w:sz w:val="20"/>
                <w:szCs w:val="20"/>
              </w:rPr>
              <w:t>$33,299,659</w:t>
            </w:r>
          </w:p>
        </w:tc>
        <w:tc>
          <w:tcPr>
            <w:tcW w:w="1440" w:type="dxa"/>
            <w:gridSpan w:val="2"/>
            <w:tcBorders>
              <w:top w:val="nil"/>
              <w:left w:val="nil"/>
              <w:bottom w:val="single" w:sz="4" w:space="0" w:color="auto"/>
              <w:right w:val="single" w:sz="4" w:space="0" w:color="auto"/>
            </w:tcBorders>
            <w:shd w:val="clear" w:color="auto" w:fill="auto"/>
            <w:noWrap/>
          </w:tcPr>
          <w:p w14:paraId="0276CB65" w14:textId="77777777" w:rsidR="00596332" w:rsidRPr="00166B6B" w:rsidRDefault="00596332" w:rsidP="00642879">
            <w:pPr>
              <w:spacing w:after="0" w:line="240" w:lineRule="auto"/>
              <w:jc w:val="center"/>
              <w:rPr>
                <w:sz w:val="20"/>
                <w:szCs w:val="20"/>
              </w:rPr>
            </w:pPr>
            <w:r w:rsidRPr="00166B6B">
              <w:rPr>
                <w:sz w:val="20"/>
                <w:szCs w:val="20"/>
              </w:rPr>
              <w:t>--</w:t>
            </w:r>
          </w:p>
        </w:tc>
        <w:tc>
          <w:tcPr>
            <w:tcW w:w="1260" w:type="dxa"/>
            <w:tcBorders>
              <w:top w:val="nil"/>
              <w:left w:val="nil"/>
              <w:bottom w:val="single" w:sz="4" w:space="0" w:color="auto"/>
              <w:right w:val="single" w:sz="4" w:space="0" w:color="auto"/>
            </w:tcBorders>
            <w:shd w:val="clear" w:color="auto" w:fill="auto"/>
          </w:tcPr>
          <w:p w14:paraId="226591DF" w14:textId="77777777" w:rsidR="00596332" w:rsidRPr="00166B6B" w:rsidRDefault="00596332" w:rsidP="00642879">
            <w:pPr>
              <w:spacing w:after="0" w:line="240" w:lineRule="auto"/>
              <w:jc w:val="center"/>
              <w:rPr>
                <w:sz w:val="20"/>
                <w:szCs w:val="20"/>
              </w:rPr>
            </w:pPr>
            <w:r w:rsidRPr="00166B6B">
              <w:rPr>
                <w:sz w:val="20"/>
                <w:szCs w:val="20"/>
              </w:rPr>
              <w:t>$34,230,684</w:t>
            </w:r>
          </w:p>
        </w:tc>
      </w:tr>
      <w:tr w:rsidR="00596332" w:rsidRPr="00E41D40" w14:paraId="03B43D5A" w14:textId="77777777" w:rsidTr="00DF5AC6">
        <w:trPr>
          <w:trHeight w:val="300"/>
        </w:trPr>
        <w:tc>
          <w:tcPr>
            <w:tcW w:w="3420" w:type="dxa"/>
            <w:tcBorders>
              <w:right w:val="single" w:sz="12" w:space="0" w:color="auto"/>
            </w:tcBorders>
            <w:noWrap/>
          </w:tcPr>
          <w:p w14:paraId="04B24E74" w14:textId="77777777" w:rsidR="00596332" w:rsidRPr="00E41D40" w:rsidRDefault="00596332" w:rsidP="00642879">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Actual net school spending</w:t>
            </w:r>
          </w:p>
        </w:tc>
        <w:tc>
          <w:tcPr>
            <w:tcW w:w="1350" w:type="dxa"/>
            <w:tcBorders>
              <w:top w:val="nil"/>
              <w:left w:val="single" w:sz="4" w:space="0" w:color="auto"/>
              <w:bottom w:val="single" w:sz="4" w:space="0" w:color="auto"/>
              <w:right w:val="single" w:sz="4" w:space="0" w:color="auto"/>
            </w:tcBorders>
            <w:shd w:val="clear" w:color="auto" w:fill="auto"/>
            <w:noWrap/>
          </w:tcPr>
          <w:p w14:paraId="47786CD1" w14:textId="77777777" w:rsidR="00596332" w:rsidRPr="00166B6B" w:rsidRDefault="00596332" w:rsidP="00642879">
            <w:pPr>
              <w:spacing w:after="0" w:line="240" w:lineRule="auto"/>
              <w:jc w:val="center"/>
              <w:rPr>
                <w:sz w:val="20"/>
                <w:szCs w:val="20"/>
              </w:rPr>
            </w:pPr>
            <w:r w:rsidRPr="00166B6B">
              <w:rPr>
                <w:sz w:val="20"/>
                <w:szCs w:val="20"/>
              </w:rPr>
              <w:t>--</w:t>
            </w:r>
          </w:p>
        </w:tc>
        <w:tc>
          <w:tcPr>
            <w:tcW w:w="1360" w:type="dxa"/>
            <w:gridSpan w:val="2"/>
            <w:tcBorders>
              <w:top w:val="nil"/>
              <w:left w:val="nil"/>
              <w:bottom w:val="single" w:sz="4" w:space="0" w:color="auto"/>
              <w:right w:val="single" w:sz="4" w:space="0" w:color="auto"/>
            </w:tcBorders>
            <w:shd w:val="clear" w:color="auto" w:fill="auto"/>
            <w:noWrap/>
          </w:tcPr>
          <w:p w14:paraId="71F35C00" w14:textId="77777777" w:rsidR="00596332" w:rsidRPr="00166B6B" w:rsidRDefault="00596332" w:rsidP="00642879">
            <w:pPr>
              <w:spacing w:after="0" w:line="240" w:lineRule="auto"/>
              <w:jc w:val="center"/>
              <w:rPr>
                <w:sz w:val="20"/>
                <w:szCs w:val="20"/>
              </w:rPr>
            </w:pPr>
            <w:r w:rsidRPr="00166B6B">
              <w:rPr>
                <w:sz w:val="20"/>
                <w:szCs w:val="20"/>
              </w:rPr>
              <w:t>$40,890,534</w:t>
            </w:r>
          </w:p>
        </w:tc>
        <w:tc>
          <w:tcPr>
            <w:tcW w:w="1430" w:type="dxa"/>
            <w:gridSpan w:val="2"/>
            <w:tcBorders>
              <w:top w:val="nil"/>
              <w:left w:val="nil"/>
              <w:bottom w:val="single" w:sz="4" w:space="0" w:color="auto"/>
              <w:right w:val="single" w:sz="4" w:space="0" w:color="auto"/>
            </w:tcBorders>
            <w:shd w:val="clear" w:color="auto" w:fill="auto"/>
            <w:noWrap/>
          </w:tcPr>
          <w:p w14:paraId="201D502E" w14:textId="77777777" w:rsidR="00596332" w:rsidRPr="00166B6B" w:rsidRDefault="00596332" w:rsidP="00642879">
            <w:pPr>
              <w:spacing w:after="0" w:line="240" w:lineRule="auto"/>
              <w:jc w:val="center"/>
              <w:rPr>
                <w:sz w:val="20"/>
                <w:szCs w:val="20"/>
              </w:rPr>
            </w:pPr>
            <w:r w:rsidRPr="00166B6B">
              <w:rPr>
                <w:sz w:val="20"/>
                <w:szCs w:val="20"/>
              </w:rPr>
              <w:t>--</w:t>
            </w:r>
          </w:p>
        </w:tc>
        <w:tc>
          <w:tcPr>
            <w:tcW w:w="1350" w:type="dxa"/>
            <w:gridSpan w:val="2"/>
            <w:tcBorders>
              <w:top w:val="nil"/>
              <w:left w:val="nil"/>
              <w:bottom w:val="single" w:sz="4" w:space="0" w:color="auto"/>
              <w:right w:val="single" w:sz="4" w:space="0" w:color="auto"/>
            </w:tcBorders>
            <w:shd w:val="clear" w:color="auto" w:fill="auto"/>
            <w:noWrap/>
          </w:tcPr>
          <w:p w14:paraId="1F99C902" w14:textId="77777777" w:rsidR="00596332" w:rsidRPr="00166B6B" w:rsidRDefault="00596332" w:rsidP="00642879">
            <w:pPr>
              <w:spacing w:after="0" w:line="240" w:lineRule="auto"/>
              <w:jc w:val="center"/>
              <w:rPr>
                <w:sz w:val="20"/>
                <w:szCs w:val="20"/>
              </w:rPr>
            </w:pPr>
            <w:r w:rsidRPr="00166B6B">
              <w:rPr>
                <w:sz w:val="20"/>
                <w:szCs w:val="20"/>
              </w:rPr>
              <w:t>$44,402,206</w:t>
            </w:r>
          </w:p>
        </w:tc>
        <w:tc>
          <w:tcPr>
            <w:tcW w:w="1440" w:type="dxa"/>
            <w:gridSpan w:val="2"/>
            <w:tcBorders>
              <w:top w:val="nil"/>
              <w:left w:val="nil"/>
              <w:bottom w:val="single" w:sz="4" w:space="0" w:color="auto"/>
              <w:right w:val="single" w:sz="4" w:space="0" w:color="auto"/>
            </w:tcBorders>
            <w:shd w:val="clear" w:color="auto" w:fill="auto"/>
            <w:noWrap/>
          </w:tcPr>
          <w:p w14:paraId="69C11276" w14:textId="77777777" w:rsidR="00596332" w:rsidRPr="00166B6B" w:rsidRDefault="00596332" w:rsidP="00642879">
            <w:pPr>
              <w:spacing w:after="0" w:line="240" w:lineRule="auto"/>
              <w:jc w:val="center"/>
              <w:rPr>
                <w:sz w:val="20"/>
                <w:szCs w:val="20"/>
              </w:rPr>
            </w:pPr>
            <w:r w:rsidRPr="00166B6B">
              <w:rPr>
                <w:sz w:val="20"/>
                <w:szCs w:val="20"/>
              </w:rPr>
              <w:t>--</w:t>
            </w:r>
          </w:p>
        </w:tc>
        <w:tc>
          <w:tcPr>
            <w:tcW w:w="1260" w:type="dxa"/>
            <w:tcBorders>
              <w:top w:val="nil"/>
              <w:left w:val="nil"/>
              <w:bottom w:val="single" w:sz="4" w:space="0" w:color="auto"/>
              <w:right w:val="single" w:sz="4" w:space="0" w:color="auto"/>
            </w:tcBorders>
            <w:shd w:val="clear" w:color="auto" w:fill="auto"/>
          </w:tcPr>
          <w:p w14:paraId="2EEE36AC" w14:textId="31C095CB" w:rsidR="00596332" w:rsidRPr="00166B6B" w:rsidRDefault="00596332" w:rsidP="00F3192E">
            <w:pPr>
              <w:spacing w:after="0" w:line="240" w:lineRule="auto"/>
              <w:jc w:val="center"/>
              <w:rPr>
                <w:sz w:val="20"/>
                <w:szCs w:val="20"/>
              </w:rPr>
            </w:pPr>
            <w:r w:rsidRPr="00166B6B">
              <w:rPr>
                <w:sz w:val="20"/>
                <w:szCs w:val="20"/>
              </w:rPr>
              <w:t>$46,</w:t>
            </w:r>
            <w:r w:rsidR="00F3192E">
              <w:rPr>
                <w:sz w:val="20"/>
                <w:szCs w:val="20"/>
              </w:rPr>
              <w:t>549,264</w:t>
            </w:r>
          </w:p>
        </w:tc>
      </w:tr>
      <w:tr w:rsidR="00596332" w:rsidRPr="00E41D40" w14:paraId="521F5340" w14:textId="77777777" w:rsidTr="00DF5AC6">
        <w:trPr>
          <w:trHeight w:val="300"/>
        </w:trPr>
        <w:tc>
          <w:tcPr>
            <w:tcW w:w="3420" w:type="dxa"/>
            <w:tcBorders>
              <w:right w:val="single" w:sz="12" w:space="0" w:color="auto"/>
            </w:tcBorders>
            <w:noWrap/>
          </w:tcPr>
          <w:p w14:paraId="34A26982" w14:textId="77777777" w:rsidR="00596332" w:rsidRPr="00E41D40" w:rsidRDefault="00596332" w:rsidP="00642879">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Over/under required ($)</w:t>
            </w:r>
          </w:p>
        </w:tc>
        <w:tc>
          <w:tcPr>
            <w:tcW w:w="1350" w:type="dxa"/>
            <w:tcBorders>
              <w:top w:val="nil"/>
              <w:left w:val="single" w:sz="4" w:space="0" w:color="auto"/>
              <w:bottom w:val="single" w:sz="4" w:space="0" w:color="auto"/>
              <w:right w:val="single" w:sz="4" w:space="0" w:color="auto"/>
            </w:tcBorders>
            <w:shd w:val="clear" w:color="auto" w:fill="auto"/>
            <w:noWrap/>
          </w:tcPr>
          <w:p w14:paraId="55B66276" w14:textId="77777777" w:rsidR="00596332" w:rsidRPr="00166B6B" w:rsidRDefault="00596332" w:rsidP="00642879">
            <w:pPr>
              <w:spacing w:after="0" w:line="240" w:lineRule="auto"/>
              <w:jc w:val="center"/>
              <w:rPr>
                <w:sz w:val="20"/>
                <w:szCs w:val="20"/>
              </w:rPr>
            </w:pPr>
            <w:r w:rsidRPr="00166B6B">
              <w:rPr>
                <w:sz w:val="20"/>
                <w:szCs w:val="20"/>
              </w:rPr>
              <w:t>--</w:t>
            </w:r>
          </w:p>
        </w:tc>
        <w:tc>
          <w:tcPr>
            <w:tcW w:w="1360" w:type="dxa"/>
            <w:gridSpan w:val="2"/>
            <w:tcBorders>
              <w:top w:val="nil"/>
              <w:left w:val="nil"/>
              <w:bottom w:val="single" w:sz="4" w:space="0" w:color="auto"/>
              <w:right w:val="single" w:sz="4" w:space="0" w:color="auto"/>
            </w:tcBorders>
            <w:shd w:val="clear" w:color="auto" w:fill="auto"/>
            <w:noWrap/>
          </w:tcPr>
          <w:p w14:paraId="50EC3896" w14:textId="77777777" w:rsidR="00596332" w:rsidRPr="00166B6B" w:rsidRDefault="00596332" w:rsidP="00642879">
            <w:pPr>
              <w:spacing w:after="0" w:line="240" w:lineRule="auto"/>
              <w:jc w:val="center"/>
              <w:rPr>
                <w:sz w:val="20"/>
                <w:szCs w:val="20"/>
              </w:rPr>
            </w:pPr>
            <w:r w:rsidRPr="00166B6B">
              <w:rPr>
                <w:sz w:val="20"/>
                <w:szCs w:val="20"/>
              </w:rPr>
              <w:t>$8,041,108</w:t>
            </w:r>
          </w:p>
        </w:tc>
        <w:tc>
          <w:tcPr>
            <w:tcW w:w="1430" w:type="dxa"/>
            <w:gridSpan w:val="2"/>
            <w:tcBorders>
              <w:top w:val="nil"/>
              <w:left w:val="nil"/>
              <w:bottom w:val="single" w:sz="4" w:space="0" w:color="auto"/>
              <w:right w:val="single" w:sz="4" w:space="0" w:color="auto"/>
            </w:tcBorders>
            <w:shd w:val="clear" w:color="auto" w:fill="auto"/>
            <w:noWrap/>
          </w:tcPr>
          <w:p w14:paraId="1143A5AA" w14:textId="77777777" w:rsidR="00596332" w:rsidRPr="00166B6B" w:rsidRDefault="00596332" w:rsidP="00642879">
            <w:pPr>
              <w:spacing w:after="0" w:line="240" w:lineRule="auto"/>
              <w:jc w:val="center"/>
              <w:rPr>
                <w:sz w:val="20"/>
                <w:szCs w:val="20"/>
              </w:rPr>
            </w:pPr>
            <w:r w:rsidRPr="00166B6B">
              <w:rPr>
                <w:sz w:val="20"/>
                <w:szCs w:val="20"/>
              </w:rPr>
              <w:t>--</w:t>
            </w:r>
          </w:p>
        </w:tc>
        <w:tc>
          <w:tcPr>
            <w:tcW w:w="1350" w:type="dxa"/>
            <w:gridSpan w:val="2"/>
            <w:tcBorders>
              <w:top w:val="nil"/>
              <w:left w:val="nil"/>
              <w:bottom w:val="single" w:sz="4" w:space="0" w:color="auto"/>
              <w:right w:val="single" w:sz="4" w:space="0" w:color="auto"/>
            </w:tcBorders>
            <w:shd w:val="clear" w:color="auto" w:fill="auto"/>
            <w:noWrap/>
          </w:tcPr>
          <w:p w14:paraId="6B37360F" w14:textId="77777777" w:rsidR="00596332" w:rsidRPr="00166B6B" w:rsidRDefault="00596332" w:rsidP="00642879">
            <w:pPr>
              <w:spacing w:after="0" w:line="240" w:lineRule="auto"/>
              <w:jc w:val="center"/>
              <w:rPr>
                <w:sz w:val="20"/>
                <w:szCs w:val="20"/>
              </w:rPr>
            </w:pPr>
            <w:r w:rsidRPr="00166B6B">
              <w:rPr>
                <w:sz w:val="20"/>
                <w:szCs w:val="20"/>
              </w:rPr>
              <w:t>$11,102,547</w:t>
            </w:r>
          </w:p>
        </w:tc>
        <w:tc>
          <w:tcPr>
            <w:tcW w:w="1440" w:type="dxa"/>
            <w:gridSpan w:val="2"/>
            <w:tcBorders>
              <w:top w:val="nil"/>
              <w:left w:val="nil"/>
              <w:bottom w:val="single" w:sz="4" w:space="0" w:color="auto"/>
              <w:right w:val="single" w:sz="4" w:space="0" w:color="auto"/>
            </w:tcBorders>
            <w:shd w:val="clear" w:color="auto" w:fill="auto"/>
            <w:noWrap/>
          </w:tcPr>
          <w:p w14:paraId="4021CC58" w14:textId="77777777" w:rsidR="00596332" w:rsidRPr="00166B6B" w:rsidRDefault="00596332" w:rsidP="00642879">
            <w:pPr>
              <w:spacing w:after="0" w:line="240" w:lineRule="auto"/>
              <w:jc w:val="center"/>
              <w:rPr>
                <w:sz w:val="20"/>
                <w:szCs w:val="20"/>
              </w:rPr>
            </w:pPr>
            <w:r w:rsidRPr="00166B6B">
              <w:rPr>
                <w:sz w:val="20"/>
                <w:szCs w:val="20"/>
              </w:rPr>
              <w:t>--</w:t>
            </w:r>
          </w:p>
        </w:tc>
        <w:tc>
          <w:tcPr>
            <w:tcW w:w="1260" w:type="dxa"/>
            <w:tcBorders>
              <w:top w:val="nil"/>
              <w:left w:val="nil"/>
              <w:bottom w:val="single" w:sz="4" w:space="0" w:color="auto"/>
              <w:right w:val="single" w:sz="4" w:space="0" w:color="auto"/>
            </w:tcBorders>
            <w:shd w:val="clear" w:color="auto" w:fill="auto"/>
          </w:tcPr>
          <w:p w14:paraId="6BA91F36" w14:textId="443F5F04" w:rsidR="00596332" w:rsidRPr="00166B6B" w:rsidRDefault="00596332" w:rsidP="00F3192E">
            <w:pPr>
              <w:spacing w:after="0" w:line="240" w:lineRule="auto"/>
              <w:jc w:val="center"/>
              <w:rPr>
                <w:sz w:val="20"/>
                <w:szCs w:val="20"/>
              </w:rPr>
            </w:pPr>
            <w:r w:rsidRPr="00166B6B">
              <w:rPr>
                <w:sz w:val="20"/>
                <w:szCs w:val="20"/>
              </w:rPr>
              <w:t>$12,</w:t>
            </w:r>
            <w:r w:rsidR="00F3192E">
              <w:rPr>
                <w:sz w:val="20"/>
                <w:szCs w:val="20"/>
              </w:rPr>
              <w:t>318,580</w:t>
            </w:r>
          </w:p>
        </w:tc>
      </w:tr>
      <w:tr w:rsidR="00596332" w:rsidRPr="00E41D40" w14:paraId="02E48281" w14:textId="77777777" w:rsidTr="00DF5AC6">
        <w:trPr>
          <w:trHeight w:val="300"/>
        </w:trPr>
        <w:tc>
          <w:tcPr>
            <w:tcW w:w="3420" w:type="dxa"/>
            <w:tcBorders>
              <w:bottom w:val="single" w:sz="4" w:space="0" w:color="auto"/>
              <w:right w:val="single" w:sz="12" w:space="0" w:color="auto"/>
            </w:tcBorders>
            <w:noWrap/>
          </w:tcPr>
          <w:p w14:paraId="16C9A92D" w14:textId="77777777" w:rsidR="00596332" w:rsidRPr="00E41D40" w:rsidRDefault="00596332" w:rsidP="00642879">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Over/under required (%)</w:t>
            </w:r>
          </w:p>
        </w:tc>
        <w:tc>
          <w:tcPr>
            <w:tcW w:w="1350" w:type="dxa"/>
            <w:tcBorders>
              <w:top w:val="nil"/>
              <w:left w:val="single" w:sz="4" w:space="0" w:color="auto"/>
              <w:bottom w:val="single" w:sz="4" w:space="0" w:color="auto"/>
              <w:right w:val="single" w:sz="4" w:space="0" w:color="auto"/>
            </w:tcBorders>
            <w:shd w:val="clear" w:color="auto" w:fill="auto"/>
            <w:noWrap/>
          </w:tcPr>
          <w:p w14:paraId="516BDE8A" w14:textId="77777777" w:rsidR="00596332" w:rsidRPr="00166B6B" w:rsidRDefault="00596332" w:rsidP="00642879">
            <w:pPr>
              <w:spacing w:after="0" w:line="240" w:lineRule="auto"/>
              <w:jc w:val="center"/>
              <w:rPr>
                <w:sz w:val="20"/>
                <w:szCs w:val="20"/>
              </w:rPr>
            </w:pPr>
            <w:r w:rsidRPr="00166B6B">
              <w:rPr>
                <w:sz w:val="20"/>
                <w:szCs w:val="20"/>
              </w:rPr>
              <w:t>--</w:t>
            </w:r>
          </w:p>
        </w:tc>
        <w:tc>
          <w:tcPr>
            <w:tcW w:w="1360" w:type="dxa"/>
            <w:gridSpan w:val="2"/>
            <w:tcBorders>
              <w:top w:val="nil"/>
              <w:left w:val="nil"/>
              <w:bottom w:val="single" w:sz="4" w:space="0" w:color="auto"/>
              <w:right w:val="single" w:sz="4" w:space="0" w:color="auto"/>
            </w:tcBorders>
            <w:shd w:val="clear" w:color="auto" w:fill="auto"/>
            <w:noWrap/>
          </w:tcPr>
          <w:p w14:paraId="32454101" w14:textId="77777777" w:rsidR="00596332" w:rsidRPr="00166B6B" w:rsidRDefault="00596332" w:rsidP="00642879">
            <w:pPr>
              <w:spacing w:after="0" w:line="240" w:lineRule="auto"/>
              <w:jc w:val="center"/>
              <w:rPr>
                <w:sz w:val="20"/>
                <w:szCs w:val="20"/>
              </w:rPr>
            </w:pPr>
            <w:r w:rsidRPr="00166B6B">
              <w:rPr>
                <w:sz w:val="20"/>
                <w:szCs w:val="20"/>
              </w:rPr>
              <w:t>24.5%</w:t>
            </w:r>
          </w:p>
        </w:tc>
        <w:tc>
          <w:tcPr>
            <w:tcW w:w="1430" w:type="dxa"/>
            <w:gridSpan w:val="2"/>
            <w:tcBorders>
              <w:top w:val="nil"/>
              <w:left w:val="nil"/>
              <w:bottom w:val="single" w:sz="4" w:space="0" w:color="auto"/>
              <w:right w:val="single" w:sz="4" w:space="0" w:color="auto"/>
            </w:tcBorders>
            <w:shd w:val="clear" w:color="auto" w:fill="auto"/>
            <w:noWrap/>
          </w:tcPr>
          <w:p w14:paraId="25DB9A48" w14:textId="77777777" w:rsidR="00596332" w:rsidRPr="00166B6B" w:rsidRDefault="00596332" w:rsidP="00642879">
            <w:pPr>
              <w:spacing w:after="0" w:line="240" w:lineRule="auto"/>
              <w:jc w:val="center"/>
              <w:rPr>
                <w:sz w:val="20"/>
                <w:szCs w:val="20"/>
              </w:rPr>
            </w:pPr>
            <w:r w:rsidRPr="00166B6B">
              <w:rPr>
                <w:sz w:val="20"/>
                <w:szCs w:val="20"/>
              </w:rPr>
              <w:t>--</w:t>
            </w:r>
          </w:p>
        </w:tc>
        <w:tc>
          <w:tcPr>
            <w:tcW w:w="1350" w:type="dxa"/>
            <w:gridSpan w:val="2"/>
            <w:tcBorders>
              <w:top w:val="nil"/>
              <w:left w:val="nil"/>
              <w:bottom w:val="single" w:sz="4" w:space="0" w:color="auto"/>
              <w:right w:val="single" w:sz="4" w:space="0" w:color="auto"/>
            </w:tcBorders>
            <w:shd w:val="clear" w:color="auto" w:fill="auto"/>
            <w:noWrap/>
          </w:tcPr>
          <w:p w14:paraId="74BA8A9A" w14:textId="77777777" w:rsidR="00596332" w:rsidRPr="00166B6B" w:rsidRDefault="00596332" w:rsidP="00642879">
            <w:pPr>
              <w:spacing w:after="0" w:line="240" w:lineRule="auto"/>
              <w:jc w:val="center"/>
              <w:rPr>
                <w:sz w:val="20"/>
                <w:szCs w:val="20"/>
              </w:rPr>
            </w:pPr>
            <w:r w:rsidRPr="00166B6B">
              <w:rPr>
                <w:sz w:val="20"/>
                <w:szCs w:val="20"/>
              </w:rPr>
              <w:t>33.3%</w:t>
            </w:r>
          </w:p>
        </w:tc>
        <w:tc>
          <w:tcPr>
            <w:tcW w:w="1440" w:type="dxa"/>
            <w:gridSpan w:val="2"/>
            <w:tcBorders>
              <w:top w:val="nil"/>
              <w:left w:val="nil"/>
              <w:bottom w:val="single" w:sz="4" w:space="0" w:color="auto"/>
              <w:right w:val="single" w:sz="4" w:space="0" w:color="auto"/>
            </w:tcBorders>
            <w:shd w:val="clear" w:color="auto" w:fill="auto"/>
            <w:noWrap/>
          </w:tcPr>
          <w:p w14:paraId="33643CF8" w14:textId="77777777" w:rsidR="00596332" w:rsidRPr="00166B6B" w:rsidRDefault="00596332" w:rsidP="00642879">
            <w:pPr>
              <w:spacing w:after="0" w:line="240" w:lineRule="auto"/>
              <w:jc w:val="center"/>
              <w:rPr>
                <w:sz w:val="20"/>
                <w:szCs w:val="20"/>
              </w:rPr>
            </w:pPr>
            <w:r w:rsidRPr="00166B6B">
              <w:rPr>
                <w:sz w:val="20"/>
                <w:szCs w:val="20"/>
              </w:rPr>
              <w:t>--</w:t>
            </w:r>
          </w:p>
        </w:tc>
        <w:tc>
          <w:tcPr>
            <w:tcW w:w="1260" w:type="dxa"/>
            <w:tcBorders>
              <w:top w:val="nil"/>
              <w:left w:val="nil"/>
              <w:bottom w:val="single" w:sz="4" w:space="0" w:color="auto"/>
              <w:right w:val="single" w:sz="4" w:space="0" w:color="auto"/>
            </w:tcBorders>
            <w:shd w:val="clear" w:color="auto" w:fill="auto"/>
          </w:tcPr>
          <w:p w14:paraId="2783B5DC" w14:textId="4E2D073A" w:rsidR="00596332" w:rsidRPr="00166B6B" w:rsidRDefault="00F3192E" w:rsidP="00642879">
            <w:pPr>
              <w:spacing w:after="0" w:line="240" w:lineRule="auto"/>
              <w:jc w:val="center"/>
              <w:rPr>
                <w:sz w:val="20"/>
                <w:szCs w:val="20"/>
              </w:rPr>
            </w:pPr>
            <w:r>
              <w:rPr>
                <w:sz w:val="20"/>
                <w:szCs w:val="20"/>
              </w:rPr>
              <w:t>36</w:t>
            </w:r>
            <w:r w:rsidR="00596332" w:rsidRPr="00166B6B">
              <w:rPr>
                <w:sz w:val="20"/>
                <w:szCs w:val="20"/>
              </w:rPr>
              <w:t>%</w:t>
            </w:r>
          </w:p>
        </w:tc>
      </w:tr>
      <w:tr w:rsidR="00596332" w:rsidRPr="00E41D40" w14:paraId="0A0B4D46" w14:textId="77777777" w:rsidTr="00DF5AC6">
        <w:trPr>
          <w:trHeight w:val="300"/>
        </w:trPr>
        <w:tc>
          <w:tcPr>
            <w:tcW w:w="11610" w:type="dxa"/>
            <w:gridSpan w:val="11"/>
            <w:tcBorders>
              <w:left w:val="nil"/>
              <w:bottom w:val="nil"/>
              <w:right w:val="nil"/>
            </w:tcBorders>
            <w:noWrap/>
          </w:tcPr>
          <w:p w14:paraId="136F5094" w14:textId="77777777" w:rsidR="00596332" w:rsidRPr="000F59E1" w:rsidRDefault="00596332" w:rsidP="00642879">
            <w:pPr>
              <w:widowControl w:val="0"/>
              <w:overflowPunct w:val="0"/>
              <w:adjustRightInd w:val="0"/>
              <w:spacing w:before="40" w:after="40" w:line="240" w:lineRule="auto"/>
              <w:rPr>
                <w:rFonts w:ascii="Calibri" w:eastAsia="Times New Roman" w:hAnsi="Calibri" w:cs="Times New Roman"/>
                <w:kern w:val="28"/>
                <w:sz w:val="16"/>
                <w:szCs w:val="16"/>
              </w:rPr>
            </w:pPr>
            <w:r w:rsidRPr="000F59E1">
              <w:rPr>
                <w:rFonts w:ascii="Calibri" w:eastAsia="Times New Roman" w:hAnsi="Calibri" w:cs="Times New Roman"/>
                <w:kern w:val="28"/>
                <w:sz w:val="20"/>
                <w:szCs w:val="20"/>
              </w:rPr>
              <w:t>*</w:t>
            </w:r>
            <w:r w:rsidRPr="000F59E1">
              <w:rPr>
                <w:rFonts w:ascii="Calibri" w:eastAsia="Times New Roman" w:hAnsi="Calibri" w:cs="Times New Roman"/>
                <w:kern w:val="28"/>
                <w:sz w:val="16"/>
                <w:szCs w:val="16"/>
              </w:rPr>
              <w:t>Chapter 70 state aid funds are deposited in the local general fund and spent as local appropriations.</w:t>
            </w:r>
          </w:p>
          <w:p w14:paraId="3072FCB6" w14:textId="77777777" w:rsidR="00596332" w:rsidRPr="000F59E1" w:rsidRDefault="00596332" w:rsidP="00642879">
            <w:pPr>
              <w:widowControl w:val="0"/>
              <w:overflowPunct w:val="0"/>
              <w:adjustRightInd w:val="0"/>
              <w:spacing w:before="40" w:after="40" w:line="240" w:lineRule="auto"/>
              <w:rPr>
                <w:rFonts w:ascii="Calibri" w:eastAsia="Times New Roman" w:hAnsi="Calibri" w:cs="Times New Roman"/>
                <w:kern w:val="28"/>
                <w:sz w:val="16"/>
                <w:szCs w:val="16"/>
              </w:rPr>
            </w:pPr>
            <w:r w:rsidRPr="000F59E1">
              <w:rPr>
                <w:rFonts w:ascii="Calibri" w:eastAsia="Times New Roman" w:hAnsi="Calibri" w:cs="Times New Roman"/>
                <w:kern w:val="28"/>
                <w:sz w:val="16"/>
                <w:szCs w:val="16"/>
              </w:rPr>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14:paraId="46558C69" w14:textId="77777777" w:rsidR="00596332" w:rsidRPr="000F59E1" w:rsidRDefault="00596332" w:rsidP="00642879">
            <w:pPr>
              <w:widowControl w:val="0"/>
              <w:overflowPunct w:val="0"/>
              <w:adjustRightInd w:val="0"/>
              <w:spacing w:before="40" w:after="40" w:line="240" w:lineRule="auto"/>
              <w:rPr>
                <w:rFonts w:ascii="Calibri" w:eastAsia="Times New Roman" w:hAnsi="Calibri" w:cs="Times New Roman"/>
                <w:kern w:val="28"/>
                <w:sz w:val="16"/>
                <w:szCs w:val="16"/>
              </w:rPr>
            </w:pPr>
            <w:r w:rsidRPr="000F59E1">
              <w:rPr>
                <w:rFonts w:ascii="Calibri" w:eastAsia="Times New Roman" w:hAnsi="Calibri" w:cs="Times New Roman"/>
                <w:kern w:val="28"/>
                <w:sz w:val="16"/>
                <w:szCs w:val="16"/>
              </w:rPr>
              <w:t>Sources: FY15, FY16, and FY17 District End-of-Year Reports, Chapter 70 Program information on ESE website</w:t>
            </w:r>
          </w:p>
          <w:p w14:paraId="5AF87E1F" w14:textId="70F663FC" w:rsidR="00596332" w:rsidRPr="00E41D40" w:rsidRDefault="00596332" w:rsidP="00642879">
            <w:pPr>
              <w:widowControl w:val="0"/>
              <w:overflowPunct w:val="0"/>
              <w:adjustRightInd w:val="0"/>
              <w:spacing w:before="40" w:after="40" w:line="240" w:lineRule="auto"/>
              <w:rPr>
                <w:rFonts w:ascii="Calibri" w:eastAsia="Times New Roman" w:hAnsi="Calibri" w:cs="Times New Roman"/>
                <w:kern w:val="28"/>
                <w:sz w:val="20"/>
                <w:szCs w:val="20"/>
              </w:rPr>
            </w:pPr>
            <w:r w:rsidRPr="000F59E1">
              <w:rPr>
                <w:rFonts w:ascii="Calibri" w:eastAsia="Times New Roman" w:hAnsi="Calibri" w:cs="Times New Roman"/>
                <w:kern w:val="28"/>
                <w:sz w:val="16"/>
                <w:szCs w:val="16"/>
              </w:rPr>
              <w:t>Data retrieved 12/13/17</w:t>
            </w:r>
            <w:r w:rsidR="001C77C1">
              <w:rPr>
                <w:rFonts w:ascii="Calibri" w:eastAsia="Times New Roman" w:hAnsi="Calibri" w:cs="Times New Roman"/>
                <w:kern w:val="28"/>
                <w:sz w:val="16"/>
                <w:szCs w:val="16"/>
              </w:rPr>
              <w:t xml:space="preserve"> and 10/4/18</w:t>
            </w:r>
          </w:p>
        </w:tc>
      </w:tr>
    </w:tbl>
    <w:p w14:paraId="1FA4C794" w14:textId="77777777" w:rsidR="002F1EBE" w:rsidRPr="002F1EBE" w:rsidRDefault="002F1EBE" w:rsidP="008E26DB">
      <w:pPr>
        <w:rPr>
          <w:rFonts w:ascii="Calibri" w:eastAsia="Times New Roman" w:hAnsi="Calibri" w:cs="Arial"/>
          <w:b/>
          <w:kern w:val="28"/>
          <w:sz w:val="20"/>
          <w:szCs w:val="20"/>
        </w:rPr>
        <w:sectPr w:rsidR="002F1EBE" w:rsidRPr="002F1EBE" w:rsidSect="00350132">
          <w:pgSz w:w="15840" w:h="12240" w:orient="landscape"/>
          <w:pgMar w:top="1440" w:right="1440" w:bottom="1440" w:left="1440" w:header="720" w:footer="720" w:gutter="0"/>
          <w:cols w:space="720"/>
          <w:docGrid w:linePitch="360"/>
        </w:sectPr>
      </w:pPr>
      <w:r w:rsidRPr="002F1EBE">
        <w:rPr>
          <w:rFonts w:ascii="Calibri" w:eastAsia="Times New Roman" w:hAnsi="Calibri" w:cs="Arial"/>
          <w:b/>
          <w:kern w:val="28"/>
          <w:sz w:val="20"/>
          <w:szCs w:val="20"/>
        </w:rPr>
        <w:br w:type="page"/>
      </w:r>
    </w:p>
    <w:p w14:paraId="0F894545" w14:textId="77777777" w:rsidR="002F1EBE" w:rsidRPr="002F1EBE" w:rsidRDefault="002F1EBE" w:rsidP="002F1EBE">
      <w:pPr>
        <w:spacing w:after="0" w:line="240" w:lineRule="auto"/>
        <w:rPr>
          <w:rFonts w:ascii="Calibri" w:eastAsia="Times New Roman" w:hAnsi="Calibri" w:cs="Arial"/>
          <w:b/>
          <w:kern w:val="28"/>
          <w:sz w:val="20"/>
          <w:szCs w:val="20"/>
        </w:rPr>
      </w:pPr>
    </w:p>
    <w:p w14:paraId="20332D01" w14:textId="77777777" w:rsidR="002F1EBE" w:rsidRPr="002F1EBE" w:rsidRDefault="002F1EBE" w:rsidP="002F1EBE">
      <w:pPr>
        <w:rPr>
          <w:rFonts w:ascii="Calibri" w:eastAsia="Times New Roman" w:hAnsi="Calibri" w:cs="Arial"/>
          <w:b/>
          <w:kern w:val="28"/>
          <w:sz w:val="20"/>
          <w:szCs w:val="20"/>
        </w:rPr>
      </w:pPr>
    </w:p>
    <w:p w14:paraId="31878C0B" w14:textId="77777777" w:rsidR="00E456DF" w:rsidRPr="00E41D40" w:rsidRDefault="00E456DF" w:rsidP="00E456DF">
      <w:pPr>
        <w:spacing w:after="0"/>
        <w:jc w:val="center"/>
        <w:rPr>
          <w:b/>
          <w:sz w:val="20"/>
        </w:rPr>
      </w:pPr>
      <w:r w:rsidRPr="00E41D40">
        <w:rPr>
          <w:b/>
          <w:sz w:val="20"/>
        </w:rPr>
        <w:t>Table B</w:t>
      </w:r>
      <w:r>
        <w:rPr>
          <w:b/>
          <w:sz w:val="20"/>
        </w:rPr>
        <w:t>4</w:t>
      </w:r>
      <w:r w:rsidRPr="00E41D40">
        <w:rPr>
          <w:b/>
          <w:sz w:val="20"/>
        </w:rPr>
        <w:t xml:space="preserve">: </w:t>
      </w:r>
      <w:r w:rsidRPr="002170E2">
        <w:rPr>
          <w:rFonts w:ascii="Calibri" w:eastAsia="Calibri" w:hAnsi="Calibri" w:cs="Times New Roman"/>
          <w:b/>
          <w:sz w:val="20"/>
        </w:rPr>
        <w:t>Wakefield Public Schools</w:t>
      </w:r>
    </w:p>
    <w:p w14:paraId="38145AF0" w14:textId="77777777" w:rsidR="00E456DF" w:rsidRPr="00E41D40" w:rsidRDefault="00E456DF" w:rsidP="00E456DF">
      <w:pPr>
        <w:spacing w:after="0"/>
        <w:jc w:val="center"/>
        <w:rPr>
          <w:b/>
          <w:sz w:val="20"/>
        </w:rPr>
      </w:pPr>
      <w:r w:rsidRPr="00E41D40">
        <w:rPr>
          <w:b/>
          <w:sz w:val="20"/>
        </w:rPr>
        <w:t>Expenditures Per In-District Pupil</w:t>
      </w:r>
    </w:p>
    <w:p w14:paraId="7FF173F6" w14:textId="77777777" w:rsidR="00E456DF" w:rsidRPr="00E41D40" w:rsidRDefault="00E456DF" w:rsidP="00E456DF">
      <w:pPr>
        <w:spacing w:after="0"/>
        <w:jc w:val="center"/>
        <w:rPr>
          <w:b/>
          <w:sz w:val="20"/>
        </w:rPr>
      </w:pPr>
      <w:r w:rsidRPr="00E41D40">
        <w:rPr>
          <w:b/>
          <w:sz w:val="20"/>
        </w:rPr>
        <w:t>Fiscal Years 201</w:t>
      </w:r>
      <w:r>
        <w:rPr>
          <w:b/>
          <w:sz w:val="20"/>
        </w:rPr>
        <w:t>4</w:t>
      </w:r>
      <w:r w:rsidRPr="00E41D40">
        <w:rPr>
          <w:b/>
          <w:sz w:val="20"/>
        </w:rPr>
        <w:t>–201</w:t>
      </w:r>
      <w:r>
        <w:rPr>
          <w:b/>
          <w:sz w:val="20"/>
        </w:rPr>
        <w:t>6</w:t>
      </w:r>
    </w:p>
    <w:tbl>
      <w:tblPr>
        <w:tblW w:w="42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B4: Wakefield Public Schools"/>
        <w:tblDescription w:val="Expenditures Per In-District Pupil&#10;Fiscal Years 2014–2016&#10;"/>
      </w:tblPr>
      <w:tblGrid>
        <w:gridCol w:w="3977"/>
        <w:gridCol w:w="1343"/>
        <w:gridCol w:w="1343"/>
        <w:gridCol w:w="1341"/>
      </w:tblGrid>
      <w:tr w:rsidR="00E456DF" w:rsidRPr="00E41D40" w14:paraId="1B359863" w14:textId="77777777" w:rsidTr="00642879">
        <w:trPr>
          <w:trHeight w:val="432"/>
          <w:jc w:val="center"/>
        </w:trPr>
        <w:tc>
          <w:tcPr>
            <w:tcW w:w="2484" w:type="pct"/>
            <w:tcBorders>
              <w:bottom w:val="single" w:sz="12" w:space="0" w:color="auto"/>
            </w:tcBorders>
            <w:vAlign w:val="center"/>
          </w:tcPr>
          <w:p w14:paraId="6CFAAF35" w14:textId="77777777" w:rsidR="00E456DF" w:rsidRPr="00E41D40" w:rsidRDefault="00E456DF" w:rsidP="00642879">
            <w:pPr>
              <w:widowControl w:val="0"/>
              <w:overflowPunct w:val="0"/>
              <w:adjustRightInd w:val="0"/>
              <w:spacing w:before="40" w:after="40" w:line="240" w:lineRule="auto"/>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Expenditure Category</w:t>
            </w:r>
          </w:p>
        </w:tc>
        <w:tc>
          <w:tcPr>
            <w:tcW w:w="839" w:type="pct"/>
            <w:tcBorders>
              <w:bottom w:val="single" w:sz="12" w:space="0" w:color="auto"/>
            </w:tcBorders>
            <w:vAlign w:val="center"/>
          </w:tcPr>
          <w:p w14:paraId="6820746B" w14:textId="77777777" w:rsidR="00E456DF" w:rsidRPr="00E41D40" w:rsidRDefault="00E456DF" w:rsidP="00642879">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201</w:t>
            </w:r>
            <w:r>
              <w:rPr>
                <w:rFonts w:ascii="Calibri" w:eastAsia="Times New Roman" w:hAnsi="Calibri" w:cs="Times New Roman"/>
                <w:b/>
                <w:kern w:val="28"/>
                <w:sz w:val="20"/>
                <w:szCs w:val="20"/>
              </w:rPr>
              <w:t>4</w:t>
            </w:r>
          </w:p>
        </w:tc>
        <w:tc>
          <w:tcPr>
            <w:tcW w:w="839" w:type="pct"/>
            <w:tcBorders>
              <w:bottom w:val="single" w:sz="12" w:space="0" w:color="auto"/>
            </w:tcBorders>
            <w:vAlign w:val="center"/>
          </w:tcPr>
          <w:p w14:paraId="401F29ED" w14:textId="77777777" w:rsidR="00E456DF" w:rsidRPr="00E41D40" w:rsidRDefault="00E456DF" w:rsidP="00642879">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201</w:t>
            </w:r>
            <w:r>
              <w:rPr>
                <w:rFonts w:ascii="Calibri" w:eastAsia="Times New Roman" w:hAnsi="Calibri" w:cs="Times New Roman"/>
                <w:b/>
                <w:kern w:val="28"/>
                <w:sz w:val="20"/>
                <w:szCs w:val="20"/>
              </w:rPr>
              <w:t>5</w:t>
            </w:r>
          </w:p>
        </w:tc>
        <w:tc>
          <w:tcPr>
            <w:tcW w:w="838" w:type="pct"/>
            <w:tcBorders>
              <w:bottom w:val="single" w:sz="12" w:space="0" w:color="auto"/>
            </w:tcBorders>
            <w:shd w:val="clear" w:color="auto" w:fill="auto"/>
            <w:vAlign w:val="center"/>
          </w:tcPr>
          <w:p w14:paraId="06984902" w14:textId="77777777" w:rsidR="00E456DF" w:rsidRPr="00E41D40" w:rsidRDefault="00E456DF" w:rsidP="00642879">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201</w:t>
            </w:r>
            <w:r>
              <w:rPr>
                <w:rFonts w:ascii="Calibri" w:eastAsia="Times New Roman" w:hAnsi="Calibri" w:cs="Times New Roman"/>
                <w:b/>
                <w:kern w:val="28"/>
                <w:sz w:val="20"/>
                <w:szCs w:val="20"/>
              </w:rPr>
              <w:t>6</w:t>
            </w:r>
          </w:p>
        </w:tc>
      </w:tr>
      <w:tr w:rsidR="00E456DF" w:rsidRPr="00E41D40" w14:paraId="6D9BC815" w14:textId="77777777" w:rsidTr="00642879">
        <w:trPr>
          <w:trHeight w:val="170"/>
          <w:jc w:val="center"/>
        </w:trPr>
        <w:tc>
          <w:tcPr>
            <w:tcW w:w="2484" w:type="pct"/>
            <w:tcBorders>
              <w:top w:val="single" w:sz="12" w:space="0" w:color="auto"/>
            </w:tcBorders>
            <w:vAlign w:val="center"/>
          </w:tcPr>
          <w:p w14:paraId="7223CC74" w14:textId="77777777" w:rsidR="00E456DF" w:rsidRPr="00E41D40" w:rsidRDefault="00E456DF" w:rsidP="00642879">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Administration</w:t>
            </w:r>
          </w:p>
        </w:tc>
        <w:tc>
          <w:tcPr>
            <w:tcW w:w="839" w:type="pct"/>
            <w:tcBorders>
              <w:top w:val="single" w:sz="12" w:space="0" w:color="auto"/>
            </w:tcBorders>
            <w:vAlign w:val="center"/>
          </w:tcPr>
          <w:p w14:paraId="62676AB6" w14:textId="77777777" w:rsidR="00E456DF" w:rsidRPr="00166B6B" w:rsidRDefault="00E456DF" w:rsidP="00642879">
            <w:pPr>
              <w:spacing w:after="0" w:line="240" w:lineRule="auto"/>
              <w:jc w:val="center"/>
              <w:rPr>
                <w:sz w:val="20"/>
                <w:szCs w:val="20"/>
              </w:rPr>
            </w:pPr>
            <w:r w:rsidRPr="00166B6B">
              <w:rPr>
                <w:sz w:val="20"/>
                <w:szCs w:val="20"/>
              </w:rPr>
              <w:t>$518</w:t>
            </w:r>
          </w:p>
        </w:tc>
        <w:tc>
          <w:tcPr>
            <w:tcW w:w="839" w:type="pct"/>
            <w:tcBorders>
              <w:top w:val="single" w:sz="12" w:space="0" w:color="auto"/>
            </w:tcBorders>
            <w:vAlign w:val="center"/>
          </w:tcPr>
          <w:p w14:paraId="3475A99A" w14:textId="77777777" w:rsidR="00E456DF" w:rsidRPr="00166B6B" w:rsidRDefault="00E456DF" w:rsidP="00642879">
            <w:pPr>
              <w:spacing w:after="0" w:line="240" w:lineRule="auto"/>
              <w:jc w:val="center"/>
              <w:rPr>
                <w:sz w:val="20"/>
                <w:szCs w:val="20"/>
              </w:rPr>
            </w:pPr>
            <w:r w:rsidRPr="00166B6B">
              <w:rPr>
                <w:sz w:val="20"/>
                <w:szCs w:val="20"/>
              </w:rPr>
              <w:t>$429</w:t>
            </w:r>
          </w:p>
        </w:tc>
        <w:tc>
          <w:tcPr>
            <w:tcW w:w="838" w:type="pct"/>
            <w:tcBorders>
              <w:top w:val="single" w:sz="12" w:space="0" w:color="auto"/>
            </w:tcBorders>
            <w:shd w:val="clear" w:color="auto" w:fill="auto"/>
            <w:vAlign w:val="center"/>
          </w:tcPr>
          <w:p w14:paraId="20F8387D" w14:textId="77777777" w:rsidR="00E456DF" w:rsidRPr="00166B6B" w:rsidRDefault="00E456DF" w:rsidP="00642879">
            <w:pPr>
              <w:spacing w:after="0" w:line="240" w:lineRule="auto"/>
              <w:jc w:val="center"/>
              <w:rPr>
                <w:sz w:val="20"/>
                <w:szCs w:val="20"/>
              </w:rPr>
            </w:pPr>
            <w:r w:rsidRPr="00166B6B">
              <w:rPr>
                <w:sz w:val="20"/>
                <w:szCs w:val="20"/>
              </w:rPr>
              <w:t>$436</w:t>
            </w:r>
          </w:p>
        </w:tc>
      </w:tr>
      <w:tr w:rsidR="00E456DF" w:rsidRPr="00E41D40" w14:paraId="1AE89825" w14:textId="77777777" w:rsidTr="00642879">
        <w:trPr>
          <w:trHeight w:val="77"/>
          <w:jc w:val="center"/>
        </w:trPr>
        <w:tc>
          <w:tcPr>
            <w:tcW w:w="2484" w:type="pct"/>
            <w:vAlign w:val="center"/>
          </w:tcPr>
          <w:p w14:paraId="0C57C212" w14:textId="77777777" w:rsidR="00E456DF" w:rsidRPr="00E41D40" w:rsidRDefault="00E456DF" w:rsidP="00642879">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Instructional leadership (district and school)</w:t>
            </w:r>
          </w:p>
        </w:tc>
        <w:tc>
          <w:tcPr>
            <w:tcW w:w="839" w:type="pct"/>
            <w:vAlign w:val="center"/>
          </w:tcPr>
          <w:p w14:paraId="1DBCEA82" w14:textId="77777777" w:rsidR="00E456DF" w:rsidRPr="00166B6B" w:rsidRDefault="00E456DF" w:rsidP="00642879">
            <w:pPr>
              <w:spacing w:after="0" w:line="240" w:lineRule="auto"/>
              <w:jc w:val="center"/>
              <w:rPr>
                <w:sz w:val="20"/>
                <w:szCs w:val="20"/>
              </w:rPr>
            </w:pPr>
            <w:r w:rsidRPr="00166B6B">
              <w:rPr>
                <w:sz w:val="20"/>
                <w:szCs w:val="20"/>
              </w:rPr>
              <w:t>$746</w:t>
            </w:r>
          </w:p>
        </w:tc>
        <w:tc>
          <w:tcPr>
            <w:tcW w:w="839" w:type="pct"/>
            <w:vAlign w:val="center"/>
          </w:tcPr>
          <w:p w14:paraId="737D3904" w14:textId="77777777" w:rsidR="00E456DF" w:rsidRPr="00166B6B" w:rsidRDefault="00E456DF" w:rsidP="00642879">
            <w:pPr>
              <w:spacing w:after="0" w:line="240" w:lineRule="auto"/>
              <w:jc w:val="center"/>
              <w:rPr>
                <w:sz w:val="20"/>
                <w:szCs w:val="20"/>
              </w:rPr>
            </w:pPr>
            <w:r w:rsidRPr="00166B6B">
              <w:rPr>
                <w:sz w:val="20"/>
                <w:szCs w:val="20"/>
              </w:rPr>
              <w:t>$969</w:t>
            </w:r>
          </w:p>
        </w:tc>
        <w:tc>
          <w:tcPr>
            <w:tcW w:w="838" w:type="pct"/>
            <w:shd w:val="clear" w:color="auto" w:fill="auto"/>
            <w:vAlign w:val="center"/>
          </w:tcPr>
          <w:p w14:paraId="26014CB6" w14:textId="77777777" w:rsidR="00E456DF" w:rsidRPr="00166B6B" w:rsidRDefault="00E456DF" w:rsidP="00642879">
            <w:pPr>
              <w:spacing w:after="0" w:line="240" w:lineRule="auto"/>
              <w:jc w:val="center"/>
              <w:rPr>
                <w:sz w:val="20"/>
                <w:szCs w:val="20"/>
              </w:rPr>
            </w:pPr>
            <w:r w:rsidRPr="00166B6B">
              <w:rPr>
                <w:sz w:val="20"/>
                <w:szCs w:val="20"/>
              </w:rPr>
              <w:t>$934</w:t>
            </w:r>
          </w:p>
        </w:tc>
      </w:tr>
      <w:tr w:rsidR="00E456DF" w:rsidRPr="00E41D40" w14:paraId="776EF59D" w14:textId="77777777" w:rsidTr="00642879">
        <w:trPr>
          <w:trHeight w:val="77"/>
          <w:jc w:val="center"/>
        </w:trPr>
        <w:tc>
          <w:tcPr>
            <w:tcW w:w="2484" w:type="pct"/>
            <w:vAlign w:val="center"/>
          </w:tcPr>
          <w:p w14:paraId="6821757E" w14:textId="77777777" w:rsidR="00E456DF" w:rsidRPr="00E41D40" w:rsidRDefault="00E456DF" w:rsidP="00642879">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Teachers</w:t>
            </w:r>
          </w:p>
        </w:tc>
        <w:tc>
          <w:tcPr>
            <w:tcW w:w="839" w:type="pct"/>
            <w:vAlign w:val="center"/>
          </w:tcPr>
          <w:p w14:paraId="66A54980" w14:textId="77777777" w:rsidR="00E456DF" w:rsidRPr="00166B6B" w:rsidRDefault="00E456DF" w:rsidP="00642879">
            <w:pPr>
              <w:spacing w:after="0" w:line="240" w:lineRule="auto"/>
              <w:jc w:val="center"/>
              <w:rPr>
                <w:sz w:val="20"/>
                <w:szCs w:val="20"/>
              </w:rPr>
            </w:pPr>
            <w:r w:rsidRPr="00166B6B">
              <w:rPr>
                <w:sz w:val="20"/>
                <w:szCs w:val="20"/>
              </w:rPr>
              <w:t>$5,109</w:t>
            </w:r>
          </w:p>
        </w:tc>
        <w:tc>
          <w:tcPr>
            <w:tcW w:w="839" w:type="pct"/>
            <w:vAlign w:val="center"/>
          </w:tcPr>
          <w:p w14:paraId="6E018E76" w14:textId="77777777" w:rsidR="00E456DF" w:rsidRPr="00166B6B" w:rsidRDefault="00E456DF" w:rsidP="00642879">
            <w:pPr>
              <w:spacing w:after="0" w:line="240" w:lineRule="auto"/>
              <w:jc w:val="center"/>
              <w:rPr>
                <w:sz w:val="20"/>
                <w:szCs w:val="20"/>
              </w:rPr>
            </w:pPr>
            <w:r w:rsidRPr="00166B6B">
              <w:rPr>
                <w:sz w:val="20"/>
                <w:szCs w:val="20"/>
              </w:rPr>
              <w:t>$5,002</w:t>
            </w:r>
          </w:p>
        </w:tc>
        <w:tc>
          <w:tcPr>
            <w:tcW w:w="838" w:type="pct"/>
            <w:shd w:val="clear" w:color="auto" w:fill="auto"/>
            <w:vAlign w:val="center"/>
          </w:tcPr>
          <w:p w14:paraId="4CC33256" w14:textId="77777777" w:rsidR="00E456DF" w:rsidRPr="00166B6B" w:rsidRDefault="00E456DF" w:rsidP="00642879">
            <w:pPr>
              <w:spacing w:after="0" w:line="240" w:lineRule="auto"/>
              <w:jc w:val="center"/>
              <w:rPr>
                <w:sz w:val="20"/>
                <w:szCs w:val="20"/>
              </w:rPr>
            </w:pPr>
            <w:r w:rsidRPr="00166B6B">
              <w:rPr>
                <w:sz w:val="20"/>
                <w:szCs w:val="20"/>
              </w:rPr>
              <w:t>$5,185</w:t>
            </w:r>
          </w:p>
        </w:tc>
      </w:tr>
      <w:tr w:rsidR="00E456DF" w:rsidRPr="00E41D40" w14:paraId="11C66D30" w14:textId="77777777" w:rsidTr="00642879">
        <w:trPr>
          <w:trHeight w:val="77"/>
          <w:jc w:val="center"/>
        </w:trPr>
        <w:tc>
          <w:tcPr>
            <w:tcW w:w="2484" w:type="pct"/>
            <w:vAlign w:val="center"/>
          </w:tcPr>
          <w:p w14:paraId="76D18935" w14:textId="77777777" w:rsidR="00E456DF" w:rsidRPr="00E41D40" w:rsidDel="00DB21D5" w:rsidRDefault="00E456DF" w:rsidP="00642879">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Other teaching services</w:t>
            </w:r>
          </w:p>
        </w:tc>
        <w:tc>
          <w:tcPr>
            <w:tcW w:w="839" w:type="pct"/>
            <w:vAlign w:val="center"/>
          </w:tcPr>
          <w:p w14:paraId="5F89BC26" w14:textId="77777777" w:rsidR="00E456DF" w:rsidRPr="00166B6B" w:rsidRDefault="00E456DF" w:rsidP="00642879">
            <w:pPr>
              <w:spacing w:after="0" w:line="240" w:lineRule="auto"/>
              <w:jc w:val="center"/>
              <w:rPr>
                <w:sz w:val="20"/>
                <w:szCs w:val="20"/>
              </w:rPr>
            </w:pPr>
            <w:r w:rsidRPr="00166B6B">
              <w:rPr>
                <w:sz w:val="20"/>
                <w:szCs w:val="20"/>
              </w:rPr>
              <w:t>$857</w:t>
            </w:r>
          </w:p>
        </w:tc>
        <w:tc>
          <w:tcPr>
            <w:tcW w:w="839" w:type="pct"/>
            <w:vAlign w:val="center"/>
          </w:tcPr>
          <w:p w14:paraId="4203EE6C" w14:textId="77777777" w:rsidR="00E456DF" w:rsidRPr="00166B6B" w:rsidRDefault="00E456DF" w:rsidP="00642879">
            <w:pPr>
              <w:spacing w:after="0" w:line="240" w:lineRule="auto"/>
              <w:jc w:val="center"/>
              <w:rPr>
                <w:sz w:val="20"/>
                <w:szCs w:val="20"/>
              </w:rPr>
            </w:pPr>
            <w:r w:rsidRPr="00166B6B">
              <w:rPr>
                <w:sz w:val="20"/>
                <w:szCs w:val="20"/>
              </w:rPr>
              <w:t>$993</w:t>
            </w:r>
          </w:p>
        </w:tc>
        <w:tc>
          <w:tcPr>
            <w:tcW w:w="838" w:type="pct"/>
            <w:shd w:val="clear" w:color="auto" w:fill="auto"/>
            <w:vAlign w:val="center"/>
          </w:tcPr>
          <w:p w14:paraId="2BDE7F4D" w14:textId="77777777" w:rsidR="00E456DF" w:rsidRPr="00166B6B" w:rsidRDefault="00E456DF" w:rsidP="00642879">
            <w:pPr>
              <w:spacing w:after="0" w:line="240" w:lineRule="auto"/>
              <w:jc w:val="center"/>
              <w:rPr>
                <w:sz w:val="20"/>
                <w:szCs w:val="20"/>
              </w:rPr>
            </w:pPr>
            <w:r w:rsidRPr="00166B6B">
              <w:rPr>
                <w:sz w:val="20"/>
                <w:szCs w:val="20"/>
              </w:rPr>
              <w:t>$1,255</w:t>
            </w:r>
          </w:p>
        </w:tc>
      </w:tr>
      <w:tr w:rsidR="00E456DF" w:rsidRPr="00E41D40" w14:paraId="55EA2190" w14:textId="77777777" w:rsidTr="00642879">
        <w:trPr>
          <w:trHeight w:val="77"/>
          <w:jc w:val="center"/>
        </w:trPr>
        <w:tc>
          <w:tcPr>
            <w:tcW w:w="2484" w:type="pct"/>
            <w:vAlign w:val="center"/>
          </w:tcPr>
          <w:p w14:paraId="04579778" w14:textId="77777777" w:rsidR="00E456DF" w:rsidRPr="00E41D40" w:rsidRDefault="00E456DF" w:rsidP="00642879">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Professional development</w:t>
            </w:r>
          </w:p>
        </w:tc>
        <w:tc>
          <w:tcPr>
            <w:tcW w:w="839" w:type="pct"/>
            <w:vAlign w:val="center"/>
          </w:tcPr>
          <w:p w14:paraId="2F5A7F95" w14:textId="77777777" w:rsidR="00E456DF" w:rsidRPr="00166B6B" w:rsidRDefault="00E456DF" w:rsidP="00642879">
            <w:pPr>
              <w:spacing w:after="0" w:line="240" w:lineRule="auto"/>
              <w:jc w:val="center"/>
              <w:rPr>
                <w:sz w:val="20"/>
                <w:szCs w:val="20"/>
              </w:rPr>
            </w:pPr>
            <w:r w:rsidRPr="00166B6B">
              <w:rPr>
                <w:sz w:val="20"/>
                <w:szCs w:val="20"/>
              </w:rPr>
              <w:t>$136</w:t>
            </w:r>
          </w:p>
        </w:tc>
        <w:tc>
          <w:tcPr>
            <w:tcW w:w="839" w:type="pct"/>
            <w:vAlign w:val="center"/>
          </w:tcPr>
          <w:p w14:paraId="3DDD3851" w14:textId="77777777" w:rsidR="00E456DF" w:rsidRPr="00166B6B" w:rsidRDefault="00E456DF" w:rsidP="00642879">
            <w:pPr>
              <w:spacing w:after="0" w:line="240" w:lineRule="auto"/>
              <w:jc w:val="center"/>
              <w:rPr>
                <w:sz w:val="20"/>
                <w:szCs w:val="20"/>
              </w:rPr>
            </w:pPr>
            <w:r w:rsidRPr="00166B6B">
              <w:rPr>
                <w:sz w:val="20"/>
                <w:szCs w:val="20"/>
              </w:rPr>
              <w:t>$273</w:t>
            </w:r>
          </w:p>
        </w:tc>
        <w:tc>
          <w:tcPr>
            <w:tcW w:w="838" w:type="pct"/>
            <w:shd w:val="clear" w:color="auto" w:fill="auto"/>
            <w:vAlign w:val="center"/>
          </w:tcPr>
          <w:p w14:paraId="6AC65650" w14:textId="77777777" w:rsidR="00E456DF" w:rsidRPr="00166B6B" w:rsidRDefault="00E456DF" w:rsidP="00642879">
            <w:pPr>
              <w:spacing w:after="0" w:line="240" w:lineRule="auto"/>
              <w:jc w:val="center"/>
              <w:rPr>
                <w:sz w:val="20"/>
                <w:szCs w:val="20"/>
              </w:rPr>
            </w:pPr>
            <w:r w:rsidRPr="00166B6B">
              <w:rPr>
                <w:sz w:val="20"/>
                <w:szCs w:val="20"/>
              </w:rPr>
              <w:t>$196</w:t>
            </w:r>
          </w:p>
        </w:tc>
      </w:tr>
      <w:tr w:rsidR="00E456DF" w:rsidRPr="00E41D40" w14:paraId="75EF1E0C" w14:textId="77777777" w:rsidTr="00642879">
        <w:trPr>
          <w:trHeight w:val="562"/>
          <w:jc w:val="center"/>
        </w:trPr>
        <w:tc>
          <w:tcPr>
            <w:tcW w:w="2484" w:type="pct"/>
            <w:vAlign w:val="center"/>
          </w:tcPr>
          <w:p w14:paraId="12167DBD" w14:textId="77777777" w:rsidR="00E456DF" w:rsidRPr="00E41D40" w:rsidRDefault="00E456DF" w:rsidP="00642879">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Instructional materials, equipment and technology</w:t>
            </w:r>
          </w:p>
        </w:tc>
        <w:tc>
          <w:tcPr>
            <w:tcW w:w="839" w:type="pct"/>
            <w:vAlign w:val="center"/>
          </w:tcPr>
          <w:p w14:paraId="03E268C5" w14:textId="77777777" w:rsidR="00E456DF" w:rsidRPr="00166B6B" w:rsidRDefault="00E456DF" w:rsidP="00642879">
            <w:pPr>
              <w:spacing w:after="0" w:line="240" w:lineRule="auto"/>
              <w:jc w:val="center"/>
              <w:rPr>
                <w:sz w:val="20"/>
                <w:szCs w:val="20"/>
              </w:rPr>
            </w:pPr>
            <w:r w:rsidRPr="00166B6B">
              <w:rPr>
                <w:sz w:val="20"/>
                <w:szCs w:val="20"/>
              </w:rPr>
              <w:t>$249</w:t>
            </w:r>
          </w:p>
        </w:tc>
        <w:tc>
          <w:tcPr>
            <w:tcW w:w="839" w:type="pct"/>
            <w:vAlign w:val="center"/>
          </w:tcPr>
          <w:p w14:paraId="1FDA0E62" w14:textId="77777777" w:rsidR="00E456DF" w:rsidRPr="00166B6B" w:rsidRDefault="00E456DF" w:rsidP="00642879">
            <w:pPr>
              <w:spacing w:after="0" w:line="240" w:lineRule="auto"/>
              <w:jc w:val="center"/>
              <w:rPr>
                <w:sz w:val="20"/>
                <w:szCs w:val="20"/>
              </w:rPr>
            </w:pPr>
            <w:r w:rsidRPr="00166B6B">
              <w:rPr>
                <w:sz w:val="20"/>
                <w:szCs w:val="20"/>
              </w:rPr>
              <w:t>$261</w:t>
            </w:r>
          </w:p>
        </w:tc>
        <w:tc>
          <w:tcPr>
            <w:tcW w:w="838" w:type="pct"/>
            <w:shd w:val="clear" w:color="auto" w:fill="auto"/>
            <w:vAlign w:val="center"/>
          </w:tcPr>
          <w:p w14:paraId="0B667DA7" w14:textId="77777777" w:rsidR="00E456DF" w:rsidRPr="00166B6B" w:rsidRDefault="00E456DF" w:rsidP="00642879">
            <w:pPr>
              <w:spacing w:after="0" w:line="240" w:lineRule="auto"/>
              <w:jc w:val="center"/>
              <w:rPr>
                <w:sz w:val="20"/>
                <w:szCs w:val="20"/>
              </w:rPr>
            </w:pPr>
            <w:r w:rsidRPr="00166B6B">
              <w:rPr>
                <w:sz w:val="20"/>
                <w:szCs w:val="20"/>
              </w:rPr>
              <w:t>$391</w:t>
            </w:r>
          </w:p>
        </w:tc>
      </w:tr>
      <w:tr w:rsidR="00E456DF" w:rsidRPr="00E41D40" w14:paraId="2B69EEEB" w14:textId="77777777" w:rsidTr="00642879">
        <w:trPr>
          <w:trHeight w:val="77"/>
          <w:jc w:val="center"/>
        </w:trPr>
        <w:tc>
          <w:tcPr>
            <w:tcW w:w="2484" w:type="pct"/>
            <w:vAlign w:val="center"/>
          </w:tcPr>
          <w:p w14:paraId="71609CE8" w14:textId="77777777" w:rsidR="00E456DF" w:rsidRPr="00E41D40" w:rsidRDefault="00E456DF" w:rsidP="00642879">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Guidance, counseling and testing services</w:t>
            </w:r>
          </w:p>
        </w:tc>
        <w:tc>
          <w:tcPr>
            <w:tcW w:w="839" w:type="pct"/>
            <w:vAlign w:val="center"/>
          </w:tcPr>
          <w:p w14:paraId="22705583" w14:textId="77777777" w:rsidR="00E456DF" w:rsidRPr="00166B6B" w:rsidRDefault="00E456DF" w:rsidP="00642879">
            <w:pPr>
              <w:spacing w:after="0" w:line="240" w:lineRule="auto"/>
              <w:jc w:val="center"/>
              <w:rPr>
                <w:sz w:val="20"/>
                <w:szCs w:val="20"/>
              </w:rPr>
            </w:pPr>
            <w:r w:rsidRPr="00166B6B">
              <w:rPr>
                <w:sz w:val="20"/>
                <w:szCs w:val="20"/>
              </w:rPr>
              <w:t>$283</w:t>
            </w:r>
          </w:p>
        </w:tc>
        <w:tc>
          <w:tcPr>
            <w:tcW w:w="839" w:type="pct"/>
            <w:vAlign w:val="center"/>
          </w:tcPr>
          <w:p w14:paraId="4A8D455A" w14:textId="77777777" w:rsidR="00E456DF" w:rsidRPr="00166B6B" w:rsidRDefault="00E456DF" w:rsidP="00642879">
            <w:pPr>
              <w:spacing w:after="0" w:line="240" w:lineRule="auto"/>
              <w:jc w:val="center"/>
              <w:rPr>
                <w:sz w:val="20"/>
                <w:szCs w:val="20"/>
              </w:rPr>
            </w:pPr>
            <w:r w:rsidRPr="00166B6B">
              <w:rPr>
                <w:sz w:val="20"/>
                <w:szCs w:val="20"/>
              </w:rPr>
              <w:t>$311</w:t>
            </w:r>
          </w:p>
        </w:tc>
        <w:tc>
          <w:tcPr>
            <w:tcW w:w="838" w:type="pct"/>
            <w:shd w:val="clear" w:color="auto" w:fill="auto"/>
            <w:vAlign w:val="center"/>
          </w:tcPr>
          <w:p w14:paraId="28AA6178" w14:textId="77777777" w:rsidR="00E456DF" w:rsidRPr="00166B6B" w:rsidRDefault="00E456DF" w:rsidP="00642879">
            <w:pPr>
              <w:spacing w:after="0" w:line="240" w:lineRule="auto"/>
              <w:jc w:val="center"/>
              <w:rPr>
                <w:sz w:val="20"/>
                <w:szCs w:val="20"/>
              </w:rPr>
            </w:pPr>
            <w:r w:rsidRPr="00166B6B">
              <w:rPr>
                <w:sz w:val="20"/>
                <w:szCs w:val="20"/>
              </w:rPr>
              <w:t>$355</w:t>
            </w:r>
          </w:p>
        </w:tc>
      </w:tr>
      <w:tr w:rsidR="00E456DF" w:rsidRPr="00E41D40" w14:paraId="1D3867DB" w14:textId="77777777" w:rsidTr="00642879">
        <w:trPr>
          <w:trHeight w:val="77"/>
          <w:jc w:val="center"/>
        </w:trPr>
        <w:tc>
          <w:tcPr>
            <w:tcW w:w="2484" w:type="pct"/>
            <w:vAlign w:val="center"/>
          </w:tcPr>
          <w:p w14:paraId="19FF7B4D" w14:textId="77777777" w:rsidR="00E456DF" w:rsidRPr="00E41D40" w:rsidRDefault="00E456DF" w:rsidP="00642879">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Pupil services</w:t>
            </w:r>
          </w:p>
        </w:tc>
        <w:tc>
          <w:tcPr>
            <w:tcW w:w="839" w:type="pct"/>
            <w:vAlign w:val="center"/>
          </w:tcPr>
          <w:p w14:paraId="7929E8D9" w14:textId="77777777" w:rsidR="00E456DF" w:rsidRPr="00166B6B" w:rsidRDefault="00E456DF" w:rsidP="00642879">
            <w:pPr>
              <w:spacing w:after="0" w:line="240" w:lineRule="auto"/>
              <w:jc w:val="center"/>
              <w:rPr>
                <w:sz w:val="20"/>
                <w:szCs w:val="20"/>
              </w:rPr>
            </w:pPr>
            <w:r w:rsidRPr="00166B6B">
              <w:rPr>
                <w:sz w:val="20"/>
                <w:szCs w:val="20"/>
              </w:rPr>
              <w:t>$756</w:t>
            </w:r>
          </w:p>
        </w:tc>
        <w:tc>
          <w:tcPr>
            <w:tcW w:w="839" w:type="pct"/>
            <w:vAlign w:val="center"/>
          </w:tcPr>
          <w:p w14:paraId="57D6CFA8" w14:textId="77777777" w:rsidR="00E456DF" w:rsidRPr="00166B6B" w:rsidRDefault="00E456DF" w:rsidP="00642879">
            <w:pPr>
              <w:spacing w:after="0" w:line="240" w:lineRule="auto"/>
              <w:jc w:val="center"/>
              <w:rPr>
                <w:sz w:val="20"/>
                <w:szCs w:val="20"/>
              </w:rPr>
            </w:pPr>
            <w:r w:rsidRPr="00166B6B">
              <w:rPr>
                <w:sz w:val="20"/>
                <w:szCs w:val="20"/>
              </w:rPr>
              <w:t>$873</w:t>
            </w:r>
          </w:p>
        </w:tc>
        <w:tc>
          <w:tcPr>
            <w:tcW w:w="838" w:type="pct"/>
            <w:shd w:val="clear" w:color="auto" w:fill="auto"/>
            <w:vAlign w:val="center"/>
          </w:tcPr>
          <w:p w14:paraId="66E93F90" w14:textId="77777777" w:rsidR="00E456DF" w:rsidRPr="00166B6B" w:rsidRDefault="00E456DF" w:rsidP="00642879">
            <w:pPr>
              <w:spacing w:after="0" w:line="240" w:lineRule="auto"/>
              <w:jc w:val="center"/>
              <w:rPr>
                <w:sz w:val="20"/>
                <w:szCs w:val="20"/>
              </w:rPr>
            </w:pPr>
            <w:r w:rsidRPr="00166B6B">
              <w:rPr>
                <w:sz w:val="20"/>
                <w:szCs w:val="20"/>
              </w:rPr>
              <w:t>$882</w:t>
            </w:r>
          </w:p>
        </w:tc>
      </w:tr>
      <w:tr w:rsidR="00E456DF" w:rsidRPr="00E41D40" w14:paraId="06A2EAC4" w14:textId="77777777" w:rsidTr="00642879">
        <w:trPr>
          <w:trHeight w:val="77"/>
          <w:jc w:val="center"/>
        </w:trPr>
        <w:tc>
          <w:tcPr>
            <w:tcW w:w="2484" w:type="pct"/>
            <w:vAlign w:val="center"/>
          </w:tcPr>
          <w:p w14:paraId="17F50FA8" w14:textId="77777777" w:rsidR="00E456DF" w:rsidRPr="00E41D40" w:rsidRDefault="00E456DF" w:rsidP="00642879">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Operations and maintenance</w:t>
            </w:r>
          </w:p>
        </w:tc>
        <w:tc>
          <w:tcPr>
            <w:tcW w:w="839" w:type="pct"/>
            <w:vAlign w:val="center"/>
          </w:tcPr>
          <w:p w14:paraId="2F66645E" w14:textId="77777777" w:rsidR="00E456DF" w:rsidRPr="00166B6B" w:rsidRDefault="00E456DF" w:rsidP="00642879">
            <w:pPr>
              <w:spacing w:after="0" w:line="240" w:lineRule="auto"/>
              <w:jc w:val="center"/>
              <w:rPr>
                <w:sz w:val="20"/>
                <w:szCs w:val="20"/>
              </w:rPr>
            </w:pPr>
            <w:r w:rsidRPr="00166B6B">
              <w:rPr>
                <w:sz w:val="20"/>
                <w:szCs w:val="20"/>
              </w:rPr>
              <w:t>$1,241</w:t>
            </w:r>
          </w:p>
        </w:tc>
        <w:tc>
          <w:tcPr>
            <w:tcW w:w="839" w:type="pct"/>
            <w:vAlign w:val="center"/>
          </w:tcPr>
          <w:p w14:paraId="062536CE" w14:textId="77777777" w:rsidR="00E456DF" w:rsidRPr="00166B6B" w:rsidRDefault="00E456DF" w:rsidP="00642879">
            <w:pPr>
              <w:spacing w:after="0" w:line="240" w:lineRule="auto"/>
              <w:jc w:val="center"/>
              <w:rPr>
                <w:sz w:val="20"/>
                <w:szCs w:val="20"/>
              </w:rPr>
            </w:pPr>
            <w:r w:rsidRPr="00166B6B">
              <w:rPr>
                <w:sz w:val="20"/>
                <w:szCs w:val="20"/>
              </w:rPr>
              <w:t>$1,288</w:t>
            </w:r>
          </w:p>
        </w:tc>
        <w:tc>
          <w:tcPr>
            <w:tcW w:w="838" w:type="pct"/>
            <w:shd w:val="clear" w:color="auto" w:fill="auto"/>
            <w:vAlign w:val="center"/>
          </w:tcPr>
          <w:p w14:paraId="5CB42958" w14:textId="77777777" w:rsidR="00E456DF" w:rsidRPr="00166B6B" w:rsidRDefault="00E456DF" w:rsidP="00642879">
            <w:pPr>
              <w:spacing w:after="0" w:line="240" w:lineRule="auto"/>
              <w:jc w:val="center"/>
              <w:rPr>
                <w:sz w:val="20"/>
                <w:szCs w:val="20"/>
              </w:rPr>
            </w:pPr>
            <w:r w:rsidRPr="00166B6B">
              <w:rPr>
                <w:sz w:val="20"/>
                <w:szCs w:val="20"/>
              </w:rPr>
              <w:t>$1,214</w:t>
            </w:r>
          </w:p>
        </w:tc>
      </w:tr>
      <w:tr w:rsidR="00E456DF" w:rsidRPr="00E41D40" w14:paraId="43B2F1B2" w14:textId="77777777" w:rsidTr="00642879">
        <w:trPr>
          <w:trHeight w:val="77"/>
          <w:jc w:val="center"/>
        </w:trPr>
        <w:tc>
          <w:tcPr>
            <w:tcW w:w="2484" w:type="pct"/>
            <w:tcBorders>
              <w:bottom w:val="single" w:sz="12" w:space="0" w:color="auto"/>
            </w:tcBorders>
            <w:vAlign w:val="center"/>
          </w:tcPr>
          <w:p w14:paraId="331513DB" w14:textId="77777777" w:rsidR="00E456DF" w:rsidRPr="00E41D40" w:rsidRDefault="00E456DF" w:rsidP="00642879">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Insurance, retirement and other fixed costs</w:t>
            </w:r>
          </w:p>
        </w:tc>
        <w:tc>
          <w:tcPr>
            <w:tcW w:w="839" w:type="pct"/>
            <w:tcBorders>
              <w:bottom w:val="single" w:sz="12" w:space="0" w:color="auto"/>
            </w:tcBorders>
            <w:vAlign w:val="center"/>
          </w:tcPr>
          <w:p w14:paraId="4AA78A4E" w14:textId="77777777" w:rsidR="00E456DF" w:rsidRPr="00166B6B" w:rsidRDefault="00E456DF" w:rsidP="00642879">
            <w:pPr>
              <w:spacing w:after="0" w:line="240" w:lineRule="auto"/>
              <w:jc w:val="center"/>
              <w:rPr>
                <w:sz w:val="20"/>
                <w:szCs w:val="20"/>
              </w:rPr>
            </w:pPr>
            <w:r w:rsidRPr="00166B6B">
              <w:rPr>
                <w:sz w:val="20"/>
                <w:szCs w:val="20"/>
              </w:rPr>
              <w:t>$2,465</w:t>
            </w:r>
          </w:p>
        </w:tc>
        <w:tc>
          <w:tcPr>
            <w:tcW w:w="839" w:type="pct"/>
            <w:tcBorders>
              <w:bottom w:val="single" w:sz="12" w:space="0" w:color="auto"/>
            </w:tcBorders>
            <w:vAlign w:val="center"/>
          </w:tcPr>
          <w:p w14:paraId="1871B2B2" w14:textId="77777777" w:rsidR="00E456DF" w:rsidRPr="00166B6B" w:rsidRDefault="00E456DF" w:rsidP="00642879">
            <w:pPr>
              <w:spacing w:after="0" w:line="240" w:lineRule="auto"/>
              <w:jc w:val="center"/>
              <w:rPr>
                <w:sz w:val="20"/>
                <w:szCs w:val="20"/>
              </w:rPr>
            </w:pPr>
            <w:r w:rsidRPr="00166B6B">
              <w:rPr>
                <w:sz w:val="20"/>
                <w:szCs w:val="20"/>
              </w:rPr>
              <w:t>$2,453</w:t>
            </w:r>
          </w:p>
        </w:tc>
        <w:tc>
          <w:tcPr>
            <w:tcW w:w="838" w:type="pct"/>
            <w:tcBorders>
              <w:bottom w:val="single" w:sz="12" w:space="0" w:color="auto"/>
            </w:tcBorders>
            <w:shd w:val="clear" w:color="auto" w:fill="auto"/>
            <w:vAlign w:val="center"/>
          </w:tcPr>
          <w:p w14:paraId="5CE120C4" w14:textId="77777777" w:rsidR="00E456DF" w:rsidRPr="00166B6B" w:rsidRDefault="00E456DF" w:rsidP="00642879">
            <w:pPr>
              <w:spacing w:after="0" w:line="240" w:lineRule="auto"/>
              <w:jc w:val="center"/>
              <w:rPr>
                <w:sz w:val="20"/>
                <w:szCs w:val="20"/>
              </w:rPr>
            </w:pPr>
            <w:r w:rsidRPr="00166B6B">
              <w:rPr>
                <w:sz w:val="20"/>
                <w:szCs w:val="20"/>
              </w:rPr>
              <w:t>$2,560</w:t>
            </w:r>
          </w:p>
        </w:tc>
      </w:tr>
      <w:tr w:rsidR="00E456DF" w:rsidRPr="00E41D40" w14:paraId="3D38F468" w14:textId="77777777" w:rsidTr="00642879">
        <w:trPr>
          <w:trHeight w:val="107"/>
          <w:jc w:val="center"/>
        </w:trPr>
        <w:tc>
          <w:tcPr>
            <w:tcW w:w="2484" w:type="pct"/>
            <w:tcBorders>
              <w:top w:val="single" w:sz="12" w:space="0" w:color="auto"/>
              <w:bottom w:val="single" w:sz="12" w:space="0" w:color="auto"/>
            </w:tcBorders>
            <w:vAlign w:val="center"/>
          </w:tcPr>
          <w:p w14:paraId="42EF021F" w14:textId="77777777" w:rsidR="00E456DF" w:rsidRPr="00E41D40" w:rsidRDefault="00E456DF" w:rsidP="00642879">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Total expenditures per in-district pupil</w:t>
            </w:r>
          </w:p>
        </w:tc>
        <w:tc>
          <w:tcPr>
            <w:tcW w:w="839" w:type="pct"/>
            <w:tcBorders>
              <w:top w:val="single" w:sz="12" w:space="0" w:color="auto"/>
              <w:bottom w:val="single" w:sz="12" w:space="0" w:color="auto"/>
            </w:tcBorders>
            <w:vAlign w:val="center"/>
          </w:tcPr>
          <w:p w14:paraId="66312B89" w14:textId="77777777" w:rsidR="00E456DF" w:rsidRPr="00166B6B" w:rsidRDefault="00E456DF" w:rsidP="00642879">
            <w:pPr>
              <w:spacing w:after="0" w:line="240" w:lineRule="auto"/>
              <w:jc w:val="center"/>
              <w:rPr>
                <w:sz w:val="20"/>
                <w:szCs w:val="20"/>
              </w:rPr>
            </w:pPr>
            <w:r w:rsidRPr="00166B6B">
              <w:rPr>
                <w:sz w:val="20"/>
                <w:szCs w:val="20"/>
              </w:rPr>
              <w:t>$12,361</w:t>
            </w:r>
          </w:p>
        </w:tc>
        <w:tc>
          <w:tcPr>
            <w:tcW w:w="839" w:type="pct"/>
            <w:tcBorders>
              <w:top w:val="single" w:sz="12" w:space="0" w:color="auto"/>
              <w:bottom w:val="single" w:sz="12" w:space="0" w:color="auto"/>
            </w:tcBorders>
            <w:vAlign w:val="center"/>
          </w:tcPr>
          <w:p w14:paraId="07602387" w14:textId="77777777" w:rsidR="00E456DF" w:rsidRPr="00166B6B" w:rsidRDefault="00E456DF" w:rsidP="00642879">
            <w:pPr>
              <w:spacing w:after="0" w:line="240" w:lineRule="auto"/>
              <w:jc w:val="center"/>
              <w:rPr>
                <w:sz w:val="20"/>
                <w:szCs w:val="20"/>
              </w:rPr>
            </w:pPr>
            <w:r w:rsidRPr="00166B6B">
              <w:rPr>
                <w:sz w:val="20"/>
                <w:szCs w:val="20"/>
              </w:rPr>
              <w:t>$12,853</w:t>
            </w:r>
          </w:p>
        </w:tc>
        <w:tc>
          <w:tcPr>
            <w:tcW w:w="838" w:type="pct"/>
            <w:tcBorders>
              <w:top w:val="single" w:sz="12" w:space="0" w:color="auto"/>
              <w:bottom w:val="single" w:sz="12" w:space="0" w:color="auto"/>
            </w:tcBorders>
            <w:shd w:val="clear" w:color="auto" w:fill="auto"/>
            <w:vAlign w:val="center"/>
          </w:tcPr>
          <w:p w14:paraId="0E3FB615" w14:textId="77777777" w:rsidR="00E456DF" w:rsidRPr="00166B6B" w:rsidRDefault="00E456DF" w:rsidP="00642879">
            <w:pPr>
              <w:spacing w:after="0" w:line="240" w:lineRule="auto"/>
              <w:jc w:val="center"/>
              <w:rPr>
                <w:sz w:val="20"/>
                <w:szCs w:val="20"/>
              </w:rPr>
            </w:pPr>
            <w:r w:rsidRPr="00166B6B">
              <w:rPr>
                <w:sz w:val="20"/>
                <w:szCs w:val="20"/>
              </w:rPr>
              <w:t>$13,407</w:t>
            </w:r>
          </w:p>
        </w:tc>
      </w:tr>
      <w:tr w:rsidR="00E456DF" w:rsidRPr="00E41D40" w14:paraId="01DCDFD5" w14:textId="77777777" w:rsidTr="00642879">
        <w:trPr>
          <w:trHeight w:val="107"/>
          <w:jc w:val="center"/>
        </w:trPr>
        <w:tc>
          <w:tcPr>
            <w:tcW w:w="5000" w:type="pct"/>
            <w:gridSpan w:val="4"/>
            <w:tcBorders>
              <w:top w:val="single" w:sz="12" w:space="0" w:color="auto"/>
              <w:left w:val="nil"/>
              <w:bottom w:val="nil"/>
              <w:right w:val="nil"/>
            </w:tcBorders>
            <w:vAlign w:val="center"/>
          </w:tcPr>
          <w:p w14:paraId="4D051D23" w14:textId="77777777" w:rsidR="00E456DF" w:rsidRPr="00E41D40" w:rsidRDefault="00E456DF" w:rsidP="00642879">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bCs/>
                <w:kern w:val="28"/>
                <w:sz w:val="20"/>
                <w:szCs w:val="20"/>
              </w:rPr>
              <w:t xml:space="preserve">Sources: </w:t>
            </w:r>
            <w:hyperlink r:id="rId38" w:history="1">
              <w:r w:rsidRPr="00E41D40">
                <w:rPr>
                  <w:rFonts w:ascii="Calibri" w:eastAsia="Times New Roman" w:hAnsi="Calibri" w:cs="Times New Roman"/>
                  <w:bCs/>
                  <w:kern w:val="28"/>
                  <w:sz w:val="20"/>
                  <w:szCs w:val="24"/>
                  <w:u w:val="single"/>
                </w:rPr>
                <w:t>Per-pupil expenditure reports on ESE website</w:t>
              </w:r>
            </w:hyperlink>
          </w:p>
          <w:p w14:paraId="583B9C02" w14:textId="77777777" w:rsidR="00E456DF" w:rsidRPr="00E41D40" w:rsidRDefault="00E456DF" w:rsidP="00642879">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Note: Any discrepancy between expenditures and total is because of rounding.</w:t>
            </w:r>
          </w:p>
        </w:tc>
      </w:tr>
    </w:tbl>
    <w:p w14:paraId="11839F76" w14:textId="77777777" w:rsidR="00E456DF" w:rsidRPr="00E41D40" w:rsidRDefault="00E456DF" w:rsidP="00E456DF">
      <w:pPr>
        <w:spacing w:after="0" w:line="240" w:lineRule="auto"/>
        <w:rPr>
          <w:rFonts w:ascii="Calibri" w:eastAsia="Times New Roman" w:hAnsi="Calibri" w:cs="Arial"/>
          <w:b/>
          <w:kern w:val="28"/>
          <w:sz w:val="20"/>
          <w:szCs w:val="20"/>
        </w:rPr>
      </w:pPr>
    </w:p>
    <w:p w14:paraId="6110D618" w14:textId="77777777" w:rsidR="002F1EBE" w:rsidRPr="002F1EBE" w:rsidRDefault="002F1EBE" w:rsidP="002F1EBE">
      <w:pPr>
        <w:rPr>
          <w:rFonts w:ascii="Calibri" w:eastAsia="Times New Roman" w:hAnsi="Calibri" w:cs="Arial"/>
          <w:b/>
          <w:kern w:val="28"/>
          <w:sz w:val="20"/>
          <w:szCs w:val="20"/>
        </w:rPr>
      </w:pPr>
    </w:p>
    <w:p w14:paraId="5DF2429D" w14:textId="77777777" w:rsidR="002F1EBE" w:rsidRPr="002F1EBE" w:rsidRDefault="002F1EBE" w:rsidP="002F1EBE">
      <w:pPr>
        <w:spacing w:after="0" w:line="240" w:lineRule="auto"/>
        <w:rPr>
          <w:rFonts w:ascii="Calibri" w:eastAsia="Times New Roman" w:hAnsi="Calibri" w:cs="Times New Roman"/>
          <w:sz w:val="20"/>
          <w:szCs w:val="20"/>
        </w:rPr>
      </w:pPr>
    </w:p>
    <w:p w14:paraId="31F27074" w14:textId="77777777" w:rsidR="002F1EBE" w:rsidRPr="002F1EBE" w:rsidRDefault="002F1EBE" w:rsidP="002F1EBE">
      <w:pPr>
        <w:spacing w:after="0" w:line="240" w:lineRule="auto"/>
        <w:rPr>
          <w:rFonts w:ascii="Calibri" w:eastAsia="Times New Roman" w:hAnsi="Calibri" w:cs="Times New Roman"/>
          <w:sz w:val="20"/>
          <w:szCs w:val="20"/>
        </w:rPr>
      </w:pPr>
    </w:p>
    <w:p w14:paraId="3CD0EFCD" w14:textId="77777777" w:rsidR="002F1EBE" w:rsidRPr="002F1EBE" w:rsidRDefault="002F1EBE" w:rsidP="002F1EBE">
      <w:pPr>
        <w:spacing w:after="0" w:line="240" w:lineRule="auto"/>
        <w:rPr>
          <w:rFonts w:ascii="Calibri" w:eastAsia="Times New Roman" w:hAnsi="Calibri" w:cs="Times New Roman"/>
          <w:sz w:val="20"/>
          <w:szCs w:val="20"/>
        </w:rPr>
      </w:pPr>
    </w:p>
    <w:p w14:paraId="368C6743" w14:textId="77777777" w:rsidR="00350132" w:rsidRDefault="00350132">
      <w:pPr>
        <w:spacing w:after="0" w:line="240" w:lineRule="auto"/>
      </w:pPr>
      <w:r>
        <w:br w:type="page"/>
      </w:r>
    </w:p>
    <w:p w14:paraId="1FB602B3" w14:textId="77777777" w:rsidR="00531520" w:rsidRPr="0036533B" w:rsidRDefault="00531520" w:rsidP="00531520">
      <w:pPr>
        <w:pStyle w:val="Section"/>
      </w:pPr>
      <w:bookmarkStart w:id="20" w:name="_Toc495412253"/>
      <w:bookmarkStart w:id="21" w:name="_Toc532556051"/>
      <w:r w:rsidRPr="00476E71">
        <w:lastRenderedPageBreak/>
        <w:t xml:space="preserve">Appendix </w:t>
      </w:r>
      <w:r>
        <w:t>C: Instructional Inventory</w:t>
      </w:r>
      <w:bookmarkEnd w:id="20"/>
      <w:bookmarkEnd w:id="21"/>
    </w:p>
    <w:tbl>
      <w:tblPr>
        <w:tblStyle w:val="TableGrid2"/>
        <w:tblW w:w="0" w:type="auto"/>
        <w:tblInd w:w="-162" w:type="dxa"/>
        <w:tblLayout w:type="fixed"/>
        <w:tblLook w:val="04A0" w:firstRow="1" w:lastRow="0" w:firstColumn="1" w:lastColumn="0" w:noHBand="0" w:noVBand="1"/>
        <w:tblCaption w:val="Appendix C"/>
        <w:tblDescription w:val="Instructional Inventory&#10;"/>
      </w:tblPr>
      <w:tblGrid>
        <w:gridCol w:w="2970"/>
        <w:gridCol w:w="900"/>
        <w:gridCol w:w="1260"/>
        <w:gridCol w:w="1080"/>
        <w:gridCol w:w="1170"/>
        <w:gridCol w:w="1260"/>
        <w:gridCol w:w="1098"/>
      </w:tblGrid>
      <w:tr w:rsidR="00531520" w:rsidRPr="003F0BCE" w14:paraId="10A3D2FB" w14:textId="77777777" w:rsidTr="00BB0032">
        <w:trPr>
          <w:trHeight w:val="816"/>
          <w:tblHeader/>
        </w:trPr>
        <w:tc>
          <w:tcPr>
            <w:tcW w:w="2970" w:type="dxa"/>
            <w:vMerge w:val="restart"/>
            <w:tcBorders>
              <w:bottom w:val="single" w:sz="4" w:space="0" w:color="auto"/>
            </w:tcBorders>
          </w:tcPr>
          <w:p w14:paraId="2492423A" w14:textId="77777777" w:rsidR="00531520" w:rsidRPr="00E22258" w:rsidRDefault="00531520" w:rsidP="002350D1">
            <w:pPr>
              <w:spacing w:after="0" w:line="240" w:lineRule="auto"/>
              <w:jc w:val="center"/>
            </w:pPr>
            <w:r w:rsidRPr="00E22258">
              <w:rPr>
                <w:b/>
              </w:rPr>
              <w:t>Focus Area #1: Learning Objectives &amp; Expectations</w:t>
            </w:r>
          </w:p>
        </w:tc>
        <w:tc>
          <w:tcPr>
            <w:tcW w:w="900" w:type="dxa"/>
          </w:tcPr>
          <w:p w14:paraId="1A038390" w14:textId="77777777" w:rsidR="00531520" w:rsidRPr="003F0BCE" w:rsidRDefault="00531520" w:rsidP="002350D1">
            <w:pPr>
              <w:spacing w:after="0" w:line="240" w:lineRule="auto"/>
              <w:jc w:val="center"/>
            </w:pPr>
          </w:p>
        </w:tc>
        <w:tc>
          <w:tcPr>
            <w:tcW w:w="1260" w:type="dxa"/>
            <w:tcBorders>
              <w:bottom w:val="single" w:sz="4" w:space="0" w:color="auto"/>
            </w:tcBorders>
          </w:tcPr>
          <w:p w14:paraId="13DAF2A6" w14:textId="77777777" w:rsidR="00531520" w:rsidRPr="0071153E" w:rsidRDefault="00531520" w:rsidP="002350D1">
            <w:pPr>
              <w:spacing w:after="0" w:line="240" w:lineRule="auto"/>
              <w:jc w:val="center"/>
              <w:rPr>
                <w:sz w:val="20"/>
                <w:szCs w:val="20"/>
              </w:rPr>
            </w:pPr>
            <w:r w:rsidRPr="0071153E">
              <w:rPr>
                <w:sz w:val="20"/>
                <w:szCs w:val="20"/>
              </w:rPr>
              <w:t>Insufficient Evidence</w:t>
            </w:r>
          </w:p>
        </w:tc>
        <w:tc>
          <w:tcPr>
            <w:tcW w:w="1080" w:type="dxa"/>
            <w:tcBorders>
              <w:bottom w:val="single" w:sz="4" w:space="0" w:color="auto"/>
            </w:tcBorders>
          </w:tcPr>
          <w:p w14:paraId="519B7AC8" w14:textId="77777777" w:rsidR="00531520" w:rsidRPr="0071153E" w:rsidRDefault="00531520" w:rsidP="002350D1">
            <w:pPr>
              <w:spacing w:after="0" w:line="240" w:lineRule="auto"/>
              <w:jc w:val="center"/>
              <w:rPr>
                <w:sz w:val="20"/>
                <w:szCs w:val="20"/>
              </w:rPr>
            </w:pPr>
            <w:r w:rsidRPr="0071153E">
              <w:rPr>
                <w:sz w:val="20"/>
                <w:szCs w:val="20"/>
              </w:rPr>
              <w:t>Limited Evidence</w:t>
            </w:r>
          </w:p>
        </w:tc>
        <w:tc>
          <w:tcPr>
            <w:tcW w:w="1170" w:type="dxa"/>
            <w:tcBorders>
              <w:bottom w:val="single" w:sz="4" w:space="0" w:color="auto"/>
            </w:tcBorders>
          </w:tcPr>
          <w:p w14:paraId="54C23880" w14:textId="77777777" w:rsidR="00531520" w:rsidRPr="0071153E" w:rsidRDefault="00531520" w:rsidP="002350D1">
            <w:pPr>
              <w:spacing w:after="0" w:line="240" w:lineRule="auto"/>
              <w:jc w:val="center"/>
              <w:rPr>
                <w:sz w:val="20"/>
                <w:szCs w:val="20"/>
              </w:rPr>
            </w:pPr>
            <w:r w:rsidRPr="0071153E">
              <w:rPr>
                <w:sz w:val="20"/>
                <w:szCs w:val="20"/>
              </w:rPr>
              <w:t>Sufficient Evidence</w:t>
            </w:r>
          </w:p>
        </w:tc>
        <w:tc>
          <w:tcPr>
            <w:tcW w:w="1260" w:type="dxa"/>
            <w:tcBorders>
              <w:bottom w:val="single" w:sz="4" w:space="0" w:color="auto"/>
            </w:tcBorders>
          </w:tcPr>
          <w:p w14:paraId="39FE6B47" w14:textId="77777777" w:rsidR="00531520" w:rsidRPr="0071153E" w:rsidRDefault="00531520" w:rsidP="002350D1">
            <w:pPr>
              <w:spacing w:after="0" w:line="240" w:lineRule="auto"/>
              <w:jc w:val="center"/>
              <w:rPr>
                <w:sz w:val="20"/>
                <w:szCs w:val="20"/>
              </w:rPr>
            </w:pPr>
            <w:r w:rsidRPr="0071153E">
              <w:rPr>
                <w:sz w:val="20"/>
                <w:szCs w:val="20"/>
              </w:rPr>
              <w:t>Compelling Evidence</w:t>
            </w:r>
          </w:p>
        </w:tc>
        <w:tc>
          <w:tcPr>
            <w:tcW w:w="1098" w:type="dxa"/>
            <w:tcBorders>
              <w:bottom w:val="single" w:sz="4" w:space="0" w:color="auto"/>
            </w:tcBorders>
          </w:tcPr>
          <w:p w14:paraId="70666865" w14:textId="77777777" w:rsidR="00531520" w:rsidRDefault="00531520" w:rsidP="002350D1">
            <w:pPr>
              <w:spacing w:after="0" w:line="240" w:lineRule="auto"/>
              <w:jc w:val="center"/>
              <w:rPr>
                <w:sz w:val="20"/>
                <w:szCs w:val="20"/>
              </w:rPr>
            </w:pPr>
            <w:r>
              <w:rPr>
                <w:sz w:val="20"/>
                <w:szCs w:val="20"/>
              </w:rPr>
              <w:t>Average</w:t>
            </w:r>
          </w:p>
          <w:p w14:paraId="23BFD039" w14:textId="77777777" w:rsidR="00531520" w:rsidRPr="0071153E" w:rsidRDefault="00531520" w:rsidP="002350D1">
            <w:pPr>
              <w:spacing w:after="0" w:line="240" w:lineRule="auto"/>
              <w:jc w:val="center"/>
              <w:rPr>
                <w:sz w:val="20"/>
                <w:szCs w:val="20"/>
              </w:rPr>
            </w:pPr>
            <w:r w:rsidRPr="0071153E">
              <w:rPr>
                <w:sz w:val="20"/>
                <w:szCs w:val="20"/>
              </w:rPr>
              <w:t>Number of points</w:t>
            </w:r>
          </w:p>
        </w:tc>
      </w:tr>
      <w:tr w:rsidR="00531520" w:rsidRPr="003F0BCE" w14:paraId="59FDCDF3" w14:textId="77777777" w:rsidTr="00E14984">
        <w:tc>
          <w:tcPr>
            <w:tcW w:w="2970" w:type="dxa"/>
            <w:vMerge/>
          </w:tcPr>
          <w:p w14:paraId="77E1AA77" w14:textId="77777777" w:rsidR="00531520" w:rsidRPr="003F0BCE" w:rsidRDefault="00531520" w:rsidP="002350D1">
            <w:pPr>
              <w:spacing w:after="0" w:line="240" w:lineRule="auto"/>
            </w:pPr>
          </w:p>
        </w:tc>
        <w:tc>
          <w:tcPr>
            <w:tcW w:w="900" w:type="dxa"/>
          </w:tcPr>
          <w:p w14:paraId="27559BC8" w14:textId="77777777" w:rsidR="00531520" w:rsidRPr="003F0BCE" w:rsidRDefault="00531520" w:rsidP="002350D1">
            <w:pPr>
              <w:spacing w:after="0" w:line="240" w:lineRule="auto"/>
            </w:pPr>
          </w:p>
        </w:tc>
        <w:tc>
          <w:tcPr>
            <w:tcW w:w="1260" w:type="dxa"/>
          </w:tcPr>
          <w:p w14:paraId="1A460793" w14:textId="77777777" w:rsidR="00531520" w:rsidRPr="003F0BCE" w:rsidRDefault="00531520" w:rsidP="002350D1">
            <w:pPr>
              <w:spacing w:after="0" w:line="240" w:lineRule="auto"/>
              <w:jc w:val="center"/>
            </w:pPr>
            <w:r w:rsidRPr="003F0BCE">
              <w:t>(</w:t>
            </w:r>
            <w:r>
              <w:t>1</w:t>
            </w:r>
            <w:r w:rsidRPr="003F0BCE">
              <w:t>)</w:t>
            </w:r>
          </w:p>
        </w:tc>
        <w:tc>
          <w:tcPr>
            <w:tcW w:w="1080" w:type="dxa"/>
          </w:tcPr>
          <w:p w14:paraId="0B9D438F" w14:textId="77777777" w:rsidR="00531520" w:rsidRPr="003F0BCE" w:rsidRDefault="00531520" w:rsidP="002350D1">
            <w:pPr>
              <w:spacing w:after="0" w:line="240" w:lineRule="auto"/>
              <w:jc w:val="center"/>
            </w:pPr>
            <w:r w:rsidRPr="003F0BCE">
              <w:t>(</w:t>
            </w:r>
            <w:r>
              <w:t>2</w:t>
            </w:r>
            <w:r w:rsidRPr="003F0BCE">
              <w:t>)</w:t>
            </w:r>
          </w:p>
        </w:tc>
        <w:tc>
          <w:tcPr>
            <w:tcW w:w="1170" w:type="dxa"/>
          </w:tcPr>
          <w:p w14:paraId="2B357E6C" w14:textId="77777777" w:rsidR="00531520" w:rsidRPr="003F0BCE" w:rsidRDefault="00531520" w:rsidP="002350D1">
            <w:pPr>
              <w:spacing w:after="0" w:line="240" w:lineRule="auto"/>
              <w:jc w:val="center"/>
            </w:pPr>
            <w:r w:rsidRPr="003F0BCE">
              <w:t>(</w:t>
            </w:r>
            <w:r>
              <w:t>3</w:t>
            </w:r>
            <w:r w:rsidRPr="003F0BCE">
              <w:t>)</w:t>
            </w:r>
          </w:p>
        </w:tc>
        <w:tc>
          <w:tcPr>
            <w:tcW w:w="1260" w:type="dxa"/>
          </w:tcPr>
          <w:p w14:paraId="3E3FB4ED" w14:textId="77777777" w:rsidR="00531520" w:rsidRPr="003F0BCE" w:rsidRDefault="00531520" w:rsidP="002350D1">
            <w:pPr>
              <w:spacing w:after="0" w:line="240" w:lineRule="auto"/>
              <w:jc w:val="center"/>
            </w:pPr>
            <w:r w:rsidRPr="003F0BCE">
              <w:t>(</w:t>
            </w:r>
            <w:r>
              <w:t>4</w:t>
            </w:r>
            <w:r w:rsidRPr="003F0BCE">
              <w:t>)</w:t>
            </w:r>
          </w:p>
        </w:tc>
        <w:tc>
          <w:tcPr>
            <w:tcW w:w="1098" w:type="dxa"/>
          </w:tcPr>
          <w:p w14:paraId="2D0CAAB6" w14:textId="77777777" w:rsidR="00531520" w:rsidRPr="003F0BCE" w:rsidRDefault="00531520" w:rsidP="002350D1">
            <w:pPr>
              <w:spacing w:after="0" w:line="240" w:lineRule="auto"/>
              <w:jc w:val="center"/>
            </w:pPr>
            <w:r>
              <w:t>(1</w:t>
            </w:r>
            <w:r w:rsidRPr="003F0BCE">
              <w:t xml:space="preserve"> to </w:t>
            </w:r>
            <w:r>
              <w:t>4</w:t>
            </w:r>
            <w:r w:rsidRPr="003F0BCE">
              <w:t>)</w:t>
            </w:r>
          </w:p>
        </w:tc>
      </w:tr>
      <w:tr w:rsidR="00531520" w:rsidRPr="003F0BCE" w14:paraId="1E72714D" w14:textId="77777777" w:rsidTr="00E14984">
        <w:tc>
          <w:tcPr>
            <w:tcW w:w="2970" w:type="dxa"/>
            <w:vMerge w:val="restart"/>
            <w:shd w:val="clear" w:color="auto" w:fill="BFBFBF" w:themeFill="background1" w:themeFillShade="BF"/>
          </w:tcPr>
          <w:p w14:paraId="78D2C834" w14:textId="77777777" w:rsidR="00531520" w:rsidRPr="003F0BCE" w:rsidRDefault="00531520" w:rsidP="002350D1">
            <w:pPr>
              <w:spacing w:after="0" w:line="240" w:lineRule="auto"/>
              <w:rPr>
                <w:rFonts w:ascii="Calibri" w:hAnsi="Calibri"/>
                <w:color w:val="000000"/>
              </w:rPr>
            </w:pPr>
            <w:r w:rsidRPr="003F0BCE">
              <w:rPr>
                <w:rFonts w:ascii="Calibri" w:hAnsi="Calibri"/>
                <w:color w:val="000000"/>
              </w:rPr>
              <w:t xml:space="preserve">1. </w:t>
            </w:r>
            <w:r>
              <w:rPr>
                <w:rFonts w:ascii="Calibri" w:hAnsi="Calibri"/>
                <w:color w:val="000000"/>
              </w:rPr>
              <w:t>The teacher demonstrates knowledge of the subject matter</w:t>
            </w:r>
            <w:r w:rsidRPr="003F0BCE">
              <w:rPr>
                <w:rFonts w:ascii="Calibri" w:hAnsi="Calibri"/>
                <w:color w:val="000000"/>
              </w:rPr>
              <w:t>.</w:t>
            </w:r>
          </w:p>
        </w:tc>
        <w:tc>
          <w:tcPr>
            <w:tcW w:w="900" w:type="dxa"/>
            <w:shd w:val="clear" w:color="auto" w:fill="BFBFBF" w:themeFill="background1" w:themeFillShade="BF"/>
          </w:tcPr>
          <w:p w14:paraId="4957666E" w14:textId="77777777" w:rsidR="00531520" w:rsidRPr="003F0BCE" w:rsidRDefault="00531520" w:rsidP="002350D1">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tcPr>
          <w:p w14:paraId="39016766" w14:textId="77777777" w:rsidR="00531520" w:rsidRPr="003F0BCE" w:rsidRDefault="00531520" w:rsidP="002350D1">
            <w:pPr>
              <w:spacing w:after="0" w:line="240" w:lineRule="auto"/>
              <w:jc w:val="center"/>
            </w:pPr>
            <w:r>
              <w:t>0%</w:t>
            </w:r>
          </w:p>
        </w:tc>
        <w:tc>
          <w:tcPr>
            <w:tcW w:w="1080" w:type="dxa"/>
            <w:shd w:val="clear" w:color="auto" w:fill="BFBFBF" w:themeFill="background1" w:themeFillShade="BF"/>
          </w:tcPr>
          <w:p w14:paraId="05E87AF1" w14:textId="77777777" w:rsidR="00531520" w:rsidRPr="003F0BCE" w:rsidRDefault="00531520" w:rsidP="002350D1">
            <w:pPr>
              <w:spacing w:after="0" w:line="240" w:lineRule="auto"/>
              <w:jc w:val="center"/>
            </w:pPr>
            <w:r>
              <w:t>0%</w:t>
            </w:r>
          </w:p>
        </w:tc>
        <w:tc>
          <w:tcPr>
            <w:tcW w:w="1170" w:type="dxa"/>
            <w:shd w:val="clear" w:color="auto" w:fill="BFBFBF" w:themeFill="background1" w:themeFillShade="BF"/>
          </w:tcPr>
          <w:p w14:paraId="42C11C95" w14:textId="77777777" w:rsidR="00531520" w:rsidRPr="003F0BCE" w:rsidRDefault="00531520" w:rsidP="002350D1">
            <w:pPr>
              <w:spacing w:after="0" w:line="240" w:lineRule="auto"/>
              <w:jc w:val="center"/>
            </w:pPr>
            <w:r>
              <w:t>95%</w:t>
            </w:r>
          </w:p>
        </w:tc>
        <w:tc>
          <w:tcPr>
            <w:tcW w:w="1260" w:type="dxa"/>
            <w:shd w:val="clear" w:color="auto" w:fill="BFBFBF" w:themeFill="background1" w:themeFillShade="BF"/>
          </w:tcPr>
          <w:p w14:paraId="05726057" w14:textId="77777777" w:rsidR="00531520" w:rsidRPr="003F0BCE" w:rsidRDefault="00531520" w:rsidP="002350D1">
            <w:pPr>
              <w:spacing w:after="0" w:line="240" w:lineRule="auto"/>
              <w:jc w:val="center"/>
            </w:pPr>
            <w:r>
              <w:t>5%</w:t>
            </w:r>
          </w:p>
        </w:tc>
        <w:tc>
          <w:tcPr>
            <w:tcW w:w="1098" w:type="dxa"/>
            <w:shd w:val="clear" w:color="auto" w:fill="BFBFBF" w:themeFill="background1" w:themeFillShade="BF"/>
          </w:tcPr>
          <w:p w14:paraId="0FE6A5C7" w14:textId="77777777" w:rsidR="00531520" w:rsidRPr="003F0BCE" w:rsidRDefault="00531520" w:rsidP="002350D1">
            <w:pPr>
              <w:spacing w:after="0" w:line="240" w:lineRule="auto"/>
              <w:jc w:val="center"/>
            </w:pPr>
            <w:r>
              <w:t>3.0</w:t>
            </w:r>
          </w:p>
        </w:tc>
      </w:tr>
      <w:tr w:rsidR="00531520" w:rsidRPr="003F0BCE" w14:paraId="5B3D2713" w14:textId="77777777" w:rsidTr="00E14984">
        <w:tc>
          <w:tcPr>
            <w:tcW w:w="2970" w:type="dxa"/>
            <w:vMerge/>
            <w:shd w:val="clear" w:color="auto" w:fill="BFBFBF" w:themeFill="background1" w:themeFillShade="BF"/>
          </w:tcPr>
          <w:p w14:paraId="27715EAE" w14:textId="77777777" w:rsidR="00531520" w:rsidRPr="003F0BCE" w:rsidRDefault="00531520" w:rsidP="002350D1">
            <w:pPr>
              <w:spacing w:after="0" w:line="240" w:lineRule="auto"/>
            </w:pPr>
          </w:p>
        </w:tc>
        <w:tc>
          <w:tcPr>
            <w:tcW w:w="900" w:type="dxa"/>
            <w:shd w:val="clear" w:color="auto" w:fill="BFBFBF" w:themeFill="background1" w:themeFillShade="BF"/>
          </w:tcPr>
          <w:p w14:paraId="434A0C88" w14:textId="77777777" w:rsidR="00531520" w:rsidRPr="003F0BCE" w:rsidRDefault="00531520" w:rsidP="002350D1">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tcPr>
          <w:p w14:paraId="0ACF96A6" w14:textId="77777777" w:rsidR="00531520" w:rsidRPr="003F0BCE" w:rsidRDefault="00531520" w:rsidP="002350D1">
            <w:pPr>
              <w:spacing w:after="0" w:line="240" w:lineRule="auto"/>
              <w:jc w:val="center"/>
            </w:pPr>
            <w:r>
              <w:t>13%</w:t>
            </w:r>
          </w:p>
        </w:tc>
        <w:tc>
          <w:tcPr>
            <w:tcW w:w="1080" w:type="dxa"/>
            <w:shd w:val="clear" w:color="auto" w:fill="BFBFBF" w:themeFill="background1" w:themeFillShade="BF"/>
          </w:tcPr>
          <w:p w14:paraId="58D31E98" w14:textId="77777777" w:rsidR="00531520" w:rsidRPr="003F0BCE" w:rsidRDefault="00531520" w:rsidP="002350D1">
            <w:pPr>
              <w:spacing w:after="0" w:line="240" w:lineRule="auto"/>
              <w:jc w:val="center"/>
            </w:pPr>
            <w:r>
              <w:t>22%</w:t>
            </w:r>
          </w:p>
        </w:tc>
        <w:tc>
          <w:tcPr>
            <w:tcW w:w="1170" w:type="dxa"/>
            <w:shd w:val="clear" w:color="auto" w:fill="BFBFBF" w:themeFill="background1" w:themeFillShade="BF"/>
          </w:tcPr>
          <w:p w14:paraId="36498137" w14:textId="77777777" w:rsidR="00531520" w:rsidRPr="003F0BCE" w:rsidRDefault="00531520" w:rsidP="002350D1">
            <w:pPr>
              <w:spacing w:after="0" w:line="240" w:lineRule="auto"/>
              <w:jc w:val="center"/>
            </w:pPr>
            <w:r>
              <w:t>48%</w:t>
            </w:r>
          </w:p>
        </w:tc>
        <w:tc>
          <w:tcPr>
            <w:tcW w:w="1260" w:type="dxa"/>
            <w:shd w:val="clear" w:color="auto" w:fill="BFBFBF" w:themeFill="background1" w:themeFillShade="BF"/>
          </w:tcPr>
          <w:p w14:paraId="3CEEE636" w14:textId="77777777" w:rsidR="00531520" w:rsidRPr="003F0BCE" w:rsidRDefault="00531520" w:rsidP="002350D1">
            <w:pPr>
              <w:spacing w:after="0" w:line="240" w:lineRule="auto"/>
              <w:jc w:val="center"/>
            </w:pPr>
            <w:r>
              <w:t>17%</w:t>
            </w:r>
          </w:p>
        </w:tc>
        <w:tc>
          <w:tcPr>
            <w:tcW w:w="1098" w:type="dxa"/>
            <w:shd w:val="clear" w:color="auto" w:fill="BFBFBF" w:themeFill="background1" w:themeFillShade="BF"/>
          </w:tcPr>
          <w:p w14:paraId="3402672E" w14:textId="77777777" w:rsidR="00531520" w:rsidRPr="003F0BCE" w:rsidRDefault="00531520" w:rsidP="002350D1">
            <w:pPr>
              <w:spacing w:after="0" w:line="240" w:lineRule="auto"/>
              <w:jc w:val="center"/>
            </w:pPr>
            <w:r>
              <w:t>2.7</w:t>
            </w:r>
          </w:p>
        </w:tc>
      </w:tr>
      <w:tr w:rsidR="00531520" w:rsidRPr="003F0BCE" w14:paraId="4B9C3EC5" w14:textId="77777777" w:rsidTr="00E14984">
        <w:tc>
          <w:tcPr>
            <w:tcW w:w="2970" w:type="dxa"/>
            <w:vMerge/>
            <w:shd w:val="clear" w:color="auto" w:fill="BFBFBF" w:themeFill="background1" w:themeFillShade="BF"/>
          </w:tcPr>
          <w:p w14:paraId="5410FC29" w14:textId="77777777" w:rsidR="00531520" w:rsidRPr="003F0BCE" w:rsidRDefault="00531520" w:rsidP="002350D1">
            <w:pPr>
              <w:spacing w:after="0" w:line="240" w:lineRule="auto"/>
            </w:pPr>
          </w:p>
        </w:tc>
        <w:tc>
          <w:tcPr>
            <w:tcW w:w="900" w:type="dxa"/>
            <w:shd w:val="clear" w:color="auto" w:fill="BFBFBF" w:themeFill="background1" w:themeFillShade="BF"/>
          </w:tcPr>
          <w:p w14:paraId="2AA69F31" w14:textId="77777777" w:rsidR="00531520" w:rsidRPr="003F0BCE" w:rsidRDefault="00531520" w:rsidP="002350D1">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tcPr>
          <w:p w14:paraId="5535DCA9" w14:textId="77777777" w:rsidR="00531520" w:rsidRPr="003F0BCE" w:rsidRDefault="00531520" w:rsidP="002350D1">
            <w:pPr>
              <w:spacing w:after="0" w:line="240" w:lineRule="auto"/>
              <w:jc w:val="center"/>
            </w:pPr>
            <w:r>
              <w:t>0%</w:t>
            </w:r>
          </w:p>
        </w:tc>
        <w:tc>
          <w:tcPr>
            <w:tcW w:w="1080" w:type="dxa"/>
            <w:shd w:val="clear" w:color="auto" w:fill="BFBFBF" w:themeFill="background1" w:themeFillShade="BF"/>
          </w:tcPr>
          <w:p w14:paraId="0E5F32A3" w14:textId="77777777" w:rsidR="00531520" w:rsidRPr="003F0BCE" w:rsidRDefault="00531520" w:rsidP="002350D1">
            <w:pPr>
              <w:spacing w:after="0" w:line="240" w:lineRule="auto"/>
              <w:jc w:val="center"/>
            </w:pPr>
            <w:r>
              <w:t>8%</w:t>
            </w:r>
          </w:p>
        </w:tc>
        <w:tc>
          <w:tcPr>
            <w:tcW w:w="1170" w:type="dxa"/>
            <w:shd w:val="clear" w:color="auto" w:fill="BFBFBF" w:themeFill="background1" w:themeFillShade="BF"/>
          </w:tcPr>
          <w:p w14:paraId="752658A0" w14:textId="77777777" w:rsidR="00531520" w:rsidRPr="003F0BCE" w:rsidRDefault="00531520" w:rsidP="002350D1">
            <w:pPr>
              <w:spacing w:after="0" w:line="240" w:lineRule="auto"/>
              <w:jc w:val="center"/>
            </w:pPr>
            <w:r>
              <w:t>65%</w:t>
            </w:r>
          </w:p>
        </w:tc>
        <w:tc>
          <w:tcPr>
            <w:tcW w:w="1260" w:type="dxa"/>
            <w:shd w:val="clear" w:color="auto" w:fill="BFBFBF" w:themeFill="background1" w:themeFillShade="BF"/>
          </w:tcPr>
          <w:p w14:paraId="5B22E1EB" w14:textId="77777777" w:rsidR="00531520" w:rsidRPr="003F0BCE" w:rsidRDefault="00531520" w:rsidP="002350D1">
            <w:pPr>
              <w:spacing w:after="0" w:line="240" w:lineRule="auto"/>
              <w:jc w:val="center"/>
            </w:pPr>
            <w:r>
              <w:t>27%</w:t>
            </w:r>
          </w:p>
        </w:tc>
        <w:tc>
          <w:tcPr>
            <w:tcW w:w="1098" w:type="dxa"/>
            <w:shd w:val="clear" w:color="auto" w:fill="BFBFBF" w:themeFill="background1" w:themeFillShade="BF"/>
          </w:tcPr>
          <w:p w14:paraId="6441CE82" w14:textId="77777777" w:rsidR="00531520" w:rsidRPr="003F0BCE" w:rsidRDefault="00531520" w:rsidP="002350D1">
            <w:pPr>
              <w:spacing w:after="0" w:line="240" w:lineRule="auto"/>
              <w:jc w:val="center"/>
            </w:pPr>
            <w:r>
              <w:t>3.2</w:t>
            </w:r>
          </w:p>
        </w:tc>
      </w:tr>
      <w:tr w:rsidR="00531520" w:rsidRPr="003F0BCE" w14:paraId="7285C870" w14:textId="77777777" w:rsidTr="00E14984">
        <w:tc>
          <w:tcPr>
            <w:tcW w:w="2970" w:type="dxa"/>
            <w:vMerge/>
            <w:shd w:val="clear" w:color="auto" w:fill="BFBFBF" w:themeFill="background1" w:themeFillShade="BF"/>
          </w:tcPr>
          <w:p w14:paraId="4420FAD6" w14:textId="77777777" w:rsidR="00531520" w:rsidRPr="003F0BCE" w:rsidRDefault="00531520" w:rsidP="002350D1">
            <w:pPr>
              <w:spacing w:after="0" w:line="240" w:lineRule="auto"/>
            </w:pPr>
          </w:p>
        </w:tc>
        <w:tc>
          <w:tcPr>
            <w:tcW w:w="900" w:type="dxa"/>
            <w:shd w:val="clear" w:color="auto" w:fill="BFBFBF" w:themeFill="background1" w:themeFillShade="BF"/>
          </w:tcPr>
          <w:p w14:paraId="4043B377" w14:textId="77777777" w:rsidR="00531520" w:rsidRPr="003F0BCE" w:rsidRDefault="00531520" w:rsidP="002350D1">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14:paraId="0048C044" w14:textId="77777777" w:rsidR="00531520" w:rsidRPr="003F0BCE" w:rsidRDefault="00531520" w:rsidP="002350D1">
            <w:pPr>
              <w:spacing w:after="0" w:line="240" w:lineRule="auto"/>
              <w:jc w:val="center"/>
            </w:pPr>
            <w:r>
              <w:t>3</w:t>
            </w:r>
          </w:p>
        </w:tc>
        <w:tc>
          <w:tcPr>
            <w:tcW w:w="1080" w:type="dxa"/>
            <w:shd w:val="clear" w:color="auto" w:fill="BFBFBF" w:themeFill="background1" w:themeFillShade="BF"/>
          </w:tcPr>
          <w:p w14:paraId="020490A0" w14:textId="77777777" w:rsidR="00531520" w:rsidRPr="003F0BCE" w:rsidRDefault="00531520" w:rsidP="002350D1">
            <w:pPr>
              <w:spacing w:after="0" w:line="240" w:lineRule="auto"/>
              <w:jc w:val="center"/>
            </w:pPr>
            <w:r>
              <w:t>7</w:t>
            </w:r>
          </w:p>
        </w:tc>
        <w:tc>
          <w:tcPr>
            <w:tcW w:w="1170" w:type="dxa"/>
            <w:shd w:val="clear" w:color="auto" w:fill="BFBFBF" w:themeFill="background1" w:themeFillShade="BF"/>
          </w:tcPr>
          <w:p w14:paraId="042D0C24" w14:textId="77777777" w:rsidR="00531520" w:rsidRPr="003F0BCE" w:rsidRDefault="00531520" w:rsidP="002350D1">
            <w:pPr>
              <w:spacing w:after="0" w:line="240" w:lineRule="auto"/>
              <w:jc w:val="center"/>
            </w:pPr>
            <w:r>
              <w:t>48</w:t>
            </w:r>
          </w:p>
        </w:tc>
        <w:tc>
          <w:tcPr>
            <w:tcW w:w="1260" w:type="dxa"/>
            <w:shd w:val="clear" w:color="auto" w:fill="BFBFBF" w:themeFill="background1" w:themeFillShade="BF"/>
          </w:tcPr>
          <w:p w14:paraId="4F3783E7" w14:textId="77777777" w:rsidR="00531520" w:rsidRPr="003F0BCE" w:rsidRDefault="00531520" w:rsidP="002350D1">
            <w:pPr>
              <w:spacing w:after="0" w:line="240" w:lineRule="auto"/>
              <w:jc w:val="center"/>
            </w:pPr>
            <w:r>
              <w:t>12</w:t>
            </w:r>
          </w:p>
        </w:tc>
        <w:tc>
          <w:tcPr>
            <w:tcW w:w="1098" w:type="dxa"/>
            <w:shd w:val="clear" w:color="auto" w:fill="BFBFBF" w:themeFill="background1" w:themeFillShade="BF"/>
          </w:tcPr>
          <w:p w14:paraId="1FCC0FC5" w14:textId="77777777" w:rsidR="00531520" w:rsidRPr="003F0BCE" w:rsidRDefault="00531520" w:rsidP="002350D1">
            <w:pPr>
              <w:spacing w:after="0" w:line="240" w:lineRule="auto"/>
              <w:jc w:val="center"/>
            </w:pPr>
            <w:r>
              <w:t>3.0</w:t>
            </w:r>
          </w:p>
        </w:tc>
      </w:tr>
      <w:tr w:rsidR="00531520" w:rsidRPr="003F0BCE" w14:paraId="6EB814BE" w14:textId="77777777" w:rsidTr="00E14984">
        <w:tc>
          <w:tcPr>
            <w:tcW w:w="2970" w:type="dxa"/>
            <w:vMerge/>
            <w:shd w:val="clear" w:color="auto" w:fill="BFBFBF" w:themeFill="background1" w:themeFillShade="BF"/>
          </w:tcPr>
          <w:p w14:paraId="116762A8" w14:textId="77777777" w:rsidR="00531520" w:rsidRPr="003F0BCE" w:rsidRDefault="00531520" w:rsidP="002350D1">
            <w:pPr>
              <w:spacing w:after="0" w:line="240" w:lineRule="auto"/>
            </w:pPr>
          </w:p>
        </w:tc>
        <w:tc>
          <w:tcPr>
            <w:tcW w:w="900" w:type="dxa"/>
            <w:shd w:val="clear" w:color="auto" w:fill="BFBFBF" w:themeFill="background1" w:themeFillShade="BF"/>
          </w:tcPr>
          <w:p w14:paraId="46408526" w14:textId="77777777" w:rsidR="00531520" w:rsidRPr="003F0BCE" w:rsidRDefault="00531520" w:rsidP="002350D1">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14:paraId="3440CC89" w14:textId="77777777" w:rsidR="00531520" w:rsidRPr="003F0BCE" w:rsidRDefault="00531520" w:rsidP="002350D1">
            <w:pPr>
              <w:spacing w:after="0" w:line="240" w:lineRule="auto"/>
              <w:jc w:val="center"/>
            </w:pPr>
            <w:r>
              <w:t>4%</w:t>
            </w:r>
          </w:p>
        </w:tc>
        <w:tc>
          <w:tcPr>
            <w:tcW w:w="1080" w:type="dxa"/>
            <w:shd w:val="clear" w:color="auto" w:fill="BFBFBF" w:themeFill="background1" w:themeFillShade="BF"/>
          </w:tcPr>
          <w:p w14:paraId="34F3736B" w14:textId="77777777" w:rsidR="00531520" w:rsidRPr="003F0BCE" w:rsidRDefault="00531520" w:rsidP="002350D1">
            <w:pPr>
              <w:spacing w:after="0" w:line="240" w:lineRule="auto"/>
              <w:jc w:val="center"/>
            </w:pPr>
            <w:r>
              <w:t>10%</w:t>
            </w:r>
          </w:p>
        </w:tc>
        <w:tc>
          <w:tcPr>
            <w:tcW w:w="1170" w:type="dxa"/>
            <w:shd w:val="clear" w:color="auto" w:fill="BFBFBF" w:themeFill="background1" w:themeFillShade="BF"/>
          </w:tcPr>
          <w:p w14:paraId="7A9FACEE" w14:textId="77777777" w:rsidR="00531520" w:rsidRPr="003F0BCE" w:rsidRDefault="00531520" w:rsidP="002350D1">
            <w:pPr>
              <w:spacing w:after="0" w:line="240" w:lineRule="auto"/>
              <w:jc w:val="center"/>
            </w:pPr>
            <w:r>
              <w:t>69%</w:t>
            </w:r>
          </w:p>
        </w:tc>
        <w:tc>
          <w:tcPr>
            <w:tcW w:w="1260" w:type="dxa"/>
            <w:shd w:val="clear" w:color="auto" w:fill="BFBFBF" w:themeFill="background1" w:themeFillShade="BF"/>
          </w:tcPr>
          <w:p w14:paraId="5ABA173A" w14:textId="77777777" w:rsidR="00531520" w:rsidRPr="003F0BCE" w:rsidRDefault="00531520" w:rsidP="002350D1">
            <w:pPr>
              <w:spacing w:after="0" w:line="240" w:lineRule="auto"/>
              <w:jc w:val="center"/>
            </w:pPr>
            <w:r>
              <w:t>17%</w:t>
            </w:r>
          </w:p>
        </w:tc>
        <w:tc>
          <w:tcPr>
            <w:tcW w:w="1098" w:type="dxa"/>
            <w:shd w:val="clear" w:color="auto" w:fill="BFBFBF" w:themeFill="background1" w:themeFillShade="BF"/>
          </w:tcPr>
          <w:p w14:paraId="3019F426" w14:textId="77777777" w:rsidR="00531520" w:rsidRPr="003F0BCE" w:rsidRDefault="00531520" w:rsidP="002350D1">
            <w:pPr>
              <w:spacing w:after="0" w:line="240" w:lineRule="auto"/>
              <w:jc w:val="center"/>
            </w:pPr>
          </w:p>
        </w:tc>
      </w:tr>
      <w:tr w:rsidR="00531520" w:rsidRPr="003F0BCE" w14:paraId="57B1EA39" w14:textId="77777777" w:rsidTr="00E14984">
        <w:tc>
          <w:tcPr>
            <w:tcW w:w="2970" w:type="dxa"/>
            <w:vMerge w:val="restart"/>
          </w:tcPr>
          <w:p w14:paraId="2700AD0B" w14:textId="77777777" w:rsidR="00531520" w:rsidRPr="003F0BCE" w:rsidRDefault="00531520" w:rsidP="002350D1">
            <w:pPr>
              <w:spacing w:after="0" w:line="240" w:lineRule="auto"/>
              <w:rPr>
                <w:rFonts w:ascii="Calibri" w:hAnsi="Calibri"/>
                <w:color w:val="000000"/>
              </w:rPr>
            </w:pPr>
            <w:r>
              <w:rPr>
                <w:rFonts w:ascii="Calibri" w:hAnsi="Calibri"/>
                <w:color w:val="000000"/>
              </w:rPr>
              <w:t>2.  The teacher ensures that students understand what they should be learning in the lesson and why.</w:t>
            </w:r>
          </w:p>
        </w:tc>
        <w:tc>
          <w:tcPr>
            <w:tcW w:w="900" w:type="dxa"/>
          </w:tcPr>
          <w:p w14:paraId="5FFB47C0" w14:textId="77777777" w:rsidR="00531520" w:rsidRPr="003F0BCE" w:rsidRDefault="00531520" w:rsidP="002350D1">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tcPr>
          <w:p w14:paraId="45FC78E6" w14:textId="77777777" w:rsidR="00531520" w:rsidRPr="003F0BCE" w:rsidRDefault="00531520" w:rsidP="002350D1">
            <w:pPr>
              <w:spacing w:after="0" w:line="240" w:lineRule="auto"/>
              <w:jc w:val="center"/>
            </w:pPr>
            <w:r>
              <w:t>0%</w:t>
            </w:r>
          </w:p>
        </w:tc>
        <w:tc>
          <w:tcPr>
            <w:tcW w:w="1080" w:type="dxa"/>
          </w:tcPr>
          <w:p w14:paraId="01B6FBD5" w14:textId="77777777" w:rsidR="00531520" w:rsidRPr="003F0BCE" w:rsidRDefault="00531520" w:rsidP="002350D1">
            <w:pPr>
              <w:spacing w:after="0" w:line="240" w:lineRule="auto"/>
              <w:jc w:val="center"/>
            </w:pPr>
            <w:r>
              <w:t>24%</w:t>
            </w:r>
          </w:p>
        </w:tc>
        <w:tc>
          <w:tcPr>
            <w:tcW w:w="1170" w:type="dxa"/>
          </w:tcPr>
          <w:p w14:paraId="63E7B98C" w14:textId="77777777" w:rsidR="00531520" w:rsidRPr="003F0BCE" w:rsidRDefault="00531520" w:rsidP="002350D1">
            <w:pPr>
              <w:spacing w:after="0" w:line="240" w:lineRule="auto"/>
              <w:jc w:val="center"/>
            </w:pPr>
            <w:r>
              <w:t>76%</w:t>
            </w:r>
          </w:p>
        </w:tc>
        <w:tc>
          <w:tcPr>
            <w:tcW w:w="1260" w:type="dxa"/>
          </w:tcPr>
          <w:p w14:paraId="4BC61F48" w14:textId="77777777" w:rsidR="00531520" w:rsidRPr="003F0BCE" w:rsidRDefault="00531520" w:rsidP="002350D1">
            <w:pPr>
              <w:spacing w:after="0" w:line="240" w:lineRule="auto"/>
              <w:jc w:val="center"/>
            </w:pPr>
            <w:r>
              <w:t>0%</w:t>
            </w:r>
          </w:p>
        </w:tc>
        <w:tc>
          <w:tcPr>
            <w:tcW w:w="1098" w:type="dxa"/>
          </w:tcPr>
          <w:p w14:paraId="0AAADB76" w14:textId="77777777" w:rsidR="00531520" w:rsidRPr="003F0BCE" w:rsidRDefault="00531520" w:rsidP="002350D1">
            <w:pPr>
              <w:spacing w:after="0" w:line="240" w:lineRule="auto"/>
              <w:jc w:val="center"/>
            </w:pPr>
            <w:r>
              <w:t>2.8</w:t>
            </w:r>
          </w:p>
        </w:tc>
      </w:tr>
      <w:tr w:rsidR="00531520" w:rsidRPr="003F0BCE" w14:paraId="44555D58" w14:textId="77777777" w:rsidTr="00E14984">
        <w:tc>
          <w:tcPr>
            <w:tcW w:w="2970" w:type="dxa"/>
            <w:vMerge/>
          </w:tcPr>
          <w:p w14:paraId="5F737AED" w14:textId="77777777" w:rsidR="00531520" w:rsidRPr="003F0BCE" w:rsidRDefault="00531520" w:rsidP="002350D1">
            <w:pPr>
              <w:spacing w:after="0" w:line="240" w:lineRule="auto"/>
            </w:pPr>
          </w:p>
        </w:tc>
        <w:tc>
          <w:tcPr>
            <w:tcW w:w="900" w:type="dxa"/>
          </w:tcPr>
          <w:p w14:paraId="6C3FB75A" w14:textId="77777777" w:rsidR="00531520" w:rsidRPr="003F0BCE" w:rsidRDefault="00531520" w:rsidP="002350D1">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tcPr>
          <w:p w14:paraId="6369EF0E" w14:textId="77777777" w:rsidR="00531520" w:rsidRPr="003F0BCE" w:rsidRDefault="00531520" w:rsidP="002350D1">
            <w:pPr>
              <w:spacing w:after="0" w:line="240" w:lineRule="auto"/>
              <w:jc w:val="center"/>
            </w:pPr>
            <w:r>
              <w:t>17%</w:t>
            </w:r>
          </w:p>
        </w:tc>
        <w:tc>
          <w:tcPr>
            <w:tcW w:w="1080" w:type="dxa"/>
          </w:tcPr>
          <w:p w14:paraId="7204D38F" w14:textId="77777777" w:rsidR="00531520" w:rsidRPr="003F0BCE" w:rsidRDefault="00531520" w:rsidP="002350D1">
            <w:pPr>
              <w:spacing w:after="0" w:line="240" w:lineRule="auto"/>
              <w:jc w:val="center"/>
            </w:pPr>
            <w:r>
              <w:t>35%</w:t>
            </w:r>
          </w:p>
        </w:tc>
        <w:tc>
          <w:tcPr>
            <w:tcW w:w="1170" w:type="dxa"/>
          </w:tcPr>
          <w:p w14:paraId="3E350F3C" w14:textId="77777777" w:rsidR="00531520" w:rsidRPr="003F0BCE" w:rsidRDefault="00531520" w:rsidP="002350D1">
            <w:pPr>
              <w:spacing w:after="0" w:line="240" w:lineRule="auto"/>
              <w:jc w:val="center"/>
            </w:pPr>
            <w:r w:rsidRPr="0041496A">
              <w:t>35%</w:t>
            </w:r>
          </w:p>
        </w:tc>
        <w:tc>
          <w:tcPr>
            <w:tcW w:w="1260" w:type="dxa"/>
          </w:tcPr>
          <w:p w14:paraId="1496350F" w14:textId="77777777" w:rsidR="00531520" w:rsidRPr="003F0BCE" w:rsidRDefault="00531520" w:rsidP="002350D1">
            <w:pPr>
              <w:spacing w:after="0" w:line="240" w:lineRule="auto"/>
              <w:jc w:val="center"/>
            </w:pPr>
            <w:r>
              <w:t>13%</w:t>
            </w:r>
          </w:p>
        </w:tc>
        <w:tc>
          <w:tcPr>
            <w:tcW w:w="1098" w:type="dxa"/>
          </w:tcPr>
          <w:p w14:paraId="617E4621" w14:textId="77777777" w:rsidR="00531520" w:rsidRPr="003F0BCE" w:rsidRDefault="00531520" w:rsidP="002350D1">
            <w:pPr>
              <w:spacing w:after="0" w:line="240" w:lineRule="auto"/>
              <w:jc w:val="center"/>
            </w:pPr>
            <w:r>
              <w:t>2.4</w:t>
            </w:r>
          </w:p>
        </w:tc>
      </w:tr>
      <w:tr w:rsidR="00531520" w:rsidRPr="003F0BCE" w14:paraId="24B73905" w14:textId="77777777" w:rsidTr="00E14984">
        <w:tc>
          <w:tcPr>
            <w:tcW w:w="2970" w:type="dxa"/>
            <w:vMerge/>
          </w:tcPr>
          <w:p w14:paraId="19EACE64" w14:textId="77777777" w:rsidR="00531520" w:rsidRPr="003F0BCE" w:rsidRDefault="00531520" w:rsidP="002350D1">
            <w:pPr>
              <w:spacing w:after="0" w:line="240" w:lineRule="auto"/>
            </w:pPr>
          </w:p>
        </w:tc>
        <w:tc>
          <w:tcPr>
            <w:tcW w:w="900" w:type="dxa"/>
          </w:tcPr>
          <w:p w14:paraId="5FFC8880" w14:textId="77777777" w:rsidR="00531520" w:rsidRPr="003F0BCE" w:rsidRDefault="00531520" w:rsidP="002350D1">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tcPr>
          <w:p w14:paraId="760D7CD9" w14:textId="77777777" w:rsidR="00531520" w:rsidRPr="003F0BCE" w:rsidRDefault="00531520" w:rsidP="002350D1">
            <w:pPr>
              <w:spacing w:after="0" w:line="240" w:lineRule="auto"/>
              <w:jc w:val="center"/>
            </w:pPr>
            <w:r>
              <w:t>4%</w:t>
            </w:r>
          </w:p>
        </w:tc>
        <w:tc>
          <w:tcPr>
            <w:tcW w:w="1080" w:type="dxa"/>
          </w:tcPr>
          <w:p w14:paraId="7E7B95AD" w14:textId="77777777" w:rsidR="00531520" w:rsidRPr="003F0BCE" w:rsidRDefault="00531520" w:rsidP="002350D1">
            <w:pPr>
              <w:spacing w:after="0" w:line="240" w:lineRule="auto"/>
              <w:jc w:val="center"/>
            </w:pPr>
            <w:r>
              <w:t>23%</w:t>
            </w:r>
          </w:p>
        </w:tc>
        <w:tc>
          <w:tcPr>
            <w:tcW w:w="1170" w:type="dxa"/>
          </w:tcPr>
          <w:p w14:paraId="662A0FFF" w14:textId="77777777" w:rsidR="00531520" w:rsidRPr="003F0BCE" w:rsidRDefault="00531520" w:rsidP="002350D1">
            <w:pPr>
              <w:spacing w:after="0" w:line="240" w:lineRule="auto"/>
              <w:jc w:val="center"/>
            </w:pPr>
            <w:r>
              <w:t>69%</w:t>
            </w:r>
          </w:p>
        </w:tc>
        <w:tc>
          <w:tcPr>
            <w:tcW w:w="1260" w:type="dxa"/>
          </w:tcPr>
          <w:p w14:paraId="76B4971B" w14:textId="77777777" w:rsidR="00531520" w:rsidRPr="003F0BCE" w:rsidRDefault="00531520" w:rsidP="002350D1">
            <w:pPr>
              <w:spacing w:after="0" w:line="240" w:lineRule="auto"/>
              <w:jc w:val="center"/>
            </w:pPr>
            <w:r>
              <w:t>4%</w:t>
            </w:r>
          </w:p>
        </w:tc>
        <w:tc>
          <w:tcPr>
            <w:tcW w:w="1098" w:type="dxa"/>
          </w:tcPr>
          <w:p w14:paraId="0915CF1D" w14:textId="77777777" w:rsidR="00531520" w:rsidRPr="003F0BCE" w:rsidRDefault="00531520" w:rsidP="002350D1">
            <w:pPr>
              <w:spacing w:after="0" w:line="240" w:lineRule="auto"/>
              <w:jc w:val="center"/>
            </w:pPr>
            <w:r>
              <w:t>2.7</w:t>
            </w:r>
          </w:p>
        </w:tc>
      </w:tr>
      <w:tr w:rsidR="00531520" w:rsidRPr="003F0BCE" w14:paraId="2703F145" w14:textId="77777777" w:rsidTr="00E14984">
        <w:tc>
          <w:tcPr>
            <w:tcW w:w="2970" w:type="dxa"/>
            <w:vMerge/>
          </w:tcPr>
          <w:p w14:paraId="2413321C" w14:textId="77777777" w:rsidR="00531520" w:rsidRPr="003F0BCE" w:rsidRDefault="00531520" w:rsidP="002350D1">
            <w:pPr>
              <w:spacing w:after="0" w:line="240" w:lineRule="auto"/>
            </w:pPr>
          </w:p>
        </w:tc>
        <w:tc>
          <w:tcPr>
            <w:tcW w:w="900" w:type="dxa"/>
          </w:tcPr>
          <w:p w14:paraId="0F7625FB" w14:textId="77777777" w:rsidR="00531520" w:rsidRPr="003F0BCE" w:rsidRDefault="00531520" w:rsidP="002350D1">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14:paraId="429BBE70" w14:textId="77777777" w:rsidR="00531520" w:rsidRPr="003F0BCE" w:rsidRDefault="00531520" w:rsidP="002350D1">
            <w:pPr>
              <w:spacing w:after="0" w:line="240" w:lineRule="auto"/>
              <w:jc w:val="center"/>
            </w:pPr>
            <w:r>
              <w:t>5</w:t>
            </w:r>
          </w:p>
        </w:tc>
        <w:tc>
          <w:tcPr>
            <w:tcW w:w="1080" w:type="dxa"/>
          </w:tcPr>
          <w:p w14:paraId="6BE5A7A0" w14:textId="77777777" w:rsidR="00531520" w:rsidRPr="003F0BCE" w:rsidRDefault="00531520" w:rsidP="002350D1">
            <w:pPr>
              <w:spacing w:after="0" w:line="240" w:lineRule="auto"/>
              <w:jc w:val="center"/>
            </w:pPr>
            <w:r>
              <w:t>19</w:t>
            </w:r>
          </w:p>
        </w:tc>
        <w:tc>
          <w:tcPr>
            <w:tcW w:w="1170" w:type="dxa"/>
          </w:tcPr>
          <w:p w14:paraId="645C9644" w14:textId="77777777" w:rsidR="00531520" w:rsidRPr="003F0BCE" w:rsidRDefault="00531520" w:rsidP="002350D1">
            <w:pPr>
              <w:spacing w:after="0" w:line="240" w:lineRule="auto"/>
              <w:jc w:val="center"/>
            </w:pPr>
            <w:r>
              <w:t>42</w:t>
            </w:r>
          </w:p>
        </w:tc>
        <w:tc>
          <w:tcPr>
            <w:tcW w:w="1260" w:type="dxa"/>
          </w:tcPr>
          <w:p w14:paraId="4EFD9355" w14:textId="77777777" w:rsidR="00531520" w:rsidRPr="003F0BCE" w:rsidRDefault="00531520" w:rsidP="002350D1">
            <w:pPr>
              <w:spacing w:after="0" w:line="240" w:lineRule="auto"/>
              <w:jc w:val="center"/>
            </w:pPr>
            <w:r>
              <w:t>4</w:t>
            </w:r>
          </w:p>
        </w:tc>
        <w:tc>
          <w:tcPr>
            <w:tcW w:w="1098" w:type="dxa"/>
          </w:tcPr>
          <w:p w14:paraId="7109FB8B" w14:textId="77777777" w:rsidR="00531520" w:rsidRPr="003F0BCE" w:rsidRDefault="00531520" w:rsidP="002350D1">
            <w:pPr>
              <w:spacing w:after="0" w:line="240" w:lineRule="auto"/>
              <w:jc w:val="center"/>
            </w:pPr>
            <w:r>
              <w:t>2.6</w:t>
            </w:r>
          </w:p>
        </w:tc>
      </w:tr>
      <w:tr w:rsidR="00531520" w:rsidRPr="003F0BCE" w14:paraId="394E9B10" w14:textId="77777777" w:rsidTr="00E14984">
        <w:tc>
          <w:tcPr>
            <w:tcW w:w="2970" w:type="dxa"/>
            <w:vMerge/>
          </w:tcPr>
          <w:p w14:paraId="5D4B9B96" w14:textId="77777777" w:rsidR="00531520" w:rsidRPr="003F0BCE" w:rsidRDefault="00531520" w:rsidP="002350D1">
            <w:pPr>
              <w:spacing w:after="0" w:line="240" w:lineRule="auto"/>
            </w:pPr>
          </w:p>
        </w:tc>
        <w:tc>
          <w:tcPr>
            <w:tcW w:w="900" w:type="dxa"/>
          </w:tcPr>
          <w:p w14:paraId="389CBA2F" w14:textId="77777777" w:rsidR="00531520" w:rsidRPr="003F0BCE" w:rsidRDefault="00531520" w:rsidP="002350D1">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14:paraId="6F9F7E1B" w14:textId="77777777" w:rsidR="00531520" w:rsidRPr="003F0BCE" w:rsidRDefault="00531520" w:rsidP="002350D1">
            <w:pPr>
              <w:spacing w:after="0" w:line="240" w:lineRule="auto"/>
              <w:jc w:val="center"/>
            </w:pPr>
            <w:r>
              <w:t>7%</w:t>
            </w:r>
          </w:p>
        </w:tc>
        <w:tc>
          <w:tcPr>
            <w:tcW w:w="1080" w:type="dxa"/>
          </w:tcPr>
          <w:p w14:paraId="54B5B443" w14:textId="77777777" w:rsidR="00531520" w:rsidRPr="003F0BCE" w:rsidRDefault="00531520" w:rsidP="002350D1">
            <w:pPr>
              <w:spacing w:after="0" w:line="240" w:lineRule="auto"/>
              <w:jc w:val="center"/>
            </w:pPr>
            <w:r>
              <w:t>27%</w:t>
            </w:r>
          </w:p>
        </w:tc>
        <w:tc>
          <w:tcPr>
            <w:tcW w:w="1170" w:type="dxa"/>
          </w:tcPr>
          <w:p w14:paraId="59D16241" w14:textId="77777777" w:rsidR="00531520" w:rsidRPr="003F0BCE" w:rsidRDefault="00531520" w:rsidP="002350D1">
            <w:pPr>
              <w:spacing w:after="0" w:line="240" w:lineRule="auto"/>
              <w:jc w:val="center"/>
            </w:pPr>
            <w:r>
              <w:t>60%</w:t>
            </w:r>
          </w:p>
        </w:tc>
        <w:tc>
          <w:tcPr>
            <w:tcW w:w="1260" w:type="dxa"/>
          </w:tcPr>
          <w:p w14:paraId="50B33160" w14:textId="77777777" w:rsidR="00531520" w:rsidRPr="003F0BCE" w:rsidRDefault="00531520" w:rsidP="002350D1">
            <w:pPr>
              <w:spacing w:after="0" w:line="240" w:lineRule="auto"/>
              <w:jc w:val="center"/>
            </w:pPr>
            <w:r>
              <w:t>6%</w:t>
            </w:r>
          </w:p>
        </w:tc>
        <w:tc>
          <w:tcPr>
            <w:tcW w:w="1098" w:type="dxa"/>
          </w:tcPr>
          <w:p w14:paraId="057A20F2" w14:textId="77777777" w:rsidR="00531520" w:rsidRPr="003F0BCE" w:rsidRDefault="00531520" w:rsidP="002350D1">
            <w:pPr>
              <w:spacing w:after="0" w:line="240" w:lineRule="auto"/>
              <w:jc w:val="center"/>
            </w:pPr>
          </w:p>
        </w:tc>
      </w:tr>
      <w:tr w:rsidR="00531520" w:rsidRPr="003F0BCE" w14:paraId="2FC05669" w14:textId="77777777" w:rsidTr="00E14984">
        <w:tc>
          <w:tcPr>
            <w:tcW w:w="2970" w:type="dxa"/>
            <w:vMerge w:val="restart"/>
            <w:shd w:val="clear" w:color="auto" w:fill="BFBFBF" w:themeFill="background1" w:themeFillShade="BF"/>
          </w:tcPr>
          <w:p w14:paraId="179F82AA" w14:textId="77777777" w:rsidR="00531520" w:rsidRPr="003F0BCE" w:rsidRDefault="00531520" w:rsidP="002350D1">
            <w:pPr>
              <w:spacing w:after="0" w:line="240" w:lineRule="auto"/>
              <w:rPr>
                <w:rFonts w:ascii="Calibri" w:hAnsi="Calibri"/>
                <w:color w:val="000000"/>
              </w:rPr>
            </w:pPr>
            <w:r>
              <w:rPr>
                <w:rFonts w:ascii="Calibri" w:hAnsi="Calibri"/>
                <w:color w:val="000000"/>
              </w:rPr>
              <w:t>3.  The teacher uses appropriate classroom activities well matched to the learning objective(s).</w:t>
            </w:r>
          </w:p>
        </w:tc>
        <w:tc>
          <w:tcPr>
            <w:tcW w:w="900" w:type="dxa"/>
            <w:shd w:val="clear" w:color="auto" w:fill="BFBFBF" w:themeFill="background1" w:themeFillShade="BF"/>
          </w:tcPr>
          <w:p w14:paraId="5D648308" w14:textId="77777777" w:rsidR="00531520" w:rsidRPr="003F0BCE" w:rsidRDefault="00531520" w:rsidP="002350D1">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tcPr>
          <w:p w14:paraId="7403AA7C" w14:textId="77777777" w:rsidR="00531520" w:rsidRPr="003F0BCE" w:rsidRDefault="00531520" w:rsidP="002350D1">
            <w:pPr>
              <w:spacing w:after="0" w:line="240" w:lineRule="auto"/>
              <w:jc w:val="center"/>
            </w:pPr>
            <w:r>
              <w:t>0%</w:t>
            </w:r>
          </w:p>
        </w:tc>
        <w:tc>
          <w:tcPr>
            <w:tcW w:w="1080" w:type="dxa"/>
            <w:shd w:val="clear" w:color="auto" w:fill="BFBFBF" w:themeFill="background1" w:themeFillShade="BF"/>
          </w:tcPr>
          <w:p w14:paraId="4BB05C6B" w14:textId="77777777" w:rsidR="00531520" w:rsidRPr="003F0BCE" w:rsidRDefault="00531520" w:rsidP="002350D1">
            <w:pPr>
              <w:spacing w:after="0" w:line="240" w:lineRule="auto"/>
              <w:jc w:val="center"/>
            </w:pPr>
            <w:r>
              <w:t>5</w:t>
            </w:r>
            <w:r w:rsidRPr="006A4121">
              <w:t>%</w:t>
            </w:r>
          </w:p>
        </w:tc>
        <w:tc>
          <w:tcPr>
            <w:tcW w:w="1170" w:type="dxa"/>
            <w:shd w:val="clear" w:color="auto" w:fill="BFBFBF" w:themeFill="background1" w:themeFillShade="BF"/>
          </w:tcPr>
          <w:p w14:paraId="47D65B00" w14:textId="77777777" w:rsidR="00531520" w:rsidRPr="003F0BCE" w:rsidRDefault="00531520" w:rsidP="002350D1">
            <w:pPr>
              <w:spacing w:after="0" w:line="240" w:lineRule="auto"/>
              <w:jc w:val="center"/>
            </w:pPr>
            <w:r>
              <w:t>90</w:t>
            </w:r>
            <w:r w:rsidRPr="006A4121">
              <w:t>%</w:t>
            </w:r>
          </w:p>
        </w:tc>
        <w:tc>
          <w:tcPr>
            <w:tcW w:w="1260" w:type="dxa"/>
            <w:shd w:val="clear" w:color="auto" w:fill="BFBFBF" w:themeFill="background1" w:themeFillShade="BF"/>
          </w:tcPr>
          <w:p w14:paraId="056DD895" w14:textId="77777777" w:rsidR="00531520" w:rsidRPr="003F0BCE" w:rsidRDefault="00531520" w:rsidP="002350D1">
            <w:pPr>
              <w:spacing w:after="0" w:line="240" w:lineRule="auto"/>
              <w:jc w:val="center"/>
            </w:pPr>
            <w:r>
              <w:t>5</w:t>
            </w:r>
            <w:r w:rsidRPr="006A4121">
              <w:t>%</w:t>
            </w:r>
          </w:p>
        </w:tc>
        <w:tc>
          <w:tcPr>
            <w:tcW w:w="1098" w:type="dxa"/>
            <w:shd w:val="clear" w:color="auto" w:fill="BFBFBF" w:themeFill="background1" w:themeFillShade="BF"/>
          </w:tcPr>
          <w:p w14:paraId="621A8DD7" w14:textId="77777777" w:rsidR="00531520" w:rsidRPr="003F0BCE" w:rsidRDefault="00531520" w:rsidP="002350D1">
            <w:pPr>
              <w:spacing w:after="0" w:line="240" w:lineRule="auto"/>
              <w:jc w:val="center"/>
            </w:pPr>
            <w:r>
              <w:t>3.0</w:t>
            </w:r>
          </w:p>
        </w:tc>
      </w:tr>
      <w:tr w:rsidR="00531520" w:rsidRPr="003F0BCE" w14:paraId="17010504" w14:textId="77777777" w:rsidTr="00E14984">
        <w:tc>
          <w:tcPr>
            <w:tcW w:w="2970" w:type="dxa"/>
            <w:vMerge/>
            <w:shd w:val="clear" w:color="auto" w:fill="BFBFBF" w:themeFill="background1" w:themeFillShade="BF"/>
          </w:tcPr>
          <w:p w14:paraId="00BFC3CE" w14:textId="77777777" w:rsidR="00531520" w:rsidRPr="003F0BCE" w:rsidRDefault="00531520" w:rsidP="002350D1">
            <w:pPr>
              <w:spacing w:after="0" w:line="240" w:lineRule="auto"/>
            </w:pPr>
          </w:p>
        </w:tc>
        <w:tc>
          <w:tcPr>
            <w:tcW w:w="900" w:type="dxa"/>
            <w:shd w:val="clear" w:color="auto" w:fill="BFBFBF" w:themeFill="background1" w:themeFillShade="BF"/>
          </w:tcPr>
          <w:p w14:paraId="57C75827" w14:textId="77777777" w:rsidR="00531520" w:rsidRPr="003F0BCE" w:rsidRDefault="00531520" w:rsidP="002350D1">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tcPr>
          <w:p w14:paraId="158DB15B" w14:textId="77777777" w:rsidR="00531520" w:rsidRPr="003F0BCE" w:rsidRDefault="00531520" w:rsidP="002350D1">
            <w:pPr>
              <w:spacing w:after="0" w:line="240" w:lineRule="auto"/>
              <w:jc w:val="center"/>
            </w:pPr>
            <w:r>
              <w:t>4%</w:t>
            </w:r>
          </w:p>
        </w:tc>
        <w:tc>
          <w:tcPr>
            <w:tcW w:w="1080" w:type="dxa"/>
            <w:shd w:val="clear" w:color="auto" w:fill="BFBFBF" w:themeFill="background1" w:themeFillShade="BF"/>
          </w:tcPr>
          <w:p w14:paraId="77D99F2F" w14:textId="77777777" w:rsidR="00531520" w:rsidRPr="003F0BCE" w:rsidRDefault="00531520" w:rsidP="002350D1">
            <w:pPr>
              <w:spacing w:after="0" w:line="240" w:lineRule="auto"/>
              <w:jc w:val="center"/>
            </w:pPr>
            <w:r>
              <w:t>35</w:t>
            </w:r>
            <w:r w:rsidRPr="006A4121">
              <w:t>%</w:t>
            </w:r>
          </w:p>
        </w:tc>
        <w:tc>
          <w:tcPr>
            <w:tcW w:w="1170" w:type="dxa"/>
            <w:shd w:val="clear" w:color="auto" w:fill="BFBFBF" w:themeFill="background1" w:themeFillShade="BF"/>
          </w:tcPr>
          <w:p w14:paraId="72BCD7F1" w14:textId="77777777" w:rsidR="00531520" w:rsidRPr="003F0BCE" w:rsidRDefault="00531520" w:rsidP="002350D1">
            <w:pPr>
              <w:spacing w:after="0" w:line="240" w:lineRule="auto"/>
              <w:jc w:val="center"/>
            </w:pPr>
            <w:r>
              <w:t>52</w:t>
            </w:r>
            <w:r w:rsidRPr="006A4121">
              <w:t>%</w:t>
            </w:r>
          </w:p>
        </w:tc>
        <w:tc>
          <w:tcPr>
            <w:tcW w:w="1260" w:type="dxa"/>
            <w:shd w:val="clear" w:color="auto" w:fill="BFBFBF" w:themeFill="background1" w:themeFillShade="BF"/>
          </w:tcPr>
          <w:p w14:paraId="51B51AC8" w14:textId="77777777" w:rsidR="00531520" w:rsidRPr="003F0BCE" w:rsidRDefault="00531520" w:rsidP="002350D1">
            <w:pPr>
              <w:spacing w:after="0" w:line="240" w:lineRule="auto"/>
              <w:jc w:val="center"/>
            </w:pPr>
            <w:r>
              <w:t>9</w:t>
            </w:r>
            <w:r w:rsidRPr="006A4121">
              <w:t>%</w:t>
            </w:r>
          </w:p>
        </w:tc>
        <w:tc>
          <w:tcPr>
            <w:tcW w:w="1098" w:type="dxa"/>
            <w:shd w:val="clear" w:color="auto" w:fill="BFBFBF" w:themeFill="background1" w:themeFillShade="BF"/>
          </w:tcPr>
          <w:p w14:paraId="2BD14998" w14:textId="77777777" w:rsidR="00531520" w:rsidRPr="003F0BCE" w:rsidRDefault="00531520" w:rsidP="002350D1">
            <w:pPr>
              <w:spacing w:after="0" w:line="240" w:lineRule="auto"/>
              <w:jc w:val="center"/>
            </w:pPr>
            <w:r>
              <w:t>2.7</w:t>
            </w:r>
          </w:p>
        </w:tc>
      </w:tr>
      <w:tr w:rsidR="00531520" w:rsidRPr="003F0BCE" w14:paraId="78B33654" w14:textId="77777777" w:rsidTr="00E14984">
        <w:tc>
          <w:tcPr>
            <w:tcW w:w="2970" w:type="dxa"/>
            <w:vMerge/>
            <w:shd w:val="clear" w:color="auto" w:fill="BFBFBF" w:themeFill="background1" w:themeFillShade="BF"/>
          </w:tcPr>
          <w:p w14:paraId="1D2A3828" w14:textId="77777777" w:rsidR="00531520" w:rsidRPr="003F0BCE" w:rsidRDefault="00531520" w:rsidP="002350D1">
            <w:pPr>
              <w:spacing w:after="0" w:line="240" w:lineRule="auto"/>
            </w:pPr>
          </w:p>
        </w:tc>
        <w:tc>
          <w:tcPr>
            <w:tcW w:w="900" w:type="dxa"/>
            <w:shd w:val="clear" w:color="auto" w:fill="BFBFBF" w:themeFill="background1" w:themeFillShade="BF"/>
          </w:tcPr>
          <w:p w14:paraId="77B917DE" w14:textId="77777777" w:rsidR="00531520" w:rsidRPr="003F0BCE" w:rsidRDefault="00531520" w:rsidP="002350D1">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tcPr>
          <w:p w14:paraId="12D5887A" w14:textId="77777777" w:rsidR="00531520" w:rsidRPr="003F0BCE" w:rsidRDefault="00531520" w:rsidP="002350D1">
            <w:pPr>
              <w:spacing w:after="0" w:line="240" w:lineRule="auto"/>
              <w:jc w:val="center"/>
            </w:pPr>
            <w:r>
              <w:t>0%</w:t>
            </w:r>
          </w:p>
        </w:tc>
        <w:tc>
          <w:tcPr>
            <w:tcW w:w="1080" w:type="dxa"/>
            <w:shd w:val="clear" w:color="auto" w:fill="BFBFBF" w:themeFill="background1" w:themeFillShade="BF"/>
          </w:tcPr>
          <w:p w14:paraId="24E1684B" w14:textId="77777777" w:rsidR="00531520" w:rsidRPr="003F0BCE" w:rsidRDefault="00531520" w:rsidP="002350D1">
            <w:pPr>
              <w:spacing w:after="0" w:line="240" w:lineRule="auto"/>
              <w:jc w:val="center"/>
            </w:pPr>
            <w:r>
              <w:t>38</w:t>
            </w:r>
            <w:r w:rsidRPr="006A4121">
              <w:t>%</w:t>
            </w:r>
          </w:p>
        </w:tc>
        <w:tc>
          <w:tcPr>
            <w:tcW w:w="1170" w:type="dxa"/>
            <w:shd w:val="clear" w:color="auto" w:fill="BFBFBF" w:themeFill="background1" w:themeFillShade="BF"/>
          </w:tcPr>
          <w:p w14:paraId="766AD305" w14:textId="77777777" w:rsidR="00531520" w:rsidRPr="003F0BCE" w:rsidRDefault="00531520" w:rsidP="002350D1">
            <w:pPr>
              <w:spacing w:after="0" w:line="240" w:lineRule="auto"/>
              <w:jc w:val="center"/>
            </w:pPr>
            <w:r>
              <w:t>46</w:t>
            </w:r>
            <w:r w:rsidRPr="006A4121">
              <w:t>%</w:t>
            </w:r>
          </w:p>
        </w:tc>
        <w:tc>
          <w:tcPr>
            <w:tcW w:w="1260" w:type="dxa"/>
            <w:shd w:val="clear" w:color="auto" w:fill="BFBFBF" w:themeFill="background1" w:themeFillShade="BF"/>
          </w:tcPr>
          <w:p w14:paraId="7B2E557B" w14:textId="77777777" w:rsidR="00531520" w:rsidRPr="003F0BCE" w:rsidRDefault="00531520" w:rsidP="002350D1">
            <w:pPr>
              <w:spacing w:after="0" w:line="240" w:lineRule="auto"/>
              <w:jc w:val="center"/>
            </w:pPr>
            <w:r>
              <w:t>15</w:t>
            </w:r>
            <w:r w:rsidRPr="006A4121">
              <w:t>%</w:t>
            </w:r>
          </w:p>
        </w:tc>
        <w:tc>
          <w:tcPr>
            <w:tcW w:w="1098" w:type="dxa"/>
            <w:shd w:val="clear" w:color="auto" w:fill="BFBFBF" w:themeFill="background1" w:themeFillShade="BF"/>
          </w:tcPr>
          <w:p w14:paraId="3B925AD3" w14:textId="77777777" w:rsidR="00531520" w:rsidRPr="003F0BCE" w:rsidRDefault="00531520" w:rsidP="002350D1">
            <w:pPr>
              <w:spacing w:after="0" w:line="240" w:lineRule="auto"/>
              <w:jc w:val="center"/>
            </w:pPr>
            <w:r>
              <w:t>2.8</w:t>
            </w:r>
          </w:p>
        </w:tc>
      </w:tr>
      <w:tr w:rsidR="00531520" w:rsidRPr="003F0BCE" w14:paraId="13B6A1E0" w14:textId="77777777" w:rsidTr="00E14984">
        <w:tc>
          <w:tcPr>
            <w:tcW w:w="2970" w:type="dxa"/>
            <w:vMerge/>
            <w:shd w:val="clear" w:color="auto" w:fill="BFBFBF" w:themeFill="background1" w:themeFillShade="BF"/>
          </w:tcPr>
          <w:p w14:paraId="0E382104" w14:textId="77777777" w:rsidR="00531520" w:rsidRPr="003F0BCE" w:rsidRDefault="00531520" w:rsidP="002350D1">
            <w:pPr>
              <w:spacing w:after="0" w:line="240" w:lineRule="auto"/>
            </w:pPr>
          </w:p>
        </w:tc>
        <w:tc>
          <w:tcPr>
            <w:tcW w:w="900" w:type="dxa"/>
            <w:shd w:val="clear" w:color="auto" w:fill="BFBFBF" w:themeFill="background1" w:themeFillShade="BF"/>
          </w:tcPr>
          <w:p w14:paraId="1A574A88" w14:textId="77777777" w:rsidR="00531520" w:rsidRPr="003F0BCE" w:rsidRDefault="00531520" w:rsidP="002350D1">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14:paraId="21D3001A" w14:textId="77777777" w:rsidR="00531520" w:rsidRPr="003F0BCE" w:rsidRDefault="00531520" w:rsidP="002350D1">
            <w:pPr>
              <w:spacing w:after="0" w:line="240" w:lineRule="auto"/>
              <w:jc w:val="center"/>
            </w:pPr>
            <w:r>
              <w:t>1</w:t>
            </w:r>
          </w:p>
        </w:tc>
        <w:tc>
          <w:tcPr>
            <w:tcW w:w="1080" w:type="dxa"/>
            <w:shd w:val="clear" w:color="auto" w:fill="BFBFBF" w:themeFill="background1" w:themeFillShade="BF"/>
          </w:tcPr>
          <w:p w14:paraId="36B79DDE" w14:textId="77777777" w:rsidR="00531520" w:rsidRPr="003F0BCE" w:rsidRDefault="00531520" w:rsidP="002350D1">
            <w:pPr>
              <w:spacing w:after="0" w:line="240" w:lineRule="auto"/>
              <w:jc w:val="center"/>
            </w:pPr>
            <w:r>
              <w:t>19</w:t>
            </w:r>
          </w:p>
        </w:tc>
        <w:tc>
          <w:tcPr>
            <w:tcW w:w="1170" w:type="dxa"/>
            <w:shd w:val="clear" w:color="auto" w:fill="BFBFBF" w:themeFill="background1" w:themeFillShade="BF"/>
          </w:tcPr>
          <w:p w14:paraId="3D301EDF" w14:textId="77777777" w:rsidR="00531520" w:rsidRPr="003F0BCE" w:rsidRDefault="00531520" w:rsidP="002350D1">
            <w:pPr>
              <w:spacing w:after="0" w:line="240" w:lineRule="auto"/>
              <w:jc w:val="center"/>
            </w:pPr>
            <w:r>
              <w:t>43</w:t>
            </w:r>
          </w:p>
        </w:tc>
        <w:tc>
          <w:tcPr>
            <w:tcW w:w="1260" w:type="dxa"/>
            <w:shd w:val="clear" w:color="auto" w:fill="BFBFBF" w:themeFill="background1" w:themeFillShade="BF"/>
          </w:tcPr>
          <w:p w14:paraId="7A1D26F4" w14:textId="77777777" w:rsidR="00531520" w:rsidRPr="003F0BCE" w:rsidRDefault="00531520" w:rsidP="002350D1">
            <w:pPr>
              <w:spacing w:after="0" w:line="240" w:lineRule="auto"/>
              <w:jc w:val="center"/>
            </w:pPr>
            <w:r>
              <w:t>7</w:t>
            </w:r>
          </w:p>
        </w:tc>
        <w:tc>
          <w:tcPr>
            <w:tcW w:w="1098" w:type="dxa"/>
            <w:shd w:val="clear" w:color="auto" w:fill="BFBFBF" w:themeFill="background1" w:themeFillShade="BF"/>
          </w:tcPr>
          <w:p w14:paraId="4B6C4597" w14:textId="77777777" w:rsidR="00531520" w:rsidRPr="003F0BCE" w:rsidRDefault="00531520" w:rsidP="002350D1">
            <w:pPr>
              <w:spacing w:after="0" w:line="240" w:lineRule="auto"/>
              <w:jc w:val="center"/>
            </w:pPr>
            <w:r>
              <w:t>2.8</w:t>
            </w:r>
          </w:p>
        </w:tc>
      </w:tr>
      <w:tr w:rsidR="00531520" w:rsidRPr="003F0BCE" w14:paraId="24028387" w14:textId="77777777" w:rsidTr="00E14984">
        <w:tc>
          <w:tcPr>
            <w:tcW w:w="2970" w:type="dxa"/>
            <w:vMerge/>
            <w:shd w:val="clear" w:color="auto" w:fill="BFBFBF" w:themeFill="background1" w:themeFillShade="BF"/>
          </w:tcPr>
          <w:p w14:paraId="606CD70E" w14:textId="77777777" w:rsidR="00531520" w:rsidRPr="003F0BCE" w:rsidRDefault="00531520" w:rsidP="002350D1">
            <w:pPr>
              <w:spacing w:after="0" w:line="240" w:lineRule="auto"/>
            </w:pPr>
          </w:p>
        </w:tc>
        <w:tc>
          <w:tcPr>
            <w:tcW w:w="900" w:type="dxa"/>
            <w:shd w:val="clear" w:color="auto" w:fill="BFBFBF" w:themeFill="background1" w:themeFillShade="BF"/>
          </w:tcPr>
          <w:p w14:paraId="4A831545" w14:textId="77777777" w:rsidR="00531520" w:rsidRPr="003F0BCE" w:rsidRDefault="00531520" w:rsidP="002350D1">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14:paraId="21D3C219" w14:textId="77777777" w:rsidR="00531520" w:rsidRPr="003F0BCE" w:rsidRDefault="00531520" w:rsidP="002350D1">
            <w:pPr>
              <w:spacing w:after="0" w:line="240" w:lineRule="auto"/>
              <w:jc w:val="center"/>
            </w:pPr>
            <w:r>
              <w:t>1%</w:t>
            </w:r>
          </w:p>
        </w:tc>
        <w:tc>
          <w:tcPr>
            <w:tcW w:w="1080" w:type="dxa"/>
            <w:shd w:val="clear" w:color="auto" w:fill="BFBFBF" w:themeFill="background1" w:themeFillShade="BF"/>
          </w:tcPr>
          <w:p w14:paraId="53C9FE3D" w14:textId="77777777" w:rsidR="00531520" w:rsidRPr="003F0BCE" w:rsidRDefault="00531520" w:rsidP="002350D1">
            <w:pPr>
              <w:spacing w:after="0" w:line="240" w:lineRule="auto"/>
              <w:jc w:val="center"/>
            </w:pPr>
            <w:r>
              <w:t>27%</w:t>
            </w:r>
          </w:p>
        </w:tc>
        <w:tc>
          <w:tcPr>
            <w:tcW w:w="1170" w:type="dxa"/>
            <w:shd w:val="clear" w:color="auto" w:fill="BFBFBF" w:themeFill="background1" w:themeFillShade="BF"/>
          </w:tcPr>
          <w:p w14:paraId="072B5D1B" w14:textId="77777777" w:rsidR="00531520" w:rsidRPr="003F0BCE" w:rsidRDefault="00531520" w:rsidP="002350D1">
            <w:pPr>
              <w:spacing w:after="0" w:line="240" w:lineRule="auto"/>
              <w:jc w:val="center"/>
            </w:pPr>
            <w:r>
              <w:t>61</w:t>
            </w:r>
            <w:r w:rsidRPr="006A4121">
              <w:t>%</w:t>
            </w:r>
          </w:p>
        </w:tc>
        <w:tc>
          <w:tcPr>
            <w:tcW w:w="1260" w:type="dxa"/>
            <w:shd w:val="clear" w:color="auto" w:fill="BFBFBF" w:themeFill="background1" w:themeFillShade="BF"/>
          </w:tcPr>
          <w:p w14:paraId="259F7A5A" w14:textId="77777777" w:rsidR="00531520" w:rsidRPr="003F0BCE" w:rsidRDefault="00531520" w:rsidP="002350D1">
            <w:pPr>
              <w:spacing w:after="0" w:line="240" w:lineRule="auto"/>
              <w:jc w:val="center"/>
            </w:pPr>
            <w:r>
              <w:t>10</w:t>
            </w:r>
            <w:r w:rsidRPr="006A4121">
              <w:t>%</w:t>
            </w:r>
          </w:p>
        </w:tc>
        <w:tc>
          <w:tcPr>
            <w:tcW w:w="1098" w:type="dxa"/>
            <w:shd w:val="clear" w:color="auto" w:fill="BFBFBF" w:themeFill="background1" w:themeFillShade="BF"/>
          </w:tcPr>
          <w:p w14:paraId="7225823E" w14:textId="77777777" w:rsidR="00531520" w:rsidRPr="003F0BCE" w:rsidRDefault="00531520" w:rsidP="002350D1">
            <w:pPr>
              <w:spacing w:after="0" w:line="240" w:lineRule="auto"/>
              <w:jc w:val="center"/>
            </w:pPr>
          </w:p>
        </w:tc>
      </w:tr>
      <w:tr w:rsidR="00531520" w:rsidRPr="003F0BCE" w14:paraId="238E3D61" w14:textId="77777777" w:rsidTr="00E14984">
        <w:tc>
          <w:tcPr>
            <w:tcW w:w="2970" w:type="dxa"/>
            <w:vMerge w:val="restart"/>
          </w:tcPr>
          <w:p w14:paraId="0F7CA764" w14:textId="77777777" w:rsidR="00531520" w:rsidRPr="003F0BCE" w:rsidRDefault="00531520" w:rsidP="002350D1">
            <w:pPr>
              <w:spacing w:after="0" w:line="240" w:lineRule="auto"/>
              <w:rPr>
                <w:rFonts w:ascii="Calibri" w:hAnsi="Calibri"/>
                <w:color w:val="000000"/>
              </w:rPr>
            </w:pPr>
            <w:r>
              <w:rPr>
                <w:rFonts w:ascii="Calibri" w:hAnsi="Calibri"/>
                <w:color w:val="000000"/>
              </w:rPr>
              <w:t>4.  The teacher conducts frequent checks for student understanding, provides feedback, and adjusts instruction.</w:t>
            </w:r>
          </w:p>
        </w:tc>
        <w:tc>
          <w:tcPr>
            <w:tcW w:w="900" w:type="dxa"/>
          </w:tcPr>
          <w:p w14:paraId="3C2E5689" w14:textId="77777777" w:rsidR="00531520" w:rsidRPr="003F0BCE" w:rsidRDefault="00531520" w:rsidP="002350D1">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tcPr>
          <w:p w14:paraId="58BA89E1" w14:textId="77777777" w:rsidR="00531520" w:rsidRPr="003F0BCE" w:rsidRDefault="00531520" w:rsidP="002350D1">
            <w:pPr>
              <w:spacing w:after="0" w:line="240" w:lineRule="auto"/>
              <w:jc w:val="center"/>
            </w:pPr>
            <w:r>
              <w:t>0</w:t>
            </w:r>
            <w:r w:rsidRPr="006A4121">
              <w:t>%</w:t>
            </w:r>
          </w:p>
        </w:tc>
        <w:tc>
          <w:tcPr>
            <w:tcW w:w="1080" w:type="dxa"/>
          </w:tcPr>
          <w:p w14:paraId="07485ADA" w14:textId="77777777" w:rsidR="00531520" w:rsidRPr="003F0BCE" w:rsidRDefault="00531520" w:rsidP="002350D1">
            <w:pPr>
              <w:spacing w:after="0" w:line="240" w:lineRule="auto"/>
              <w:jc w:val="center"/>
            </w:pPr>
            <w:r>
              <w:t>10</w:t>
            </w:r>
            <w:r w:rsidRPr="006A4121">
              <w:t>%</w:t>
            </w:r>
          </w:p>
        </w:tc>
        <w:tc>
          <w:tcPr>
            <w:tcW w:w="1170" w:type="dxa"/>
          </w:tcPr>
          <w:p w14:paraId="7DD21610" w14:textId="77777777" w:rsidR="00531520" w:rsidRPr="003F0BCE" w:rsidRDefault="00531520" w:rsidP="002350D1">
            <w:pPr>
              <w:spacing w:after="0" w:line="240" w:lineRule="auto"/>
              <w:jc w:val="center"/>
            </w:pPr>
            <w:r>
              <w:t>86</w:t>
            </w:r>
            <w:r w:rsidRPr="006A4121">
              <w:t>%</w:t>
            </w:r>
          </w:p>
        </w:tc>
        <w:tc>
          <w:tcPr>
            <w:tcW w:w="1260" w:type="dxa"/>
          </w:tcPr>
          <w:p w14:paraId="7FA55ED7" w14:textId="77777777" w:rsidR="00531520" w:rsidRPr="003F0BCE" w:rsidRDefault="00531520" w:rsidP="002350D1">
            <w:pPr>
              <w:spacing w:after="0" w:line="240" w:lineRule="auto"/>
              <w:jc w:val="center"/>
            </w:pPr>
            <w:r>
              <w:t>5%</w:t>
            </w:r>
          </w:p>
        </w:tc>
        <w:tc>
          <w:tcPr>
            <w:tcW w:w="1098" w:type="dxa"/>
          </w:tcPr>
          <w:p w14:paraId="06346834" w14:textId="77777777" w:rsidR="00531520" w:rsidRPr="003F0BCE" w:rsidRDefault="00531520" w:rsidP="002350D1">
            <w:pPr>
              <w:spacing w:after="0" w:line="240" w:lineRule="auto"/>
              <w:jc w:val="center"/>
            </w:pPr>
            <w:r>
              <w:t>3.0</w:t>
            </w:r>
          </w:p>
        </w:tc>
      </w:tr>
      <w:tr w:rsidR="00531520" w:rsidRPr="003F0BCE" w14:paraId="43069DCE" w14:textId="77777777" w:rsidTr="00E14984">
        <w:tc>
          <w:tcPr>
            <w:tcW w:w="2970" w:type="dxa"/>
            <w:vMerge/>
          </w:tcPr>
          <w:p w14:paraId="22D56557" w14:textId="77777777" w:rsidR="00531520" w:rsidRPr="003F0BCE" w:rsidRDefault="00531520" w:rsidP="002350D1">
            <w:pPr>
              <w:spacing w:after="0" w:line="240" w:lineRule="auto"/>
            </w:pPr>
          </w:p>
        </w:tc>
        <w:tc>
          <w:tcPr>
            <w:tcW w:w="900" w:type="dxa"/>
          </w:tcPr>
          <w:p w14:paraId="6F9D8FCC" w14:textId="77777777" w:rsidR="00531520" w:rsidRPr="003F0BCE" w:rsidRDefault="00531520" w:rsidP="002350D1">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tcPr>
          <w:p w14:paraId="0AA2731C" w14:textId="77777777" w:rsidR="00531520" w:rsidRPr="003F0BCE" w:rsidRDefault="00531520" w:rsidP="002350D1">
            <w:pPr>
              <w:spacing w:after="0" w:line="240" w:lineRule="auto"/>
              <w:jc w:val="center"/>
            </w:pPr>
            <w:r>
              <w:t>0</w:t>
            </w:r>
            <w:r w:rsidRPr="006A4121">
              <w:t>%</w:t>
            </w:r>
          </w:p>
        </w:tc>
        <w:tc>
          <w:tcPr>
            <w:tcW w:w="1080" w:type="dxa"/>
          </w:tcPr>
          <w:p w14:paraId="15269F2A" w14:textId="77777777" w:rsidR="00531520" w:rsidRPr="003F0BCE" w:rsidRDefault="00531520" w:rsidP="002350D1">
            <w:pPr>
              <w:spacing w:after="0" w:line="240" w:lineRule="auto"/>
              <w:jc w:val="center"/>
            </w:pPr>
            <w:r>
              <w:t>39</w:t>
            </w:r>
            <w:r w:rsidRPr="006A4121">
              <w:t>%</w:t>
            </w:r>
          </w:p>
        </w:tc>
        <w:tc>
          <w:tcPr>
            <w:tcW w:w="1170" w:type="dxa"/>
          </w:tcPr>
          <w:p w14:paraId="05B4C542" w14:textId="77777777" w:rsidR="00531520" w:rsidRPr="003F0BCE" w:rsidRDefault="00531520" w:rsidP="002350D1">
            <w:pPr>
              <w:spacing w:after="0" w:line="240" w:lineRule="auto"/>
              <w:jc w:val="center"/>
            </w:pPr>
            <w:r>
              <w:t>57</w:t>
            </w:r>
            <w:r w:rsidRPr="006A4121">
              <w:t>%</w:t>
            </w:r>
          </w:p>
        </w:tc>
        <w:tc>
          <w:tcPr>
            <w:tcW w:w="1260" w:type="dxa"/>
          </w:tcPr>
          <w:p w14:paraId="030034E5" w14:textId="77777777" w:rsidR="00531520" w:rsidRPr="003F0BCE" w:rsidRDefault="00531520" w:rsidP="002350D1">
            <w:pPr>
              <w:spacing w:after="0" w:line="240" w:lineRule="auto"/>
              <w:jc w:val="center"/>
            </w:pPr>
            <w:r>
              <w:t>4</w:t>
            </w:r>
            <w:r w:rsidRPr="006A4121">
              <w:t>%</w:t>
            </w:r>
          </w:p>
        </w:tc>
        <w:tc>
          <w:tcPr>
            <w:tcW w:w="1098" w:type="dxa"/>
          </w:tcPr>
          <w:p w14:paraId="39F9E658" w14:textId="77777777" w:rsidR="00531520" w:rsidRPr="003F0BCE" w:rsidRDefault="00531520" w:rsidP="002350D1">
            <w:pPr>
              <w:spacing w:after="0" w:line="240" w:lineRule="auto"/>
              <w:jc w:val="center"/>
            </w:pPr>
            <w:r>
              <w:t>2.7</w:t>
            </w:r>
          </w:p>
        </w:tc>
      </w:tr>
      <w:tr w:rsidR="00531520" w:rsidRPr="003F0BCE" w14:paraId="1E1214D4" w14:textId="77777777" w:rsidTr="00E14984">
        <w:tc>
          <w:tcPr>
            <w:tcW w:w="2970" w:type="dxa"/>
            <w:vMerge/>
          </w:tcPr>
          <w:p w14:paraId="6FE0BE86" w14:textId="77777777" w:rsidR="00531520" w:rsidRPr="003F0BCE" w:rsidRDefault="00531520" w:rsidP="002350D1">
            <w:pPr>
              <w:spacing w:after="0" w:line="240" w:lineRule="auto"/>
            </w:pPr>
          </w:p>
        </w:tc>
        <w:tc>
          <w:tcPr>
            <w:tcW w:w="900" w:type="dxa"/>
          </w:tcPr>
          <w:p w14:paraId="1BFA20F4" w14:textId="77777777" w:rsidR="00531520" w:rsidRPr="003F0BCE" w:rsidRDefault="00531520" w:rsidP="002350D1">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tcPr>
          <w:p w14:paraId="65CEF74C" w14:textId="77777777" w:rsidR="00531520" w:rsidRPr="003F0BCE" w:rsidRDefault="00531520" w:rsidP="002350D1">
            <w:pPr>
              <w:spacing w:after="0" w:line="240" w:lineRule="auto"/>
              <w:jc w:val="center"/>
            </w:pPr>
            <w:r>
              <w:t>8</w:t>
            </w:r>
            <w:r w:rsidRPr="006A4121">
              <w:t>%</w:t>
            </w:r>
          </w:p>
        </w:tc>
        <w:tc>
          <w:tcPr>
            <w:tcW w:w="1080" w:type="dxa"/>
          </w:tcPr>
          <w:p w14:paraId="4FF20376" w14:textId="77777777" w:rsidR="00531520" w:rsidRPr="003F0BCE" w:rsidRDefault="00531520" w:rsidP="002350D1">
            <w:pPr>
              <w:spacing w:after="0" w:line="240" w:lineRule="auto"/>
              <w:jc w:val="center"/>
            </w:pPr>
            <w:r>
              <w:t>31</w:t>
            </w:r>
            <w:r w:rsidRPr="006A4121">
              <w:t>%</w:t>
            </w:r>
          </w:p>
        </w:tc>
        <w:tc>
          <w:tcPr>
            <w:tcW w:w="1170" w:type="dxa"/>
          </w:tcPr>
          <w:p w14:paraId="127BB271" w14:textId="77777777" w:rsidR="00531520" w:rsidRPr="003F0BCE" w:rsidRDefault="00531520" w:rsidP="002350D1">
            <w:pPr>
              <w:spacing w:after="0" w:line="240" w:lineRule="auto"/>
              <w:jc w:val="center"/>
            </w:pPr>
            <w:r>
              <w:t>42</w:t>
            </w:r>
            <w:r w:rsidRPr="006A4121">
              <w:t>%</w:t>
            </w:r>
          </w:p>
        </w:tc>
        <w:tc>
          <w:tcPr>
            <w:tcW w:w="1260" w:type="dxa"/>
          </w:tcPr>
          <w:p w14:paraId="2E795418" w14:textId="77777777" w:rsidR="00531520" w:rsidRPr="003F0BCE" w:rsidRDefault="00531520" w:rsidP="002350D1">
            <w:pPr>
              <w:spacing w:after="0" w:line="240" w:lineRule="auto"/>
              <w:jc w:val="center"/>
            </w:pPr>
            <w:r>
              <w:t>19</w:t>
            </w:r>
            <w:r w:rsidRPr="006A4121">
              <w:t>%</w:t>
            </w:r>
          </w:p>
        </w:tc>
        <w:tc>
          <w:tcPr>
            <w:tcW w:w="1098" w:type="dxa"/>
          </w:tcPr>
          <w:p w14:paraId="7F9BFBA6" w14:textId="77777777" w:rsidR="00531520" w:rsidRPr="003F0BCE" w:rsidRDefault="00531520" w:rsidP="002350D1">
            <w:pPr>
              <w:spacing w:after="0" w:line="240" w:lineRule="auto"/>
              <w:jc w:val="center"/>
            </w:pPr>
            <w:r>
              <w:t>2.7</w:t>
            </w:r>
          </w:p>
        </w:tc>
      </w:tr>
      <w:tr w:rsidR="00531520" w:rsidRPr="003F0BCE" w14:paraId="1532220C" w14:textId="77777777" w:rsidTr="00E14984">
        <w:tc>
          <w:tcPr>
            <w:tcW w:w="2970" w:type="dxa"/>
            <w:vMerge/>
          </w:tcPr>
          <w:p w14:paraId="36B5D6DE" w14:textId="77777777" w:rsidR="00531520" w:rsidRPr="003F0BCE" w:rsidRDefault="00531520" w:rsidP="002350D1">
            <w:pPr>
              <w:spacing w:after="0" w:line="240" w:lineRule="auto"/>
            </w:pPr>
          </w:p>
        </w:tc>
        <w:tc>
          <w:tcPr>
            <w:tcW w:w="900" w:type="dxa"/>
          </w:tcPr>
          <w:p w14:paraId="7900D1EB" w14:textId="77777777" w:rsidR="00531520" w:rsidRPr="003F0BCE" w:rsidRDefault="00531520" w:rsidP="002350D1">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14:paraId="2F822B51" w14:textId="77777777" w:rsidR="00531520" w:rsidRPr="003F0BCE" w:rsidRDefault="00531520" w:rsidP="002350D1">
            <w:pPr>
              <w:spacing w:after="0" w:line="240" w:lineRule="auto"/>
              <w:jc w:val="center"/>
            </w:pPr>
            <w:r>
              <w:t>2</w:t>
            </w:r>
          </w:p>
        </w:tc>
        <w:tc>
          <w:tcPr>
            <w:tcW w:w="1080" w:type="dxa"/>
          </w:tcPr>
          <w:p w14:paraId="2FC4A183" w14:textId="77777777" w:rsidR="00531520" w:rsidRPr="003F0BCE" w:rsidRDefault="00531520" w:rsidP="002350D1">
            <w:pPr>
              <w:spacing w:after="0" w:line="240" w:lineRule="auto"/>
              <w:jc w:val="center"/>
            </w:pPr>
            <w:r>
              <w:t>19</w:t>
            </w:r>
          </w:p>
        </w:tc>
        <w:tc>
          <w:tcPr>
            <w:tcW w:w="1170" w:type="dxa"/>
          </w:tcPr>
          <w:p w14:paraId="2574E553" w14:textId="77777777" w:rsidR="00531520" w:rsidRPr="003F0BCE" w:rsidRDefault="00531520" w:rsidP="002350D1">
            <w:pPr>
              <w:spacing w:after="0" w:line="240" w:lineRule="auto"/>
              <w:jc w:val="center"/>
            </w:pPr>
            <w:r>
              <w:t>42</w:t>
            </w:r>
          </w:p>
        </w:tc>
        <w:tc>
          <w:tcPr>
            <w:tcW w:w="1260" w:type="dxa"/>
          </w:tcPr>
          <w:p w14:paraId="108E669D" w14:textId="77777777" w:rsidR="00531520" w:rsidRPr="003F0BCE" w:rsidRDefault="00531520" w:rsidP="002350D1">
            <w:pPr>
              <w:spacing w:after="0" w:line="240" w:lineRule="auto"/>
              <w:jc w:val="center"/>
            </w:pPr>
            <w:r>
              <w:t>7</w:t>
            </w:r>
          </w:p>
        </w:tc>
        <w:tc>
          <w:tcPr>
            <w:tcW w:w="1098" w:type="dxa"/>
          </w:tcPr>
          <w:p w14:paraId="4203571F" w14:textId="77777777" w:rsidR="00531520" w:rsidRPr="003F0BCE" w:rsidRDefault="00531520" w:rsidP="002350D1">
            <w:pPr>
              <w:spacing w:after="0" w:line="240" w:lineRule="auto"/>
              <w:jc w:val="center"/>
            </w:pPr>
            <w:r>
              <w:t>2.8</w:t>
            </w:r>
          </w:p>
        </w:tc>
      </w:tr>
      <w:tr w:rsidR="00531520" w:rsidRPr="003F0BCE" w14:paraId="5B60958C" w14:textId="77777777" w:rsidTr="00E14984">
        <w:tc>
          <w:tcPr>
            <w:tcW w:w="2970" w:type="dxa"/>
            <w:vMerge/>
          </w:tcPr>
          <w:p w14:paraId="3F50DB69" w14:textId="77777777" w:rsidR="00531520" w:rsidRPr="003F0BCE" w:rsidRDefault="00531520" w:rsidP="002350D1">
            <w:pPr>
              <w:spacing w:after="0" w:line="240" w:lineRule="auto"/>
            </w:pPr>
          </w:p>
        </w:tc>
        <w:tc>
          <w:tcPr>
            <w:tcW w:w="900" w:type="dxa"/>
          </w:tcPr>
          <w:p w14:paraId="1BFE15B3" w14:textId="77777777" w:rsidR="00531520" w:rsidRPr="003F0BCE" w:rsidRDefault="00531520" w:rsidP="002350D1">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14:paraId="7D934399" w14:textId="77777777" w:rsidR="00531520" w:rsidRPr="003F0BCE" w:rsidRDefault="00531520" w:rsidP="002350D1">
            <w:pPr>
              <w:spacing w:after="0" w:line="240" w:lineRule="auto"/>
              <w:jc w:val="center"/>
            </w:pPr>
            <w:r>
              <w:t>3</w:t>
            </w:r>
            <w:r w:rsidRPr="006A4121">
              <w:t>%</w:t>
            </w:r>
          </w:p>
        </w:tc>
        <w:tc>
          <w:tcPr>
            <w:tcW w:w="1080" w:type="dxa"/>
          </w:tcPr>
          <w:p w14:paraId="1595410A" w14:textId="77777777" w:rsidR="00531520" w:rsidRPr="003F0BCE" w:rsidRDefault="00531520" w:rsidP="002350D1">
            <w:pPr>
              <w:spacing w:after="0" w:line="240" w:lineRule="auto"/>
              <w:jc w:val="center"/>
            </w:pPr>
            <w:r>
              <w:t>27</w:t>
            </w:r>
            <w:r w:rsidRPr="006A4121">
              <w:t>%</w:t>
            </w:r>
          </w:p>
        </w:tc>
        <w:tc>
          <w:tcPr>
            <w:tcW w:w="1170" w:type="dxa"/>
          </w:tcPr>
          <w:p w14:paraId="19ECEB3C" w14:textId="77777777" w:rsidR="00531520" w:rsidRPr="003F0BCE" w:rsidRDefault="00531520" w:rsidP="002350D1">
            <w:pPr>
              <w:spacing w:after="0" w:line="240" w:lineRule="auto"/>
              <w:jc w:val="center"/>
            </w:pPr>
            <w:r>
              <w:t>60</w:t>
            </w:r>
            <w:r w:rsidRPr="006A4121">
              <w:t>%</w:t>
            </w:r>
          </w:p>
        </w:tc>
        <w:tc>
          <w:tcPr>
            <w:tcW w:w="1260" w:type="dxa"/>
          </w:tcPr>
          <w:p w14:paraId="31092507" w14:textId="77777777" w:rsidR="00531520" w:rsidRPr="003F0BCE" w:rsidRDefault="00531520" w:rsidP="002350D1">
            <w:pPr>
              <w:spacing w:after="0" w:line="240" w:lineRule="auto"/>
              <w:jc w:val="center"/>
            </w:pPr>
            <w:r>
              <w:t>10</w:t>
            </w:r>
            <w:r w:rsidRPr="006A4121">
              <w:t>%</w:t>
            </w:r>
          </w:p>
        </w:tc>
        <w:tc>
          <w:tcPr>
            <w:tcW w:w="1098" w:type="dxa"/>
          </w:tcPr>
          <w:p w14:paraId="46DE5B47" w14:textId="77777777" w:rsidR="00531520" w:rsidRPr="003F0BCE" w:rsidRDefault="00531520" w:rsidP="002350D1">
            <w:pPr>
              <w:spacing w:after="0" w:line="240" w:lineRule="auto"/>
              <w:jc w:val="center"/>
            </w:pPr>
          </w:p>
        </w:tc>
      </w:tr>
      <w:tr w:rsidR="00531520" w:rsidRPr="003F0BCE" w14:paraId="31ECB840" w14:textId="77777777" w:rsidTr="00E14984">
        <w:trPr>
          <w:trHeight w:val="274"/>
        </w:trPr>
        <w:tc>
          <w:tcPr>
            <w:tcW w:w="2970" w:type="dxa"/>
            <w:vMerge w:val="restart"/>
            <w:shd w:val="clear" w:color="auto" w:fill="BFBFBF" w:themeFill="background1" w:themeFillShade="BF"/>
          </w:tcPr>
          <w:p w14:paraId="23560523" w14:textId="77777777" w:rsidR="00531520" w:rsidRPr="003F0BCE" w:rsidRDefault="00531520" w:rsidP="002350D1">
            <w:pPr>
              <w:spacing w:after="0" w:line="240" w:lineRule="auto"/>
              <w:jc w:val="center"/>
              <w:rPr>
                <w:rFonts w:ascii="Calibri" w:hAnsi="Calibri"/>
                <w:b/>
                <w:color w:val="000000"/>
              </w:rPr>
            </w:pPr>
            <w:r w:rsidRPr="003F0BCE">
              <w:rPr>
                <w:rFonts w:ascii="Calibri" w:hAnsi="Calibri"/>
                <w:b/>
                <w:color w:val="000000"/>
              </w:rPr>
              <w:t>Total Score For Focus Area #</w:t>
            </w:r>
            <w:r>
              <w:rPr>
                <w:rFonts w:ascii="Calibri" w:hAnsi="Calibri"/>
                <w:b/>
                <w:color w:val="000000"/>
              </w:rPr>
              <w:t>1</w:t>
            </w:r>
          </w:p>
        </w:tc>
        <w:tc>
          <w:tcPr>
            <w:tcW w:w="900" w:type="dxa"/>
            <w:shd w:val="clear" w:color="auto" w:fill="BFBFBF" w:themeFill="background1" w:themeFillShade="BF"/>
          </w:tcPr>
          <w:p w14:paraId="360FCB0F" w14:textId="77777777" w:rsidR="00531520" w:rsidRPr="003F0BCE" w:rsidRDefault="00531520" w:rsidP="002350D1">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tcPr>
          <w:p w14:paraId="16EDD2E5" w14:textId="77777777" w:rsidR="00531520" w:rsidRPr="003F0BCE" w:rsidRDefault="00531520" w:rsidP="002350D1">
            <w:pPr>
              <w:spacing w:after="0" w:line="240" w:lineRule="auto"/>
              <w:jc w:val="center"/>
            </w:pPr>
          </w:p>
        </w:tc>
        <w:tc>
          <w:tcPr>
            <w:tcW w:w="1080" w:type="dxa"/>
            <w:shd w:val="clear" w:color="auto" w:fill="BFBFBF" w:themeFill="background1" w:themeFillShade="BF"/>
          </w:tcPr>
          <w:p w14:paraId="3CC069DE" w14:textId="77777777" w:rsidR="00531520" w:rsidRPr="003F0BCE" w:rsidRDefault="00531520" w:rsidP="002350D1">
            <w:pPr>
              <w:spacing w:after="0" w:line="240" w:lineRule="auto"/>
              <w:jc w:val="center"/>
            </w:pPr>
          </w:p>
        </w:tc>
        <w:tc>
          <w:tcPr>
            <w:tcW w:w="1170" w:type="dxa"/>
            <w:shd w:val="clear" w:color="auto" w:fill="BFBFBF" w:themeFill="background1" w:themeFillShade="BF"/>
          </w:tcPr>
          <w:p w14:paraId="3CAA38D9" w14:textId="77777777" w:rsidR="00531520" w:rsidRPr="003F0BCE" w:rsidRDefault="00531520" w:rsidP="002350D1">
            <w:pPr>
              <w:spacing w:after="0" w:line="240" w:lineRule="auto"/>
              <w:jc w:val="center"/>
            </w:pPr>
          </w:p>
        </w:tc>
        <w:tc>
          <w:tcPr>
            <w:tcW w:w="1260" w:type="dxa"/>
            <w:shd w:val="clear" w:color="auto" w:fill="BFBFBF" w:themeFill="background1" w:themeFillShade="BF"/>
          </w:tcPr>
          <w:p w14:paraId="6953B672" w14:textId="77777777" w:rsidR="00531520" w:rsidRPr="003F0BCE" w:rsidRDefault="00531520" w:rsidP="002350D1">
            <w:pPr>
              <w:spacing w:after="0" w:line="240" w:lineRule="auto"/>
              <w:jc w:val="center"/>
            </w:pPr>
          </w:p>
        </w:tc>
        <w:tc>
          <w:tcPr>
            <w:tcW w:w="1098" w:type="dxa"/>
            <w:shd w:val="clear" w:color="auto" w:fill="BFBFBF" w:themeFill="background1" w:themeFillShade="BF"/>
          </w:tcPr>
          <w:p w14:paraId="4B8B168B" w14:textId="77777777" w:rsidR="00531520" w:rsidRPr="003F0BCE" w:rsidRDefault="00531520" w:rsidP="002350D1">
            <w:pPr>
              <w:spacing w:after="0" w:line="240" w:lineRule="auto"/>
              <w:jc w:val="center"/>
            </w:pPr>
            <w:r>
              <w:t>11.8</w:t>
            </w:r>
          </w:p>
        </w:tc>
      </w:tr>
      <w:tr w:rsidR="00531520" w:rsidRPr="003F0BCE" w14:paraId="692ADA41" w14:textId="77777777" w:rsidTr="00E14984">
        <w:trPr>
          <w:trHeight w:val="274"/>
        </w:trPr>
        <w:tc>
          <w:tcPr>
            <w:tcW w:w="2970" w:type="dxa"/>
            <w:vMerge/>
            <w:shd w:val="clear" w:color="auto" w:fill="BFBFBF" w:themeFill="background1" w:themeFillShade="BF"/>
          </w:tcPr>
          <w:p w14:paraId="61653C59" w14:textId="77777777" w:rsidR="00531520" w:rsidRPr="003F0BCE" w:rsidRDefault="00531520" w:rsidP="002350D1">
            <w:pPr>
              <w:spacing w:after="0" w:line="240" w:lineRule="auto"/>
              <w:jc w:val="center"/>
              <w:rPr>
                <w:rFonts w:ascii="Calibri" w:hAnsi="Calibri"/>
                <w:b/>
                <w:color w:val="000000"/>
              </w:rPr>
            </w:pPr>
          </w:p>
        </w:tc>
        <w:tc>
          <w:tcPr>
            <w:tcW w:w="900" w:type="dxa"/>
            <w:shd w:val="clear" w:color="auto" w:fill="BFBFBF" w:themeFill="background1" w:themeFillShade="BF"/>
          </w:tcPr>
          <w:p w14:paraId="03C91F04" w14:textId="77777777" w:rsidR="00531520" w:rsidRPr="003F0BCE" w:rsidRDefault="00531520" w:rsidP="002350D1">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tcPr>
          <w:p w14:paraId="55B79985" w14:textId="77777777" w:rsidR="00531520" w:rsidRPr="003F0BCE" w:rsidRDefault="00531520" w:rsidP="002350D1">
            <w:pPr>
              <w:spacing w:after="0" w:line="240" w:lineRule="auto"/>
              <w:jc w:val="center"/>
            </w:pPr>
          </w:p>
        </w:tc>
        <w:tc>
          <w:tcPr>
            <w:tcW w:w="1080" w:type="dxa"/>
            <w:shd w:val="clear" w:color="auto" w:fill="BFBFBF" w:themeFill="background1" w:themeFillShade="BF"/>
          </w:tcPr>
          <w:p w14:paraId="7F895E93" w14:textId="77777777" w:rsidR="00531520" w:rsidRPr="003F0BCE" w:rsidRDefault="00531520" w:rsidP="002350D1">
            <w:pPr>
              <w:spacing w:after="0" w:line="240" w:lineRule="auto"/>
              <w:jc w:val="center"/>
            </w:pPr>
          </w:p>
        </w:tc>
        <w:tc>
          <w:tcPr>
            <w:tcW w:w="1170" w:type="dxa"/>
            <w:shd w:val="clear" w:color="auto" w:fill="BFBFBF" w:themeFill="background1" w:themeFillShade="BF"/>
          </w:tcPr>
          <w:p w14:paraId="53FE36BF" w14:textId="77777777" w:rsidR="00531520" w:rsidRPr="003F0BCE" w:rsidRDefault="00531520" w:rsidP="002350D1">
            <w:pPr>
              <w:spacing w:after="0" w:line="240" w:lineRule="auto"/>
              <w:jc w:val="center"/>
            </w:pPr>
          </w:p>
        </w:tc>
        <w:tc>
          <w:tcPr>
            <w:tcW w:w="1260" w:type="dxa"/>
            <w:shd w:val="clear" w:color="auto" w:fill="BFBFBF" w:themeFill="background1" w:themeFillShade="BF"/>
          </w:tcPr>
          <w:p w14:paraId="5A871547" w14:textId="77777777" w:rsidR="00531520" w:rsidRPr="003F0BCE" w:rsidRDefault="00531520" w:rsidP="002350D1">
            <w:pPr>
              <w:spacing w:after="0" w:line="240" w:lineRule="auto"/>
              <w:jc w:val="center"/>
            </w:pPr>
          </w:p>
        </w:tc>
        <w:tc>
          <w:tcPr>
            <w:tcW w:w="1098" w:type="dxa"/>
            <w:shd w:val="clear" w:color="auto" w:fill="BFBFBF" w:themeFill="background1" w:themeFillShade="BF"/>
          </w:tcPr>
          <w:p w14:paraId="0B48211C" w14:textId="77777777" w:rsidR="00531520" w:rsidRPr="003F0BCE" w:rsidRDefault="00531520" w:rsidP="002350D1">
            <w:pPr>
              <w:spacing w:after="0" w:line="240" w:lineRule="auto"/>
              <w:jc w:val="center"/>
            </w:pPr>
            <w:r>
              <w:t>10.4</w:t>
            </w:r>
          </w:p>
        </w:tc>
      </w:tr>
      <w:tr w:rsidR="00531520" w:rsidRPr="003F0BCE" w14:paraId="7E50D576" w14:textId="77777777" w:rsidTr="00E14984">
        <w:trPr>
          <w:trHeight w:val="274"/>
        </w:trPr>
        <w:tc>
          <w:tcPr>
            <w:tcW w:w="2970" w:type="dxa"/>
            <w:vMerge/>
            <w:shd w:val="clear" w:color="auto" w:fill="BFBFBF" w:themeFill="background1" w:themeFillShade="BF"/>
          </w:tcPr>
          <w:p w14:paraId="2C03DA76" w14:textId="77777777" w:rsidR="00531520" w:rsidRPr="003F0BCE" w:rsidRDefault="00531520" w:rsidP="002350D1">
            <w:pPr>
              <w:spacing w:after="0" w:line="240" w:lineRule="auto"/>
              <w:jc w:val="center"/>
              <w:rPr>
                <w:rFonts w:ascii="Calibri" w:hAnsi="Calibri"/>
                <w:b/>
                <w:color w:val="000000"/>
              </w:rPr>
            </w:pPr>
          </w:p>
        </w:tc>
        <w:tc>
          <w:tcPr>
            <w:tcW w:w="900" w:type="dxa"/>
            <w:shd w:val="clear" w:color="auto" w:fill="BFBFBF" w:themeFill="background1" w:themeFillShade="BF"/>
          </w:tcPr>
          <w:p w14:paraId="2AE0BB75" w14:textId="77777777" w:rsidR="00531520" w:rsidRPr="003F0BCE" w:rsidRDefault="00531520" w:rsidP="002350D1">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tcPr>
          <w:p w14:paraId="0A844223" w14:textId="77777777" w:rsidR="00531520" w:rsidRPr="003F0BCE" w:rsidRDefault="00531520" w:rsidP="002350D1">
            <w:pPr>
              <w:spacing w:after="0" w:line="240" w:lineRule="auto"/>
              <w:jc w:val="center"/>
            </w:pPr>
          </w:p>
        </w:tc>
        <w:tc>
          <w:tcPr>
            <w:tcW w:w="1080" w:type="dxa"/>
            <w:shd w:val="clear" w:color="auto" w:fill="BFBFBF" w:themeFill="background1" w:themeFillShade="BF"/>
          </w:tcPr>
          <w:p w14:paraId="0EE9E8E6" w14:textId="77777777" w:rsidR="00531520" w:rsidRPr="003F0BCE" w:rsidRDefault="00531520" w:rsidP="002350D1">
            <w:pPr>
              <w:spacing w:after="0" w:line="240" w:lineRule="auto"/>
              <w:jc w:val="center"/>
            </w:pPr>
          </w:p>
        </w:tc>
        <w:tc>
          <w:tcPr>
            <w:tcW w:w="1170" w:type="dxa"/>
            <w:shd w:val="clear" w:color="auto" w:fill="BFBFBF" w:themeFill="background1" w:themeFillShade="BF"/>
          </w:tcPr>
          <w:p w14:paraId="3E986B2A" w14:textId="77777777" w:rsidR="00531520" w:rsidRPr="003F0BCE" w:rsidRDefault="00531520" w:rsidP="002350D1">
            <w:pPr>
              <w:spacing w:after="0" w:line="240" w:lineRule="auto"/>
              <w:jc w:val="center"/>
            </w:pPr>
          </w:p>
        </w:tc>
        <w:tc>
          <w:tcPr>
            <w:tcW w:w="1260" w:type="dxa"/>
            <w:shd w:val="clear" w:color="auto" w:fill="BFBFBF" w:themeFill="background1" w:themeFillShade="BF"/>
          </w:tcPr>
          <w:p w14:paraId="7853F927" w14:textId="77777777" w:rsidR="00531520" w:rsidRPr="003F0BCE" w:rsidRDefault="00531520" w:rsidP="002350D1">
            <w:pPr>
              <w:spacing w:after="0" w:line="240" w:lineRule="auto"/>
              <w:jc w:val="center"/>
            </w:pPr>
          </w:p>
        </w:tc>
        <w:tc>
          <w:tcPr>
            <w:tcW w:w="1098" w:type="dxa"/>
            <w:shd w:val="clear" w:color="auto" w:fill="BFBFBF" w:themeFill="background1" w:themeFillShade="BF"/>
          </w:tcPr>
          <w:p w14:paraId="488A57A3" w14:textId="77777777" w:rsidR="00531520" w:rsidRPr="003F0BCE" w:rsidRDefault="00531520" w:rsidP="002350D1">
            <w:pPr>
              <w:spacing w:after="0" w:line="240" w:lineRule="auto"/>
              <w:jc w:val="center"/>
            </w:pPr>
            <w:r>
              <w:t>11.4</w:t>
            </w:r>
          </w:p>
        </w:tc>
      </w:tr>
      <w:tr w:rsidR="00531520" w:rsidRPr="003F0BCE" w14:paraId="281BB469" w14:textId="77777777" w:rsidTr="00E14984">
        <w:trPr>
          <w:trHeight w:val="274"/>
        </w:trPr>
        <w:tc>
          <w:tcPr>
            <w:tcW w:w="2970" w:type="dxa"/>
            <w:vMerge/>
            <w:shd w:val="clear" w:color="auto" w:fill="BFBFBF" w:themeFill="background1" w:themeFillShade="BF"/>
          </w:tcPr>
          <w:p w14:paraId="7E1A1A7B" w14:textId="77777777" w:rsidR="00531520" w:rsidRPr="003F0BCE" w:rsidRDefault="00531520" w:rsidP="002350D1">
            <w:pPr>
              <w:spacing w:after="0" w:line="240" w:lineRule="auto"/>
              <w:jc w:val="center"/>
              <w:rPr>
                <w:rFonts w:ascii="Calibri" w:hAnsi="Calibri"/>
                <w:b/>
                <w:color w:val="000000"/>
              </w:rPr>
            </w:pPr>
          </w:p>
        </w:tc>
        <w:tc>
          <w:tcPr>
            <w:tcW w:w="900" w:type="dxa"/>
            <w:shd w:val="clear" w:color="auto" w:fill="BFBFBF" w:themeFill="background1" w:themeFillShade="BF"/>
          </w:tcPr>
          <w:p w14:paraId="4A76E262" w14:textId="77777777" w:rsidR="00531520" w:rsidRPr="003F0BCE" w:rsidRDefault="00531520" w:rsidP="002350D1">
            <w:pPr>
              <w:spacing w:after="0" w:line="240" w:lineRule="auto"/>
            </w:pPr>
            <w:r w:rsidRPr="003F0BCE">
              <w:rPr>
                <w:rFonts w:ascii="Calibri" w:hAnsi="Calibri"/>
                <w:b/>
                <w:bCs/>
                <w:color w:val="000000"/>
                <w:sz w:val="20"/>
                <w:szCs w:val="20"/>
              </w:rPr>
              <w:t>Total</w:t>
            </w:r>
          </w:p>
        </w:tc>
        <w:tc>
          <w:tcPr>
            <w:tcW w:w="1260" w:type="dxa"/>
            <w:shd w:val="clear" w:color="auto" w:fill="BFBFBF" w:themeFill="background1" w:themeFillShade="BF"/>
          </w:tcPr>
          <w:p w14:paraId="4DD7B3A0" w14:textId="77777777" w:rsidR="00531520" w:rsidRPr="003F0BCE" w:rsidRDefault="00531520" w:rsidP="002350D1">
            <w:pPr>
              <w:spacing w:after="0" w:line="240" w:lineRule="auto"/>
              <w:jc w:val="center"/>
            </w:pPr>
          </w:p>
        </w:tc>
        <w:tc>
          <w:tcPr>
            <w:tcW w:w="1080" w:type="dxa"/>
            <w:shd w:val="clear" w:color="auto" w:fill="BFBFBF" w:themeFill="background1" w:themeFillShade="BF"/>
          </w:tcPr>
          <w:p w14:paraId="6712DBC9" w14:textId="77777777" w:rsidR="00531520" w:rsidRPr="003F0BCE" w:rsidRDefault="00531520" w:rsidP="002350D1">
            <w:pPr>
              <w:spacing w:after="0" w:line="240" w:lineRule="auto"/>
              <w:jc w:val="center"/>
            </w:pPr>
          </w:p>
        </w:tc>
        <w:tc>
          <w:tcPr>
            <w:tcW w:w="1170" w:type="dxa"/>
            <w:shd w:val="clear" w:color="auto" w:fill="BFBFBF" w:themeFill="background1" w:themeFillShade="BF"/>
          </w:tcPr>
          <w:p w14:paraId="5986A5FA" w14:textId="77777777" w:rsidR="00531520" w:rsidRPr="003F0BCE" w:rsidRDefault="00531520" w:rsidP="002350D1">
            <w:pPr>
              <w:spacing w:after="0" w:line="240" w:lineRule="auto"/>
              <w:jc w:val="center"/>
            </w:pPr>
          </w:p>
        </w:tc>
        <w:tc>
          <w:tcPr>
            <w:tcW w:w="1260" w:type="dxa"/>
            <w:shd w:val="clear" w:color="auto" w:fill="BFBFBF" w:themeFill="background1" w:themeFillShade="BF"/>
          </w:tcPr>
          <w:p w14:paraId="1D9A609B" w14:textId="77777777" w:rsidR="00531520" w:rsidRPr="003F0BCE" w:rsidRDefault="00531520" w:rsidP="002350D1">
            <w:pPr>
              <w:spacing w:after="0" w:line="240" w:lineRule="auto"/>
              <w:jc w:val="center"/>
            </w:pPr>
          </w:p>
        </w:tc>
        <w:tc>
          <w:tcPr>
            <w:tcW w:w="1098" w:type="dxa"/>
            <w:shd w:val="clear" w:color="auto" w:fill="BFBFBF" w:themeFill="background1" w:themeFillShade="BF"/>
          </w:tcPr>
          <w:p w14:paraId="4678ECA8" w14:textId="77777777" w:rsidR="00531520" w:rsidRPr="003F0BCE" w:rsidRDefault="00531520" w:rsidP="002350D1">
            <w:pPr>
              <w:spacing w:after="0" w:line="240" w:lineRule="auto"/>
              <w:jc w:val="center"/>
            </w:pPr>
            <w:r>
              <w:t>11.2</w:t>
            </w:r>
          </w:p>
        </w:tc>
      </w:tr>
    </w:tbl>
    <w:p w14:paraId="49E4EFA5" w14:textId="77777777" w:rsidR="00531520" w:rsidRDefault="00531520" w:rsidP="00531520">
      <w:pPr>
        <w:spacing w:after="0" w:line="240" w:lineRule="auto"/>
      </w:pPr>
      <w:r>
        <w:br w:type="page"/>
      </w:r>
    </w:p>
    <w:tbl>
      <w:tblPr>
        <w:tblStyle w:val="TableGrid3"/>
        <w:tblW w:w="0" w:type="auto"/>
        <w:tblInd w:w="-162" w:type="dxa"/>
        <w:tblLayout w:type="fixed"/>
        <w:tblLook w:val="04A0" w:firstRow="1" w:lastRow="0" w:firstColumn="1" w:lastColumn="0" w:noHBand="0" w:noVBand="1"/>
        <w:tblCaption w:val="Appendix C: "/>
        <w:tblDescription w:val="Instructional Inventory"/>
      </w:tblPr>
      <w:tblGrid>
        <w:gridCol w:w="2970"/>
        <w:gridCol w:w="900"/>
        <w:gridCol w:w="1260"/>
        <w:gridCol w:w="1080"/>
        <w:gridCol w:w="1170"/>
        <w:gridCol w:w="1350"/>
        <w:gridCol w:w="1008"/>
      </w:tblGrid>
      <w:tr w:rsidR="00531520" w:rsidRPr="003F0BCE" w14:paraId="2CE6FEB7" w14:textId="77777777" w:rsidTr="00BB0032">
        <w:trPr>
          <w:trHeight w:val="816"/>
          <w:tblHeader/>
        </w:trPr>
        <w:tc>
          <w:tcPr>
            <w:tcW w:w="2970" w:type="dxa"/>
            <w:vMerge w:val="restart"/>
            <w:tcBorders>
              <w:bottom w:val="single" w:sz="4" w:space="0" w:color="auto"/>
            </w:tcBorders>
          </w:tcPr>
          <w:p w14:paraId="6ECA5C10" w14:textId="77777777" w:rsidR="00531520" w:rsidRPr="003F0BCE" w:rsidRDefault="00531520" w:rsidP="002350D1">
            <w:pPr>
              <w:spacing w:after="0" w:line="240" w:lineRule="auto"/>
              <w:jc w:val="center"/>
            </w:pPr>
            <w:r w:rsidRPr="003F0BCE">
              <w:rPr>
                <w:rFonts w:ascii="Calibri" w:hAnsi="Calibri"/>
                <w:b/>
                <w:bCs/>
                <w:color w:val="000000"/>
              </w:rPr>
              <w:lastRenderedPageBreak/>
              <w:t xml:space="preserve">Focus Area #2: Student Engagement &amp; </w:t>
            </w:r>
            <w:r>
              <w:rPr>
                <w:rFonts w:ascii="Calibri" w:hAnsi="Calibri"/>
                <w:b/>
                <w:bCs/>
                <w:color w:val="000000"/>
              </w:rPr>
              <w:t>Higher-Order Thinking</w:t>
            </w:r>
          </w:p>
        </w:tc>
        <w:tc>
          <w:tcPr>
            <w:tcW w:w="900" w:type="dxa"/>
            <w:tcBorders>
              <w:bottom w:val="single" w:sz="4" w:space="0" w:color="auto"/>
            </w:tcBorders>
          </w:tcPr>
          <w:p w14:paraId="643ACAD2" w14:textId="77777777" w:rsidR="00531520" w:rsidRPr="003F0BCE" w:rsidRDefault="00531520" w:rsidP="002350D1">
            <w:pPr>
              <w:spacing w:after="0" w:line="240" w:lineRule="auto"/>
            </w:pPr>
          </w:p>
        </w:tc>
        <w:tc>
          <w:tcPr>
            <w:tcW w:w="1260" w:type="dxa"/>
            <w:tcBorders>
              <w:bottom w:val="single" w:sz="4" w:space="0" w:color="auto"/>
            </w:tcBorders>
          </w:tcPr>
          <w:p w14:paraId="3E83C19E" w14:textId="77777777" w:rsidR="00531520" w:rsidRPr="0071153E" w:rsidRDefault="00531520" w:rsidP="002350D1">
            <w:pPr>
              <w:spacing w:after="0" w:line="240" w:lineRule="auto"/>
              <w:jc w:val="center"/>
              <w:rPr>
                <w:sz w:val="20"/>
                <w:szCs w:val="20"/>
              </w:rPr>
            </w:pPr>
            <w:r w:rsidRPr="0071153E">
              <w:rPr>
                <w:sz w:val="20"/>
                <w:szCs w:val="20"/>
              </w:rPr>
              <w:t>Insufficient Evidence</w:t>
            </w:r>
          </w:p>
        </w:tc>
        <w:tc>
          <w:tcPr>
            <w:tcW w:w="1080" w:type="dxa"/>
            <w:tcBorders>
              <w:bottom w:val="single" w:sz="4" w:space="0" w:color="auto"/>
            </w:tcBorders>
          </w:tcPr>
          <w:p w14:paraId="5FA79061" w14:textId="77777777" w:rsidR="00531520" w:rsidRPr="0071153E" w:rsidRDefault="00531520" w:rsidP="002350D1">
            <w:pPr>
              <w:spacing w:after="0" w:line="240" w:lineRule="auto"/>
              <w:jc w:val="center"/>
              <w:rPr>
                <w:sz w:val="20"/>
                <w:szCs w:val="20"/>
              </w:rPr>
            </w:pPr>
            <w:r w:rsidRPr="0071153E">
              <w:rPr>
                <w:sz w:val="20"/>
                <w:szCs w:val="20"/>
              </w:rPr>
              <w:t>Limited Evidence</w:t>
            </w:r>
          </w:p>
        </w:tc>
        <w:tc>
          <w:tcPr>
            <w:tcW w:w="1170" w:type="dxa"/>
            <w:tcBorders>
              <w:bottom w:val="single" w:sz="4" w:space="0" w:color="auto"/>
            </w:tcBorders>
          </w:tcPr>
          <w:p w14:paraId="3A5ACC1B" w14:textId="77777777" w:rsidR="00531520" w:rsidRPr="0071153E" w:rsidRDefault="00531520" w:rsidP="002350D1">
            <w:pPr>
              <w:spacing w:after="0" w:line="240" w:lineRule="auto"/>
              <w:jc w:val="center"/>
              <w:rPr>
                <w:sz w:val="20"/>
                <w:szCs w:val="20"/>
              </w:rPr>
            </w:pPr>
            <w:r w:rsidRPr="0071153E">
              <w:rPr>
                <w:sz w:val="20"/>
                <w:szCs w:val="20"/>
              </w:rPr>
              <w:t>Sufficient Evidence</w:t>
            </w:r>
          </w:p>
        </w:tc>
        <w:tc>
          <w:tcPr>
            <w:tcW w:w="1350" w:type="dxa"/>
            <w:tcBorders>
              <w:bottom w:val="single" w:sz="4" w:space="0" w:color="auto"/>
            </w:tcBorders>
          </w:tcPr>
          <w:p w14:paraId="4854ECBE" w14:textId="77777777" w:rsidR="00531520" w:rsidRPr="0071153E" w:rsidRDefault="00531520" w:rsidP="002350D1">
            <w:pPr>
              <w:spacing w:after="0" w:line="240" w:lineRule="auto"/>
              <w:jc w:val="center"/>
              <w:rPr>
                <w:sz w:val="20"/>
                <w:szCs w:val="20"/>
              </w:rPr>
            </w:pPr>
            <w:r w:rsidRPr="0071153E">
              <w:rPr>
                <w:sz w:val="20"/>
                <w:szCs w:val="20"/>
              </w:rPr>
              <w:t>Compelling Evidence</w:t>
            </w:r>
          </w:p>
        </w:tc>
        <w:tc>
          <w:tcPr>
            <w:tcW w:w="1008" w:type="dxa"/>
            <w:tcBorders>
              <w:bottom w:val="single" w:sz="4" w:space="0" w:color="auto"/>
            </w:tcBorders>
          </w:tcPr>
          <w:p w14:paraId="7D0B130E" w14:textId="77777777" w:rsidR="00531520" w:rsidRPr="0071153E" w:rsidRDefault="00531520" w:rsidP="002350D1">
            <w:pPr>
              <w:spacing w:after="0" w:line="240" w:lineRule="auto"/>
              <w:jc w:val="center"/>
              <w:rPr>
                <w:sz w:val="20"/>
                <w:szCs w:val="20"/>
              </w:rPr>
            </w:pPr>
            <w:r>
              <w:rPr>
                <w:sz w:val="20"/>
                <w:szCs w:val="20"/>
              </w:rPr>
              <w:t>Average</w:t>
            </w:r>
            <w:r w:rsidRPr="0071153E">
              <w:rPr>
                <w:sz w:val="20"/>
                <w:szCs w:val="20"/>
              </w:rPr>
              <w:t xml:space="preserve"> Number of points</w:t>
            </w:r>
          </w:p>
        </w:tc>
      </w:tr>
      <w:tr w:rsidR="00531520" w:rsidRPr="003F0BCE" w14:paraId="39CAE30E" w14:textId="77777777" w:rsidTr="00E14984">
        <w:tc>
          <w:tcPr>
            <w:tcW w:w="2970" w:type="dxa"/>
            <w:vMerge/>
          </w:tcPr>
          <w:p w14:paraId="34C68B6C" w14:textId="77777777" w:rsidR="00531520" w:rsidRPr="003F0BCE" w:rsidRDefault="00531520" w:rsidP="002350D1">
            <w:pPr>
              <w:spacing w:after="0" w:line="240" w:lineRule="auto"/>
            </w:pPr>
          </w:p>
        </w:tc>
        <w:tc>
          <w:tcPr>
            <w:tcW w:w="900" w:type="dxa"/>
          </w:tcPr>
          <w:p w14:paraId="3FDF7903" w14:textId="77777777" w:rsidR="00531520" w:rsidRPr="003F0BCE" w:rsidRDefault="00531520" w:rsidP="002350D1">
            <w:pPr>
              <w:spacing w:after="0" w:line="240" w:lineRule="auto"/>
            </w:pPr>
          </w:p>
        </w:tc>
        <w:tc>
          <w:tcPr>
            <w:tcW w:w="1260" w:type="dxa"/>
          </w:tcPr>
          <w:p w14:paraId="7B324C91" w14:textId="77777777" w:rsidR="00531520" w:rsidRPr="003F0BCE" w:rsidRDefault="00531520" w:rsidP="002350D1">
            <w:pPr>
              <w:spacing w:after="0" w:line="240" w:lineRule="auto"/>
              <w:jc w:val="center"/>
            </w:pPr>
            <w:r w:rsidRPr="003F0BCE">
              <w:t>(</w:t>
            </w:r>
            <w:r>
              <w:t>1</w:t>
            </w:r>
            <w:r w:rsidRPr="003F0BCE">
              <w:t>)</w:t>
            </w:r>
          </w:p>
        </w:tc>
        <w:tc>
          <w:tcPr>
            <w:tcW w:w="1080" w:type="dxa"/>
          </w:tcPr>
          <w:p w14:paraId="53B046C5" w14:textId="77777777" w:rsidR="00531520" w:rsidRPr="003F0BCE" w:rsidRDefault="00531520" w:rsidP="002350D1">
            <w:pPr>
              <w:spacing w:after="0" w:line="240" w:lineRule="auto"/>
              <w:jc w:val="center"/>
            </w:pPr>
            <w:r w:rsidRPr="003F0BCE">
              <w:t>(</w:t>
            </w:r>
            <w:r>
              <w:t>2</w:t>
            </w:r>
            <w:r w:rsidRPr="003F0BCE">
              <w:t>)</w:t>
            </w:r>
          </w:p>
        </w:tc>
        <w:tc>
          <w:tcPr>
            <w:tcW w:w="1170" w:type="dxa"/>
          </w:tcPr>
          <w:p w14:paraId="2C97C337" w14:textId="77777777" w:rsidR="00531520" w:rsidRPr="003F0BCE" w:rsidRDefault="00531520" w:rsidP="002350D1">
            <w:pPr>
              <w:spacing w:after="0" w:line="240" w:lineRule="auto"/>
              <w:jc w:val="center"/>
            </w:pPr>
            <w:r w:rsidRPr="003F0BCE">
              <w:t>(</w:t>
            </w:r>
            <w:r>
              <w:t>3</w:t>
            </w:r>
            <w:r w:rsidRPr="003F0BCE">
              <w:t>)</w:t>
            </w:r>
          </w:p>
        </w:tc>
        <w:tc>
          <w:tcPr>
            <w:tcW w:w="1350" w:type="dxa"/>
          </w:tcPr>
          <w:p w14:paraId="5528F20A" w14:textId="77777777" w:rsidR="00531520" w:rsidRPr="003F0BCE" w:rsidRDefault="00531520" w:rsidP="002350D1">
            <w:pPr>
              <w:spacing w:after="0" w:line="240" w:lineRule="auto"/>
              <w:jc w:val="center"/>
            </w:pPr>
            <w:r w:rsidRPr="003F0BCE">
              <w:t>(</w:t>
            </w:r>
            <w:r>
              <w:t>4</w:t>
            </w:r>
            <w:r w:rsidRPr="003F0BCE">
              <w:t>)</w:t>
            </w:r>
          </w:p>
        </w:tc>
        <w:tc>
          <w:tcPr>
            <w:tcW w:w="1008" w:type="dxa"/>
          </w:tcPr>
          <w:p w14:paraId="1EDA5A67" w14:textId="77777777" w:rsidR="00531520" w:rsidRPr="003F0BCE" w:rsidRDefault="00531520" w:rsidP="002350D1">
            <w:pPr>
              <w:spacing w:after="0" w:line="240" w:lineRule="auto"/>
              <w:jc w:val="center"/>
            </w:pPr>
            <w:r>
              <w:t>(1</w:t>
            </w:r>
            <w:r w:rsidRPr="003F0BCE">
              <w:t xml:space="preserve"> to </w:t>
            </w:r>
            <w:r>
              <w:t>4</w:t>
            </w:r>
            <w:r w:rsidRPr="003F0BCE">
              <w:t>)</w:t>
            </w:r>
          </w:p>
        </w:tc>
      </w:tr>
      <w:tr w:rsidR="00531520" w:rsidRPr="003F0BCE" w14:paraId="256E883C" w14:textId="77777777" w:rsidTr="00E14984">
        <w:tc>
          <w:tcPr>
            <w:tcW w:w="2970" w:type="dxa"/>
            <w:vMerge w:val="restart"/>
            <w:shd w:val="clear" w:color="auto" w:fill="BFBFBF" w:themeFill="background1" w:themeFillShade="BF"/>
          </w:tcPr>
          <w:p w14:paraId="37756E6C" w14:textId="77777777" w:rsidR="00531520" w:rsidRPr="003F0BCE" w:rsidRDefault="00531520" w:rsidP="002350D1">
            <w:pPr>
              <w:spacing w:after="0" w:line="240" w:lineRule="auto"/>
              <w:rPr>
                <w:rFonts w:ascii="Calibri" w:hAnsi="Calibri"/>
                <w:color w:val="000000"/>
              </w:rPr>
            </w:pPr>
            <w:r>
              <w:rPr>
                <w:rFonts w:ascii="Calibri" w:hAnsi="Calibri"/>
                <w:color w:val="000000"/>
              </w:rPr>
              <w:t>5.  Students assume responsibility to learn and are engaged in the lesson.</w:t>
            </w:r>
          </w:p>
        </w:tc>
        <w:tc>
          <w:tcPr>
            <w:tcW w:w="900" w:type="dxa"/>
            <w:shd w:val="clear" w:color="auto" w:fill="BFBFBF" w:themeFill="background1" w:themeFillShade="BF"/>
          </w:tcPr>
          <w:p w14:paraId="2F19F303" w14:textId="77777777" w:rsidR="00531520" w:rsidRPr="003F0BCE" w:rsidRDefault="00531520" w:rsidP="002350D1">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tcPr>
          <w:p w14:paraId="118C8266" w14:textId="77777777" w:rsidR="00531520" w:rsidRPr="003F0BCE" w:rsidRDefault="00531520" w:rsidP="002350D1">
            <w:pPr>
              <w:spacing w:after="0" w:line="240" w:lineRule="auto"/>
              <w:jc w:val="center"/>
            </w:pPr>
            <w:r>
              <w:t>0</w:t>
            </w:r>
            <w:r w:rsidRPr="00A65DD2">
              <w:t>%</w:t>
            </w:r>
          </w:p>
        </w:tc>
        <w:tc>
          <w:tcPr>
            <w:tcW w:w="1080" w:type="dxa"/>
            <w:shd w:val="clear" w:color="auto" w:fill="BFBFBF" w:themeFill="background1" w:themeFillShade="BF"/>
          </w:tcPr>
          <w:p w14:paraId="56734165" w14:textId="77777777" w:rsidR="00531520" w:rsidRPr="003F0BCE" w:rsidRDefault="00531520" w:rsidP="002350D1">
            <w:pPr>
              <w:spacing w:after="0" w:line="240" w:lineRule="auto"/>
              <w:jc w:val="center"/>
            </w:pPr>
            <w:r>
              <w:t>10</w:t>
            </w:r>
            <w:r w:rsidRPr="00A65DD2">
              <w:t>%</w:t>
            </w:r>
          </w:p>
        </w:tc>
        <w:tc>
          <w:tcPr>
            <w:tcW w:w="1170" w:type="dxa"/>
            <w:shd w:val="clear" w:color="auto" w:fill="BFBFBF" w:themeFill="background1" w:themeFillShade="BF"/>
          </w:tcPr>
          <w:p w14:paraId="1EA09E54" w14:textId="77777777" w:rsidR="00531520" w:rsidRPr="003F0BCE" w:rsidRDefault="00531520" w:rsidP="002350D1">
            <w:pPr>
              <w:spacing w:after="0" w:line="240" w:lineRule="auto"/>
              <w:jc w:val="center"/>
            </w:pPr>
            <w:r>
              <w:t>76</w:t>
            </w:r>
            <w:r w:rsidRPr="00A65DD2">
              <w:t>%</w:t>
            </w:r>
          </w:p>
        </w:tc>
        <w:tc>
          <w:tcPr>
            <w:tcW w:w="1350" w:type="dxa"/>
            <w:shd w:val="clear" w:color="auto" w:fill="BFBFBF" w:themeFill="background1" w:themeFillShade="BF"/>
          </w:tcPr>
          <w:p w14:paraId="12E6BFCE" w14:textId="77777777" w:rsidR="00531520" w:rsidRPr="003F0BCE" w:rsidRDefault="00531520" w:rsidP="002350D1">
            <w:pPr>
              <w:spacing w:after="0" w:line="240" w:lineRule="auto"/>
              <w:jc w:val="center"/>
            </w:pPr>
            <w:r>
              <w:t>14</w:t>
            </w:r>
            <w:r w:rsidRPr="00A65DD2">
              <w:t>%</w:t>
            </w:r>
          </w:p>
        </w:tc>
        <w:tc>
          <w:tcPr>
            <w:tcW w:w="1008" w:type="dxa"/>
            <w:shd w:val="clear" w:color="auto" w:fill="BFBFBF" w:themeFill="background1" w:themeFillShade="BF"/>
          </w:tcPr>
          <w:p w14:paraId="3958F9A9" w14:textId="77777777" w:rsidR="00531520" w:rsidRPr="003F0BCE" w:rsidRDefault="00531520" w:rsidP="002350D1">
            <w:pPr>
              <w:spacing w:after="0" w:line="240" w:lineRule="auto"/>
              <w:jc w:val="center"/>
            </w:pPr>
            <w:r>
              <w:t>3.0</w:t>
            </w:r>
          </w:p>
        </w:tc>
      </w:tr>
      <w:tr w:rsidR="00531520" w:rsidRPr="003F0BCE" w14:paraId="7671F062" w14:textId="77777777" w:rsidTr="00E14984">
        <w:tc>
          <w:tcPr>
            <w:tcW w:w="2970" w:type="dxa"/>
            <w:vMerge/>
            <w:shd w:val="clear" w:color="auto" w:fill="BFBFBF" w:themeFill="background1" w:themeFillShade="BF"/>
          </w:tcPr>
          <w:p w14:paraId="1C6D3659" w14:textId="77777777" w:rsidR="00531520" w:rsidRPr="003F0BCE" w:rsidRDefault="00531520" w:rsidP="002350D1">
            <w:pPr>
              <w:spacing w:after="0" w:line="240" w:lineRule="auto"/>
            </w:pPr>
          </w:p>
        </w:tc>
        <w:tc>
          <w:tcPr>
            <w:tcW w:w="900" w:type="dxa"/>
            <w:shd w:val="clear" w:color="auto" w:fill="BFBFBF" w:themeFill="background1" w:themeFillShade="BF"/>
          </w:tcPr>
          <w:p w14:paraId="24CAB1ED" w14:textId="77777777" w:rsidR="00531520" w:rsidRPr="003F0BCE" w:rsidRDefault="00531520" w:rsidP="002350D1">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tcPr>
          <w:p w14:paraId="0F18906A" w14:textId="77777777" w:rsidR="00531520" w:rsidRPr="003F0BCE" w:rsidRDefault="00531520" w:rsidP="002350D1">
            <w:pPr>
              <w:spacing w:after="0" w:line="240" w:lineRule="auto"/>
              <w:jc w:val="center"/>
            </w:pPr>
            <w:r>
              <w:t>9</w:t>
            </w:r>
            <w:r w:rsidRPr="00A65DD2">
              <w:t>%</w:t>
            </w:r>
          </w:p>
        </w:tc>
        <w:tc>
          <w:tcPr>
            <w:tcW w:w="1080" w:type="dxa"/>
            <w:shd w:val="clear" w:color="auto" w:fill="BFBFBF" w:themeFill="background1" w:themeFillShade="BF"/>
          </w:tcPr>
          <w:p w14:paraId="3C68F8A4" w14:textId="77777777" w:rsidR="00531520" w:rsidRPr="003F0BCE" w:rsidRDefault="00531520" w:rsidP="002350D1">
            <w:pPr>
              <w:spacing w:after="0" w:line="240" w:lineRule="auto"/>
              <w:jc w:val="center"/>
            </w:pPr>
            <w:r>
              <w:t>39</w:t>
            </w:r>
            <w:r w:rsidRPr="00A65DD2">
              <w:t>%</w:t>
            </w:r>
          </w:p>
        </w:tc>
        <w:tc>
          <w:tcPr>
            <w:tcW w:w="1170" w:type="dxa"/>
            <w:shd w:val="clear" w:color="auto" w:fill="BFBFBF" w:themeFill="background1" w:themeFillShade="BF"/>
          </w:tcPr>
          <w:p w14:paraId="22178605" w14:textId="77777777" w:rsidR="00531520" w:rsidRPr="003F0BCE" w:rsidRDefault="00531520" w:rsidP="002350D1">
            <w:pPr>
              <w:spacing w:after="0" w:line="240" w:lineRule="auto"/>
              <w:jc w:val="center"/>
            </w:pPr>
            <w:r>
              <w:t>43</w:t>
            </w:r>
            <w:r w:rsidRPr="00A65DD2">
              <w:t>%</w:t>
            </w:r>
          </w:p>
        </w:tc>
        <w:tc>
          <w:tcPr>
            <w:tcW w:w="1350" w:type="dxa"/>
            <w:shd w:val="clear" w:color="auto" w:fill="BFBFBF" w:themeFill="background1" w:themeFillShade="BF"/>
          </w:tcPr>
          <w:p w14:paraId="7B7D2A81" w14:textId="77777777" w:rsidR="00531520" w:rsidRPr="003F0BCE" w:rsidRDefault="00531520" w:rsidP="002350D1">
            <w:pPr>
              <w:spacing w:after="0" w:line="240" w:lineRule="auto"/>
              <w:jc w:val="center"/>
            </w:pPr>
            <w:r>
              <w:t>9</w:t>
            </w:r>
            <w:r w:rsidRPr="00A65DD2">
              <w:t>%</w:t>
            </w:r>
          </w:p>
        </w:tc>
        <w:tc>
          <w:tcPr>
            <w:tcW w:w="1008" w:type="dxa"/>
            <w:shd w:val="clear" w:color="auto" w:fill="BFBFBF" w:themeFill="background1" w:themeFillShade="BF"/>
          </w:tcPr>
          <w:p w14:paraId="0BD49C04" w14:textId="77777777" w:rsidR="00531520" w:rsidRPr="003F0BCE" w:rsidRDefault="00531520" w:rsidP="002350D1">
            <w:pPr>
              <w:spacing w:after="0" w:line="240" w:lineRule="auto"/>
              <w:jc w:val="center"/>
            </w:pPr>
            <w:r>
              <w:t>2.5</w:t>
            </w:r>
          </w:p>
        </w:tc>
      </w:tr>
      <w:tr w:rsidR="00531520" w:rsidRPr="003F0BCE" w14:paraId="1920CD27" w14:textId="77777777" w:rsidTr="00E14984">
        <w:tc>
          <w:tcPr>
            <w:tcW w:w="2970" w:type="dxa"/>
            <w:vMerge/>
            <w:shd w:val="clear" w:color="auto" w:fill="BFBFBF" w:themeFill="background1" w:themeFillShade="BF"/>
          </w:tcPr>
          <w:p w14:paraId="0C1FE2E1" w14:textId="77777777" w:rsidR="00531520" w:rsidRPr="003F0BCE" w:rsidRDefault="00531520" w:rsidP="002350D1">
            <w:pPr>
              <w:spacing w:after="0" w:line="240" w:lineRule="auto"/>
            </w:pPr>
          </w:p>
        </w:tc>
        <w:tc>
          <w:tcPr>
            <w:tcW w:w="900" w:type="dxa"/>
            <w:shd w:val="clear" w:color="auto" w:fill="BFBFBF" w:themeFill="background1" w:themeFillShade="BF"/>
          </w:tcPr>
          <w:p w14:paraId="3E4F8E35" w14:textId="77777777" w:rsidR="00531520" w:rsidRPr="003F0BCE" w:rsidRDefault="00531520" w:rsidP="002350D1">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tcPr>
          <w:p w14:paraId="0D0F5123" w14:textId="77777777" w:rsidR="00531520" w:rsidRPr="003F0BCE" w:rsidRDefault="00531520" w:rsidP="002350D1">
            <w:pPr>
              <w:spacing w:after="0" w:line="240" w:lineRule="auto"/>
              <w:jc w:val="center"/>
            </w:pPr>
            <w:r>
              <w:t>4</w:t>
            </w:r>
            <w:r w:rsidRPr="00A65DD2">
              <w:t>%</w:t>
            </w:r>
          </w:p>
        </w:tc>
        <w:tc>
          <w:tcPr>
            <w:tcW w:w="1080" w:type="dxa"/>
            <w:shd w:val="clear" w:color="auto" w:fill="BFBFBF" w:themeFill="background1" w:themeFillShade="BF"/>
          </w:tcPr>
          <w:p w14:paraId="1FA862F0" w14:textId="77777777" w:rsidR="00531520" w:rsidRPr="003F0BCE" w:rsidRDefault="00531520" w:rsidP="002350D1">
            <w:pPr>
              <w:spacing w:after="0" w:line="240" w:lineRule="auto"/>
              <w:jc w:val="center"/>
            </w:pPr>
            <w:r>
              <w:t>35</w:t>
            </w:r>
            <w:r w:rsidRPr="00A65DD2">
              <w:t>%</w:t>
            </w:r>
          </w:p>
        </w:tc>
        <w:tc>
          <w:tcPr>
            <w:tcW w:w="1170" w:type="dxa"/>
            <w:shd w:val="clear" w:color="auto" w:fill="BFBFBF" w:themeFill="background1" w:themeFillShade="BF"/>
          </w:tcPr>
          <w:p w14:paraId="19E86602" w14:textId="77777777" w:rsidR="00531520" w:rsidRPr="003F0BCE" w:rsidRDefault="00531520" w:rsidP="002350D1">
            <w:pPr>
              <w:spacing w:after="0" w:line="240" w:lineRule="auto"/>
              <w:jc w:val="center"/>
            </w:pPr>
            <w:r>
              <w:t>50</w:t>
            </w:r>
            <w:r w:rsidRPr="00A65DD2">
              <w:t>%</w:t>
            </w:r>
          </w:p>
        </w:tc>
        <w:tc>
          <w:tcPr>
            <w:tcW w:w="1350" w:type="dxa"/>
            <w:shd w:val="clear" w:color="auto" w:fill="BFBFBF" w:themeFill="background1" w:themeFillShade="BF"/>
          </w:tcPr>
          <w:p w14:paraId="039E25E2" w14:textId="77777777" w:rsidR="00531520" w:rsidRPr="003F0BCE" w:rsidRDefault="00531520" w:rsidP="002350D1">
            <w:pPr>
              <w:spacing w:after="0" w:line="240" w:lineRule="auto"/>
              <w:jc w:val="center"/>
            </w:pPr>
            <w:r>
              <w:t>12</w:t>
            </w:r>
            <w:r w:rsidRPr="00A65DD2">
              <w:t>%</w:t>
            </w:r>
          </w:p>
        </w:tc>
        <w:tc>
          <w:tcPr>
            <w:tcW w:w="1008" w:type="dxa"/>
            <w:shd w:val="clear" w:color="auto" w:fill="BFBFBF" w:themeFill="background1" w:themeFillShade="BF"/>
          </w:tcPr>
          <w:p w14:paraId="652009B2" w14:textId="77777777" w:rsidR="00531520" w:rsidRPr="003F0BCE" w:rsidRDefault="00531520" w:rsidP="002350D1">
            <w:pPr>
              <w:spacing w:after="0" w:line="240" w:lineRule="auto"/>
              <w:jc w:val="center"/>
            </w:pPr>
            <w:r>
              <w:t>2.7</w:t>
            </w:r>
          </w:p>
        </w:tc>
      </w:tr>
      <w:tr w:rsidR="00531520" w:rsidRPr="003F0BCE" w14:paraId="1CA56001" w14:textId="77777777" w:rsidTr="00E14984">
        <w:tc>
          <w:tcPr>
            <w:tcW w:w="2970" w:type="dxa"/>
            <w:vMerge/>
            <w:shd w:val="clear" w:color="auto" w:fill="BFBFBF" w:themeFill="background1" w:themeFillShade="BF"/>
          </w:tcPr>
          <w:p w14:paraId="1A6B22B1" w14:textId="77777777" w:rsidR="00531520" w:rsidRPr="003F0BCE" w:rsidRDefault="00531520" w:rsidP="002350D1">
            <w:pPr>
              <w:spacing w:after="0" w:line="240" w:lineRule="auto"/>
            </w:pPr>
          </w:p>
        </w:tc>
        <w:tc>
          <w:tcPr>
            <w:tcW w:w="900" w:type="dxa"/>
            <w:shd w:val="clear" w:color="auto" w:fill="BFBFBF" w:themeFill="background1" w:themeFillShade="BF"/>
          </w:tcPr>
          <w:p w14:paraId="1B1EABC2" w14:textId="77777777" w:rsidR="00531520" w:rsidRPr="003F0BCE" w:rsidRDefault="00531520" w:rsidP="002350D1">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14:paraId="02AFE196" w14:textId="77777777" w:rsidR="00531520" w:rsidRPr="003F0BCE" w:rsidRDefault="00531520" w:rsidP="002350D1">
            <w:pPr>
              <w:spacing w:after="0" w:line="240" w:lineRule="auto"/>
              <w:jc w:val="center"/>
            </w:pPr>
            <w:r>
              <w:t>3</w:t>
            </w:r>
          </w:p>
        </w:tc>
        <w:tc>
          <w:tcPr>
            <w:tcW w:w="1080" w:type="dxa"/>
            <w:shd w:val="clear" w:color="auto" w:fill="BFBFBF" w:themeFill="background1" w:themeFillShade="BF"/>
          </w:tcPr>
          <w:p w14:paraId="306DDC22" w14:textId="77777777" w:rsidR="00531520" w:rsidRPr="003F0BCE" w:rsidRDefault="00531520" w:rsidP="002350D1">
            <w:pPr>
              <w:spacing w:after="0" w:line="240" w:lineRule="auto"/>
              <w:jc w:val="center"/>
            </w:pPr>
            <w:r>
              <w:t>20</w:t>
            </w:r>
          </w:p>
        </w:tc>
        <w:tc>
          <w:tcPr>
            <w:tcW w:w="1170" w:type="dxa"/>
            <w:shd w:val="clear" w:color="auto" w:fill="BFBFBF" w:themeFill="background1" w:themeFillShade="BF"/>
          </w:tcPr>
          <w:p w14:paraId="01A2D761" w14:textId="77777777" w:rsidR="00531520" w:rsidRPr="003F0BCE" w:rsidRDefault="00531520" w:rsidP="002350D1">
            <w:pPr>
              <w:spacing w:after="0" w:line="240" w:lineRule="auto"/>
              <w:jc w:val="center"/>
            </w:pPr>
            <w:r>
              <w:t>39</w:t>
            </w:r>
          </w:p>
        </w:tc>
        <w:tc>
          <w:tcPr>
            <w:tcW w:w="1350" w:type="dxa"/>
            <w:shd w:val="clear" w:color="auto" w:fill="BFBFBF" w:themeFill="background1" w:themeFillShade="BF"/>
          </w:tcPr>
          <w:p w14:paraId="5F2D523E" w14:textId="77777777" w:rsidR="00531520" w:rsidRPr="003F0BCE" w:rsidRDefault="00531520" w:rsidP="002350D1">
            <w:pPr>
              <w:spacing w:after="0" w:line="240" w:lineRule="auto"/>
              <w:jc w:val="center"/>
            </w:pPr>
            <w:r>
              <w:t>8</w:t>
            </w:r>
          </w:p>
        </w:tc>
        <w:tc>
          <w:tcPr>
            <w:tcW w:w="1008" w:type="dxa"/>
            <w:shd w:val="clear" w:color="auto" w:fill="BFBFBF" w:themeFill="background1" w:themeFillShade="BF"/>
          </w:tcPr>
          <w:p w14:paraId="68B90298" w14:textId="77777777" w:rsidR="00531520" w:rsidRPr="003F0BCE" w:rsidRDefault="00531520" w:rsidP="002350D1">
            <w:pPr>
              <w:spacing w:after="0" w:line="240" w:lineRule="auto"/>
              <w:jc w:val="center"/>
            </w:pPr>
            <w:r>
              <w:t>2.7</w:t>
            </w:r>
          </w:p>
        </w:tc>
      </w:tr>
      <w:tr w:rsidR="00531520" w:rsidRPr="003F0BCE" w14:paraId="3807EF84" w14:textId="77777777" w:rsidTr="00E14984">
        <w:tc>
          <w:tcPr>
            <w:tcW w:w="2970" w:type="dxa"/>
            <w:vMerge/>
            <w:shd w:val="clear" w:color="auto" w:fill="BFBFBF" w:themeFill="background1" w:themeFillShade="BF"/>
          </w:tcPr>
          <w:p w14:paraId="0F60D797" w14:textId="77777777" w:rsidR="00531520" w:rsidRPr="003F0BCE" w:rsidRDefault="00531520" w:rsidP="002350D1">
            <w:pPr>
              <w:spacing w:after="0" w:line="240" w:lineRule="auto"/>
            </w:pPr>
          </w:p>
        </w:tc>
        <w:tc>
          <w:tcPr>
            <w:tcW w:w="900" w:type="dxa"/>
            <w:shd w:val="clear" w:color="auto" w:fill="BFBFBF" w:themeFill="background1" w:themeFillShade="BF"/>
          </w:tcPr>
          <w:p w14:paraId="113B6B70" w14:textId="77777777" w:rsidR="00531520" w:rsidRPr="003F0BCE" w:rsidRDefault="00531520" w:rsidP="002350D1">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14:paraId="2F956847" w14:textId="77777777" w:rsidR="00531520" w:rsidRPr="003F0BCE" w:rsidRDefault="00531520" w:rsidP="002350D1">
            <w:pPr>
              <w:spacing w:after="0" w:line="240" w:lineRule="auto"/>
              <w:jc w:val="center"/>
            </w:pPr>
            <w:r>
              <w:t>4</w:t>
            </w:r>
            <w:r w:rsidRPr="00A65DD2">
              <w:t>%</w:t>
            </w:r>
          </w:p>
        </w:tc>
        <w:tc>
          <w:tcPr>
            <w:tcW w:w="1080" w:type="dxa"/>
            <w:shd w:val="clear" w:color="auto" w:fill="BFBFBF" w:themeFill="background1" w:themeFillShade="BF"/>
          </w:tcPr>
          <w:p w14:paraId="11CE354D" w14:textId="77777777" w:rsidR="00531520" w:rsidRPr="003F0BCE" w:rsidRDefault="00531520" w:rsidP="002350D1">
            <w:pPr>
              <w:spacing w:after="0" w:line="240" w:lineRule="auto"/>
              <w:jc w:val="center"/>
            </w:pPr>
            <w:r>
              <w:t>29</w:t>
            </w:r>
            <w:r w:rsidRPr="00A65DD2">
              <w:t>%</w:t>
            </w:r>
          </w:p>
        </w:tc>
        <w:tc>
          <w:tcPr>
            <w:tcW w:w="1170" w:type="dxa"/>
            <w:shd w:val="clear" w:color="auto" w:fill="BFBFBF" w:themeFill="background1" w:themeFillShade="BF"/>
          </w:tcPr>
          <w:p w14:paraId="2EDF85B8" w14:textId="77777777" w:rsidR="00531520" w:rsidRPr="003F0BCE" w:rsidRDefault="00531520" w:rsidP="002350D1">
            <w:pPr>
              <w:spacing w:after="0" w:line="240" w:lineRule="auto"/>
              <w:jc w:val="center"/>
            </w:pPr>
            <w:r>
              <w:t>56</w:t>
            </w:r>
            <w:r w:rsidRPr="00A65DD2">
              <w:t>%</w:t>
            </w:r>
          </w:p>
        </w:tc>
        <w:tc>
          <w:tcPr>
            <w:tcW w:w="1350" w:type="dxa"/>
            <w:shd w:val="clear" w:color="auto" w:fill="BFBFBF" w:themeFill="background1" w:themeFillShade="BF"/>
          </w:tcPr>
          <w:p w14:paraId="5019A6E7" w14:textId="77777777" w:rsidR="00531520" w:rsidRPr="003F0BCE" w:rsidRDefault="00531520" w:rsidP="002350D1">
            <w:pPr>
              <w:spacing w:after="0" w:line="240" w:lineRule="auto"/>
              <w:jc w:val="center"/>
            </w:pPr>
            <w:r>
              <w:t>11</w:t>
            </w:r>
            <w:r w:rsidRPr="00A65DD2">
              <w:t>%</w:t>
            </w:r>
          </w:p>
        </w:tc>
        <w:tc>
          <w:tcPr>
            <w:tcW w:w="1008" w:type="dxa"/>
            <w:shd w:val="clear" w:color="auto" w:fill="BFBFBF" w:themeFill="background1" w:themeFillShade="BF"/>
          </w:tcPr>
          <w:p w14:paraId="0324DB91" w14:textId="77777777" w:rsidR="00531520" w:rsidRPr="003F0BCE" w:rsidRDefault="00531520" w:rsidP="002350D1">
            <w:pPr>
              <w:spacing w:after="0" w:line="240" w:lineRule="auto"/>
              <w:jc w:val="center"/>
            </w:pPr>
          </w:p>
        </w:tc>
      </w:tr>
      <w:tr w:rsidR="00531520" w:rsidRPr="003F0BCE" w14:paraId="72B0C988" w14:textId="77777777" w:rsidTr="00E14984">
        <w:tc>
          <w:tcPr>
            <w:tcW w:w="2970" w:type="dxa"/>
            <w:vMerge w:val="restart"/>
          </w:tcPr>
          <w:p w14:paraId="237C6A62" w14:textId="77777777" w:rsidR="00531520" w:rsidRPr="003F0BCE" w:rsidRDefault="00531520" w:rsidP="002350D1">
            <w:pPr>
              <w:spacing w:after="0" w:line="240" w:lineRule="auto"/>
              <w:rPr>
                <w:rFonts w:ascii="Calibri" w:hAnsi="Calibri"/>
                <w:color w:val="000000"/>
              </w:rPr>
            </w:pPr>
            <w:r>
              <w:rPr>
                <w:rFonts w:ascii="Calibri" w:hAnsi="Calibri"/>
                <w:color w:val="000000"/>
              </w:rPr>
              <w:t>6.  Students engage in higher-order thinking.</w:t>
            </w:r>
          </w:p>
        </w:tc>
        <w:tc>
          <w:tcPr>
            <w:tcW w:w="900" w:type="dxa"/>
          </w:tcPr>
          <w:p w14:paraId="7709EA65" w14:textId="77777777" w:rsidR="00531520" w:rsidRPr="003F0BCE" w:rsidRDefault="00531520" w:rsidP="002350D1">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tcPr>
          <w:p w14:paraId="527218C1" w14:textId="77777777" w:rsidR="00531520" w:rsidRPr="003F0BCE" w:rsidRDefault="00531520" w:rsidP="002350D1">
            <w:pPr>
              <w:spacing w:after="0" w:line="240" w:lineRule="auto"/>
              <w:jc w:val="center"/>
            </w:pPr>
            <w:r>
              <w:t>0</w:t>
            </w:r>
            <w:r w:rsidRPr="00A65DD2">
              <w:t>%</w:t>
            </w:r>
          </w:p>
        </w:tc>
        <w:tc>
          <w:tcPr>
            <w:tcW w:w="1080" w:type="dxa"/>
          </w:tcPr>
          <w:p w14:paraId="7E2C8BE3" w14:textId="77777777" w:rsidR="00531520" w:rsidRPr="003F0BCE" w:rsidRDefault="00531520" w:rsidP="002350D1">
            <w:pPr>
              <w:spacing w:after="0" w:line="240" w:lineRule="auto"/>
              <w:jc w:val="center"/>
            </w:pPr>
            <w:r>
              <w:t>29</w:t>
            </w:r>
            <w:r w:rsidRPr="00A65DD2">
              <w:t>%</w:t>
            </w:r>
          </w:p>
        </w:tc>
        <w:tc>
          <w:tcPr>
            <w:tcW w:w="1170" w:type="dxa"/>
          </w:tcPr>
          <w:p w14:paraId="0DFF7343" w14:textId="77777777" w:rsidR="00531520" w:rsidRPr="003F0BCE" w:rsidRDefault="00531520" w:rsidP="002350D1">
            <w:pPr>
              <w:spacing w:after="0" w:line="240" w:lineRule="auto"/>
              <w:jc w:val="center"/>
            </w:pPr>
            <w:r>
              <w:t>71</w:t>
            </w:r>
            <w:r w:rsidRPr="00A65DD2">
              <w:t>%</w:t>
            </w:r>
          </w:p>
        </w:tc>
        <w:tc>
          <w:tcPr>
            <w:tcW w:w="1350" w:type="dxa"/>
          </w:tcPr>
          <w:p w14:paraId="1BF5851E" w14:textId="77777777" w:rsidR="00531520" w:rsidRPr="003F0BCE" w:rsidRDefault="00531520" w:rsidP="002350D1">
            <w:pPr>
              <w:spacing w:after="0" w:line="240" w:lineRule="auto"/>
              <w:jc w:val="center"/>
            </w:pPr>
            <w:r>
              <w:t>0</w:t>
            </w:r>
            <w:r w:rsidRPr="00A65DD2">
              <w:t>%</w:t>
            </w:r>
          </w:p>
        </w:tc>
        <w:tc>
          <w:tcPr>
            <w:tcW w:w="1008" w:type="dxa"/>
          </w:tcPr>
          <w:p w14:paraId="35009715" w14:textId="77777777" w:rsidR="00531520" w:rsidRPr="003F0BCE" w:rsidRDefault="00531520" w:rsidP="002350D1">
            <w:pPr>
              <w:spacing w:after="0" w:line="240" w:lineRule="auto"/>
              <w:jc w:val="center"/>
            </w:pPr>
            <w:r>
              <w:t>2.7</w:t>
            </w:r>
          </w:p>
        </w:tc>
      </w:tr>
      <w:tr w:rsidR="00531520" w:rsidRPr="003F0BCE" w14:paraId="3AD4891B" w14:textId="77777777" w:rsidTr="00E14984">
        <w:tc>
          <w:tcPr>
            <w:tcW w:w="2970" w:type="dxa"/>
            <w:vMerge/>
          </w:tcPr>
          <w:p w14:paraId="03305C7F" w14:textId="77777777" w:rsidR="00531520" w:rsidRPr="003F0BCE" w:rsidRDefault="00531520" w:rsidP="002350D1">
            <w:pPr>
              <w:spacing w:after="0" w:line="240" w:lineRule="auto"/>
            </w:pPr>
          </w:p>
        </w:tc>
        <w:tc>
          <w:tcPr>
            <w:tcW w:w="900" w:type="dxa"/>
          </w:tcPr>
          <w:p w14:paraId="715931CD" w14:textId="77777777" w:rsidR="00531520" w:rsidRPr="003F0BCE" w:rsidRDefault="00531520" w:rsidP="002350D1">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tcPr>
          <w:p w14:paraId="05D87220" w14:textId="77777777" w:rsidR="00531520" w:rsidRPr="003F0BCE" w:rsidRDefault="00531520" w:rsidP="002350D1">
            <w:pPr>
              <w:spacing w:after="0" w:line="240" w:lineRule="auto"/>
              <w:jc w:val="center"/>
            </w:pPr>
            <w:r>
              <w:t>22</w:t>
            </w:r>
            <w:r w:rsidRPr="00A65DD2">
              <w:t>%</w:t>
            </w:r>
          </w:p>
        </w:tc>
        <w:tc>
          <w:tcPr>
            <w:tcW w:w="1080" w:type="dxa"/>
          </w:tcPr>
          <w:p w14:paraId="5B9EE85A" w14:textId="77777777" w:rsidR="00531520" w:rsidRPr="003F0BCE" w:rsidRDefault="00531520" w:rsidP="002350D1">
            <w:pPr>
              <w:spacing w:after="0" w:line="240" w:lineRule="auto"/>
              <w:jc w:val="center"/>
            </w:pPr>
            <w:r>
              <w:t>43</w:t>
            </w:r>
            <w:r w:rsidRPr="00A65DD2">
              <w:t>%</w:t>
            </w:r>
          </w:p>
        </w:tc>
        <w:tc>
          <w:tcPr>
            <w:tcW w:w="1170" w:type="dxa"/>
          </w:tcPr>
          <w:p w14:paraId="7A449D68" w14:textId="77777777" w:rsidR="00531520" w:rsidRPr="003F0BCE" w:rsidRDefault="00531520" w:rsidP="002350D1">
            <w:pPr>
              <w:spacing w:after="0" w:line="240" w:lineRule="auto"/>
              <w:jc w:val="center"/>
            </w:pPr>
            <w:r>
              <w:t>35</w:t>
            </w:r>
            <w:r w:rsidRPr="00A65DD2">
              <w:t>%</w:t>
            </w:r>
          </w:p>
        </w:tc>
        <w:tc>
          <w:tcPr>
            <w:tcW w:w="1350" w:type="dxa"/>
          </w:tcPr>
          <w:p w14:paraId="3557A162" w14:textId="77777777" w:rsidR="00531520" w:rsidRPr="003F0BCE" w:rsidRDefault="00531520" w:rsidP="002350D1">
            <w:pPr>
              <w:spacing w:after="0" w:line="240" w:lineRule="auto"/>
              <w:jc w:val="center"/>
            </w:pPr>
            <w:r>
              <w:t>0</w:t>
            </w:r>
            <w:r w:rsidRPr="00A65DD2">
              <w:t>%</w:t>
            </w:r>
          </w:p>
        </w:tc>
        <w:tc>
          <w:tcPr>
            <w:tcW w:w="1008" w:type="dxa"/>
          </w:tcPr>
          <w:p w14:paraId="7DD6F727" w14:textId="77777777" w:rsidR="00531520" w:rsidRPr="003F0BCE" w:rsidRDefault="00531520" w:rsidP="002350D1">
            <w:pPr>
              <w:spacing w:after="0" w:line="240" w:lineRule="auto"/>
              <w:jc w:val="center"/>
            </w:pPr>
            <w:r>
              <w:t>2.1</w:t>
            </w:r>
          </w:p>
        </w:tc>
      </w:tr>
      <w:tr w:rsidR="00531520" w:rsidRPr="003F0BCE" w14:paraId="1382FAB8" w14:textId="77777777" w:rsidTr="00E14984">
        <w:tc>
          <w:tcPr>
            <w:tcW w:w="2970" w:type="dxa"/>
            <w:vMerge/>
          </w:tcPr>
          <w:p w14:paraId="069CA70E" w14:textId="77777777" w:rsidR="00531520" w:rsidRPr="003F0BCE" w:rsidRDefault="00531520" w:rsidP="002350D1">
            <w:pPr>
              <w:spacing w:after="0" w:line="240" w:lineRule="auto"/>
            </w:pPr>
          </w:p>
        </w:tc>
        <w:tc>
          <w:tcPr>
            <w:tcW w:w="900" w:type="dxa"/>
          </w:tcPr>
          <w:p w14:paraId="42C17A2F" w14:textId="77777777" w:rsidR="00531520" w:rsidRPr="003F0BCE" w:rsidRDefault="00531520" w:rsidP="002350D1">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tcPr>
          <w:p w14:paraId="13793C76" w14:textId="77777777" w:rsidR="00531520" w:rsidRPr="003F0BCE" w:rsidRDefault="00531520" w:rsidP="002350D1">
            <w:pPr>
              <w:spacing w:after="0" w:line="240" w:lineRule="auto"/>
              <w:jc w:val="center"/>
            </w:pPr>
            <w:r>
              <w:t>8</w:t>
            </w:r>
            <w:r w:rsidRPr="00A65DD2">
              <w:t>%</w:t>
            </w:r>
          </w:p>
        </w:tc>
        <w:tc>
          <w:tcPr>
            <w:tcW w:w="1080" w:type="dxa"/>
          </w:tcPr>
          <w:p w14:paraId="2D11371C" w14:textId="77777777" w:rsidR="00531520" w:rsidRPr="003F0BCE" w:rsidRDefault="00531520" w:rsidP="002350D1">
            <w:pPr>
              <w:spacing w:after="0" w:line="240" w:lineRule="auto"/>
              <w:jc w:val="center"/>
            </w:pPr>
            <w:r>
              <w:t>19</w:t>
            </w:r>
            <w:r w:rsidRPr="00A65DD2">
              <w:t>%</w:t>
            </w:r>
          </w:p>
        </w:tc>
        <w:tc>
          <w:tcPr>
            <w:tcW w:w="1170" w:type="dxa"/>
          </w:tcPr>
          <w:p w14:paraId="087C0883" w14:textId="77777777" w:rsidR="00531520" w:rsidRPr="003F0BCE" w:rsidRDefault="00531520" w:rsidP="002350D1">
            <w:pPr>
              <w:spacing w:after="0" w:line="240" w:lineRule="auto"/>
              <w:jc w:val="center"/>
            </w:pPr>
            <w:r>
              <w:t>50</w:t>
            </w:r>
            <w:r w:rsidRPr="00A65DD2">
              <w:t>%</w:t>
            </w:r>
          </w:p>
        </w:tc>
        <w:tc>
          <w:tcPr>
            <w:tcW w:w="1350" w:type="dxa"/>
          </w:tcPr>
          <w:p w14:paraId="195F4D2E" w14:textId="77777777" w:rsidR="00531520" w:rsidRPr="003F0BCE" w:rsidRDefault="00531520" w:rsidP="002350D1">
            <w:pPr>
              <w:spacing w:after="0" w:line="240" w:lineRule="auto"/>
              <w:jc w:val="center"/>
            </w:pPr>
            <w:r>
              <w:t>23</w:t>
            </w:r>
            <w:r w:rsidRPr="00A65DD2">
              <w:t>%</w:t>
            </w:r>
          </w:p>
        </w:tc>
        <w:tc>
          <w:tcPr>
            <w:tcW w:w="1008" w:type="dxa"/>
          </w:tcPr>
          <w:p w14:paraId="78208B0A" w14:textId="77777777" w:rsidR="00531520" w:rsidRPr="003F0BCE" w:rsidRDefault="00531520" w:rsidP="002350D1">
            <w:pPr>
              <w:spacing w:after="0" w:line="240" w:lineRule="auto"/>
              <w:jc w:val="center"/>
            </w:pPr>
            <w:r>
              <w:t>2.9</w:t>
            </w:r>
          </w:p>
        </w:tc>
      </w:tr>
      <w:tr w:rsidR="00531520" w:rsidRPr="003F0BCE" w14:paraId="0ACF61C8" w14:textId="77777777" w:rsidTr="00E14984">
        <w:tc>
          <w:tcPr>
            <w:tcW w:w="2970" w:type="dxa"/>
            <w:vMerge/>
          </w:tcPr>
          <w:p w14:paraId="22D91087" w14:textId="77777777" w:rsidR="00531520" w:rsidRPr="003F0BCE" w:rsidRDefault="00531520" w:rsidP="002350D1">
            <w:pPr>
              <w:spacing w:after="0" w:line="240" w:lineRule="auto"/>
            </w:pPr>
          </w:p>
        </w:tc>
        <w:tc>
          <w:tcPr>
            <w:tcW w:w="900" w:type="dxa"/>
          </w:tcPr>
          <w:p w14:paraId="7C5BE0E8" w14:textId="77777777" w:rsidR="00531520" w:rsidRPr="003F0BCE" w:rsidRDefault="00531520" w:rsidP="002350D1">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14:paraId="6BD02AA0" w14:textId="77777777" w:rsidR="00531520" w:rsidRPr="003F0BCE" w:rsidRDefault="00531520" w:rsidP="002350D1">
            <w:pPr>
              <w:spacing w:after="0" w:line="240" w:lineRule="auto"/>
              <w:jc w:val="center"/>
            </w:pPr>
            <w:r>
              <w:t>7</w:t>
            </w:r>
          </w:p>
        </w:tc>
        <w:tc>
          <w:tcPr>
            <w:tcW w:w="1080" w:type="dxa"/>
          </w:tcPr>
          <w:p w14:paraId="2C003031" w14:textId="77777777" w:rsidR="00531520" w:rsidRPr="003F0BCE" w:rsidRDefault="00531520" w:rsidP="002350D1">
            <w:pPr>
              <w:spacing w:after="0" w:line="240" w:lineRule="auto"/>
              <w:jc w:val="center"/>
            </w:pPr>
            <w:r>
              <w:t>21</w:t>
            </w:r>
          </w:p>
        </w:tc>
        <w:tc>
          <w:tcPr>
            <w:tcW w:w="1170" w:type="dxa"/>
          </w:tcPr>
          <w:p w14:paraId="1E458937" w14:textId="77777777" w:rsidR="00531520" w:rsidRPr="003F0BCE" w:rsidRDefault="00531520" w:rsidP="002350D1">
            <w:pPr>
              <w:spacing w:after="0" w:line="240" w:lineRule="auto"/>
              <w:jc w:val="center"/>
            </w:pPr>
            <w:r>
              <w:t>36</w:t>
            </w:r>
          </w:p>
        </w:tc>
        <w:tc>
          <w:tcPr>
            <w:tcW w:w="1350" w:type="dxa"/>
          </w:tcPr>
          <w:p w14:paraId="6CADCC68" w14:textId="77777777" w:rsidR="00531520" w:rsidRPr="003F0BCE" w:rsidRDefault="00531520" w:rsidP="002350D1">
            <w:pPr>
              <w:spacing w:after="0" w:line="240" w:lineRule="auto"/>
              <w:jc w:val="center"/>
            </w:pPr>
            <w:r>
              <w:t>6</w:t>
            </w:r>
          </w:p>
        </w:tc>
        <w:tc>
          <w:tcPr>
            <w:tcW w:w="1008" w:type="dxa"/>
          </w:tcPr>
          <w:p w14:paraId="6287B248" w14:textId="77777777" w:rsidR="00531520" w:rsidRPr="003F0BCE" w:rsidRDefault="00531520" w:rsidP="002350D1">
            <w:pPr>
              <w:spacing w:after="0" w:line="240" w:lineRule="auto"/>
              <w:jc w:val="center"/>
            </w:pPr>
            <w:r>
              <w:t>2.6</w:t>
            </w:r>
          </w:p>
        </w:tc>
      </w:tr>
      <w:tr w:rsidR="00531520" w:rsidRPr="003F0BCE" w14:paraId="42ADF46C" w14:textId="77777777" w:rsidTr="00E14984">
        <w:tc>
          <w:tcPr>
            <w:tcW w:w="2970" w:type="dxa"/>
            <w:vMerge/>
          </w:tcPr>
          <w:p w14:paraId="50E6DF2A" w14:textId="77777777" w:rsidR="00531520" w:rsidRPr="003F0BCE" w:rsidRDefault="00531520" w:rsidP="002350D1">
            <w:pPr>
              <w:spacing w:after="0" w:line="240" w:lineRule="auto"/>
            </w:pPr>
          </w:p>
        </w:tc>
        <w:tc>
          <w:tcPr>
            <w:tcW w:w="900" w:type="dxa"/>
          </w:tcPr>
          <w:p w14:paraId="440C4039" w14:textId="77777777" w:rsidR="00531520" w:rsidRPr="003F0BCE" w:rsidRDefault="00531520" w:rsidP="002350D1">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14:paraId="2508AF1D" w14:textId="77777777" w:rsidR="00531520" w:rsidRPr="003F0BCE" w:rsidRDefault="00531520" w:rsidP="002350D1">
            <w:pPr>
              <w:spacing w:after="0" w:line="240" w:lineRule="auto"/>
              <w:jc w:val="center"/>
            </w:pPr>
            <w:r>
              <w:t>10</w:t>
            </w:r>
            <w:r w:rsidRPr="00A65DD2">
              <w:t>%</w:t>
            </w:r>
          </w:p>
        </w:tc>
        <w:tc>
          <w:tcPr>
            <w:tcW w:w="1080" w:type="dxa"/>
          </w:tcPr>
          <w:p w14:paraId="5932AE4C" w14:textId="77777777" w:rsidR="00531520" w:rsidRPr="003F0BCE" w:rsidRDefault="00531520" w:rsidP="002350D1">
            <w:pPr>
              <w:spacing w:after="0" w:line="240" w:lineRule="auto"/>
              <w:jc w:val="center"/>
            </w:pPr>
            <w:r>
              <w:t>30</w:t>
            </w:r>
            <w:r w:rsidRPr="00A65DD2">
              <w:t>%</w:t>
            </w:r>
          </w:p>
        </w:tc>
        <w:tc>
          <w:tcPr>
            <w:tcW w:w="1170" w:type="dxa"/>
          </w:tcPr>
          <w:p w14:paraId="08556D62" w14:textId="77777777" w:rsidR="00531520" w:rsidRPr="003F0BCE" w:rsidRDefault="00531520" w:rsidP="002350D1">
            <w:pPr>
              <w:spacing w:after="0" w:line="240" w:lineRule="auto"/>
              <w:jc w:val="center"/>
            </w:pPr>
            <w:r>
              <w:t>51</w:t>
            </w:r>
            <w:r w:rsidRPr="00A65DD2">
              <w:t>%</w:t>
            </w:r>
          </w:p>
        </w:tc>
        <w:tc>
          <w:tcPr>
            <w:tcW w:w="1350" w:type="dxa"/>
          </w:tcPr>
          <w:p w14:paraId="5051FEED" w14:textId="77777777" w:rsidR="00531520" w:rsidRPr="003F0BCE" w:rsidRDefault="00531520" w:rsidP="002350D1">
            <w:pPr>
              <w:spacing w:after="0" w:line="240" w:lineRule="auto"/>
              <w:jc w:val="center"/>
            </w:pPr>
            <w:r>
              <w:t>9</w:t>
            </w:r>
            <w:r w:rsidRPr="00A65DD2">
              <w:t>%</w:t>
            </w:r>
          </w:p>
        </w:tc>
        <w:tc>
          <w:tcPr>
            <w:tcW w:w="1008" w:type="dxa"/>
          </w:tcPr>
          <w:p w14:paraId="74AD9805" w14:textId="77777777" w:rsidR="00531520" w:rsidRPr="003F0BCE" w:rsidRDefault="00531520" w:rsidP="002350D1">
            <w:pPr>
              <w:spacing w:after="0" w:line="240" w:lineRule="auto"/>
              <w:jc w:val="center"/>
            </w:pPr>
          </w:p>
        </w:tc>
      </w:tr>
      <w:tr w:rsidR="00531520" w:rsidRPr="003F0BCE" w14:paraId="35198E32" w14:textId="77777777" w:rsidTr="00E14984">
        <w:tc>
          <w:tcPr>
            <w:tcW w:w="2970" w:type="dxa"/>
            <w:vMerge w:val="restart"/>
            <w:shd w:val="clear" w:color="auto" w:fill="BFBFBF" w:themeFill="background1" w:themeFillShade="BF"/>
          </w:tcPr>
          <w:p w14:paraId="2686AFC6" w14:textId="77777777" w:rsidR="00531520" w:rsidRPr="003F0BCE" w:rsidRDefault="00531520" w:rsidP="002350D1">
            <w:pPr>
              <w:spacing w:after="0" w:line="240" w:lineRule="auto"/>
              <w:rPr>
                <w:rFonts w:ascii="Calibri" w:hAnsi="Calibri"/>
                <w:color w:val="000000"/>
              </w:rPr>
            </w:pPr>
            <w:r>
              <w:rPr>
                <w:rFonts w:ascii="Calibri" w:hAnsi="Calibri"/>
                <w:color w:val="000000"/>
              </w:rPr>
              <w:t>7.  Students communicate their ideas and thinking with each other.</w:t>
            </w:r>
          </w:p>
        </w:tc>
        <w:tc>
          <w:tcPr>
            <w:tcW w:w="900" w:type="dxa"/>
            <w:shd w:val="clear" w:color="auto" w:fill="BFBFBF" w:themeFill="background1" w:themeFillShade="BF"/>
          </w:tcPr>
          <w:p w14:paraId="1811FEEC" w14:textId="77777777" w:rsidR="00531520" w:rsidRPr="003F0BCE" w:rsidRDefault="00531520" w:rsidP="002350D1">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tcPr>
          <w:p w14:paraId="056D5BDC" w14:textId="77777777" w:rsidR="00531520" w:rsidRPr="003F0BCE" w:rsidRDefault="00531520" w:rsidP="002350D1">
            <w:pPr>
              <w:spacing w:after="0" w:line="240" w:lineRule="auto"/>
              <w:jc w:val="center"/>
            </w:pPr>
            <w:r>
              <w:t>19</w:t>
            </w:r>
            <w:r w:rsidRPr="00EC40EE">
              <w:t>%</w:t>
            </w:r>
          </w:p>
        </w:tc>
        <w:tc>
          <w:tcPr>
            <w:tcW w:w="1080" w:type="dxa"/>
            <w:shd w:val="clear" w:color="auto" w:fill="BFBFBF" w:themeFill="background1" w:themeFillShade="BF"/>
          </w:tcPr>
          <w:p w14:paraId="4F69BC45" w14:textId="77777777" w:rsidR="00531520" w:rsidRPr="003F0BCE" w:rsidRDefault="00531520" w:rsidP="002350D1">
            <w:pPr>
              <w:spacing w:after="0" w:line="240" w:lineRule="auto"/>
              <w:jc w:val="center"/>
            </w:pPr>
            <w:r>
              <w:t>19</w:t>
            </w:r>
            <w:r w:rsidRPr="00EC40EE">
              <w:t>%</w:t>
            </w:r>
          </w:p>
        </w:tc>
        <w:tc>
          <w:tcPr>
            <w:tcW w:w="1170" w:type="dxa"/>
            <w:shd w:val="clear" w:color="auto" w:fill="BFBFBF" w:themeFill="background1" w:themeFillShade="BF"/>
          </w:tcPr>
          <w:p w14:paraId="2668897F" w14:textId="77777777" w:rsidR="00531520" w:rsidRPr="003F0BCE" w:rsidRDefault="00531520" w:rsidP="002350D1">
            <w:pPr>
              <w:spacing w:after="0" w:line="240" w:lineRule="auto"/>
              <w:jc w:val="center"/>
            </w:pPr>
            <w:r>
              <w:t>48</w:t>
            </w:r>
            <w:r w:rsidRPr="00284362">
              <w:t>%</w:t>
            </w:r>
          </w:p>
        </w:tc>
        <w:tc>
          <w:tcPr>
            <w:tcW w:w="1350" w:type="dxa"/>
            <w:shd w:val="clear" w:color="auto" w:fill="BFBFBF" w:themeFill="background1" w:themeFillShade="BF"/>
          </w:tcPr>
          <w:p w14:paraId="136F8C3B" w14:textId="77777777" w:rsidR="00531520" w:rsidRPr="003F0BCE" w:rsidRDefault="00531520" w:rsidP="002350D1">
            <w:pPr>
              <w:spacing w:after="0" w:line="240" w:lineRule="auto"/>
              <w:jc w:val="center"/>
            </w:pPr>
            <w:r>
              <w:t>14</w:t>
            </w:r>
            <w:r w:rsidRPr="00284362">
              <w:t>%</w:t>
            </w:r>
          </w:p>
        </w:tc>
        <w:tc>
          <w:tcPr>
            <w:tcW w:w="1008" w:type="dxa"/>
            <w:shd w:val="clear" w:color="auto" w:fill="BFBFBF" w:themeFill="background1" w:themeFillShade="BF"/>
          </w:tcPr>
          <w:p w14:paraId="396364AA" w14:textId="77777777" w:rsidR="00531520" w:rsidRPr="003F0BCE" w:rsidRDefault="00531520" w:rsidP="002350D1">
            <w:pPr>
              <w:spacing w:after="0" w:line="240" w:lineRule="auto"/>
              <w:jc w:val="center"/>
            </w:pPr>
            <w:r>
              <w:t>2.6</w:t>
            </w:r>
          </w:p>
        </w:tc>
      </w:tr>
      <w:tr w:rsidR="00531520" w:rsidRPr="003F0BCE" w14:paraId="0763CD8E" w14:textId="77777777" w:rsidTr="00E14984">
        <w:tc>
          <w:tcPr>
            <w:tcW w:w="2970" w:type="dxa"/>
            <w:vMerge/>
            <w:shd w:val="clear" w:color="auto" w:fill="BFBFBF" w:themeFill="background1" w:themeFillShade="BF"/>
          </w:tcPr>
          <w:p w14:paraId="3070F619" w14:textId="77777777" w:rsidR="00531520" w:rsidRPr="003F0BCE" w:rsidRDefault="00531520" w:rsidP="002350D1">
            <w:pPr>
              <w:spacing w:after="0" w:line="240" w:lineRule="auto"/>
            </w:pPr>
          </w:p>
        </w:tc>
        <w:tc>
          <w:tcPr>
            <w:tcW w:w="900" w:type="dxa"/>
            <w:shd w:val="clear" w:color="auto" w:fill="BFBFBF" w:themeFill="background1" w:themeFillShade="BF"/>
          </w:tcPr>
          <w:p w14:paraId="789DE011" w14:textId="77777777" w:rsidR="00531520" w:rsidRPr="003F0BCE" w:rsidRDefault="00531520" w:rsidP="002350D1">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tcPr>
          <w:p w14:paraId="5BA9D4D9" w14:textId="77777777" w:rsidR="00531520" w:rsidRPr="003F0BCE" w:rsidRDefault="00531520" w:rsidP="002350D1">
            <w:pPr>
              <w:spacing w:after="0" w:line="240" w:lineRule="auto"/>
              <w:jc w:val="center"/>
            </w:pPr>
            <w:r>
              <w:t>22</w:t>
            </w:r>
            <w:r w:rsidRPr="00EC40EE">
              <w:t>%</w:t>
            </w:r>
          </w:p>
        </w:tc>
        <w:tc>
          <w:tcPr>
            <w:tcW w:w="1080" w:type="dxa"/>
            <w:shd w:val="clear" w:color="auto" w:fill="BFBFBF" w:themeFill="background1" w:themeFillShade="BF"/>
          </w:tcPr>
          <w:p w14:paraId="1D577F99" w14:textId="77777777" w:rsidR="00531520" w:rsidRPr="003F0BCE" w:rsidRDefault="00531520" w:rsidP="002350D1">
            <w:pPr>
              <w:spacing w:after="0" w:line="240" w:lineRule="auto"/>
              <w:jc w:val="center"/>
            </w:pPr>
            <w:r>
              <w:t>39</w:t>
            </w:r>
            <w:r w:rsidRPr="00EC40EE">
              <w:t>%</w:t>
            </w:r>
          </w:p>
        </w:tc>
        <w:tc>
          <w:tcPr>
            <w:tcW w:w="1170" w:type="dxa"/>
            <w:shd w:val="clear" w:color="auto" w:fill="BFBFBF" w:themeFill="background1" w:themeFillShade="BF"/>
          </w:tcPr>
          <w:p w14:paraId="40C6C03D" w14:textId="77777777" w:rsidR="00531520" w:rsidRPr="003F0BCE" w:rsidRDefault="00531520" w:rsidP="002350D1">
            <w:pPr>
              <w:spacing w:after="0" w:line="240" w:lineRule="auto"/>
              <w:jc w:val="center"/>
            </w:pPr>
            <w:r>
              <w:t>39</w:t>
            </w:r>
            <w:r w:rsidRPr="00284362">
              <w:t>%</w:t>
            </w:r>
          </w:p>
        </w:tc>
        <w:tc>
          <w:tcPr>
            <w:tcW w:w="1350" w:type="dxa"/>
            <w:shd w:val="clear" w:color="auto" w:fill="BFBFBF" w:themeFill="background1" w:themeFillShade="BF"/>
          </w:tcPr>
          <w:p w14:paraId="23C9ABB8" w14:textId="77777777" w:rsidR="00531520" w:rsidRPr="003F0BCE" w:rsidRDefault="00531520" w:rsidP="002350D1">
            <w:pPr>
              <w:spacing w:after="0" w:line="240" w:lineRule="auto"/>
              <w:jc w:val="center"/>
            </w:pPr>
            <w:r>
              <w:t>0</w:t>
            </w:r>
            <w:r w:rsidRPr="00284362">
              <w:t>%</w:t>
            </w:r>
          </w:p>
        </w:tc>
        <w:tc>
          <w:tcPr>
            <w:tcW w:w="1008" w:type="dxa"/>
            <w:shd w:val="clear" w:color="auto" w:fill="BFBFBF" w:themeFill="background1" w:themeFillShade="BF"/>
          </w:tcPr>
          <w:p w14:paraId="0ACD773B" w14:textId="77777777" w:rsidR="00531520" w:rsidRPr="003F0BCE" w:rsidRDefault="00531520" w:rsidP="002350D1">
            <w:pPr>
              <w:spacing w:after="0" w:line="240" w:lineRule="auto"/>
              <w:jc w:val="center"/>
            </w:pPr>
            <w:r>
              <w:t>2.2</w:t>
            </w:r>
          </w:p>
        </w:tc>
      </w:tr>
      <w:tr w:rsidR="00531520" w:rsidRPr="003F0BCE" w14:paraId="6699F43E" w14:textId="77777777" w:rsidTr="00E14984">
        <w:tc>
          <w:tcPr>
            <w:tcW w:w="2970" w:type="dxa"/>
            <w:vMerge/>
            <w:shd w:val="clear" w:color="auto" w:fill="BFBFBF" w:themeFill="background1" w:themeFillShade="BF"/>
          </w:tcPr>
          <w:p w14:paraId="1AD18021" w14:textId="77777777" w:rsidR="00531520" w:rsidRPr="003F0BCE" w:rsidRDefault="00531520" w:rsidP="002350D1">
            <w:pPr>
              <w:spacing w:after="0" w:line="240" w:lineRule="auto"/>
            </w:pPr>
          </w:p>
        </w:tc>
        <w:tc>
          <w:tcPr>
            <w:tcW w:w="900" w:type="dxa"/>
            <w:shd w:val="clear" w:color="auto" w:fill="BFBFBF" w:themeFill="background1" w:themeFillShade="BF"/>
          </w:tcPr>
          <w:p w14:paraId="722D26A9" w14:textId="77777777" w:rsidR="00531520" w:rsidRPr="003F0BCE" w:rsidRDefault="00531520" w:rsidP="002350D1">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tcPr>
          <w:p w14:paraId="493115D5" w14:textId="77777777" w:rsidR="00531520" w:rsidRPr="003F0BCE" w:rsidRDefault="00531520" w:rsidP="002350D1">
            <w:pPr>
              <w:spacing w:after="0" w:line="240" w:lineRule="auto"/>
              <w:jc w:val="center"/>
            </w:pPr>
            <w:r>
              <w:t>15</w:t>
            </w:r>
            <w:r w:rsidRPr="00EC40EE">
              <w:t>%</w:t>
            </w:r>
          </w:p>
        </w:tc>
        <w:tc>
          <w:tcPr>
            <w:tcW w:w="1080" w:type="dxa"/>
            <w:shd w:val="clear" w:color="auto" w:fill="BFBFBF" w:themeFill="background1" w:themeFillShade="BF"/>
          </w:tcPr>
          <w:p w14:paraId="7B1F70B4" w14:textId="77777777" w:rsidR="00531520" w:rsidRPr="003F0BCE" w:rsidRDefault="00531520" w:rsidP="002350D1">
            <w:pPr>
              <w:spacing w:after="0" w:line="240" w:lineRule="auto"/>
              <w:jc w:val="center"/>
            </w:pPr>
            <w:r>
              <w:t>31</w:t>
            </w:r>
            <w:r w:rsidRPr="00EC40EE">
              <w:t>%</w:t>
            </w:r>
          </w:p>
        </w:tc>
        <w:tc>
          <w:tcPr>
            <w:tcW w:w="1170" w:type="dxa"/>
            <w:shd w:val="clear" w:color="auto" w:fill="BFBFBF" w:themeFill="background1" w:themeFillShade="BF"/>
          </w:tcPr>
          <w:p w14:paraId="0033B1EA" w14:textId="77777777" w:rsidR="00531520" w:rsidRPr="003F0BCE" w:rsidRDefault="00531520" w:rsidP="002350D1">
            <w:pPr>
              <w:spacing w:after="0" w:line="240" w:lineRule="auto"/>
              <w:jc w:val="center"/>
            </w:pPr>
            <w:r>
              <w:t>38</w:t>
            </w:r>
            <w:r w:rsidRPr="00284362">
              <w:t>%</w:t>
            </w:r>
          </w:p>
        </w:tc>
        <w:tc>
          <w:tcPr>
            <w:tcW w:w="1350" w:type="dxa"/>
            <w:shd w:val="clear" w:color="auto" w:fill="BFBFBF" w:themeFill="background1" w:themeFillShade="BF"/>
          </w:tcPr>
          <w:p w14:paraId="5A3D0FAF" w14:textId="77777777" w:rsidR="00531520" w:rsidRPr="003F0BCE" w:rsidRDefault="00531520" w:rsidP="002350D1">
            <w:pPr>
              <w:spacing w:after="0" w:line="240" w:lineRule="auto"/>
              <w:jc w:val="center"/>
            </w:pPr>
            <w:r>
              <w:t>15</w:t>
            </w:r>
            <w:r w:rsidRPr="00284362">
              <w:t>%</w:t>
            </w:r>
          </w:p>
        </w:tc>
        <w:tc>
          <w:tcPr>
            <w:tcW w:w="1008" w:type="dxa"/>
            <w:shd w:val="clear" w:color="auto" w:fill="BFBFBF" w:themeFill="background1" w:themeFillShade="BF"/>
          </w:tcPr>
          <w:p w14:paraId="738F96D2" w14:textId="77777777" w:rsidR="00531520" w:rsidRPr="003F0BCE" w:rsidRDefault="00531520" w:rsidP="002350D1">
            <w:pPr>
              <w:spacing w:after="0" w:line="240" w:lineRule="auto"/>
              <w:jc w:val="center"/>
            </w:pPr>
            <w:r>
              <w:t>2.5</w:t>
            </w:r>
          </w:p>
        </w:tc>
      </w:tr>
      <w:tr w:rsidR="00531520" w:rsidRPr="003F0BCE" w14:paraId="15FF7B55" w14:textId="77777777" w:rsidTr="00E14984">
        <w:tc>
          <w:tcPr>
            <w:tcW w:w="2970" w:type="dxa"/>
            <w:vMerge/>
            <w:shd w:val="clear" w:color="auto" w:fill="BFBFBF" w:themeFill="background1" w:themeFillShade="BF"/>
          </w:tcPr>
          <w:p w14:paraId="3B3BD567" w14:textId="77777777" w:rsidR="00531520" w:rsidRPr="003F0BCE" w:rsidRDefault="00531520" w:rsidP="002350D1">
            <w:pPr>
              <w:spacing w:after="0" w:line="240" w:lineRule="auto"/>
            </w:pPr>
          </w:p>
        </w:tc>
        <w:tc>
          <w:tcPr>
            <w:tcW w:w="900" w:type="dxa"/>
            <w:shd w:val="clear" w:color="auto" w:fill="BFBFBF" w:themeFill="background1" w:themeFillShade="BF"/>
          </w:tcPr>
          <w:p w14:paraId="017692F5" w14:textId="77777777" w:rsidR="00531520" w:rsidRPr="003F0BCE" w:rsidRDefault="00531520" w:rsidP="002350D1">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14:paraId="3CF07FDF" w14:textId="77777777" w:rsidR="00531520" w:rsidRPr="003F0BCE" w:rsidRDefault="00531520" w:rsidP="002350D1">
            <w:pPr>
              <w:spacing w:after="0" w:line="240" w:lineRule="auto"/>
              <w:jc w:val="center"/>
            </w:pPr>
            <w:r>
              <w:t>13</w:t>
            </w:r>
          </w:p>
        </w:tc>
        <w:tc>
          <w:tcPr>
            <w:tcW w:w="1080" w:type="dxa"/>
            <w:shd w:val="clear" w:color="auto" w:fill="BFBFBF" w:themeFill="background1" w:themeFillShade="BF"/>
          </w:tcPr>
          <w:p w14:paraId="716650B2" w14:textId="77777777" w:rsidR="00531520" w:rsidRPr="003F0BCE" w:rsidRDefault="00531520" w:rsidP="002350D1">
            <w:pPr>
              <w:spacing w:after="0" w:line="240" w:lineRule="auto"/>
              <w:jc w:val="center"/>
            </w:pPr>
            <w:r>
              <w:t>21</w:t>
            </w:r>
          </w:p>
        </w:tc>
        <w:tc>
          <w:tcPr>
            <w:tcW w:w="1170" w:type="dxa"/>
            <w:shd w:val="clear" w:color="auto" w:fill="BFBFBF" w:themeFill="background1" w:themeFillShade="BF"/>
          </w:tcPr>
          <w:p w14:paraId="7D32BB4A" w14:textId="77777777" w:rsidR="00531520" w:rsidRPr="003F0BCE" w:rsidRDefault="00531520" w:rsidP="002350D1">
            <w:pPr>
              <w:spacing w:after="0" w:line="240" w:lineRule="auto"/>
              <w:jc w:val="center"/>
            </w:pPr>
            <w:r>
              <w:t>29</w:t>
            </w:r>
          </w:p>
        </w:tc>
        <w:tc>
          <w:tcPr>
            <w:tcW w:w="1350" w:type="dxa"/>
            <w:shd w:val="clear" w:color="auto" w:fill="BFBFBF" w:themeFill="background1" w:themeFillShade="BF"/>
          </w:tcPr>
          <w:p w14:paraId="1E480530" w14:textId="77777777" w:rsidR="00531520" w:rsidRPr="003F0BCE" w:rsidRDefault="00531520" w:rsidP="002350D1">
            <w:pPr>
              <w:spacing w:after="0" w:line="240" w:lineRule="auto"/>
              <w:jc w:val="center"/>
            </w:pPr>
            <w:r>
              <w:t>7</w:t>
            </w:r>
          </w:p>
        </w:tc>
        <w:tc>
          <w:tcPr>
            <w:tcW w:w="1008" w:type="dxa"/>
            <w:shd w:val="clear" w:color="auto" w:fill="BFBFBF" w:themeFill="background1" w:themeFillShade="BF"/>
          </w:tcPr>
          <w:p w14:paraId="4BFBCD4A" w14:textId="77777777" w:rsidR="00531520" w:rsidRPr="003F0BCE" w:rsidRDefault="00531520" w:rsidP="002350D1">
            <w:pPr>
              <w:spacing w:after="0" w:line="240" w:lineRule="auto"/>
              <w:jc w:val="center"/>
            </w:pPr>
            <w:r>
              <w:t>2.4</w:t>
            </w:r>
          </w:p>
        </w:tc>
      </w:tr>
      <w:tr w:rsidR="00531520" w:rsidRPr="003F0BCE" w14:paraId="4A784C43" w14:textId="77777777" w:rsidTr="00E14984">
        <w:tc>
          <w:tcPr>
            <w:tcW w:w="2970" w:type="dxa"/>
            <w:vMerge/>
            <w:shd w:val="clear" w:color="auto" w:fill="BFBFBF" w:themeFill="background1" w:themeFillShade="BF"/>
          </w:tcPr>
          <w:p w14:paraId="052B317E" w14:textId="77777777" w:rsidR="00531520" w:rsidRPr="003F0BCE" w:rsidRDefault="00531520" w:rsidP="002350D1">
            <w:pPr>
              <w:spacing w:after="0" w:line="240" w:lineRule="auto"/>
            </w:pPr>
          </w:p>
        </w:tc>
        <w:tc>
          <w:tcPr>
            <w:tcW w:w="900" w:type="dxa"/>
            <w:shd w:val="clear" w:color="auto" w:fill="BFBFBF" w:themeFill="background1" w:themeFillShade="BF"/>
          </w:tcPr>
          <w:p w14:paraId="6516586E" w14:textId="77777777" w:rsidR="00531520" w:rsidRPr="003F0BCE" w:rsidRDefault="00531520" w:rsidP="002350D1">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14:paraId="254B73DE" w14:textId="77777777" w:rsidR="00531520" w:rsidRPr="003F0BCE" w:rsidRDefault="00531520" w:rsidP="002350D1">
            <w:pPr>
              <w:spacing w:after="0" w:line="240" w:lineRule="auto"/>
              <w:jc w:val="center"/>
            </w:pPr>
            <w:r>
              <w:t>19</w:t>
            </w:r>
            <w:r w:rsidRPr="00EC40EE">
              <w:t>%</w:t>
            </w:r>
          </w:p>
        </w:tc>
        <w:tc>
          <w:tcPr>
            <w:tcW w:w="1080" w:type="dxa"/>
            <w:shd w:val="clear" w:color="auto" w:fill="BFBFBF" w:themeFill="background1" w:themeFillShade="BF"/>
          </w:tcPr>
          <w:p w14:paraId="5AA8C172" w14:textId="77777777" w:rsidR="00531520" w:rsidRPr="003F0BCE" w:rsidRDefault="00531520" w:rsidP="002350D1">
            <w:pPr>
              <w:spacing w:after="0" w:line="240" w:lineRule="auto"/>
              <w:jc w:val="center"/>
            </w:pPr>
            <w:r>
              <w:t>30</w:t>
            </w:r>
            <w:r w:rsidRPr="00EC40EE">
              <w:t>%</w:t>
            </w:r>
          </w:p>
        </w:tc>
        <w:tc>
          <w:tcPr>
            <w:tcW w:w="1170" w:type="dxa"/>
            <w:shd w:val="clear" w:color="auto" w:fill="BFBFBF" w:themeFill="background1" w:themeFillShade="BF"/>
          </w:tcPr>
          <w:p w14:paraId="17121C4A" w14:textId="77777777" w:rsidR="00531520" w:rsidRPr="003F0BCE" w:rsidRDefault="00531520" w:rsidP="002350D1">
            <w:pPr>
              <w:spacing w:after="0" w:line="240" w:lineRule="auto"/>
              <w:jc w:val="center"/>
            </w:pPr>
            <w:r>
              <w:t>41</w:t>
            </w:r>
            <w:r w:rsidRPr="00284362">
              <w:t>%</w:t>
            </w:r>
          </w:p>
        </w:tc>
        <w:tc>
          <w:tcPr>
            <w:tcW w:w="1350" w:type="dxa"/>
            <w:shd w:val="clear" w:color="auto" w:fill="BFBFBF" w:themeFill="background1" w:themeFillShade="BF"/>
          </w:tcPr>
          <w:p w14:paraId="2CD40F9C" w14:textId="77777777" w:rsidR="00531520" w:rsidRPr="003F0BCE" w:rsidRDefault="00531520" w:rsidP="002350D1">
            <w:pPr>
              <w:spacing w:after="0" w:line="240" w:lineRule="auto"/>
              <w:jc w:val="center"/>
            </w:pPr>
            <w:r>
              <w:t>10</w:t>
            </w:r>
            <w:r w:rsidRPr="00284362">
              <w:t>%</w:t>
            </w:r>
          </w:p>
        </w:tc>
        <w:tc>
          <w:tcPr>
            <w:tcW w:w="1008" w:type="dxa"/>
            <w:shd w:val="clear" w:color="auto" w:fill="BFBFBF" w:themeFill="background1" w:themeFillShade="BF"/>
          </w:tcPr>
          <w:p w14:paraId="5E67AD82" w14:textId="77777777" w:rsidR="00531520" w:rsidRPr="003F0BCE" w:rsidRDefault="00531520" w:rsidP="002350D1">
            <w:pPr>
              <w:spacing w:after="0" w:line="240" w:lineRule="auto"/>
              <w:jc w:val="center"/>
            </w:pPr>
          </w:p>
        </w:tc>
      </w:tr>
      <w:tr w:rsidR="00531520" w:rsidRPr="003F0BCE" w14:paraId="17A4D5A5" w14:textId="77777777" w:rsidTr="00E14984">
        <w:tc>
          <w:tcPr>
            <w:tcW w:w="2970" w:type="dxa"/>
            <w:vMerge w:val="restart"/>
            <w:shd w:val="clear" w:color="auto" w:fill="auto"/>
          </w:tcPr>
          <w:p w14:paraId="04127FBC" w14:textId="77777777" w:rsidR="00531520" w:rsidRPr="00E22258" w:rsidRDefault="00531520" w:rsidP="002350D1">
            <w:pPr>
              <w:spacing w:after="0" w:line="240" w:lineRule="auto"/>
              <w:rPr>
                <w:rFonts w:cstheme="minorHAnsi"/>
              </w:rPr>
            </w:pPr>
            <w:r w:rsidRPr="00E22258">
              <w:rPr>
                <w:rFonts w:cstheme="minorHAnsi"/>
              </w:rPr>
              <w:t>8.  Students engage with meaningful, real-world tasks.</w:t>
            </w:r>
          </w:p>
        </w:tc>
        <w:tc>
          <w:tcPr>
            <w:tcW w:w="900" w:type="dxa"/>
            <w:shd w:val="clear" w:color="auto" w:fill="auto"/>
          </w:tcPr>
          <w:p w14:paraId="54BAF728" w14:textId="77777777" w:rsidR="00531520" w:rsidRPr="003F0BCE" w:rsidRDefault="00531520" w:rsidP="002350D1">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auto"/>
          </w:tcPr>
          <w:p w14:paraId="23A8ABA6" w14:textId="77777777" w:rsidR="00531520" w:rsidRPr="003F0BCE" w:rsidRDefault="00531520" w:rsidP="002350D1">
            <w:pPr>
              <w:spacing w:after="0" w:line="240" w:lineRule="auto"/>
              <w:jc w:val="center"/>
            </w:pPr>
            <w:r>
              <w:t>14</w:t>
            </w:r>
            <w:r w:rsidRPr="00A82905">
              <w:t>%</w:t>
            </w:r>
          </w:p>
        </w:tc>
        <w:tc>
          <w:tcPr>
            <w:tcW w:w="1080" w:type="dxa"/>
            <w:shd w:val="clear" w:color="auto" w:fill="auto"/>
          </w:tcPr>
          <w:p w14:paraId="18CDCB49" w14:textId="77777777" w:rsidR="00531520" w:rsidRPr="003F0BCE" w:rsidRDefault="00531520" w:rsidP="002350D1">
            <w:pPr>
              <w:spacing w:after="0" w:line="240" w:lineRule="auto"/>
              <w:jc w:val="center"/>
            </w:pPr>
            <w:r>
              <w:t>29</w:t>
            </w:r>
            <w:r w:rsidRPr="00A82905">
              <w:t>%</w:t>
            </w:r>
          </w:p>
        </w:tc>
        <w:tc>
          <w:tcPr>
            <w:tcW w:w="1170" w:type="dxa"/>
            <w:shd w:val="clear" w:color="auto" w:fill="auto"/>
          </w:tcPr>
          <w:p w14:paraId="29FC6A0A" w14:textId="77777777" w:rsidR="00531520" w:rsidRPr="003F0BCE" w:rsidRDefault="00531520" w:rsidP="002350D1">
            <w:pPr>
              <w:spacing w:after="0" w:line="240" w:lineRule="auto"/>
              <w:jc w:val="center"/>
            </w:pPr>
            <w:r>
              <w:t>48</w:t>
            </w:r>
            <w:r w:rsidRPr="00A82905">
              <w:t>%</w:t>
            </w:r>
          </w:p>
        </w:tc>
        <w:tc>
          <w:tcPr>
            <w:tcW w:w="1350" w:type="dxa"/>
            <w:shd w:val="clear" w:color="auto" w:fill="auto"/>
          </w:tcPr>
          <w:p w14:paraId="537CD627" w14:textId="77777777" w:rsidR="00531520" w:rsidRPr="003F0BCE" w:rsidRDefault="00531520" w:rsidP="002350D1">
            <w:pPr>
              <w:spacing w:after="0" w:line="240" w:lineRule="auto"/>
              <w:jc w:val="center"/>
            </w:pPr>
            <w:r>
              <w:t>10</w:t>
            </w:r>
            <w:r w:rsidRPr="00A82905">
              <w:t>%</w:t>
            </w:r>
          </w:p>
        </w:tc>
        <w:tc>
          <w:tcPr>
            <w:tcW w:w="1008" w:type="dxa"/>
            <w:shd w:val="clear" w:color="auto" w:fill="auto"/>
          </w:tcPr>
          <w:p w14:paraId="77306BCF" w14:textId="77777777" w:rsidR="00531520" w:rsidRPr="003F0BCE" w:rsidRDefault="00531520" w:rsidP="002350D1">
            <w:pPr>
              <w:spacing w:after="0" w:line="240" w:lineRule="auto"/>
              <w:jc w:val="center"/>
            </w:pPr>
            <w:r>
              <w:t>2.5</w:t>
            </w:r>
          </w:p>
        </w:tc>
      </w:tr>
      <w:tr w:rsidR="00531520" w:rsidRPr="003F0BCE" w14:paraId="24E6D4E1" w14:textId="77777777" w:rsidTr="00E14984">
        <w:tc>
          <w:tcPr>
            <w:tcW w:w="2970" w:type="dxa"/>
            <w:vMerge/>
            <w:shd w:val="clear" w:color="auto" w:fill="auto"/>
          </w:tcPr>
          <w:p w14:paraId="29A4CEB8" w14:textId="77777777" w:rsidR="00531520" w:rsidRPr="003F0BCE" w:rsidRDefault="00531520" w:rsidP="002350D1">
            <w:pPr>
              <w:spacing w:after="0" w:line="240" w:lineRule="auto"/>
            </w:pPr>
          </w:p>
        </w:tc>
        <w:tc>
          <w:tcPr>
            <w:tcW w:w="900" w:type="dxa"/>
            <w:shd w:val="clear" w:color="auto" w:fill="auto"/>
          </w:tcPr>
          <w:p w14:paraId="329B3007" w14:textId="77777777" w:rsidR="00531520" w:rsidRPr="003F0BCE" w:rsidRDefault="00531520" w:rsidP="002350D1">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auto"/>
          </w:tcPr>
          <w:p w14:paraId="068E4574" w14:textId="77777777" w:rsidR="00531520" w:rsidRPr="003F0BCE" w:rsidRDefault="00531520" w:rsidP="002350D1">
            <w:pPr>
              <w:spacing w:after="0" w:line="240" w:lineRule="auto"/>
              <w:jc w:val="center"/>
            </w:pPr>
            <w:r>
              <w:t>26</w:t>
            </w:r>
            <w:r w:rsidRPr="00A82905">
              <w:t>%</w:t>
            </w:r>
          </w:p>
        </w:tc>
        <w:tc>
          <w:tcPr>
            <w:tcW w:w="1080" w:type="dxa"/>
            <w:shd w:val="clear" w:color="auto" w:fill="auto"/>
          </w:tcPr>
          <w:p w14:paraId="1B0B1C81" w14:textId="77777777" w:rsidR="00531520" w:rsidRPr="003F0BCE" w:rsidRDefault="00531520" w:rsidP="002350D1">
            <w:pPr>
              <w:spacing w:after="0" w:line="240" w:lineRule="auto"/>
              <w:jc w:val="center"/>
            </w:pPr>
            <w:r>
              <w:t>35</w:t>
            </w:r>
            <w:r w:rsidRPr="00A82905">
              <w:t>%</w:t>
            </w:r>
          </w:p>
        </w:tc>
        <w:tc>
          <w:tcPr>
            <w:tcW w:w="1170" w:type="dxa"/>
            <w:shd w:val="clear" w:color="auto" w:fill="auto"/>
          </w:tcPr>
          <w:p w14:paraId="14513E88" w14:textId="77777777" w:rsidR="00531520" w:rsidRPr="003F0BCE" w:rsidRDefault="00531520" w:rsidP="002350D1">
            <w:pPr>
              <w:spacing w:after="0" w:line="240" w:lineRule="auto"/>
              <w:jc w:val="center"/>
            </w:pPr>
            <w:r>
              <w:t>26</w:t>
            </w:r>
            <w:r w:rsidRPr="00A82905">
              <w:t>%</w:t>
            </w:r>
          </w:p>
        </w:tc>
        <w:tc>
          <w:tcPr>
            <w:tcW w:w="1350" w:type="dxa"/>
            <w:shd w:val="clear" w:color="auto" w:fill="auto"/>
          </w:tcPr>
          <w:p w14:paraId="0BD8ADB1" w14:textId="77777777" w:rsidR="00531520" w:rsidRPr="003F0BCE" w:rsidRDefault="00531520" w:rsidP="002350D1">
            <w:pPr>
              <w:spacing w:after="0" w:line="240" w:lineRule="auto"/>
              <w:jc w:val="center"/>
            </w:pPr>
            <w:r>
              <w:t>13</w:t>
            </w:r>
            <w:r w:rsidRPr="00A82905">
              <w:t>%</w:t>
            </w:r>
          </w:p>
        </w:tc>
        <w:tc>
          <w:tcPr>
            <w:tcW w:w="1008" w:type="dxa"/>
            <w:shd w:val="clear" w:color="auto" w:fill="auto"/>
          </w:tcPr>
          <w:p w14:paraId="128C2151" w14:textId="77777777" w:rsidR="00531520" w:rsidRPr="003F0BCE" w:rsidRDefault="00531520" w:rsidP="002350D1">
            <w:pPr>
              <w:spacing w:after="0" w:line="240" w:lineRule="auto"/>
              <w:jc w:val="center"/>
            </w:pPr>
            <w:r>
              <w:t>2.3</w:t>
            </w:r>
          </w:p>
        </w:tc>
      </w:tr>
      <w:tr w:rsidR="00531520" w:rsidRPr="003F0BCE" w14:paraId="4DA87371" w14:textId="77777777" w:rsidTr="00E14984">
        <w:tc>
          <w:tcPr>
            <w:tcW w:w="2970" w:type="dxa"/>
            <w:vMerge/>
            <w:shd w:val="clear" w:color="auto" w:fill="auto"/>
          </w:tcPr>
          <w:p w14:paraId="468174E9" w14:textId="77777777" w:rsidR="00531520" w:rsidRPr="003F0BCE" w:rsidRDefault="00531520" w:rsidP="002350D1">
            <w:pPr>
              <w:spacing w:after="0" w:line="240" w:lineRule="auto"/>
            </w:pPr>
          </w:p>
        </w:tc>
        <w:tc>
          <w:tcPr>
            <w:tcW w:w="900" w:type="dxa"/>
            <w:shd w:val="clear" w:color="auto" w:fill="auto"/>
          </w:tcPr>
          <w:p w14:paraId="6F6ED8D2" w14:textId="77777777" w:rsidR="00531520" w:rsidRPr="003F0BCE" w:rsidRDefault="00531520" w:rsidP="002350D1">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auto"/>
          </w:tcPr>
          <w:p w14:paraId="0A80E9C0" w14:textId="77777777" w:rsidR="00531520" w:rsidRPr="003F0BCE" w:rsidRDefault="00531520" w:rsidP="002350D1">
            <w:pPr>
              <w:spacing w:after="0" w:line="240" w:lineRule="auto"/>
              <w:jc w:val="center"/>
            </w:pPr>
            <w:r>
              <w:t>12</w:t>
            </w:r>
            <w:r w:rsidRPr="00A82905">
              <w:t>%</w:t>
            </w:r>
          </w:p>
        </w:tc>
        <w:tc>
          <w:tcPr>
            <w:tcW w:w="1080" w:type="dxa"/>
            <w:shd w:val="clear" w:color="auto" w:fill="auto"/>
          </w:tcPr>
          <w:p w14:paraId="0E942F2A" w14:textId="77777777" w:rsidR="00531520" w:rsidRPr="003F0BCE" w:rsidRDefault="00531520" w:rsidP="002350D1">
            <w:pPr>
              <w:spacing w:after="0" w:line="240" w:lineRule="auto"/>
              <w:jc w:val="center"/>
            </w:pPr>
            <w:r>
              <w:t>42</w:t>
            </w:r>
            <w:r w:rsidRPr="00A82905">
              <w:t>%</w:t>
            </w:r>
          </w:p>
        </w:tc>
        <w:tc>
          <w:tcPr>
            <w:tcW w:w="1170" w:type="dxa"/>
            <w:shd w:val="clear" w:color="auto" w:fill="auto"/>
          </w:tcPr>
          <w:p w14:paraId="65E20B83" w14:textId="77777777" w:rsidR="00531520" w:rsidRPr="003F0BCE" w:rsidRDefault="00531520" w:rsidP="002350D1">
            <w:pPr>
              <w:spacing w:after="0" w:line="240" w:lineRule="auto"/>
              <w:jc w:val="center"/>
            </w:pPr>
            <w:r>
              <w:t>31</w:t>
            </w:r>
            <w:r w:rsidRPr="00A82905">
              <w:t>%</w:t>
            </w:r>
          </w:p>
        </w:tc>
        <w:tc>
          <w:tcPr>
            <w:tcW w:w="1350" w:type="dxa"/>
            <w:shd w:val="clear" w:color="auto" w:fill="auto"/>
          </w:tcPr>
          <w:p w14:paraId="2BE095B4" w14:textId="77777777" w:rsidR="00531520" w:rsidRPr="003F0BCE" w:rsidRDefault="00531520" w:rsidP="002350D1">
            <w:pPr>
              <w:spacing w:after="0" w:line="240" w:lineRule="auto"/>
              <w:jc w:val="center"/>
            </w:pPr>
            <w:r>
              <w:t>15</w:t>
            </w:r>
            <w:r w:rsidRPr="00A82905">
              <w:t>%</w:t>
            </w:r>
          </w:p>
        </w:tc>
        <w:tc>
          <w:tcPr>
            <w:tcW w:w="1008" w:type="dxa"/>
            <w:shd w:val="clear" w:color="auto" w:fill="auto"/>
          </w:tcPr>
          <w:p w14:paraId="61DBF08E" w14:textId="77777777" w:rsidR="00531520" w:rsidRPr="003F0BCE" w:rsidRDefault="00531520" w:rsidP="002350D1">
            <w:pPr>
              <w:spacing w:after="0" w:line="240" w:lineRule="auto"/>
              <w:jc w:val="center"/>
            </w:pPr>
            <w:r>
              <w:t>2.5</w:t>
            </w:r>
          </w:p>
        </w:tc>
      </w:tr>
      <w:tr w:rsidR="00531520" w:rsidRPr="003F0BCE" w14:paraId="038ACA79" w14:textId="77777777" w:rsidTr="00E14984">
        <w:tc>
          <w:tcPr>
            <w:tcW w:w="2970" w:type="dxa"/>
            <w:vMerge/>
            <w:shd w:val="clear" w:color="auto" w:fill="auto"/>
          </w:tcPr>
          <w:p w14:paraId="5261998E" w14:textId="77777777" w:rsidR="00531520" w:rsidRPr="003F0BCE" w:rsidRDefault="00531520" w:rsidP="002350D1">
            <w:pPr>
              <w:spacing w:after="0" w:line="240" w:lineRule="auto"/>
            </w:pPr>
          </w:p>
        </w:tc>
        <w:tc>
          <w:tcPr>
            <w:tcW w:w="900" w:type="dxa"/>
            <w:shd w:val="clear" w:color="auto" w:fill="auto"/>
          </w:tcPr>
          <w:p w14:paraId="054CBED2" w14:textId="77777777" w:rsidR="00531520" w:rsidRPr="003F0BCE" w:rsidRDefault="00531520" w:rsidP="002350D1">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auto"/>
          </w:tcPr>
          <w:p w14:paraId="6C4136C8" w14:textId="77777777" w:rsidR="00531520" w:rsidRPr="003F0BCE" w:rsidRDefault="00531520" w:rsidP="002350D1">
            <w:pPr>
              <w:spacing w:after="0" w:line="240" w:lineRule="auto"/>
              <w:jc w:val="center"/>
            </w:pPr>
            <w:r>
              <w:t>12</w:t>
            </w:r>
          </w:p>
        </w:tc>
        <w:tc>
          <w:tcPr>
            <w:tcW w:w="1080" w:type="dxa"/>
            <w:shd w:val="clear" w:color="auto" w:fill="auto"/>
          </w:tcPr>
          <w:p w14:paraId="1CDF9536" w14:textId="77777777" w:rsidR="00531520" w:rsidRPr="003F0BCE" w:rsidRDefault="00531520" w:rsidP="002350D1">
            <w:pPr>
              <w:spacing w:after="0" w:line="240" w:lineRule="auto"/>
              <w:jc w:val="center"/>
            </w:pPr>
            <w:r>
              <w:t>25</w:t>
            </w:r>
          </w:p>
        </w:tc>
        <w:tc>
          <w:tcPr>
            <w:tcW w:w="1170" w:type="dxa"/>
            <w:shd w:val="clear" w:color="auto" w:fill="auto"/>
          </w:tcPr>
          <w:p w14:paraId="486C0A83" w14:textId="77777777" w:rsidR="00531520" w:rsidRPr="003F0BCE" w:rsidRDefault="00531520" w:rsidP="002350D1">
            <w:pPr>
              <w:spacing w:after="0" w:line="240" w:lineRule="auto"/>
              <w:jc w:val="center"/>
            </w:pPr>
            <w:r>
              <w:t>24</w:t>
            </w:r>
          </w:p>
        </w:tc>
        <w:tc>
          <w:tcPr>
            <w:tcW w:w="1350" w:type="dxa"/>
            <w:shd w:val="clear" w:color="auto" w:fill="auto"/>
          </w:tcPr>
          <w:p w14:paraId="73DC31E2" w14:textId="77777777" w:rsidR="00531520" w:rsidRPr="003F0BCE" w:rsidRDefault="00531520" w:rsidP="002350D1">
            <w:pPr>
              <w:spacing w:after="0" w:line="240" w:lineRule="auto"/>
              <w:jc w:val="center"/>
            </w:pPr>
            <w:r>
              <w:t>9</w:t>
            </w:r>
          </w:p>
        </w:tc>
        <w:tc>
          <w:tcPr>
            <w:tcW w:w="1008" w:type="dxa"/>
            <w:shd w:val="clear" w:color="auto" w:fill="auto"/>
          </w:tcPr>
          <w:p w14:paraId="61729353" w14:textId="77777777" w:rsidR="00531520" w:rsidRPr="003F0BCE" w:rsidRDefault="00531520" w:rsidP="002350D1">
            <w:pPr>
              <w:spacing w:after="0" w:line="240" w:lineRule="auto"/>
              <w:jc w:val="center"/>
            </w:pPr>
            <w:r>
              <w:t>2.4</w:t>
            </w:r>
          </w:p>
        </w:tc>
      </w:tr>
      <w:tr w:rsidR="00531520" w:rsidRPr="003F0BCE" w14:paraId="259D01FC" w14:textId="77777777" w:rsidTr="00E14984">
        <w:tc>
          <w:tcPr>
            <w:tcW w:w="2970" w:type="dxa"/>
            <w:vMerge/>
            <w:shd w:val="clear" w:color="auto" w:fill="auto"/>
          </w:tcPr>
          <w:p w14:paraId="7E8625F9" w14:textId="77777777" w:rsidR="00531520" w:rsidRPr="003F0BCE" w:rsidRDefault="00531520" w:rsidP="002350D1">
            <w:pPr>
              <w:spacing w:after="0" w:line="240" w:lineRule="auto"/>
            </w:pPr>
          </w:p>
        </w:tc>
        <w:tc>
          <w:tcPr>
            <w:tcW w:w="900" w:type="dxa"/>
            <w:shd w:val="clear" w:color="auto" w:fill="auto"/>
          </w:tcPr>
          <w:p w14:paraId="7B6BAD20" w14:textId="77777777" w:rsidR="00531520" w:rsidRPr="003F0BCE" w:rsidRDefault="00531520" w:rsidP="002350D1">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auto"/>
          </w:tcPr>
          <w:p w14:paraId="6CDDA593" w14:textId="77777777" w:rsidR="00531520" w:rsidRPr="003F0BCE" w:rsidRDefault="00531520" w:rsidP="002350D1">
            <w:pPr>
              <w:spacing w:after="0" w:line="240" w:lineRule="auto"/>
              <w:jc w:val="center"/>
            </w:pPr>
            <w:r>
              <w:t>17</w:t>
            </w:r>
            <w:r w:rsidRPr="00A82905">
              <w:t>%</w:t>
            </w:r>
          </w:p>
        </w:tc>
        <w:tc>
          <w:tcPr>
            <w:tcW w:w="1080" w:type="dxa"/>
            <w:shd w:val="clear" w:color="auto" w:fill="auto"/>
          </w:tcPr>
          <w:p w14:paraId="0E25E979" w14:textId="77777777" w:rsidR="00531520" w:rsidRPr="003F0BCE" w:rsidRDefault="00531520" w:rsidP="002350D1">
            <w:pPr>
              <w:spacing w:after="0" w:line="240" w:lineRule="auto"/>
              <w:jc w:val="center"/>
            </w:pPr>
            <w:r>
              <w:t>36</w:t>
            </w:r>
            <w:r w:rsidRPr="00A82905">
              <w:t>%</w:t>
            </w:r>
          </w:p>
        </w:tc>
        <w:tc>
          <w:tcPr>
            <w:tcW w:w="1170" w:type="dxa"/>
            <w:shd w:val="clear" w:color="auto" w:fill="auto"/>
          </w:tcPr>
          <w:p w14:paraId="5F7A7E2D" w14:textId="77777777" w:rsidR="00531520" w:rsidRPr="003F0BCE" w:rsidRDefault="00531520" w:rsidP="002350D1">
            <w:pPr>
              <w:spacing w:after="0" w:line="240" w:lineRule="auto"/>
              <w:jc w:val="center"/>
            </w:pPr>
            <w:r>
              <w:t>34</w:t>
            </w:r>
            <w:r w:rsidRPr="00A82905">
              <w:t>%</w:t>
            </w:r>
          </w:p>
        </w:tc>
        <w:tc>
          <w:tcPr>
            <w:tcW w:w="1350" w:type="dxa"/>
            <w:shd w:val="clear" w:color="auto" w:fill="auto"/>
          </w:tcPr>
          <w:p w14:paraId="79477F87" w14:textId="77777777" w:rsidR="00531520" w:rsidRPr="003F0BCE" w:rsidRDefault="00531520" w:rsidP="002350D1">
            <w:pPr>
              <w:spacing w:after="0" w:line="240" w:lineRule="auto"/>
              <w:jc w:val="center"/>
            </w:pPr>
            <w:r>
              <w:t>13</w:t>
            </w:r>
            <w:r w:rsidRPr="00A82905">
              <w:t>%</w:t>
            </w:r>
          </w:p>
        </w:tc>
        <w:tc>
          <w:tcPr>
            <w:tcW w:w="1008" w:type="dxa"/>
            <w:shd w:val="clear" w:color="auto" w:fill="auto"/>
          </w:tcPr>
          <w:p w14:paraId="46F44F8F" w14:textId="77777777" w:rsidR="00531520" w:rsidRPr="003F0BCE" w:rsidRDefault="00531520" w:rsidP="002350D1">
            <w:pPr>
              <w:spacing w:after="0" w:line="240" w:lineRule="auto"/>
              <w:jc w:val="center"/>
            </w:pPr>
          </w:p>
        </w:tc>
      </w:tr>
      <w:tr w:rsidR="00531520" w:rsidRPr="003F0BCE" w14:paraId="526F1A0E" w14:textId="77777777" w:rsidTr="00E14984">
        <w:trPr>
          <w:trHeight w:val="274"/>
        </w:trPr>
        <w:tc>
          <w:tcPr>
            <w:tcW w:w="2970" w:type="dxa"/>
            <w:vMerge w:val="restart"/>
            <w:shd w:val="clear" w:color="auto" w:fill="BFBFBF" w:themeFill="background1" w:themeFillShade="BF"/>
          </w:tcPr>
          <w:p w14:paraId="1361DCA4" w14:textId="77777777" w:rsidR="00531520" w:rsidRPr="003F0BCE" w:rsidRDefault="00531520" w:rsidP="002350D1">
            <w:pPr>
              <w:spacing w:after="0" w:line="240" w:lineRule="auto"/>
              <w:jc w:val="center"/>
              <w:rPr>
                <w:rFonts w:ascii="Calibri" w:hAnsi="Calibri"/>
                <w:b/>
                <w:color w:val="000000"/>
              </w:rPr>
            </w:pPr>
            <w:r w:rsidRPr="003F0BCE">
              <w:rPr>
                <w:rFonts w:ascii="Calibri" w:hAnsi="Calibri"/>
                <w:b/>
                <w:color w:val="000000"/>
              </w:rPr>
              <w:t>Total Score For Focus Area #2</w:t>
            </w:r>
          </w:p>
        </w:tc>
        <w:tc>
          <w:tcPr>
            <w:tcW w:w="900" w:type="dxa"/>
            <w:shd w:val="clear" w:color="auto" w:fill="BFBFBF" w:themeFill="background1" w:themeFillShade="BF"/>
          </w:tcPr>
          <w:p w14:paraId="2C5A4CFB" w14:textId="77777777" w:rsidR="00531520" w:rsidRPr="003F0BCE" w:rsidRDefault="00531520" w:rsidP="002350D1">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tcPr>
          <w:p w14:paraId="1F480503" w14:textId="77777777" w:rsidR="00531520" w:rsidRPr="003F0BCE" w:rsidRDefault="00531520" w:rsidP="002350D1">
            <w:pPr>
              <w:spacing w:after="0" w:line="240" w:lineRule="auto"/>
              <w:jc w:val="center"/>
            </w:pPr>
          </w:p>
        </w:tc>
        <w:tc>
          <w:tcPr>
            <w:tcW w:w="1080" w:type="dxa"/>
            <w:shd w:val="clear" w:color="auto" w:fill="BFBFBF" w:themeFill="background1" w:themeFillShade="BF"/>
          </w:tcPr>
          <w:p w14:paraId="28F5170A" w14:textId="77777777" w:rsidR="00531520" w:rsidRPr="003F0BCE" w:rsidRDefault="00531520" w:rsidP="002350D1">
            <w:pPr>
              <w:spacing w:after="0" w:line="240" w:lineRule="auto"/>
              <w:jc w:val="center"/>
            </w:pPr>
          </w:p>
        </w:tc>
        <w:tc>
          <w:tcPr>
            <w:tcW w:w="1170" w:type="dxa"/>
            <w:shd w:val="clear" w:color="auto" w:fill="BFBFBF" w:themeFill="background1" w:themeFillShade="BF"/>
          </w:tcPr>
          <w:p w14:paraId="5D819107" w14:textId="77777777" w:rsidR="00531520" w:rsidRPr="003F0BCE" w:rsidRDefault="00531520" w:rsidP="002350D1">
            <w:pPr>
              <w:spacing w:after="0" w:line="240" w:lineRule="auto"/>
              <w:jc w:val="center"/>
            </w:pPr>
          </w:p>
        </w:tc>
        <w:tc>
          <w:tcPr>
            <w:tcW w:w="1350" w:type="dxa"/>
            <w:shd w:val="clear" w:color="auto" w:fill="BFBFBF" w:themeFill="background1" w:themeFillShade="BF"/>
          </w:tcPr>
          <w:p w14:paraId="4EA5B4CD" w14:textId="77777777" w:rsidR="00531520" w:rsidRPr="003F0BCE" w:rsidRDefault="00531520" w:rsidP="002350D1">
            <w:pPr>
              <w:spacing w:after="0" w:line="240" w:lineRule="auto"/>
              <w:jc w:val="center"/>
            </w:pPr>
          </w:p>
        </w:tc>
        <w:tc>
          <w:tcPr>
            <w:tcW w:w="1008" w:type="dxa"/>
            <w:shd w:val="clear" w:color="auto" w:fill="BFBFBF" w:themeFill="background1" w:themeFillShade="BF"/>
          </w:tcPr>
          <w:p w14:paraId="4615EE98" w14:textId="77777777" w:rsidR="00531520" w:rsidRPr="003F0BCE" w:rsidRDefault="00531520" w:rsidP="002350D1">
            <w:pPr>
              <w:spacing w:after="0" w:line="240" w:lineRule="auto"/>
              <w:jc w:val="center"/>
            </w:pPr>
            <w:r>
              <w:t>10.9</w:t>
            </w:r>
          </w:p>
        </w:tc>
      </w:tr>
      <w:tr w:rsidR="00531520" w:rsidRPr="003F0BCE" w14:paraId="16AA8EDE" w14:textId="77777777" w:rsidTr="00E14984">
        <w:trPr>
          <w:trHeight w:val="274"/>
        </w:trPr>
        <w:tc>
          <w:tcPr>
            <w:tcW w:w="2970" w:type="dxa"/>
            <w:vMerge/>
            <w:shd w:val="clear" w:color="auto" w:fill="BFBFBF" w:themeFill="background1" w:themeFillShade="BF"/>
          </w:tcPr>
          <w:p w14:paraId="0B4766F4" w14:textId="77777777" w:rsidR="00531520" w:rsidRPr="003F0BCE" w:rsidRDefault="00531520" w:rsidP="002350D1">
            <w:pPr>
              <w:spacing w:after="0" w:line="240" w:lineRule="auto"/>
              <w:rPr>
                <w:rFonts w:ascii="Calibri" w:hAnsi="Calibri"/>
                <w:b/>
                <w:color w:val="000000"/>
              </w:rPr>
            </w:pPr>
          </w:p>
        </w:tc>
        <w:tc>
          <w:tcPr>
            <w:tcW w:w="900" w:type="dxa"/>
            <w:shd w:val="clear" w:color="auto" w:fill="BFBFBF" w:themeFill="background1" w:themeFillShade="BF"/>
          </w:tcPr>
          <w:p w14:paraId="4D454647" w14:textId="77777777" w:rsidR="00531520" w:rsidRPr="003F0BCE" w:rsidRDefault="00531520" w:rsidP="002350D1">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tcPr>
          <w:p w14:paraId="75A5EF00" w14:textId="77777777" w:rsidR="00531520" w:rsidRPr="003F0BCE" w:rsidRDefault="00531520" w:rsidP="002350D1">
            <w:pPr>
              <w:spacing w:after="0" w:line="240" w:lineRule="auto"/>
              <w:jc w:val="center"/>
            </w:pPr>
          </w:p>
        </w:tc>
        <w:tc>
          <w:tcPr>
            <w:tcW w:w="1080" w:type="dxa"/>
            <w:shd w:val="clear" w:color="auto" w:fill="BFBFBF" w:themeFill="background1" w:themeFillShade="BF"/>
          </w:tcPr>
          <w:p w14:paraId="79CED1B3" w14:textId="77777777" w:rsidR="00531520" w:rsidRPr="003F0BCE" w:rsidRDefault="00531520" w:rsidP="002350D1">
            <w:pPr>
              <w:spacing w:after="0" w:line="240" w:lineRule="auto"/>
              <w:jc w:val="center"/>
            </w:pPr>
          </w:p>
        </w:tc>
        <w:tc>
          <w:tcPr>
            <w:tcW w:w="1170" w:type="dxa"/>
            <w:shd w:val="clear" w:color="auto" w:fill="BFBFBF" w:themeFill="background1" w:themeFillShade="BF"/>
          </w:tcPr>
          <w:p w14:paraId="0E4FC63A" w14:textId="77777777" w:rsidR="00531520" w:rsidRPr="003F0BCE" w:rsidRDefault="00531520" w:rsidP="002350D1">
            <w:pPr>
              <w:spacing w:after="0" w:line="240" w:lineRule="auto"/>
              <w:jc w:val="center"/>
            </w:pPr>
          </w:p>
        </w:tc>
        <w:tc>
          <w:tcPr>
            <w:tcW w:w="1350" w:type="dxa"/>
            <w:shd w:val="clear" w:color="auto" w:fill="BFBFBF" w:themeFill="background1" w:themeFillShade="BF"/>
          </w:tcPr>
          <w:p w14:paraId="25745ED6" w14:textId="77777777" w:rsidR="00531520" w:rsidRPr="003F0BCE" w:rsidRDefault="00531520" w:rsidP="002350D1">
            <w:pPr>
              <w:spacing w:after="0" w:line="240" w:lineRule="auto"/>
              <w:jc w:val="center"/>
            </w:pPr>
          </w:p>
        </w:tc>
        <w:tc>
          <w:tcPr>
            <w:tcW w:w="1008" w:type="dxa"/>
            <w:shd w:val="clear" w:color="auto" w:fill="BFBFBF" w:themeFill="background1" w:themeFillShade="BF"/>
          </w:tcPr>
          <w:p w14:paraId="7C670152" w14:textId="77777777" w:rsidR="00531520" w:rsidRPr="003F0BCE" w:rsidRDefault="00531520" w:rsidP="002350D1">
            <w:pPr>
              <w:spacing w:after="0" w:line="240" w:lineRule="auto"/>
              <w:jc w:val="center"/>
            </w:pPr>
            <w:r>
              <w:t>9.1</w:t>
            </w:r>
          </w:p>
        </w:tc>
      </w:tr>
      <w:tr w:rsidR="00531520" w:rsidRPr="003F0BCE" w14:paraId="2CB5E3C3" w14:textId="77777777" w:rsidTr="00E14984">
        <w:trPr>
          <w:trHeight w:val="274"/>
        </w:trPr>
        <w:tc>
          <w:tcPr>
            <w:tcW w:w="2970" w:type="dxa"/>
            <w:vMerge/>
            <w:shd w:val="clear" w:color="auto" w:fill="BFBFBF" w:themeFill="background1" w:themeFillShade="BF"/>
          </w:tcPr>
          <w:p w14:paraId="283799AA" w14:textId="77777777" w:rsidR="00531520" w:rsidRPr="003F0BCE" w:rsidRDefault="00531520" w:rsidP="002350D1">
            <w:pPr>
              <w:spacing w:after="0" w:line="240" w:lineRule="auto"/>
              <w:rPr>
                <w:rFonts w:ascii="Calibri" w:hAnsi="Calibri"/>
                <w:b/>
                <w:color w:val="000000"/>
              </w:rPr>
            </w:pPr>
          </w:p>
        </w:tc>
        <w:tc>
          <w:tcPr>
            <w:tcW w:w="900" w:type="dxa"/>
            <w:shd w:val="clear" w:color="auto" w:fill="BFBFBF" w:themeFill="background1" w:themeFillShade="BF"/>
          </w:tcPr>
          <w:p w14:paraId="780EDF61" w14:textId="77777777" w:rsidR="00531520" w:rsidRPr="003F0BCE" w:rsidRDefault="00531520" w:rsidP="002350D1">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tcPr>
          <w:p w14:paraId="6D9C7729" w14:textId="77777777" w:rsidR="00531520" w:rsidRPr="003F0BCE" w:rsidRDefault="00531520" w:rsidP="002350D1">
            <w:pPr>
              <w:spacing w:after="0" w:line="240" w:lineRule="auto"/>
              <w:jc w:val="center"/>
            </w:pPr>
          </w:p>
        </w:tc>
        <w:tc>
          <w:tcPr>
            <w:tcW w:w="1080" w:type="dxa"/>
            <w:shd w:val="clear" w:color="auto" w:fill="BFBFBF" w:themeFill="background1" w:themeFillShade="BF"/>
          </w:tcPr>
          <w:p w14:paraId="26944187" w14:textId="77777777" w:rsidR="00531520" w:rsidRPr="003F0BCE" w:rsidRDefault="00531520" w:rsidP="002350D1">
            <w:pPr>
              <w:spacing w:after="0" w:line="240" w:lineRule="auto"/>
              <w:jc w:val="center"/>
            </w:pPr>
          </w:p>
        </w:tc>
        <w:tc>
          <w:tcPr>
            <w:tcW w:w="1170" w:type="dxa"/>
            <w:shd w:val="clear" w:color="auto" w:fill="BFBFBF" w:themeFill="background1" w:themeFillShade="BF"/>
          </w:tcPr>
          <w:p w14:paraId="20A2A599" w14:textId="77777777" w:rsidR="00531520" w:rsidRPr="003F0BCE" w:rsidRDefault="00531520" w:rsidP="002350D1">
            <w:pPr>
              <w:spacing w:after="0" w:line="240" w:lineRule="auto"/>
              <w:jc w:val="center"/>
            </w:pPr>
          </w:p>
        </w:tc>
        <w:tc>
          <w:tcPr>
            <w:tcW w:w="1350" w:type="dxa"/>
            <w:shd w:val="clear" w:color="auto" w:fill="BFBFBF" w:themeFill="background1" w:themeFillShade="BF"/>
          </w:tcPr>
          <w:p w14:paraId="1AB791FC" w14:textId="77777777" w:rsidR="00531520" w:rsidRPr="003F0BCE" w:rsidRDefault="00531520" w:rsidP="002350D1">
            <w:pPr>
              <w:spacing w:after="0" w:line="240" w:lineRule="auto"/>
              <w:jc w:val="center"/>
            </w:pPr>
          </w:p>
        </w:tc>
        <w:tc>
          <w:tcPr>
            <w:tcW w:w="1008" w:type="dxa"/>
            <w:shd w:val="clear" w:color="auto" w:fill="BFBFBF" w:themeFill="background1" w:themeFillShade="BF"/>
          </w:tcPr>
          <w:p w14:paraId="0F683B41" w14:textId="77777777" w:rsidR="00531520" w:rsidRPr="003F0BCE" w:rsidRDefault="00531520" w:rsidP="002350D1">
            <w:pPr>
              <w:spacing w:after="0" w:line="240" w:lineRule="auto"/>
              <w:jc w:val="center"/>
            </w:pPr>
            <w:r>
              <w:t>10.6</w:t>
            </w:r>
          </w:p>
        </w:tc>
      </w:tr>
      <w:tr w:rsidR="00531520" w:rsidRPr="003F0BCE" w14:paraId="62E7EE5A" w14:textId="77777777" w:rsidTr="00E14984">
        <w:trPr>
          <w:trHeight w:val="274"/>
        </w:trPr>
        <w:tc>
          <w:tcPr>
            <w:tcW w:w="2970" w:type="dxa"/>
            <w:vMerge/>
            <w:shd w:val="clear" w:color="auto" w:fill="BFBFBF" w:themeFill="background1" w:themeFillShade="BF"/>
          </w:tcPr>
          <w:p w14:paraId="58EF7DB0" w14:textId="77777777" w:rsidR="00531520" w:rsidRPr="003F0BCE" w:rsidRDefault="00531520" w:rsidP="002350D1">
            <w:pPr>
              <w:spacing w:after="0" w:line="240" w:lineRule="auto"/>
              <w:rPr>
                <w:rFonts w:ascii="Calibri" w:hAnsi="Calibri"/>
                <w:b/>
                <w:color w:val="000000"/>
              </w:rPr>
            </w:pPr>
          </w:p>
        </w:tc>
        <w:tc>
          <w:tcPr>
            <w:tcW w:w="900" w:type="dxa"/>
            <w:shd w:val="clear" w:color="auto" w:fill="BFBFBF" w:themeFill="background1" w:themeFillShade="BF"/>
          </w:tcPr>
          <w:p w14:paraId="76B5BE92" w14:textId="77777777" w:rsidR="00531520" w:rsidRPr="003F0BCE" w:rsidRDefault="00531520" w:rsidP="002350D1">
            <w:pPr>
              <w:spacing w:after="0" w:line="240" w:lineRule="auto"/>
            </w:pPr>
            <w:r w:rsidRPr="003F0BCE">
              <w:rPr>
                <w:rFonts w:ascii="Calibri" w:hAnsi="Calibri"/>
                <w:b/>
                <w:bCs/>
                <w:color w:val="000000"/>
                <w:sz w:val="20"/>
                <w:szCs w:val="20"/>
              </w:rPr>
              <w:t>Total</w:t>
            </w:r>
          </w:p>
        </w:tc>
        <w:tc>
          <w:tcPr>
            <w:tcW w:w="1260" w:type="dxa"/>
            <w:shd w:val="clear" w:color="auto" w:fill="BFBFBF" w:themeFill="background1" w:themeFillShade="BF"/>
          </w:tcPr>
          <w:p w14:paraId="355CEDFC" w14:textId="77777777" w:rsidR="00531520" w:rsidRPr="003F0BCE" w:rsidRDefault="00531520" w:rsidP="002350D1">
            <w:pPr>
              <w:spacing w:after="0" w:line="240" w:lineRule="auto"/>
              <w:jc w:val="center"/>
            </w:pPr>
          </w:p>
        </w:tc>
        <w:tc>
          <w:tcPr>
            <w:tcW w:w="1080" w:type="dxa"/>
            <w:shd w:val="clear" w:color="auto" w:fill="BFBFBF" w:themeFill="background1" w:themeFillShade="BF"/>
          </w:tcPr>
          <w:p w14:paraId="4922BBA1" w14:textId="77777777" w:rsidR="00531520" w:rsidRPr="003F0BCE" w:rsidRDefault="00531520" w:rsidP="002350D1">
            <w:pPr>
              <w:spacing w:after="0" w:line="240" w:lineRule="auto"/>
              <w:jc w:val="center"/>
            </w:pPr>
          </w:p>
        </w:tc>
        <w:tc>
          <w:tcPr>
            <w:tcW w:w="1170" w:type="dxa"/>
            <w:shd w:val="clear" w:color="auto" w:fill="BFBFBF" w:themeFill="background1" w:themeFillShade="BF"/>
          </w:tcPr>
          <w:p w14:paraId="5484FC95" w14:textId="77777777" w:rsidR="00531520" w:rsidRPr="003F0BCE" w:rsidRDefault="00531520" w:rsidP="002350D1">
            <w:pPr>
              <w:spacing w:after="0" w:line="240" w:lineRule="auto"/>
              <w:jc w:val="center"/>
            </w:pPr>
          </w:p>
        </w:tc>
        <w:tc>
          <w:tcPr>
            <w:tcW w:w="1350" w:type="dxa"/>
            <w:shd w:val="clear" w:color="auto" w:fill="BFBFBF" w:themeFill="background1" w:themeFillShade="BF"/>
          </w:tcPr>
          <w:p w14:paraId="0CDACBF4" w14:textId="77777777" w:rsidR="00531520" w:rsidRPr="003F0BCE" w:rsidRDefault="00531520" w:rsidP="002350D1">
            <w:pPr>
              <w:spacing w:after="0" w:line="240" w:lineRule="auto"/>
              <w:jc w:val="center"/>
            </w:pPr>
          </w:p>
        </w:tc>
        <w:tc>
          <w:tcPr>
            <w:tcW w:w="1008" w:type="dxa"/>
            <w:shd w:val="clear" w:color="auto" w:fill="BFBFBF" w:themeFill="background1" w:themeFillShade="BF"/>
          </w:tcPr>
          <w:p w14:paraId="40CF11BA" w14:textId="77777777" w:rsidR="00531520" w:rsidRPr="003F0BCE" w:rsidRDefault="00531520" w:rsidP="002350D1">
            <w:pPr>
              <w:spacing w:after="0" w:line="240" w:lineRule="auto"/>
              <w:jc w:val="center"/>
            </w:pPr>
            <w:r>
              <w:t>10.2</w:t>
            </w:r>
          </w:p>
        </w:tc>
      </w:tr>
    </w:tbl>
    <w:p w14:paraId="76AFCE1B" w14:textId="77777777" w:rsidR="00531520" w:rsidRDefault="00531520" w:rsidP="00531520">
      <w:pPr>
        <w:spacing w:after="0" w:line="240" w:lineRule="auto"/>
      </w:pPr>
    </w:p>
    <w:p w14:paraId="5182D2BA" w14:textId="77777777" w:rsidR="00531520" w:rsidRDefault="00531520" w:rsidP="00531520">
      <w:pPr>
        <w:spacing w:after="0" w:line="240" w:lineRule="auto"/>
      </w:pPr>
      <w:r>
        <w:br w:type="page"/>
      </w:r>
    </w:p>
    <w:tbl>
      <w:tblPr>
        <w:tblStyle w:val="TableGrid4"/>
        <w:tblW w:w="0" w:type="auto"/>
        <w:tblInd w:w="-162" w:type="dxa"/>
        <w:tblLayout w:type="fixed"/>
        <w:tblLook w:val="04A0" w:firstRow="1" w:lastRow="0" w:firstColumn="1" w:lastColumn="0" w:noHBand="0" w:noVBand="1"/>
        <w:tblCaption w:val="Appendix C"/>
        <w:tblDescription w:val="Instructional Inventory"/>
      </w:tblPr>
      <w:tblGrid>
        <w:gridCol w:w="2970"/>
        <w:gridCol w:w="900"/>
        <w:gridCol w:w="1350"/>
        <w:gridCol w:w="1080"/>
        <w:gridCol w:w="1080"/>
        <w:gridCol w:w="1350"/>
        <w:gridCol w:w="1008"/>
      </w:tblGrid>
      <w:tr w:rsidR="00531520" w:rsidRPr="00D21BCE" w14:paraId="7120FE8D" w14:textId="77777777" w:rsidTr="00BB0032">
        <w:trPr>
          <w:trHeight w:val="806"/>
          <w:tblHeader/>
        </w:trPr>
        <w:tc>
          <w:tcPr>
            <w:tcW w:w="2970" w:type="dxa"/>
            <w:vMerge w:val="restart"/>
          </w:tcPr>
          <w:p w14:paraId="22DAF939" w14:textId="77777777" w:rsidR="00531520" w:rsidRPr="00D21BCE" w:rsidRDefault="00531520" w:rsidP="002350D1">
            <w:pPr>
              <w:spacing w:after="0" w:line="240" w:lineRule="auto"/>
              <w:jc w:val="center"/>
            </w:pPr>
            <w:bookmarkStart w:id="22" w:name="_GoBack" w:colFirst="0" w:colLast="7"/>
            <w:r w:rsidRPr="00D21BCE">
              <w:rPr>
                <w:rFonts w:ascii="Calibri" w:hAnsi="Calibri"/>
                <w:b/>
                <w:bCs/>
                <w:color w:val="000000"/>
              </w:rPr>
              <w:lastRenderedPageBreak/>
              <w:t xml:space="preserve">Focus Area #3: </w:t>
            </w:r>
            <w:r>
              <w:rPr>
                <w:rFonts w:ascii="Calibri" w:hAnsi="Calibri"/>
                <w:b/>
                <w:bCs/>
                <w:color w:val="000000"/>
              </w:rPr>
              <w:t>Inclusive Practice &amp; Classroom Culture</w:t>
            </w:r>
          </w:p>
        </w:tc>
        <w:tc>
          <w:tcPr>
            <w:tcW w:w="900" w:type="dxa"/>
          </w:tcPr>
          <w:p w14:paraId="4597B668" w14:textId="77777777" w:rsidR="00531520" w:rsidRPr="00D21BCE" w:rsidRDefault="00531520" w:rsidP="002350D1">
            <w:pPr>
              <w:spacing w:after="0" w:line="240" w:lineRule="auto"/>
            </w:pPr>
          </w:p>
        </w:tc>
        <w:tc>
          <w:tcPr>
            <w:tcW w:w="1350" w:type="dxa"/>
          </w:tcPr>
          <w:p w14:paraId="683D7E2F" w14:textId="77777777" w:rsidR="00531520" w:rsidRPr="0071153E" w:rsidRDefault="00531520" w:rsidP="002350D1">
            <w:pPr>
              <w:spacing w:after="0" w:line="240" w:lineRule="auto"/>
              <w:jc w:val="center"/>
              <w:rPr>
                <w:sz w:val="20"/>
                <w:szCs w:val="20"/>
              </w:rPr>
            </w:pPr>
            <w:r w:rsidRPr="0071153E">
              <w:rPr>
                <w:sz w:val="20"/>
                <w:szCs w:val="20"/>
              </w:rPr>
              <w:t>Insufficient Evidence</w:t>
            </w:r>
          </w:p>
        </w:tc>
        <w:tc>
          <w:tcPr>
            <w:tcW w:w="1080" w:type="dxa"/>
          </w:tcPr>
          <w:p w14:paraId="1A1EB914" w14:textId="77777777" w:rsidR="00531520" w:rsidRPr="0071153E" w:rsidRDefault="00531520" w:rsidP="002350D1">
            <w:pPr>
              <w:spacing w:after="0" w:line="240" w:lineRule="auto"/>
              <w:jc w:val="center"/>
              <w:rPr>
                <w:sz w:val="20"/>
                <w:szCs w:val="20"/>
              </w:rPr>
            </w:pPr>
            <w:r w:rsidRPr="0071153E">
              <w:rPr>
                <w:sz w:val="20"/>
                <w:szCs w:val="20"/>
              </w:rPr>
              <w:t>Limited Evidence</w:t>
            </w:r>
          </w:p>
        </w:tc>
        <w:tc>
          <w:tcPr>
            <w:tcW w:w="1080" w:type="dxa"/>
          </w:tcPr>
          <w:p w14:paraId="27AEEC3D" w14:textId="77777777" w:rsidR="00531520" w:rsidRPr="0071153E" w:rsidRDefault="00531520" w:rsidP="002350D1">
            <w:pPr>
              <w:spacing w:after="0" w:line="240" w:lineRule="auto"/>
              <w:jc w:val="center"/>
              <w:rPr>
                <w:sz w:val="20"/>
                <w:szCs w:val="20"/>
              </w:rPr>
            </w:pPr>
            <w:r w:rsidRPr="0071153E">
              <w:rPr>
                <w:sz w:val="20"/>
                <w:szCs w:val="20"/>
              </w:rPr>
              <w:t>Sufficient Evidence</w:t>
            </w:r>
          </w:p>
        </w:tc>
        <w:tc>
          <w:tcPr>
            <w:tcW w:w="1350" w:type="dxa"/>
          </w:tcPr>
          <w:p w14:paraId="7CA9ADEF" w14:textId="77777777" w:rsidR="00531520" w:rsidRPr="0071153E" w:rsidRDefault="00531520" w:rsidP="002350D1">
            <w:pPr>
              <w:spacing w:after="0" w:line="240" w:lineRule="auto"/>
              <w:jc w:val="center"/>
              <w:rPr>
                <w:sz w:val="20"/>
                <w:szCs w:val="20"/>
              </w:rPr>
            </w:pPr>
            <w:r w:rsidRPr="0071153E">
              <w:rPr>
                <w:sz w:val="20"/>
                <w:szCs w:val="20"/>
              </w:rPr>
              <w:t>Compelling Evidence</w:t>
            </w:r>
          </w:p>
        </w:tc>
        <w:tc>
          <w:tcPr>
            <w:tcW w:w="1008" w:type="dxa"/>
          </w:tcPr>
          <w:p w14:paraId="1482987F" w14:textId="77777777" w:rsidR="00531520" w:rsidRPr="0071153E" w:rsidRDefault="00531520" w:rsidP="002350D1">
            <w:pPr>
              <w:spacing w:after="0" w:line="240" w:lineRule="auto"/>
              <w:jc w:val="center"/>
              <w:rPr>
                <w:sz w:val="20"/>
                <w:szCs w:val="20"/>
              </w:rPr>
            </w:pPr>
            <w:r>
              <w:rPr>
                <w:sz w:val="20"/>
                <w:szCs w:val="20"/>
              </w:rPr>
              <w:t>Average Numb</w:t>
            </w:r>
            <w:r w:rsidRPr="0071153E">
              <w:rPr>
                <w:sz w:val="20"/>
                <w:szCs w:val="20"/>
              </w:rPr>
              <w:t>er of points</w:t>
            </w:r>
          </w:p>
        </w:tc>
      </w:tr>
      <w:bookmarkEnd w:id="22"/>
      <w:tr w:rsidR="00531520" w:rsidRPr="00D21BCE" w14:paraId="7D080BCD" w14:textId="77777777" w:rsidTr="00E14984">
        <w:tc>
          <w:tcPr>
            <w:tcW w:w="2970" w:type="dxa"/>
            <w:vMerge/>
          </w:tcPr>
          <w:p w14:paraId="19D24CD4" w14:textId="77777777" w:rsidR="00531520" w:rsidRPr="00D21BCE" w:rsidRDefault="00531520" w:rsidP="002350D1">
            <w:pPr>
              <w:spacing w:after="0" w:line="240" w:lineRule="auto"/>
            </w:pPr>
          </w:p>
        </w:tc>
        <w:tc>
          <w:tcPr>
            <w:tcW w:w="900" w:type="dxa"/>
          </w:tcPr>
          <w:p w14:paraId="33DA202E" w14:textId="77777777" w:rsidR="00531520" w:rsidRPr="00D21BCE" w:rsidRDefault="00531520" w:rsidP="002350D1">
            <w:pPr>
              <w:spacing w:after="0" w:line="240" w:lineRule="auto"/>
            </w:pPr>
          </w:p>
        </w:tc>
        <w:tc>
          <w:tcPr>
            <w:tcW w:w="1350" w:type="dxa"/>
          </w:tcPr>
          <w:p w14:paraId="52116345" w14:textId="77777777" w:rsidR="00531520" w:rsidRPr="00D21BCE" w:rsidRDefault="00531520" w:rsidP="002350D1">
            <w:pPr>
              <w:spacing w:after="0" w:line="240" w:lineRule="auto"/>
              <w:jc w:val="center"/>
            </w:pPr>
            <w:r w:rsidRPr="00D21BCE">
              <w:t>(</w:t>
            </w:r>
            <w:r>
              <w:t>1</w:t>
            </w:r>
            <w:r w:rsidRPr="00D21BCE">
              <w:t>)</w:t>
            </w:r>
          </w:p>
        </w:tc>
        <w:tc>
          <w:tcPr>
            <w:tcW w:w="1080" w:type="dxa"/>
          </w:tcPr>
          <w:p w14:paraId="001A30C0" w14:textId="77777777" w:rsidR="00531520" w:rsidRPr="00D21BCE" w:rsidRDefault="00531520" w:rsidP="002350D1">
            <w:pPr>
              <w:spacing w:after="0" w:line="240" w:lineRule="auto"/>
              <w:jc w:val="center"/>
            </w:pPr>
            <w:r w:rsidRPr="00D21BCE">
              <w:t>(</w:t>
            </w:r>
            <w:r>
              <w:t>2</w:t>
            </w:r>
            <w:r w:rsidRPr="00D21BCE">
              <w:t>)</w:t>
            </w:r>
          </w:p>
        </w:tc>
        <w:tc>
          <w:tcPr>
            <w:tcW w:w="1080" w:type="dxa"/>
          </w:tcPr>
          <w:p w14:paraId="07CCF1B2" w14:textId="77777777" w:rsidR="00531520" w:rsidRPr="00D21BCE" w:rsidRDefault="00531520" w:rsidP="002350D1">
            <w:pPr>
              <w:spacing w:after="0" w:line="240" w:lineRule="auto"/>
              <w:jc w:val="center"/>
            </w:pPr>
            <w:r w:rsidRPr="00D21BCE">
              <w:t>(</w:t>
            </w:r>
            <w:r>
              <w:t>3</w:t>
            </w:r>
            <w:r w:rsidRPr="00D21BCE">
              <w:t>)</w:t>
            </w:r>
          </w:p>
        </w:tc>
        <w:tc>
          <w:tcPr>
            <w:tcW w:w="1350" w:type="dxa"/>
          </w:tcPr>
          <w:p w14:paraId="5C60F921" w14:textId="77777777" w:rsidR="00531520" w:rsidRPr="00D21BCE" w:rsidRDefault="00531520" w:rsidP="002350D1">
            <w:pPr>
              <w:spacing w:after="0" w:line="240" w:lineRule="auto"/>
              <w:jc w:val="center"/>
            </w:pPr>
            <w:r w:rsidRPr="00D21BCE">
              <w:t>(</w:t>
            </w:r>
            <w:r>
              <w:t>4</w:t>
            </w:r>
            <w:r w:rsidRPr="00D21BCE">
              <w:t>)</w:t>
            </w:r>
          </w:p>
        </w:tc>
        <w:tc>
          <w:tcPr>
            <w:tcW w:w="1008" w:type="dxa"/>
          </w:tcPr>
          <w:p w14:paraId="0F424970" w14:textId="77777777" w:rsidR="00531520" w:rsidRPr="00D21BCE" w:rsidRDefault="00531520" w:rsidP="002350D1">
            <w:pPr>
              <w:spacing w:after="0" w:line="240" w:lineRule="auto"/>
              <w:jc w:val="center"/>
            </w:pPr>
            <w:r w:rsidRPr="00D21BCE">
              <w:t>(</w:t>
            </w:r>
            <w:r>
              <w:t>1</w:t>
            </w:r>
            <w:r w:rsidRPr="00D21BCE">
              <w:t xml:space="preserve"> to </w:t>
            </w:r>
            <w:r>
              <w:t>4</w:t>
            </w:r>
            <w:r w:rsidRPr="00D21BCE">
              <w:t>)</w:t>
            </w:r>
          </w:p>
        </w:tc>
      </w:tr>
      <w:tr w:rsidR="00531520" w:rsidRPr="00D21BCE" w14:paraId="52306721" w14:textId="77777777" w:rsidTr="00E14984">
        <w:tc>
          <w:tcPr>
            <w:tcW w:w="2970" w:type="dxa"/>
            <w:vMerge w:val="restart"/>
            <w:shd w:val="clear" w:color="auto" w:fill="BFBFBF" w:themeFill="background1" w:themeFillShade="BF"/>
          </w:tcPr>
          <w:p w14:paraId="38B9A791" w14:textId="77777777" w:rsidR="00531520" w:rsidRPr="00D21BCE" w:rsidRDefault="00531520" w:rsidP="002350D1">
            <w:pPr>
              <w:spacing w:after="0" w:line="240" w:lineRule="auto"/>
              <w:rPr>
                <w:rFonts w:ascii="Calibri" w:hAnsi="Calibri"/>
                <w:color w:val="000000"/>
              </w:rPr>
            </w:pPr>
            <w:r>
              <w:rPr>
                <w:rFonts w:ascii="Calibri" w:hAnsi="Calibri"/>
                <w:color w:val="000000"/>
              </w:rPr>
              <w:t>9.  The teacher ensures that students are engaging in challenging tasks regardless of learning needs.</w:t>
            </w:r>
          </w:p>
        </w:tc>
        <w:tc>
          <w:tcPr>
            <w:tcW w:w="900" w:type="dxa"/>
            <w:shd w:val="clear" w:color="auto" w:fill="BFBFBF" w:themeFill="background1" w:themeFillShade="BF"/>
          </w:tcPr>
          <w:p w14:paraId="455E3553" w14:textId="77777777" w:rsidR="00531520" w:rsidRPr="00D21BCE" w:rsidRDefault="00531520" w:rsidP="002350D1">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350" w:type="dxa"/>
            <w:shd w:val="clear" w:color="auto" w:fill="BFBFBF" w:themeFill="background1" w:themeFillShade="BF"/>
          </w:tcPr>
          <w:p w14:paraId="4A308E37" w14:textId="77777777" w:rsidR="00531520" w:rsidRPr="00D21BCE" w:rsidRDefault="00531520" w:rsidP="002350D1">
            <w:pPr>
              <w:spacing w:after="0" w:line="240" w:lineRule="auto"/>
              <w:jc w:val="center"/>
            </w:pPr>
            <w:r>
              <w:t>0</w:t>
            </w:r>
            <w:r w:rsidRPr="0041687D">
              <w:t>%</w:t>
            </w:r>
          </w:p>
        </w:tc>
        <w:tc>
          <w:tcPr>
            <w:tcW w:w="1080" w:type="dxa"/>
            <w:shd w:val="clear" w:color="auto" w:fill="BFBFBF" w:themeFill="background1" w:themeFillShade="BF"/>
          </w:tcPr>
          <w:p w14:paraId="43CC9E62" w14:textId="77777777" w:rsidR="00531520" w:rsidRPr="00D21BCE" w:rsidRDefault="00531520" w:rsidP="002350D1">
            <w:pPr>
              <w:spacing w:after="0" w:line="240" w:lineRule="auto"/>
              <w:jc w:val="center"/>
            </w:pPr>
            <w:r>
              <w:t>10</w:t>
            </w:r>
            <w:r w:rsidRPr="0041687D">
              <w:t>%</w:t>
            </w:r>
          </w:p>
        </w:tc>
        <w:tc>
          <w:tcPr>
            <w:tcW w:w="1080" w:type="dxa"/>
            <w:shd w:val="clear" w:color="auto" w:fill="BFBFBF" w:themeFill="background1" w:themeFillShade="BF"/>
          </w:tcPr>
          <w:p w14:paraId="1BE4FD9B" w14:textId="77777777" w:rsidR="00531520" w:rsidRPr="00D21BCE" w:rsidRDefault="00531520" w:rsidP="002350D1">
            <w:pPr>
              <w:spacing w:after="0" w:line="240" w:lineRule="auto"/>
              <w:jc w:val="center"/>
            </w:pPr>
            <w:r>
              <w:t>86</w:t>
            </w:r>
            <w:r w:rsidRPr="0041687D">
              <w:t>%</w:t>
            </w:r>
          </w:p>
        </w:tc>
        <w:tc>
          <w:tcPr>
            <w:tcW w:w="1350" w:type="dxa"/>
            <w:shd w:val="clear" w:color="auto" w:fill="BFBFBF" w:themeFill="background1" w:themeFillShade="BF"/>
          </w:tcPr>
          <w:p w14:paraId="3AE1DB48" w14:textId="77777777" w:rsidR="00531520" w:rsidRPr="00D21BCE" w:rsidRDefault="00531520" w:rsidP="002350D1">
            <w:pPr>
              <w:spacing w:after="0" w:line="240" w:lineRule="auto"/>
              <w:jc w:val="center"/>
            </w:pPr>
            <w:r>
              <w:t>5</w:t>
            </w:r>
            <w:r w:rsidRPr="0041687D">
              <w:t>%</w:t>
            </w:r>
          </w:p>
        </w:tc>
        <w:tc>
          <w:tcPr>
            <w:tcW w:w="1008" w:type="dxa"/>
            <w:shd w:val="clear" w:color="auto" w:fill="BFBFBF" w:themeFill="background1" w:themeFillShade="BF"/>
          </w:tcPr>
          <w:p w14:paraId="05A626F0" w14:textId="77777777" w:rsidR="00531520" w:rsidRPr="00D21BCE" w:rsidRDefault="00531520" w:rsidP="002350D1">
            <w:pPr>
              <w:spacing w:after="0" w:line="240" w:lineRule="auto"/>
              <w:jc w:val="center"/>
            </w:pPr>
            <w:r>
              <w:t>3.0</w:t>
            </w:r>
          </w:p>
        </w:tc>
      </w:tr>
      <w:tr w:rsidR="00531520" w:rsidRPr="00D21BCE" w14:paraId="48860AA5" w14:textId="77777777" w:rsidTr="00E14984">
        <w:tc>
          <w:tcPr>
            <w:tcW w:w="2970" w:type="dxa"/>
            <w:vMerge/>
            <w:shd w:val="clear" w:color="auto" w:fill="BFBFBF" w:themeFill="background1" w:themeFillShade="BF"/>
          </w:tcPr>
          <w:p w14:paraId="25F141B2" w14:textId="77777777" w:rsidR="00531520" w:rsidRPr="00D21BCE" w:rsidRDefault="00531520" w:rsidP="002350D1">
            <w:pPr>
              <w:spacing w:after="0" w:line="240" w:lineRule="auto"/>
            </w:pPr>
          </w:p>
        </w:tc>
        <w:tc>
          <w:tcPr>
            <w:tcW w:w="900" w:type="dxa"/>
            <w:shd w:val="clear" w:color="auto" w:fill="BFBFBF" w:themeFill="background1" w:themeFillShade="BF"/>
          </w:tcPr>
          <w:p w14:paraId="337201F0" w14:textId="77777777" w:rsidR="00531520" w:rsidRPr="00D21BCE" w:rsidRDefault="00531520" w:rsidP="002350D1">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350" w:type="dxa"/>
            <w:shd w:val="clear" w:color="auto" w:fill="BFBFBF" w:themeFill="background1" w:themeFillShade="BF"/>
          </w:tcPr>
          <w:p w14:paraId="37C11779" w14:textId="77777777" w:rsidR="00531520" w:rsidRPr="00D21BCE" w:rsidRDefault="00531520" w:rsidP="002350D1">
            <w:pPr>
              <w:spacing w:after="0" w:line="240" w:lineRule="auto"/>
              <w:jc w:val="center"/>
            </w:pPr>
            <w:r>
              <w:t>13</w:t>
            </w:r>
            <w:r w:rsidRPr="0041687D">
              <w:t>%</w:t>
            </w:r>
          </w:p>
        </w:tc>
        <w:tc>
          <w:tcPr>
            <w:tcW w:w="1080" w:type="dxa"/>
            <w:shd w:val="clear" w:color="auto" w:fill="BFBFBF" w:themeFill="background1" w:themeFillShade="BF"/>
          </w:tcPr>
          <w:p w14:paraId="05AE5B25" w14:textId="77777777" w:rsidR="00531520" w:rsidRPr="00D21BCE" w:rsidRDefault="00531520" w:rsidP="002350D1">
            <w:pPr>
              <w:spacing w:after="0" w:line="240" w:lineRule="auto"/>
              <w:jc w:val="center"/>
            </w:pPr>
            <w:r>
              <w:t>43</w:t>
            </w:r>
            <w:r w:rsidRPr="0041687D">
              <w:t>%</w:t>
            </w:r>
          </w:p>
        </w:tc>
        <w:tc>
          <w:tcPr>
            <w:tcW w:w="1080" w:type="dxa"/>
            <w:shd w:val="clear" w:color="auto" w:fill="BFBFBF" w:themeFill="background1" w:themeFillShade="BF"/>
          </w:tcPr>
          <w:p w14:paraId="0CEB5A49" w14:textId="77777777" w:rsidR="00531520" w:rsidRPr="00D21BCE" w:rsidRDefault="00531520" w:rsidP="002350D1">
            <w:pPr>
              <w:spacing w:after="0" w:line="240" w:lineRule="auto"/>
              <w:jc w:val="center"/>
            </w:pPr>
            <w:r>
              <w:t>35</w:t>
            </w:r>
            <w:r w:rsidRPr="0041687D">
              <w:t>%</w:t>
            </w:r>
          </w:p>
        </w:tc>
        <w:tc>
          <w:tcPr>
            <w:tcW w:w="1350" w:type="dxa"/>
            <w:shd w:val="clear" w:color="auto" w:fill="BFBFBF" w:themeFill="background1" w:themeFillShade="BF"/>
          </w:tcPr>
          <w:p w14:paraId="3BF34CB4" w14:textId="77777777" w:rsidR="00531520" w:rsidRPr="00D21BCE" w:rsidRDefault="00531520" w:rsidP="002350D1">
            <w:pPr>
              <w:spacing w:after="0" w:line="240" w:lineRule="auto"/>
              <w:jc w:val="center"/>
            </w:pPr>
            <w:r>
              <w:t>9</w:t>
            </w:r>
            <w:r w:rsidRPr="0041687D">
              <w:t>%</w:t>
            </w:r>
          </w:p>
        </w:tc>
        <w:tc>
          <w:tcPr>
            <w:tcW w:w="1008" w:type="dxa"/>
            <w:shd w:val="clear" w:color="auto" w:fill="BFBFBF" w:themeFill="background1" w:themeFillShade="BF"/>
          </w:tcPr>
          <w:p w14:paraId="7FD27957" w14:textId="77777777" w:rsidR="00531520" w:rsidRPr="00D21BCE" w:rsidRDefault="00531520" w:rsidP="002350D1">
            <w:pPr>
              <w:spacing w:after="0" w:line="240" w:lineRule="auto"/>
              <w:jc w:val="center"/>
            </w:pPr>
            <w:r>
              <w:t>2.4</w:t>
            </w:r>
          </w:p>
        </w:tc>
      </w:tr>
      <w:tr w:rsidR="00531520" w:rsidRPr="00D21BCE" w14:paraId="1EBE7D42" w14:textId="77777777" w:rsidTr="00E14984">
        <w:tc>
          <w:tcPr>
            <w:tcW w:w="2970" w:type="dxa"/>
            <w:vMerge/>
            <w:shd w:val="clear" w:color="auto" w:fill="BFBFBF" w:themeFill="background1" w:themeFillShade="BF"/>
          </w:tcPr>
          <w:p w14:paraId="59534883" w14:textId="77777777" w:rsidR="00531520" w:rsidRPr="00D21BCE" w:rsidRDefault="00531520" w:rsidP="002350D1">
            <w:pPr>
              <w:spacing w:after="0" w:line="240" w:lineRule="auto"/>
            </w:pPr>
          </w:p>
        </w:tc>
        <w:tc>
          <w:tcPr>
            <w:tcW w:w="900" w:type="dxa"/>
            <w:shd w:val="clear" w:color="auto" w:fill="BFBFBF" w:themeFill="background1" w:themeFillShade="BF"/>
          </w:tcPr>
          <w:p w14:paraId="6B11AAFF" w14:textId="77777777" w:rsidR="00531520" w:rsidRPr="00D21BCE" w:rsidRDefault="00531520" w:rsidP="002350D1">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350" w:type="dxa"/>
            <w:shd w:val="clear" w:color="auto" w:fill="BFBFBF" w:themeFill="background1" w:themeFillShade="BF"/>
          </w:tcPr>
          <w:p w14:paraId="1FD9D793" w14:textId="77777777" w:rsidR="00531520" w:rsidRPr="00D21BCE" w:rsidRDefault="00531520" w:rsidP="002350D1">
            <w:pPr>
              <w:spacing w:after="0" w:line="240" w:lineRule="auto"/>
              <w:jc w:val="center"/>
            </w:pPr>
            <w:r>
              <w:t>19</w:t>
            </w:r>
            <w:r w:rsidRPr="0041687D">
              <w:t>%</w:t>
            </w:r>
          </w:p>
        </w:tc>
        <w:tc>
          <w:tcPr>
            <w:tcW w:w="1080" w:type="dxa"/>
            <w:shd w:val="clear" w:color="auto" w:fill="BFBFBF" w:themeFill="background1" w:themeFillShade="BF"/>
          </w:tcPr>
          <w:p w14:paraId="032FDB47" w14:textId="77777777" w:rsidR="00531520" w:rsidRPr="00D21BCE" w:rsidRDefault="00531520" w:rsidP="002350D1">
            <w:pPr>
              <w:spacing w:after="0" w:line="240" w:lineRule="auto"/>
              <w:jc w:val="center"/>
            </w:pPr>
            <w:r>
              <w:t>27</w:t>
            </w:r>
            <w:r w:rsidRPr="0041687D">
              <w:t>%</w:t>
            </w:r>
          </w:p>
        </w:tc>
        <w:tc>
          <w:tcPr>
            <w:tcW w:w="1080" w:type="dxa"/>
            <w:shd w:val="clear" w:color="auto" w:fill="BFBFBF" w:themeFill="background1" w:themeFillShade="BF"/>
          </w:tcPr>
          <w:p w14:paraId="5DFBE119" w14:textId="77777777" w:rsidR="00531520" w:rsidRPr="00D21BCE" w:rsidRDefault="00531520" w:rsidP="002350D1">
            <w:pPr>
              <w:spacing w:after="0" w:line="240" w:lineRule="auto"/>
              <w:jc w:val="center"/>
            </w:pPr>
            <w:r>
              <w:t>46</w:t>
            </w:r>
            <w:r w:rsidRPr="0041687D">
              <w:t>%</w:t>
            </w:r>
          </w:p>
        </w:tc>
        <w:tc>
          <w:tcPr>
            <w:tcW w:w="1350" w:type="dxa"/>
            <w:shd w:val="clear" w:color="auto" w:fill="BFBFBF" w:themeFill="background1" w:themeFillShade="BF"/>
          </w:tcPr>
          <w:p w14:paraId="22F75FAB" w14:textId="77777777" w:rsidR="00531520" w:rsidRPr="00D21BCE" w:rsidRDefault="00531520" w:rsidP="002350D1">
            <w:pPr>
              <w:spacing w:after="0" w:line="240" w:lineRule="auto"/>
              <w:jc w:val="center"/>
            </w:pPr>
            <w:r>
              <w:t>8</w:t>
            </w:r>
            <w:r w:rsidRPr="0041687D">
              <w:t>%</w:t>
            </w:r>
          </w:p>
        </w:tc>
        <w:tc>
          <w:tcPr>
            <w:tcW w:w="1008" w:type="dxa"/>
            <w:shd w:val="clear" w:color="auto" w:fill="BFBFBF" w:themeFill="background1" w:themeFillShade="BF"/>
          </w:tcPr>
          <w:p w14:paraId="071DD69A" w14:textId="77777777" w:rsidR="00531520" w:rsidRPr="00D21BCE" w:rsidRDefault="00531520" w:rsidP="002350D1">
            <w:pPr>
              <w:spacing w:after="0" w:line="240" w:lineRule="auto"/>
              <w:jc w:val="center"/>
            </w:pPr>
            <w:r>
              <w:t>2.4</w:t>
            </w:r>
          </w:p>
        </w:tc>
      </w:tr>
      <w:tr w:rsidR="00531520" w:rsidRPr="00D21BCE" w14:paraId="1B6DF576" w14:textId="77777777" w:rsidTr="00E14984">
        <w:tc>
          <w:tcPr>
            <w:tcW w:w="2970" w:type="dxa"/>
            <w:vMerge/>
            <w:shd w:val="clear" w:color="auto" w:fill="BFBFBF" w:themeFill="background1" w:themeFillShade="BF"/>
          </w:tcPr>
          <w:p w14:paraId="0CD80002" w14:textId="77777777" w:rsidR="00531520" w:rsidRPr="00D21BCE" w:rsidRDefault="00531520" w:rsidP="002350D1">
            <w:pPr>
              <w:spacing w:after="0" w:line="240" w:lineRule="auto"/>
            </w:pPr>
          </w:p>
        </w:tc>
        <w:tc>
          <w:tcPr>
            <w:tcW w:w="900" w:type="dxa"/>
            <w:shd w:val="clear" w:color="auto" w:fill="BFBFBF" w:themeFill="background1" w:themeFillShade="BF"/>
          </w:tcPr>
          <w:p w14:paraId="5584F496" w14:textId="77777777" w:rsidR="00531520" w:rsidRPr="00D21BCE" w:rsidRDefault="00531520" w:rsidP="002350D1">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350" w:type="dxa"/>
            <w:shd w:val="clear" w:color="auto" w:fill="BFBFBF" w:themeFill="background1" w:themeFillShade="BF"/>
          </w:tcPr>
          <w:p w14:paraId="68A8109B" w14:textId="77777777" w:rsidR="00531520" w:rsidRPr="00D21BCE" w:rsidRDefault="00531520" w:rsidP="002350D1">
            <w:pPr>
              <w:spacing w:after="0" w:line="240" w:lineRule="auto"/>
              <w:jc w:val="center"/>
            </w:pPr>
            <w:r>
              <w:t>8</w:t>
            </w:r>
          </w:p>
        </w:tc>
        <w:tc>
          <w:tcPr>
            <w:tcW w:w="1080" w:type="dxa"/>
            <w:shd w:val="clear" w:color="auto" w:fill="BFBFBF" w:themeFill="background1" w:themeFillShade="BF"/>
          </w:tcPr>
          <w:p w14:paraId="1291FCA7" w14:textId="77777777" w:rsidR="00531520" w:rsidRPr="00D21BCE" w:rsidRDefault="00531520" w:rsidP="002350D1">
            <w:pPr>
              <w:spacing w:after="0" w:line="240" w:lineRule="auto"/>
              <w:jc w:val="center"/>
            </w:pPr>
            <w:r>
              <w:t>19</w:t>
            </w:r>
          </w:p>
        </w:tc>
        <w:tc>
          <w:tcPr>
            <w:tcW w:w="1080" w:type="dxa"/>
            <w:shd w:val="clear" w:color="auto" w:fill="BFBFBF" w:themeFill="background1" w:themeFillShade="BF"/>
          </w:tcPr>
          <w:p w14:paraId="05964D31" w14:textId="77777777" w:rsidR="00531520" w:rsidRPr="00D21BCE" w:rsidRDefault="00531520" w:rsidP="002350D1">
            <w:pPr>
              <w:spacing w:after="0" w:line="240" w:lineRule="auto"/>
              <w:jc w:val="center"/>
            </w:pPr>
            <w:r>
              <w:t>38</w:t>
            </w:r>
          </w:p>
        </w:tc>
        <w:tc>
          <w:tcPr>
            <w:tcW w:w="1350" w:type="dxa"/>
            <w:shd w:val="clear" w:color="auto" w:fill="BFBFBF" w:themeFill="background1" w:themeFillShade="BF"/>
          </w:tcPr>
          <w:p w14:paraId="721BFEF4" w14:textId="77777777" w:rsidR="00531520" w:rsidRPr="00D21BCE" w:rsidRDefault="00531520" w:rsidP="002350D1">
            <w:pPr>
              <w:spacing w:after="0" w:line="240" w:lineRule="auto"/>
              <w:jc w:val="center"/>
            </w:pPr>
            <w:r>
              <w:t>5</w:t>
            </w:r>
          </w:p>
        </w:tc>
        <w:tc>
          <w:tcPr>
            <w:tcW w:w="1008" w:type="dxa"/>
            <w:shd w:val="clear" w:color="auto" w:fill="BFBFBF" w:themeFill="background1" w:themeFillShade="BF"/>
          </w:tcPr>
          <w:p w14:paraId="3710D2A6" w14:textId="77777777" w:rsidR="00531520" w:rsidRPr="00D21BCE" w:rsidRDefault="00531520" w:rsidP="002350D1">
            <w:pPr>
              <w:spacing w:after="0" w:line="240" w:lineRule="auto"/>
              <w:jc w:val="center"/>
            </w:pPr>
            <w:r>
              <w:t>2.6</w:t>
            </w:r>
          </w:p>
        </w:tc>
      </w:tr>
      <w:tr w:rsidR="00531520" w:rsidRPr="00D21BCE" w14:paraId="49C3F786" w14:textId="77777777" w:rsidTr="00E14984">
        <w:tc>
          <w:tcPr>
            <w:tcW w:w="2970" w:type="dxa"/>
            <w:vMerge/>
            <w:shd w:val="clear" w:color="auto" w:fill="BFBFBF" w:themeFill="background1" w:themeFillShade="BF"/>
          </w:tcPr>
          <w:p w14:paraId="646E6A76" w14:textId="77777777" w:rsidR="00531520" w:rsidRPr="00D21BCE" w:rsidRDefault="00531520" w:rsidP="002350D1">
            <w:pPr>
              <w:spacing w:after="0" w:line="240" w:lineRule="auto"/>
            </w:pPr>
          </w:p>
        </w:tc>
        <w:tc>
          <w:tcPr>
            <w:tcW w:w="900" w:type="dxa"/>
            <w:shd w:val="clear" w:color="auto" w:fill="BFBFBF" w:themeFill="background1" w:themeFillShade="BF"/>
          </w:tcPr>
          <w:p w14:paraId="7AF70C5A" w14:textId="77777777" w:rsidR="00531520" w:rsidRPr="00D21BCE" w:rsidRDefault="00531520" w:rsidP="002350D1">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350" w:type="dxa"/>
            <w:shd w:val="clear" w:color="auto" w:fill="BFBFBF" w:themeFill="background1" w:themeFillShade="BF"/>
          </w:tcPr>
          <w:p w14:paraId="72A1D094" w14:textId="77777777" w:rsidR="00531520" w:rsidRPr="00D21BCE" w:rsidRDefault="00531520" w:rsidP="002350D1">
            <w:pPr>
              <w:spacing w:after="0" w:line="240" w:lineRule="auto"/>
              <w:jc w:val="center"/>
            </w:pPr>
            <w:r>
              <w:t>11</w:t>
            </w:r>
            <w:r w:rsidRPr="0041687D">
              <w:t>%</w:t>
            </w:r>
          </w:p>
        </w:tc>
        <w:tc>
          <w:tcPr>
            <w:tcW w:w="1080" w:type="dxa"/>
            <w:shd w:val="clear" w:color="auto" w:fill="BFBFBF" w:themeFill="background1" w:themeFillShade="BF"/>
          </w:tcPr>
          <w:p w14:paraId="44CBAF95" w14:textId="77777777" w:rsidR="00531520" w:rsidRPr="00D21BCE" w:rsidRDefault="00531520" w:rsidP="002350D1">
            <w:pPr>
              <w:spacing w:after="0" w:line="240" w:lineRule="auto"/>
              <w:jc w:val="center"/>
            </w:pPr>
            <w:r>
              <w:t>27</w:t>
            </w:r>
            <w:r w:rsidRPr="0041687D">
              <w:t>%</w:t>
            </w:r>
          </w:p>
        </w:tc>
        <w:tc>
          <w:tcPr>
            <w:tcW w:w="1080" w:type="dxa"/>
            <w:shd w:val="clear" w:color="auto" w:fill="BFBFBF" w:themeFill="background1" w:themeFillShade="BF"/>
          </w:tcPr>
          <w:p w14:paraId="551BBDAC" w14:textId="77777777" w:rsidR="00531520" w:rsidRPr="00D21BCE" w:rsidRDefault="00531520" w:rsidP="002350D1">
            <w:pPr>
              <w:spacing w:after="0" w:line="240" w:lineRule="auto"/>
              <w:jc w:val="center"/>
            </w:pPr>
            <w:r>
              <w:t>54</w:t>
            </w:r>
            <w:r w:rsidRPr="0041687D">
              <w:t>%</w:t>
            </w:r>
          </w:p>
        </w:tc>
        <w:tc>
          <w:tcPr>
            <w:tcW w:w="1350" w:type="dxa"/>
            <w:shd w:val="clear" w:color="auto" w:fill="BFBFBF" w:themeFill="background1" w:themeFillShade="BF"/>
          </w:tcPr>
          <w:p w14:paraId="24484175" w14:textId="77777777" w:rsidR="00531520" w:rsidRPr="00D21BCE" w:rsidRDefault="00531520" w:rsidP="002350D1">
            <w:pPr>
              <w:spacing w:after="0" w:line="240" w:lineRule="auto"/>
              <w:jc w:val="center"/>
            </w:pPr>
            <w:r>
              <w:t>7</w:t>
            </w:r>
            <w:r w:rsidRPr="0041687D">
              <w:t>%</w:t>
            </w:r>
          </w:p>
        </w:tc>
        <w:tc>
          <w:tcPr>
            <w:tcW w:w="1008" w:type="dxa"/>
            <w:shd w:val="clear" w:color="auto" w:fill="BFBFBF" w:themeFill="background1" w:themeFillShade="BF"/>
          </w:tcPr>
          <w:p w14:paraId="0303F468" w14:textId="77777777" w:rsidR="00531520" w:rsidRPr="00D21BCE" w:rsidRDefault="00531520" w:rsidP="002350D1">
            <w:pPr>
              <w:spacing w:after="0" w:line="240" w:lineRule="auto"/>
              <w:jc w:val="center"/>
            </w:pPr>
          </w:p>
        </w:tc>
      </w:tr>
      <w:tr w:rsidR="00531520" w:rsidRPr="00D21BCE" w14:paraId="76AAC172" w14:textId="77777777" w:rsidTr="00E14984">
        <w:tc>
          <w:tcPr>
            <w:tcW w:w="2970" w:type="dxa"/>
            <w:vMerge w:val="restart"/>
          </w:tcPr>
          <w:p w14:paraId="7DFB9CEE" w14:textId="77777777" w:rsidR="00531520" w:rsidRPr="00D21BCE" w:rsidRDefault="00531520" w:rsidP="002350D1">
            <w:pPr>
              <w:spacing w:after="0" w:line="240" w:lineRule="auto"/>
              <w:rPr>
                <w:rFonts w:ascii="Calibri" w:hAnsi="Calibri"/>
                <w:color w:val="000000"/>
              </w:rPr>
            </w:pPr>
            <w:r>
              <w:rPr>
                <w:rFonts w:ascii="Calibri" w:hAnsi="Calibri"/>
                <w:color w:val="000000"/>
              </w:rPr>
              <w:t>10.  The teacher uses a variety of instructional strategies.</w:t>
            </w:r>
          </w:p>
        </w:tc>
        <w:tc>
          <w:tcPr>
            <w:tcW w:w="900" w:type="dxa"/>
          </w:tcPr>
          <w:p w14:paraId="38C051B8" w14:textId="77777777" w:rsidR="00531520" w:rsidRPr="00D21BCE" w:rsidRDefault="00531520" w:rsidP="002350D1">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350" w:type="dxa"/>
          </w:tcPr>
          <w:p w14:paraId="450BD20A" w14:textId="77777777" w:rsidR="00531520" w:rsidRPr="00D21BCE" w:rsidRDefault="00531520" w:rsidP="002350D1">
            <w:pPr>
              <w:spacing w:after="0" w:line="240" w:lineRule="auto"/>
              <w:jc w:val="center"/>
            </w:pPr>
            <w:r>
              <w:t>0</w:t>
            </w:r>
            <w:r w:rsidRPr="0041687D">
              <w:t>%</w:t>
            </w:r>
          </w:p>
        </w:tc>
        <w:tc>
          <w:tcPr>
            <w:tcW w:w="1080" w:type="dxa"/>
          </w:tcPr>
          <w:p w14:paraId="7185AD6F" w14:textId="77777777" w:rsidR="00531520" w:rsidRPr="00D21BCE" w:rsidRDefault="00531520" w:rsidP="002350D1">
            <w:pPr>
              <w:spacing w:after="0" w:line="240" w:lineRule="auto"/>
              <w:jc w:val="center"/>
            </w:pPr>
            <w:r>
              <w:t>29</w:t>
            </w:r>
            <w:r w:rsidRPr="0041687D">
              <w:t>%</w:t>
            </w:r>
          </w:p>
        </w:tc>
        <w:tc>
          <w:tcPr>
            <w:tcW w:w="1080" w:type="dxa"/>
          </w:tcPr>
          <w:p w14:paraId="305B796E" w14:textId="77777777" w:rsidR="00531520" w:rsidRPr="00D21BCE" w:rsidRDefault="00531520" w:rsidP="002350D1">
            <w:pPr>
              <w:spacing w:after="0" w:line="240" w:lineRule="auto"/>
              <w:jc w:val="center"/>
            </w:pPr>
            <w:r>
              <w:t>71</w:t>
            </w:r>
            <w:r w:rsidRPr="0041687D">
              <w:t>%</w:t>
            </w:r>
          </w:p>
        </w:tc>
        <w:tc>
          <w:tcPr>
            <w:tcW w:w="1350" w:type="dxa"/>
          </w:tcPr>
          <w:p w14:paraId="404E3F69" w14:textId="77777777" w:rsidR="00531520" w:rsidRPr="00D21BCE" w:rsidRDefault="00531520" w:rsidP="002350D1">
            <w:pPr>
              <w:spacing w:after="0" w:line="240" w:lineRule="auto"/>
              <w:jc w:val="center"/>
            </w:pPr>
            <w:r>
              <w:t>0</w:t>
            </w:r>
            <w:r w:rsidRPr="0041687D">
              <w:t>%</w:t>
            </w:r>
          </w:p>
        </w:tc>
        <w:tc>
          <w:tcPr>
            <w:tcW w:w="1008" w:type="dxa"/>
          </w:tcPr>
          <w:p w14:paraId="14E37FCE" w14:textId="77777777" w:rsidR="00531520" w:rsidRPr="00D21BCE" w:rsidRDefault="00531520" w:rsidP="002350D1">
            <w:pPr>
              <w:spacing w:after="0" w:line="240" w:lineRule="auto"/>
              <w:jc w:val="center"/>
            </w:pPr>
            <w:r>
              <w:t>2.7</w:t>
            </w:r>
          </w:p>
        </w:tc>
      </w:tr>
      <w:tr w:rsidR="00531520" w:rsidRPr="00D21BCE" w14:paraId="3BFE96DB" w14:textId="77777777" w:rsidTr="00E14984">
        <w:tc>
          <w:tcPr>
            <w:tcW w:w="2970" w:type="dxa"/>
            <w:vMerge/>
          </w:tcPr>
          <w:p w14:paraId="0FCC3AC9" w14:textId="77777777" w:rsidR="00531520" w:rsidRPr="00D21BCE" w:rsidRDefault="00531520" w:rsidP="002350D1">
            <w:pPr>
              <w:spacing w:after="0" w:line="240" w:lineRule="auto"/>
            </w:pPr>
          </w:p>
        </w:tc>
        <w:tc>
          <w:tcPr>
            <w:tcW w:w="900" w:type="dxa"/>
          </w:tcPr>
          <w:p w14:paraId="28F7FAFA" w14:textId="77777777" w:rsidR="00531520" w:rsidRPr="00D21BCE" w:rsidRDefault="00531520" w:rsidP="002350D1">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350" w:type="dxa"/>
          </w:tcPr>
          <w:p w14:paraId="4C640703" w14:textId="77777777" w:rsidR="00531520" w:rsidRPr="00D21BCE" w:rsidRDefault="00531520" w:rsidP="002350D1">
            <w:pPr>
              <w:spacing w:after="0" w:line="240" w:lineRule="auto"/>
              <w:jc w:val="center"/>
            </w:pPr>
            <w:r>
              <w:t>13</w:t>
            </w:r>
            <w:r w:rsidRPr="0041687D">
              <w:t>%</w:t>
            </w:r>
          </w:p>
        </w:tc>
        <w:tc>
          <w:tcPr>
            <w:tcW w:w="1080" w:type="dxa"/>
          </w:tcPr>
          <w:p w14:paraId="346DCECA" w14:textId="77777777" w:rsidR="00531520" w:rsidRPr="00D21BCE" w:rsidRDefault="00531520" w:rsidP="002350D1">
            <w:pPr>
              <w:spacing w:after="0" w:line="240" w:lineRule="auto"/>
              <w:jc w:val="center"/>
            </w:pPr>
            <w:r>
              <w:t>57</w:t>
            </w:r>
            <w:r w:rsidRPr="0041687D">
              <w:t>%</w:t>
            </w:r>
          </w:p>
        </w:tc>
        <w:tc>
          <w:tcPr>
            <w:tcW w:w="1080" w:type="dxa"/>
          </w:tcPr>
          <w:p w14:paraId="73A2E6E8" w14:textId="77777777" w:rsidR="00531520" w:rsidRPr="00D21BCE" w:rsidRDefault="00531520" w:rsidP="002350D1">
            <w:pPr>
              <w:spacing w:after="0" w:line="240" w:lineRule="auto"/>
              <w:jc w:val="center"/>
            </w:pPr>
            <w:r>
              <w:t>26</w:t>
            </w:r>
            <w:r w:rsidRPr="0041687D">
              <w:t>%</w:t>
            </w:r>
          </w:p>
        </w:tc>
        <w:tc>
          <w:tcPr>
            <w:tcW w:w="1350" w:type="dxa"/>
          </w:tcPr>
          <w:p w14:paraId="4B815614" w14:textId="77777777" w:rsidR="00531520" w:rsidRPr="00D21BCE" w:rsidRDefault="00531520" w:rsidP="002350D1">
            <w:pPr>
              <w:spacing w:after="0" w:line="240" w:lineRule="auto"/>
              <w:jc w:val="center"/>
            </w:pPr>
            <w:r>
              <w:t>4</w:t>
            </w:r>
            <w:r w:rsidRPr="0041687D">
              <w:t>%</w:t>
            </w:r>
          </w:p>
        </w:tc>
        <w:tc>
          <w:tcPr>
            <w:tcW w:w="1008" w:type="dxa"/>
          </w:tcPr>
          <w:p w14:paraId="3BD02A96" w14:textId="77777777" w:rsidR="00531520" w:rsidRPr="00D21BCE" w:rsidRDefault="00531520" w:rsidP="002350D1">
            <w:pPr>
              <w:spacing w:after="0" w:line="240" w:lineRule="auto"/>
              <w:jc w:val="center"/>
            </w:pPr>
            <w:r>
              <w:t>2.2</w:t>
            </w:r>
          </w:p>
        </w:tc>
      </w:tr>
      <w:tr w:rsidR="00531520" w:rsidRPr="00D21BCE" w14:paraId="31165078" w14:textId="77777777" w:rsidTr="00E14984">
        <w:tc>
          <w:tcPr>
            <w:tcW w:w="2970" w:type="dxa"/>
            <w:vMerge/>
          </w:tcPr>
          <w:p w14:paraId="30EE2BA6" w14:textId="77777777" w:rsidR="00531520" w:rsidRPr="00D21BCE" w:rsidRDefault="00531520" w:rsidP="002350D1">
            <w:pPr>
              <w:spacing w:after="0" w:line="240" w:lineRule="auto"/>
            </w:pPr>
          </w:p>
        </w:tc>
        <w:tc>
          <w:tcPr>
            <w:tcW w:w="900" w:type="dxa"/>
          </w:tcPr>
          <w:p w14:paraId="3C0D3BD9" w14:textId="77777777" w:rsidR="00531520" w:rsidRPr="00D21BCE" w:rsidRDefault="00531520" w:rsidP="002350D1">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350" w:type="dxa"/>
          </w:tcPr>
          <w:p w14:paraId="62BDC4AE" w14:textId="77777777" w:rsidR="00531520" w:rsidRPr="00D21BCE" w:rsidRDefault="00531520" w:rsidP="002350D1">
            <w:pPr>
              <w:spacing w:after="0" w:line="240" w:lineRule="auto"/>
              <w:jc w:val="center"/>
            </w:pPr>
            <w:r>
              <w:t>12</w:t>
            </w:r>
            <w:r w:rsidRPr="0041687D">
              <w:t>%</w:t>
            </w:r>
          </w:p>
        </w:tc>
        <w:tc>
          <w:tcPr>
            <w:tcW w:w="1080" w:type="dxa"/>
          </w:tcPr>
          <w:p w14:paraId="252F20AD" w14:textId="77777777" w:rsidR="00531520" w:rsidRPr="00D21BCE" w:rsidRDefault="00531520" w:rsidP="002350D1">
            <w:pPr>
              <w:spacing w:after="0" w:line="240" w:lineRule="auto"/>
              <w:jc w:val="center"/>
            </w:pPr>
            <w:r>
              <w:t>50</w:t>
            </w:r>
            <w:r w:rsidRPr="0041687D">
              <w:t>%</w:t>
            </w:r>
          </w:p>
        </w:tc>
        <w:tc>
          <w:tcPr>
            <w:tcW w:w="1080" w:type="dxa"/>
          </w:tcPr>
          <w:p w14:paraId="1C05620B" w14:textId="77777777" w:rsidR="00531520" w:rsidRPr="00D21BCE" w:rsidRDefault="00531520" w:rsidP="002350D1">
            <w:pPr>
              <w:spacing w:after="0" w:line="240" w:lineRule="auto"/>
              <w:jc w:val="center"/>
            </w:pPr>
            <w:r>
              <w:t>38</w:t>
            </w:r>
            <w:r w:rsidRPr="0041687D">
              <w:t>%</w:t>
            </w:r>
          </w:p>
        </w:tc>
        <w:tc>
          <w:tcPr>
            <w:tcW w:w="1350" w:type="dxa"/>
          </w:tcPr>
          <w:p w14:paraId="158F07A1" w14:textId="77777777" w:rsidR="00531520" w:rsidRPr="00D21BCE" w:rsidRDefault="00531520" w:rsidP="002350D1">
            <w:pPr>
              <w:spacing w:after="0" w:line="240" w:lineRule="auto"/>
              <w:jc w:val="center"/>
            </w:pPr>
            <w:r>
              <w:t>0</w:t>
            </w:r>
            <w:r w:rsidRPr="0041687D">
              <w:t>%</w:t>
            </w:r>
          </w:p>
        </w:tc>
        <w:tc>
          <w:tcPr>
            <w:tcW w:w="1008" w:type="dxa"/>
          </w:tcPr>
          <w:p w14:paraId="2B2477D8" w14:textId="77777777" w:rsidR="00531520" w:rsidRPr="00D21BCE" w:rsidRDefault="00531520" w:rsidP="002350D1">
            <w:pPr>
              <w:spacing w:after="0" w:line="240" w:lineRule="auto"/>
              <w:jc w:val="center"/>
            </w:pPr>
            <w:r>
              <w:t>2.3</w:t>
            </w:r>
          </w:p>
        </w:tc>
      </w:tr>
      <w:tr w:rsidR="00531520" w:rsidRPr="00D21BCE" w14:paraId="252D891F" w14:textId="77777777" w:rsidTr="00E14984">
        <w:tc>
          <w:tcPr>
            <w:tcW w:w="2970" w:type="dxa"/>
            <w:vMerge/>
          </w:tcPr>
          <w:p w14:paraId="4019CB82" w14:textId="77777777" w:rsidR="00531520" w:rsidRPr="00D21BCE" w:rsidRDefault="00531520" w:rsidP="002350D1">
            <w:pPr>
              <w:spacing w:after="0" w:line="240" w:lineRule="auto"/>
            </w:pPr>
          </w:p>
        </w:tc>
        <w:tc>
          <w:tcPr>
            <w:tcW w:w="900" w:type="dxa"/>
          </w:tcPr>
          <w:p w14:paraId="38A111BE" w14:textId="77777777" w:rsidR="00531520" w:rsidRPr="00D21BCE" w:rsidRDefault="00531520" w:rsidP="002350D1">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350" w:type="dxa"/>
          </w:tcPr>
          <w:p w14:paraId="163285DC" w14:textId="77777777" w:rsidR="00531520" w:rsidRPr="00D21BCE" w:rsidRDefault="00531520" w:rsidP="002350D1">
            <w:pPr>
              <w:spacing w:after="0" w:line="240" w:lineRule="auto"/>
              <w:jc w:val="center"/>
            </w:pPr>
            <w:r>
              <w:t>6</w:t>
            </w:r>
          </w:p>
        </w:tc>
        <w:tc>
          <w:tcPr>
            <w:tcW w:w="1080" w:type="dxa"/>
          </w:tcPr>
          <w:p w14:paraId="2B46089D" w14:textId="77777777" w:rsidR="00531520" w:rsidRPr="00D21BCE" w:rsidRDefault="00531520" w:rsidP="002350D1">
            <w:pPr>
              <w:spacing w:after="0" w:line="240" w:lineRule="auto"/>
              <w:jc w:val="center"/>
            </w:pPr>
            <w:r>
              <w:t>32</w:t>
            </w:r>
          </w:p>
        </w:tc>
        <w:tc>
          <w:tcPr>
            <w:tcW w:w="1080" w:type="dxa"/>
          </w:tcPr>
          <w:p w14:paraId="38C531A6" w14:textId="77777777" w:rsidR="00531520" w:rsidRPr="00D21BCE" w:rsidRDefault="00531520" w:rsidP="002350D1">
            <w:pPr>
              <w:spacing w:after="0" w:line="240" w:lineRule="auto"/>
              <w:jc w:val="center"/>
            </w:pPr>
            <w:r>
              <w:t>31</w:t>
            </w:r>
          </w:p>
        </w:tc>
        <w:tc>
          <w:tcPr>
            <w:tcW w:w="1350" w:type="dxa"/>
          </w:tcPr>
          <w:p w14:paraId="000E7324" w14:textId="77777777" w:rsidR="00531520" w:rsidRPr="00D21BCE" w:rsidRDefault="00531520" w:rsidP="002350D1">
            <w:pPr>
              <w:spacing w:after="0" w:line="240" w:lineRule="auto"/>
              <w:jc w:val="center"/>
            </w:pPr>
            <w:r>
              <w:t>1</w:t>
            </w:r>
          </w:p>
        </w:tc>
        <w:tc>
          <w:tcPr>
            <w:tcW w:w="1008" w:type="dxa"/>
          </w:tcPr>
          <w:p w14:paraId="4563EAA5" w14:textId="77777777" w:rsidR="00531520" w:rsidRPr="00D21BCE" w:rsidRDefault="00531520" w:rsidP="002350D1">
            <w:pPr>
              <w:spacing w:after="0" w:line="240" w:lineRule="auto"/>
              <w:jc w:val="center"/>
            </w:pPr>
            <w:r>
              <w:t>2.4</w:t>
            </w:r>
          </w:p>
        </w:tc>
      </w:tr>
      <w:tr w:rsidR="00531520" w:rsidRPr="00D21BCE" w14:paraId="586FF360" w14:textId="77777777" w:rsidTr="00E14984">
        <w:tc>
          <w:tcPr>
            <w:tcW w:w="2970" w:type="dxa"/>
            <w:vMerge/>
          </w:tcPr>
          <w:p w14:paraId="5EF22ED2" w14:textId="77777777" w:rsidR="00531520" w:rsidRPr="00D21BCE" w:rsidRDefault="00531520" w:rsidP="002350D1">
            <w:pPr>
              <w:spacing w:after="0" w:line="240" w:lineRule="auto"/>
            </w:pPr>
          </w:p>
        </w:tc>
        <w:tc>
          <w:tcPr>
            <w:tcW w:w="900" w:type="dxa"/>
          </w:tcPr>
          <w:p w14:paraId="0BFB0FD9" w14:textId="77777777" w:rsidR="00531520" w:rsidRPr="00D21BCE" w:rsidRDefault="00531520" w:rsidP="002350D1">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350" w:type="dxa"/>
          </w:tcPr>
          <w:p w14:paraId="399BBE57" w14:textId="77777777" w:rsidR="00531520" w:rsidRPr="00D21BCE" w:rsidRDefault="00531520" w:rsidP="002350D1">
            <w:pPr>
              <w:spacing w:after="0" w:line="240" w:lineRule="auto"/>
              <w:jc w:val="center"/>
            </w:pPr>
            <w:r>
              <w:t>9</w:t>
            </w:r>
            <w:r w:rsidRPr="0041687D">
              <w:t>%</w:t>
            </w:r>
          </w:p>
        </w:tc>
        <w:tc>
          <w:tcPr>
            <w:tcW w:w="1080" w:type="dxa"/>
          </w:tcPr>
          <w:p w14:paraId="26E1E686" w14:textId="77777777" w:rsidR="00531520" w:rsidRPr="00D21BCE" w:rsidRDefault="00531520" w:rsidP="002350D1">
            <w:pPr>
              <w:spacing w:after="0" w:line="240" w:lineRule="auto"/>
              <w:jc w:val="center"/>
            </w:pPr>
            <w:r>
              <w:t>46</w:t>
            </w:r>
            <w:r w:rsidRPr="0041687D">
              <w:t>%</w:t>
            </w:r>
          </w:p>
        </w:tc>
        <w:tc>
          <w:tcPr>
            <w:tcW w:w="1080" w:type="dxa"/>
          </w:tcPr>
          <w:p w14:paraId="43557121" w14:textId="77777777" w:rsidR="00531520" w:rsidRPr="00D21BCE" w:rsidRDefault="00531520" w:rsidP="002350D1">
            <w:pPr>
              <w:spacing w:after="0" w:line="240" w:lineRule="auto"/>
              <w:jc w:val="center"/>
            </w:pPr>
            <w:r>
              <w:t>44</w:t>
            </w:r>
            <w:r w:rsidRPr="0041687D">
              <w:t>%</w:t>
            </w:r>
          </w:p>
        </w:tc>
        <w:tc>
          <w:tcPr>
            <w:tcW w:w="1350" w:type="dxa"/>
          </w:tcPr>
          <w:p w14:paraId="3FE1DFA5" w14:textId="77777777" w:rsidR="00531520" w:rsidRPr="00D21BCE" w:rsidRDefault="00531520" w:rsidP="002350D1">
            <w:pPr>
              <w:spacing w:after="0" w:line="240" w:lineRule="auto"/>
              <w:jc w:val="center"/>
            </w:pPr>
            <w:r>
              <w:t>1</w:t>
            </w:r>
            <w:r w:rsidRPr="0041687D">
              <w:t>%</w:t>
            </w:r>
          </w:p>
        </w:tc>
        <w:tc>
          <w:tcPr>
            <w:tcW w:w="1008" w:type="dxa"/>
          </w:tcPr>
          <w:p w14:paraId="574DA2EB" w14:textId="77777777" w:rsidR="00531520" w:rsidRPr="00D21BCE" w:rsidRDefault="00531520" w:rsidP="002350D1">
            <w:pPr>
              <w:spacing w:after="0" w:line="240" w:lineRule="auto"/>
              <w:jc w:val="center"/>
            </w:pPr>
          </w:p>
        </w:tc>
      </w:tr>
      <w:tr w:rsidR="00531520" w:rsidRPr="00D21BCE" w14:paraId="2A37195A" w14:textId="77777777" w:rsidTr="00E14984">
        <w:tc>
          <w:tcPr>
            <w:tcW w:w="2970" w:type="dxa"/>
            <w:vMerge w:val="restart"/>
            <w:shd w:val="clear" w:color="auto" w:fill="BFBFBF" w:themeFill="background1" w:themeFillShade="BF"/>
          </w:tcPr>
          <w:p w14:paraId="59D89A31" w14:textId="77777777" w:rsidR="00531520" w:rsidRPr="00D21BCE" w:rsidRDefault="00531520" w:rsidP="002350D1">
            <w:pPr>
              <w:spacing w:after="0" w:line="240" w:lineRule="auto"/>
              <w:rPr>
                <w:rFonts w:ascii="Calibri" w:hAnsi="Calibri"/>
                <w:color w:val="000000"/>
              </w:rPr>
            </w:pPr>
            <w:r>
              <w:rPr>
                <w:rFonts w:ascii="Calibri" w:hAnsi="Calibri"/>
                <w:color w:val="000000"/>
              </w:rPr>
              <w:t>11.  Classroom routines and positive supports are in place to ensure that students behave appropriately.</w:t>
            </w:r>
          </w:p>
        </w:tc>
        <w:tc>
          <w:tcPr>
            <w:tcW w:w="900" w:type="dxa"/>
            <w:shd w:val="clear" w:color="auto" w:fill="BFBFBF" w:themeFill="background1" w:themeFillShade="BF"/>
          </w:tcPr>
          <w:p w14:paraId="65A02E5A" w14:textId="77777777" w:rsidR="00531520" w:rsidRPr="00D21BCE" w:rsidRDefault="00531520" w:rsidP="002350D1">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350" w:type="dxa"/>
            <w:shd w:val="clear" w:color="auto" w:fill="BFBFBF" w:themeFill="background1" w:themeFillShade="BF"/>
          </w:tcPr>
          <w:p w14:paraId="4D1F29C2" w14:textId="77777777" w:rsidR="00531520" w:rsidRPr="00D21BCE" w:rsidRDefault="00531520" w:rsidP="002350D1">
            <w:pPr>
              <w:spacing w:after="0" w:line="240" w:lineRule="auto"/>
              <w:jc w:val="center"/>
            </w:pPr>
            <w:r>
              <w:t>0</w:t>
            </w:r>
            <w:r w:rsidRPr="00F36137">
              <w:t>%</w:t>
            </w:r>
          </w:p>
        </w:tc>
        <w:tc>
          <w:tcPr>
            <w:tcW w:w="1080" w:type="dxa"/>
            <w:shd w:val="clear" w:color="auto" w:fill="BFBFBF" w:themeFill="background1" w:themeFillShade="BF"/>
          </w:tcPr>
          <w:p w14:paraId="3F91C301" w14:textId="77777777" w:rsidR="00531520" w:rsidRPr="00D21BCE" w:rsidRDefault="00531520" w:rsidP="002350D1">
            <w:pPr>
              <w:spacing w:after="0" w:line="240" w:lineRule="auto"/>
              <w:jc w:val="center"/>
            </w:pPr>
            <w:r>
              <w:t>5</w:t>
            </w:r>
            <w:r w:rsidRPr="00F36137">
              <w:t>%</w:t>
            </w:r>
          </w:p>
        </w:tc>
        <w:tc>
          <w:tcPr>
            <w:tcW w:w="1080" w:type="dxa"/>
            <w:shd w:val="clear" w:color="auto" w:fill="BFBFBF" w:themeFill="background1" w:themeFillShade="BF"/>
          </w:tcPr>
          <w:p w14:paraId="55F2DACC" w14:textId="77777777" w:rsidR="00531520" w:rsidRPr="00D21BCE" w:rsidRDefault="00531520" w:rsidP="002350D1">
            <w:pPr>
              <w:spacing w:after="0" w:line="240" w:lineRule="auto"/>
              <w:jc w:val="center"/>
            </w:pPr>
            <w:r>
              <w:t>71</w:t>
            </w:r>
            <w:r w:rsidRPr="00F36137">
              <w:t>%</w:t>
            </w:r>
          </w:p>
        </w:tc>
        <w:tc>
          <w:tcPr>
            <w:tcW w:w="1350" w:type="dxa"/>
            <w:shd w:val="clear" w:color="auto" w:fill="BFBFBF" w:themeFill="background1" w:themeFillShade="BF"/>
          </w:tcPr>
          <w:p w14:paraId="60C0B15A" w14:textId="77777777" w:rsidR="00531520" w:rsidRPr="00D21BCE" w:rsidRDefault="00531520" w:rsidP="002350D1">
            <w:pPr>
              <w:spacing w:after="0" w:line="240" w:lineRule="auto"/>
              <w:jc w:val="center"/>
            </w:pPr>
            <w:r>
              <w:t>24</w:t>
            </w:r>
            <w:r w:rsidRPr="00F36137">
              <w:t>%</w:t>
            </w:r>
          </w:p>
        </w:tc>
        <w:tc>
          <w:tcPr>
            <w:tcW w:w="1008" w:type="dxa"/>
            <w:shd w:val="clear" w:color="auto" w:fill="BFBFBF" w:themeFill="background1" w:themeFillShade="BF"/>
          </w:tcPr>
          <w:p w14:paraId="5B60C374" w14:textId="77777777" w:rsidR="00531520" w:rsidRPr="00D21BCE" w:rsidRDefault="00531520" w:rsidP="002350D1">
            <w:pPr>
              <w:spacing w:after="0" w:line="240" w:lineRule="auto"/>
              <w:jc w:val="center"/>
            </w:pPr>
            <w:r>
              <w:t>3.2</w:t>
            </w:r>
          </w:p>
        </w:tc>
      </w:tr>
      <w:tr w:rsidR="00531520" w:rsidRPr="00D21BCE" w14:paraId="07CCC919" w14:textId="77777777" w:rsidTr="00E14984">
        <w:tc>
          <w:tcPr>
            <w:tcW w:w="2970" w:type="dxa"/>
            <w:vMerge/>
            <w:shd w:val="clear" w:color="auto" w:fill="BFBFBF" w:themeFill="background1" w:themeFillShade="BF"/>
          </w:tcPr>
          <w:p w14:paraId="1ED44DDD" w14:textId="77777777" w:rsidR="00531520" w:rsidRPr="00D21BCE" w:rsidRDefault="00531520" w:rsidP="002350D1">
            <w:pPr>
              <w:spacing w:after="0" w:line="240" w:lineRule="auto"/>
            </w:pPr>
          </w:p>
        </w:tc>
        <w:tc>
          <w:tcPr>
            <w:tcW w:w="900" w:type="dxa"/>
            <w:shd w:val="clear" w:color="auto" w:fill="BFBFBF" w:themeFill="background1" w:themeFillShade="BF"/>
          </w:tcPr>
          <w:p w14:paraId="51BBEBA7" w14:textId="77777777" w:rsidR="00531520" w:rsidRPr="00D21BCE" w:rsidRDefault="00531520" w:rsidP="002350D1">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350" w:type="dxa"/>
            <w:shd w:val="clear" w:color="auto" w:fill="BFBFBF" w:themeFill="background1" w:themeFillShade="BF"/>
          </w:tcPr>
          <w:p w14:paraId="314C53BD" w14:textId="77777777" w:rsidR="00531520" w:rsidRPr="00D21BCE" w:rsidRDefault="00531520" w:rsidP="002350D1">
            <w:pPr>
              <w:spacing w:after="0" w:line="240" w:lineRule="auto"/>
              <w:jc w:val="center"/>
            </w:pPr>
            <w:r>
              <w:t>4</w:t>
            </w:r>
            <w:r w:rsidRPr="00F36137">
              <w:t>%</w:t>
            </w:r>
          </w:p>
        </w:tc>
        <w:tc>
          <w:tcPr>
            <w:tcW w:w="1080" w:type="dxa"/>
            <w:shd w:val="clear" w:color="auto" w:fill="BFBFBF" w:themeFill="background1" w:themeFillShade="BF"/>
          </w:tcPr>
          <w:p w14:paraId="58354CFB" w14:textId="77777777" w:rsidR="00531520" w:rsidRPr="00D21BCE" w:rsidRDefault="00531520" w:rsidP="002350D1">
            <w:pPr>
              <w:spacing w:after="0" w:line="240" w:lineRule="auto"/>
              <w:jc w:val="center"/>
            </w:pPr>
            <w:r>
              <w:t>9</w:t>
            </w:r>
            <w:r w:rsidRPr="00F36137">
              <w:t>%</w:t>
            </w:r>
          </w:p>
        </w:tc>
        <w:tc>
          <w:tcPr>
            <w:tcW w:w="1080" w:type="dxa"/>
            <w:shd w:val="clear" w:color="auto" w:fill="BFBFBF" w:themeFill="background1" w:themeFillShade="BF"/>
          </w:tcPr>
          <w:p w14:paraId="0FD7126D" w14:textId="77777777" w:rsidR="00531520" w:rsidRPr="00D21BCE" w:rsidRDefault="00531520" w:rsidP="002350D1">
            <w:pPr>
              <w:spacing w:after="0" w:line="240" w:lineRule="auto"/>
              <w:jc w:val="center"/>
            </w:pPr>
            <w:r>
              <w:t>74</w:t>
            </w:r>
            <w:r w:rsidRPr="00F36137">
              <w:t>%</w:t>
            </w:r>
          </w:p>
        </w:tc>
        <w:tc>
          <w:tcPr>
            <w:tcW w:w="1350" w:type="dxa"/>
            <w:shd w:val="clear" w:color="auto" w:fill="BFBFBF" w:themeFill="background1" w:themeFillShade="BF"/>
          </w:tcPr>
          <w:p w14:paraId="48EA9FE3" w14:textId="77777777" w:rsidR="00531520" w:rsidRPr="00D21BCE" w:rsidRDefault="00531520" w:rsidP="002350D1">
            <w:pPr>
              <w:spacing w:after="0" w:line="240" w:lineRule="auto"/>
              <w:jc w:val="center"/>
            </w:pPr>
            <w:r>
              <w:t>13</w:t>
            </w:r>
            <w:r w:rsidRPr="00F36137">
              <w:t>%</w:t>
            </w:r>
          </w:p>
        </w:tc>
        <w:tc>
          <w:tcPr>
            <w:tcW w:w="1008" w:type="dxa"/>
            <w:shd w:val="clear" w:color="auto" w:fill="BFBFBF" w:themeFill="background1" w:themeFillShade="BF"/>
          </w:tcPr>
          <w:p w14:paraId="6C049B75" w14:textId="77777777" w:rsidR="00531520" w:rsidRPr="00D21BCE" w:rsidRDefault="00531520" w:rsidP="002350D1">
            <w:pPr>
              <w:spacing w:after="0" w:line="240" w:lineRule="auto"/>
              <w:jc w:val="center"/>
            </w:pPr>
            <w:r>
              <w:t>3.0</w:t>
            </w:r>
          </w:p>
        </w:tc>
      </w:tr>
      <w:tr w:rsidR="00531520" w:rsidRPr="00D21BCE" w14:paraId="060EDA6D" w14:textId="77777777" w:rsidTr="00E14984">
        <w:tc>
          <w:tcPr>
            <w:tcW w:w="2970" w:type="dxa"/>
            <w:vMerge/>
            <w:shd w:val="clear" w:color="auto" w:fill="BFBFBF" w:themeFill="background1" w:themeFillShade="BF"/>
          </w:tcPr>
          <w:p w14:paraId="564B85A5" w14:textId="77777777" w:rsidR="00531520" w:rsidRPr="00D21BCE" w:rsidRDefault="00531520" w:rsidP="002350D1">
            <w:pPr>
              <w:spacing w:after="0" w:line="240" w:lineRule="auto"/>
            </w:pPr>
          </w:p>
        </w:tc>
        <w:tc>
          <w:tcPr>
            <w:tcW w:w="900" w:type="dxa"/>
            <w:shd w:val="clear" w:color="auto" w:fill="BFBFBF" w:themeFill="background1" w:themeFillShade="BF"/>
          </w:tcPr>
          <w:p w14:paraId="2A52E24F" w14:textId="77777777" w:rsidR="00531520" w:rsidRPr="00D21BCE" w:rsidRDefault="00531520" w:rsidP="002350D1">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350" w:type="dxa"/>
            <w:shd w:val="clear" w:color="auto" w:fill="BFBFBF" w:themeFill="background1" w:themeFillShade="BF"/>
          </w:tcPr>
          <w:p w14:paraId="48C0C298" w14:textId="77777777" w:rsidR="00531520" w:rsidRPr="00D21BCE" w:rsidRDefault="00531520" w:rsidP="002350D1">
            <w:pPr>
              <w:spacing w:after="0" w:line="240" w:lineRule="auto"/>
              <w:jc w:val="center"/>
            </w:pPr>
            <w:r>
              <w:t>4</w:t>
            </w:r>
            <w:r w:rsidRPr="00F36137">
              <w:t>%</w:t>
            </w:r>
          </w:p>
        </w:tc>
        <w:tc>
          <w:tcPr>
            <w:tcW w:w="1080" w:type="dxa"/>
            <w:shd w:val="clear" w:color="auto" w:fill="BFBFBF" w:themeFill="background1" w:themeFillShade="BF"/>
          </w:tcPr>
          <w:p w14:paraId="25F62F84" w14:textId="77777777" w:rsidR="00531520" w:rsidRPr="00D21BCE" w:rsidRDefault="00531520" w:rsidP="002350D1">
            <w:pPr>
              <w:spacing w:after="0" w:line="240" w:lineRule="auto"/>
              <w:jc w:val="center"/>
            </w:pPr>
            <w:r>
              <w:t>12</w:t>
            </w:r>
            <w:r w:rsidRPr="00F36137">
              <w:t>%</w:t>
            </w:r>
          </w:p>
        </w:tc>
        <w:tc>
          <w:tcPr>
            <w:tcW w:w="1080" w:type="dxa"/>
            <w:shd w:val="clear" w:color="auto" w:fill="BFBFBF" w:themeFill="background1" w:themeFillShade="BF"/>
          </w:tcPr>
          <w:p w14:paraId="70899CD0" w14:textId="77777777" w:rsidR="00531520" w:rsidRPr="00D21BCE" w:rsidRDefault="00531520" w:rsidP="002350D1">
            <w:pPr>
              <w:spacing w:after="0" w:line="240" w:lineRule="auto"/>
              <w:jc w:val="center"/>
            </w:pPr>
            <w:r>
              <w:t>46</w:t>
            </w:r>
            <w:r w:rsidRPr="00F36137">
              <w:t>%</w:t>
            </w:r>
          </w:p>
        </w:tc>
        <w:tc>
          <w:tcPr>
            <w:tcW w:w="1350" w:type="dxa"/>
            <w:shd w:val="clear" w:color="auto" w:fill="BFBFBF" w:themeFill="background1" w:themeFillShade="BF"/>
          </w:tcPr>
          <w:p w14:paraId="6A51CACD" w14:textId="77777777" w:rsidR="00531520" w:rsidRPr="00D21BCE" w:rsidRDefault="00531520" w:rsidP="002350D1">
            <w:pPr>
              <w:spacing w:after="0" w:line="240" w:lineRule="auto"/>
              <w:jc w:val="center"/>
            </w:pPr>
            <w:r>
              <w:t>38</w:t>
            </w:r>
            <w:r w:rsidRPr="00F36137">
              <w:t>%</w:t>
            </w:r>
          </w:p>
        </w:tc>
        <w:tc>
          <w:tcPr>
            <w:tcW w:w="1008" w:type="dxa"/>
            <w:shd w:val="clear" w:color="auto" w:fill="BFBFBF" w:themeFill="background1" w:themeFillShade="BF"/>
          </w:tcPr>
          <w:p w14:paraId="5EDE0266" w14:textId="77777777" w:rsidR="00531520" w:rsidRPr="00D21BCE" w:rsidRDefault="00531520" w:rsidP="002350D1">
            <w:pPr>
              <w:spacing w:after="0" w:line="240" w:lineRule="auto"/>
              <w:jc w:val="center"/>
            </w:pPr>
            <w:r>
              <w:t>3.2</w:t>
            </w:r>
          </w:p>
        </w:tc>
      </w:tr>
      <w:tr w:rsidR="00531520" w:rsidRPr="00D21BCE" w14:paraId="2096DFAD" w14:textId="77777777" w:rsidTr="00E14984">
        <w:tc>
          <w:tcPr>
            <w:tcW w:w="2970" w:type="dxa"/>
            <w:vMerge/>
            <w:shd w:val="clear" w:color="auto" w:fill="BFBFBF" w:themeFill="background1" w:themeFillShade="BF"/>
          </w:tcPr>
          <w:p w14:paraId="02DE3323" w14:textId="77777777" w:rsidR="00531520" w:rsidRPr="00D21BCE" w:rsidRDefault="00531520" w:rsidP="002350D1">
            <w:pPr>
              <w:spacing w:after="0" w:line="240" w:lineRule="auto"/>
            </w:pPr>
          </w:p>
        </w:tc>
        <w:tc>
          <w:tcPr>
            <w:tcW w:w="900" w:type="dxa"/>
            <w:shd w:val="clear" w:color="auto" w:fill="BFBFBF" w:themeFill="background1" w:themeFillShade="BF"/>
          </w:tcPr>
          <w:p w14:paraId="215C6749" w14:textId="77777777" w:rsidR="00531520" w:rsidRPr="00D21BCE" w:rsidRDefault="00531520" w:rsidP="002350D1">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350" w:type="dxa"/>
            <w:shd w:val="clear" w:color="auto" w:fill="BFBFBF" w:themeFill="background1" w:themeFillShade="BF"/>
          </w:tcPr>
          <w:p w14:paraId="70F31D62" w14:textId="77777777" w:rsidR="00531520" w:rsidRPr="00D21BCE" w:rsidRDefault="00531520" w:rsidP="002350D1">
            <w:pPr>
              <w:spacing w:after="0" w:line="240" w:lineRule="auto"/>
              <w:jc w:val="center"/>
            </w:pPr>
            <w:r>
              <w:t>2</w:t>
            </w:r>
          </w:p>
        </w:tc>
        <w:tc>
          <w:tcPr>
            <w:tcW w:w="1080" w:type="dxa"/>
            <w:shd w:val="clear" w:color="auto" w:fill="BFBFBF" w:themeFill="background1" w:themeFillShade="BF"/>
          </w:tcPr>
          <w:p w14:paraId="39BB1C7B" w14:textId="77777777" w:rsidR="00531520" w:rsidRPr="00D21BCE" w:rsidRDefault="00531520" w:rsidP="002350D1">
            <w:pPr>
              <w:spacing w:after="0" w:line="240" w:lineRule="auto"/>
              <w:jc w:val="center"/>
            </w:pPr>
            <w:r>
              <w:t>6</w:t>
            </w:r>
          </w:p>
        </w:tc>
        <w:tc>
          <w:tcPr>
            <w:tcW w:w="1080" w:type="dxa"/>
            <w:shd w:val="clear" w:color="auto" w:fill="BFBFBF" w:themeFill="background1" w:themeFillShade="BF"/>
          </w:tcPr>
          <w:p w14:paraId="5A407977" w14:textId="77777777" w:rsidR="00531520" w:rsidRPr="00D21BCE" w:rsidRDefault="00531520" w:rsidP="002350D1">
            <w:pPr>
              <w:spacing w:after="0" w:line="240" w:lineRule="auto"/>
              <w:jc w:val="center"/>
            </w:pPr>
            <w:r>
              <w:t>44</w:t>
            </w:r>
          </w:p>
        </w:tc>
        <w:tc>
          <w:tcPr>
            <w:tcW w:w="1350" w:type="dxa"/>
            <w:shd w:val="clear" w:color="auto" w:fill="BFBFBF" w:themeFill="background1" w:themeFillShade="BF"/>
          </w:tcPr>
          <w:p w14:paraId="7680C1D0" w14:textId="77777777" w:rsidR="00531520" w:rsidRPr="00D21BCE" w:rsidRDefault="00531520" w:rsidP="002350D1">
            <w:pPr>
              <w:spacing w:after="0" w:line="240" w:lineRule="auto"/>
              <w:jc w:val="center"/>
            </w:pPr>
            <w:r>
              <w:t>18</w:t>
            </w:r>
          </w:p>
        </w:tc>
        <w:tc>
          <w:tcPr>
            <w:tcW w:w="1008" w:type="dxa"/>
            <w:shd w:val="clear" w:color="auto" w:fill="BFBFBF" w:themeFill="background1" w:themeFillShade="BF"/>
          </w:tcPr>
          <w:p w14:paraId="449844DE" w14:textId="77777777" w:rsidR="00531520" w:rsidRPr="00D21BCE" w:rsidRDefault="00531520" w:rsidP="002350D1">
            <w:pPr>
              <w:spacing w:after="0" w:line="240" w:lineRule="auto"/>
              <w:jc w:val="center"/>
            </w:pPr>
            <w:r>
              <w:t>3.1</w:t>
            </w:r>
          </w:p>
        </w:tc>
      </w:tr>
      <w:tr w:rsidR="00531520" w:rsidRPr="00D21BCE" w14:paraId="421DE9BC" w14:textId="77777777" w:rsidTr="00E14984">
        <w:tc>
          <w:tcPr>
            <w:tcW w:w="2970" w:type="dxa"/>
            <w:vMerge/>
            <w:shd w:val="clear" w:color="auto" w:fill="BFBFBF" w:themeFill="background1" w:themeFillShade="BF"/>
          </w:tcPr>
          <w:p w14:paraId="570FC052" w14:textId="77777777" w:rsidR="00531520" w:rsidRPr="00D21BCE" w:rsidRDefault="00531520" w:rsidP="002350D1">
            <w:pPr>
              <w:spacing w:after="0" w:line="240" w:lineRule="auto"/>
            </w:pPr>
          </w:p>
        </w:tc>
        <w:tc>
          <w:tcPr>
            <w:tcW w:w="900" w:type="dxa"/>
            <w:shd w:val="clear" w:color="auto" w:fill="BFBFBF" w:themeFill="background1" w:themeFillShade="BF"/>
          </w:tcPr>
          <w:p w14:paraId="1251E6C7" w14:textId="77777777" w:rsidR="00531520" w:rsidRPr="00D21BCE" w:rsidRDefault="00531520" w:rsidP="002350D1">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350" w:type="dxa"/>
            <w:shd w:val="clear" w:color="auto" w:fill="BFBFBF" w:themeFill="background1" w:themeFillShade="BF"/>
          </w:tcPr>
          <w:p w14:paraId="6B0F23BA" w14:textId="77777777" w:rsidR="00531520" w:rsidRPr="00D21BCE" w:rsidRDefault="00531520" w:rsidP="002350D1">
            <w:pPr>
              <w:spacing w:after="0" w:line="240" w:lineRule="auto"/>
              <w:jc w:val="center"/>
            </w:pPr>
            <w:r>
              <w:t>3</w:t>
            </w:r>
            <w:r w:rsidRPr="00F36137">
              <w:t>%</w:t>
            </w:r>
          </w:p>
        </w:tc>
        <w:tc>
          <w:tcPr>
            <w:tcW w:w="1080" w:type="dxa"/>
            <w:shd w:val="clear" w:color="auto" w:fill="BFBFBF" w:themeFill="background1" w:themeFillShade="BF"/>
          </w:tcPr>
          <w:p w14:paraId="3EDA82B1" w14:textId="77777777" w:rsidR="00531520" w:rsidRPr="00D21BCE" w:rsidRDefault="00531520" w:rsidP="002350D1">
            <w:pPr>
              <w:spacing w:after="0" w:line="240" w:lineRule="auto"/>
              <w:jc w:val="center"/>
            </w:pPr>
            <w:r>
              <w:t>9</w:t>
            </w:r>
            <w:r w:rsidRPr="00F36137">
              <w:t>%</w:t>
            </w:r>
          </w:p>
        </w:tc>
        <w:tc>
          <w:tcPr>
            <w:tcW w:w="1080" w:type="dxa"/>
            <w:shd w:val="clear" w:color="auto" w:fill="BFBFBF" w:themeFill="background1" w:themeFillShade="BF"/>
          </w:tcPr>
          <w:p w14:paraId="5FD49E56" w14:textId="77777777" w:rsidR="00531520" w:rsidRPr="00D21BCE" w:rsidRDefault="00531520" w:rsidP="002350D1">
            <w:pPr>
              <w:spacing w:after="0" w:line="240" w:lineRule="auto"/>
              <w:jc w:val="center"/>
            </w:pPr>
            <w:r>
              <w:t>63</w:t>
            </w:r>
            <w:r w:rsidRPr="00F36137">
              <w:t>%</w:t>
            </w:r>
          </w:p>
        </w:tc>
        <w:tc>
          <w:tcPr>
            <w:tcW w:w="1350" w:type="dxa"/>
            <w:shd w:val="clear" w:color="auto" w:fill="BFBFBF" w:themeFill="background1" w:themeFillShade="BF"/>
          </w:tcPr>
          <w:p w14:paraId="7ACB2181" w14:textId="77777777" w:rsidR="00531520" w:rsidRPr="00D21BCE" w:rsidRDefault="00531520" w:rsidP="002350D1">
            <w:pPr>
              <w:spacing w:after="0" w:line="240" w:lineRule="auto"/>
              <w:jc w:val="center"/>
            </w:pPr>
            <w:r>
              <w:t>26</w:t>
            </w:r>
            <w:r w:rsidRPr="00F36137">
              <w:t>%</w:t>
            </w:r>
          </w:p>
        </w:tc>
        <w:tc>
          <w:tcPr>
            <w:tcW w:w="1008" w:type="dxa"/>
            <w:shd w:val="clear" w:color="auto" w:fill="BFBFBF" w:themeFill="background1" w:themeFillShade="BF"/>
          </w:tcPr>
          <w:p w14:paraId="5DD15104" w14:textId="77777777" w:rsidR="00531520" w:rsidRPr="00D21BCE" w:rsidRDefault="00531520" w:rsidP="002350D1">
            <w:pPr>
              <w:spacing w:after="0" w:line="240" w:lineRule="auto"/>
              <w:jc w:val="center"/>
            </w:pPr>
          </w:p>
        </w:tc>
      </w:tr>
      <w:tr w:rsidR="00531520" w:rsidRPr="00D21BCE" w14:paraId="482C8652" w14:textId="77777777" w:rsidTr="00E14984">
        <w:tc>
          <w:tcPr>
            <w:tcW w:w="2970" w:type="dxa"/>
            <w:vMerge w:val="restart"/>
          </w:tcPr>
          <w:p w14:paraId="109C9EA0" w14:textId="77777777" w:rsidR="00531520" w:rsidRPr="00D21BCE" w:rsidRDefault="00531520" w:rsidP="002350D1">
            <w:pPr>
              <w:spacing w:after="0" w:line="240" w:lineRule="auto"/>
              <w:rPr>
                <w:rFonts w:ascii="Calibri" w:hAnsi="Calibri"/>
                <w:color w:val="000000"/>
              </w:rPr>
            </w:pPr>
            <w:r>
              <w:rPr>
                <w:rFonts w:ascii="Calibri" w:hAnsi="Calibri"/>
                <w:color w:val="000000"/>
              </w:rPr>
              <w:t>12.  The classroom climate is conducive to teaching and learning.</w:t>
            </w:r>
          </w:p>
        </w:tc>
        <w:tc>
          <w:tcPr>
            <w:tcW w:w="900" w:type="dxa"/>
          </w:tcPr>
          <w:p w14:paraId="637E24FB" w14:textId="77777777" w:rsidR="00531520" w:rsidRPr="00D21BCE" w:rsidRDefault="00531520" w:rsidP="002350D1">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350" w:type="dxa"/>
          </w:tcPr>
          <w:p w14:paraId="795DAE9C" w14:textId="77777777" w:rsidR="00531520" w:rsidRPr="00D21BCE" w:rsidRDefault="00531520" w:rsidP="002350D1">
            <w:pPr>
              <w:spacing w:after="0" w:line="240" w:lineRule="auto"/>
              <w:jc w:val="center"/>
            </w:pPr>
            <w:r>
              <w:t>0</w:t>
            </w:r>
            <w:r w:rsidRPr="00F36137">
              <w:t>%</w:t>
            </w:r>
          </w:p>
        </w:tc>
        <w:tc>
          <w:tcPr>
            <w:tcW w:w="1080" w:type="dxa"/>
          </w:tcPr>
          <w:p w14:paraId="1A00996D" w14:textId="77777777" w:rsidR="00531520" w:rsidRPr="00D21BCE" w:rsidRDefault="00531520" w:rsidP="002350D1">
            <w:pPr>
              <w:spacing w:after="0" w:line="240" w:lineRule="auto"/>
              <w:jc w:val="center"/>
            </w:pPr>
            <w:r>
              <w:t>5</w:t>
            </w:r>
            <w:r w:rsidRPr="00F36137">
              <w:t>%</w:t>
            </w:r>
          </w:p>
        </w:tc>
        <w:tc>
          <w:tcPr>
            <w:tcW w:w="1080" w:type="dxa"/>
          </w:tcPr>
          <w:p w14:paraId="240A9CBA" w14:textId="77777777" w:rsidR="00531520" w:rsidRPr="00D21BCE" w:rsidRDefault="00531520" w:rsidP="002350D1">
            <w:pPr>
              <w:spacing w:after="0" w:line="240" w:lineRule="auto"/>
              <w:jc w:val="center"/>
            </w:pPr>
            <w:r>
              <w:t>81</w:t>
            </w:r>
            <w:r w:rsidRPr="00F36137">
              <w:t>%</w:t>
            </w:r>
          </w:p>
        </w:tc>
        <w:tc>
          <w:tcPr>
            <w:tcW w:w="1350" w:type="dxa"/>
          </w:tcPr>
          <w:p w14:paraId="462B52E7" w14:textId="77777777" w:rsidR="00531520" w:rsidRPr="00D21BCE" w:rsidRDefault="00531520" w:rsidP="002350D1">
            <w:pPr>
              <w:spacing w:after="0" w:line="240" w:lineRule="auto"/>
              <w:jc w:val="center"/>
            </w:pPr>
            <w:r>
              <w:t>14</w:t>
            </w:r>
            <w:r w:rsidRPr="00F36137">
              <w:t>%</w:t>
            </w:r>
          </w:p>
        </w:tc>
        <w:tc>
          <w:tcPr>
            <w:tcW w:w="1008" w:type="dxa"/>
          </w:tcPr>
          <w:p w14:paraId="07183EC3" w14:textId="77777777" w:rsidR="00531520" w:rsidRPr="00D21BCE" w:rsidRDefault="00531520" w:rsidP="002350D1">
            <w:pPr>
              <w:spacing w:after="0" w:line="240" w:lineRule="auto"/>
              <w:jc w:val="center"/>
            </w:pPr>
            <w:r>
              <w:t>3.1</w:t>
            </w:r>
          </w:p>
        </w:tc>
      </w:tr>
      <w:tr w:rsidR="00531520" w:rsidRPr="00D21BCE" w14:paraId="4F184DCA" w14:textId="77777777" w:rsidTr="00E14984">
        <w:tc>
          <w:tcPr>
            <w:tcW w:w="2970" w:type="dxa"/>
            <w:vMerge/>
          </w:tcPr>
          <w:p w14:paraId="6F29DC91" w14:textId="77777777" w:rsidR="00531520" w:rsidRPr="00D21BCE" w:rsidRDefault="00531520" w:rsidP="002350D1">
            <w:pPr>
              <w:spacing w:after="0" w:line="240" w:lineRule="auto"/>
            </w:pPr>
          </w:p>
        </w:tc>
        <w:tc>
          <w:tcPr>
            <w:tcW w:w="900" w:type="dxa"/>
          </w:tcPr>
          <w:p w14:paraId="33FF8C48" w14:textId="77777777" w:rsidR="00531520" w:rsidRPr="00D21BCE" w:rsidRDefault="00531520" w:rsidP="002350D1">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350" w:type="dxa"/>
          </w:tcPr>
          <w:p w14:paraId="6DB56551" w14:textId="77777777" w:rsidR="00531520" w:rsidRPr="00D21BCE" w:rsidRDefault="00531520" w:rsidP="002350D1">
            <w:pPr>
              <w:spacing w:after="0" w:line="240" w:lineRule="auto"/>
              <w:jc w:val="center"/>
            </w:pPr>
            <w:r>
              <w:t>0</w:t>
            </w:r>
            <w:r w:rsidRPr="00F36137">
              <w:t>%</w:t>
            </w:r>
          </w:p>
        </w:tc>
        <w:tc>
          <w:tcPr>
            <w:tcW w:w="1080" w:type="dxa"/>
          </w:tcPr>
          <w:p w14:paraId="62FCD959" w14:textId="77777777" w:rsidR="00531520" w:rsidRPr="00D21BCE" w:rsidRDefault="00531520" w:rsidP="002350D1">
            <w:pPr>
              <w:spacing w:after="0" w:line="240" w:lineRule="auto"/>
              <w:jc w:val="center"/>
            </w:pPr>
            <w:r>
              <w:t>9</w:t>
            </w:r>
            <w:r w:rsidRPr="00F36137">
              <w:t>%</w:t>
            </w:r>
          </w:p>
        </w:tc>
        <w:tc>
          <w:tcPr>
            <w:tcW w:w="1080" w:type="dxa"/>
          </w:tcPr>
          <w:p w14:paraId="192B0E2A" w14:textId="77777777" w:rsidR="00531520" w:rsidRPr="00D21BCE" w:rsidRDefault="00531520" w:rsidP="002350D1">
            <w:pPr>
              <w:spacing w:after="0" w:line="240" w:lineRule="auto"/>
              <w:jc w:val="center"/>
            </w:pPr>
            <w:r>
              <w:t>70</w:t>
            </w:r>
            <w:r w:rsidRPr="00F36137">
              <w:t>%</w:t>
            </w:r>
          </w:p>
        </w:tc>
        <w:tc>
          <w:tcPr>
            <w:tcW w:w="1350" w:type="dxa"/>
          </w:tcPr>
          <w:p w14:paraId="23CB2B24" w14:textId="77777777" w:rsidR="00531520" w:rsidRPr="00D21BCE" w:rsidRDefault="00531520" w:rsidP="002350D1">
            <w:pPr>
              <w:spacing w:after="0" w:line="240" w:lineRule="auto"/>
              <w:jc w:val="center"/>
            </w:pPr>
            <w:r>
              <w:t>22</w:t>
            </w:r>
            <w:r w:rsidRPr="00F36137">
              <w:t>%</w:t>
            </w:r>
          </w:p>
        </w:tc>
        <w:tc>
          <w:tcPr>
            <w:tcW w:w="1008" w:type="dxa"/>
          </w:tcPr>
          <w:p w14:paraId="4442BB4D" w14:textId="77777777" w:rsidR="00531520" w:rsidRPr="00D21BCE" w:rsidRDefault="00531520" w:rsidP="002350D1">
            <w:pPr>
              <w:spacing w:after="0" w:line="240" w:lineRule="auto"/>
              <w:jc w:val="center"/>
            </w:pPr>
            <w:r>
              <w:t>3.1</w:t>
            </w:r>
          </w:p>
        </w:tc>
      </w:tr>
      <w:tr w:rsidR="00531520" w:rsidRPr="00D21BCE" w14:paraId="607812C3" w14:textId="77777777" w:rsidTr="00E14984">
        <w:tc>
          <w:tcPr>
            <w:tcW w:w="2970" w:type="dxa"/>
            <w:vMerge/>
          </w:tcPr>
          <w:p w14:paraId="726D2FE5" w14:textId="77777777" w:rsidR="00531520" w:rsidRPr="00D21BCE" w:rsidRDefault="00531520" w:rsidP="002350D1">
            <w:pPr>
              <w:spacing w:after="0" w:line="240" w:lineRule="auto"/>
            </w:pPr>
          </w:p>
        </w:tc>
        <w:tc>
          <w:tcPr>
            <w:tcW w:w="900" w:type="dxa"/>
          </w:tcPr>
          <w:p w14:paraId="61D36B83" w14:textId="77777777" w:rsidR="00531520" w:rsidRPr="00D21BCE" w:rsidRDefault="00531520" w:rsidP="002350D1">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350" w:type="dxa"/>
          </w:tcPr>
          <w:p w14:paraId="06D05C3B" w14:textId="77777777" w:rsidR="00531520" w:rsidRPr="00D21BCE" w:rsidRDefault="00531520" w:rsidP="002350D1">
            <w:pPr>
              <w:spacing w:after="0" w:line="240" w:lineRule="auto"/>
              <w:jc w:val="center"/>
            </w:pPr>
            <w:r>
              <w:t>0</w:t>
            </w:r>
            <w:r w:rsidRPr="00F36137">
              <w:t>%</w:t>
            </w:r>
          </w:p>
        </w:tc>
        <w:tc>
          <w:tcPr>
            <w:tcW w:w="1080" w:type="dxa"/>
          </w:tcPr>
          <w:p w14:paraId="026EFC88" w14:textId="77777777" w:rsidR="00531520" w:rsidRPr="00D21BCE" w:rsidRDefault="00531520" w:rsidP="002350D1">
            <w:pPr>
              <w:spacing w:after="0" w:line="240" w:lineRule="auto"/>
              <w:jc w:val="center"/>
            </w:pPr>
            <w:r>
              <w:t>15</w:t>
            </w:r>
            <w:r w:rsidRPr="00F36137">
              <w:t>%</w:t>
            </w:r>
          </w:p>
        </w:tc>
        <w:tc>
          <w:tcPr>
            <w:tcW w:w="1080" w:type="dxa"/>
          </w:tcPr>
          <w:p w14:paraId="76DAB09D" w14:textId="77777777" w:rsidR="00531520" w:rsidRPr="00D21BCE" w:rsidRDefault="00531520" w:rsidP="002350D1">
            <w:pPr>
              <w:spacing w:after="0" w:line="240" w:lineRule="auto"/>
              <w:jc w:val="center"/>
            </w:pPr>
            <w:r>
              <w:t>42</w:t>
            </w:r>
            <w:r w:rsidRPr="00F36137">
              <w:t>%</w:t>
            </w:r>
          </w:p>
        </w:tc>
        <w:tc>
          <w:tcPr>
            <w:tcW w:w="1350" w:type="dxa"/>
          </w:tcPr>
          <w:p w14:paraId="3EB6749E" w14:textId="77777777" w:rsidR="00531520" w:rsidRPr="00D21BCE" w:rsidRDefault="00531520" w:rsidP="002350D1">
            <w:pPr>
              <w:spacing w:after="0" w:line="240" w:lineRule="auto"/>
              <w:jc w:val="center"/>
            </w:pPr>
            <w:r>
              <w:t>42</w:t>
            </w:r>
            <w:r w:rsidRPr="00F36137">
              <w:t>%</w:t>
            </w:r>
          </w:p>
        </w:tc>
        <w:tc>
          <w:tcPr>
            <w:tcW w:w="1008" w:type="dxa"/>
          </w:tcPr>
          <w:p w14:paraId="78A4AC6F" w14:textId="77777777" w:rsidR="00531520" w:rsidRPr="00D21BCE" w:rsidRDefault="00531520" w:rsidP="002350D1">
            <w:pPr>
              <w:spacing w:after="0" w:line="240" w:lineRule="auto"/>
              <w:jc w:val="center"/>
            </w:pPr>
            <w:r>
              <w:t>3.3</w:t>
            </w:r>
          </w:p>
        </w:tc>
      </w:tr>
      <w:tr w:rsidR="00531520" w:rsidRPr="00D21BCE" w14:paraId="1F39D0BB" w14:textId="77777777" w:rsidTr="00E14984">
        <w:tc>
          <w:tcPr>
            <w:tcW w:w="2970" w:type="dxa"/>
            <w:vMerge/>
          </w:tcPr>
          <w:p w14:paraId="7974A72A" w14:textId="77777777" w:rsidR="00531520" w:rsidRPr="00D21BCE" w:rsidRDefault="00531520" w:rsidP="002350D1">
            <w:pPr>
              <w:spacing w:after="0" w:line="240" w:lineRule="auto"/>
            </w:pPr>
          </w:p>
        </w:tc>
        <w:tc>
          <w:tcPr>
            <w:tcW w:w="900" w:type="dxa"/>
          </w:tcPr>
          <w:p w14:paraId="0B3DFEC8" w14:textId="77777777" w:rsidR="00531520" w:rsidRPr="00D21BCE" w:rsidRDefault="00531520" w:rsidP="002350D1">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350" w:type="dxa"/>
          </w:tcPr>
          <w:p w14:paraId="6463F055" w14:textId="77777777" w:rsidR="00531520" w:rsidRPr="00D21BCE" w:rsidRDefault="00531520" w:rsidP="002350D1">
            <w:pPr>
              <w:spacing w:after="0" w:line="240" w:lineRule="auto"/>
              <w:jc w:val="center"/>
            </w:pPr>
            <w:r>
              <w:t>0</w:t>
            </w:r>
          </w:p>
        </w:tc>
        <w:tc>
          <w:tcPr>
            <w:tcW w:w="1080" w:type="dxa"/>
          </w:tcPr>
          <w:p w14:paraId="6907D720" w14:textId="77777777" w:rsidR="00531520" w:rsidRPr="00D21BCE" w:rsidRDefault="00531520" w:rsidP="002350D1">
            <w:pPr>
              <w:spacing w:after="0" w:line="240" w:lineRule="auto"/>
              <w:jc w:val="center"/>
            </w:pPr>
            <w:r>
              <w:t>7</w:t>
            </w:r>
          </w:p>
        </w:tc>
        <w:tc>
          <w:tcPr>
            <w:tcW w:w="1080" w:type="dxa"/>
          </w:tcPr>
          <w:p w14:paraId="6CD4D631" w14:textId="77777777" w:rsidR="00531520" w:rsidRPr="00D21BCE" w:rsidRDefault="00531520" w:rsidP="002350D1">
            <w:pPr>
              <w:spacing w:after="0" w:line="240" w:lineRule="auto"/>
              <w:jc w:val="center"/>
            </w:pPr>
            <w:r>
              <w:t>44</w:t>
            </w:r>
          </w:p>
        </w:tc>
        <w:tc>
          <w:tcPr>
            <w:tcW w:w="1350" w:type="dxa"/>
          </w:tcPr>
          <w:p w14:paraId="3C2A0166" w14:textId="77777777" w:rsidR="00531520" w:rsidRPr="00D21BCE" w:rsidRDefault="00531520" w:rsidP="002350D1">
            <w:pPr>
              <w:spacing w:after="0" w:line="240" w:lineRule="auto"/>
              <w:jc w:val="center"/>
            </w:pPr>
            <w:r>
              <w:t>19</w:t>
            </w:r>
          </w:p>
        </w:tc>
        <w:tc>
          <w:tcPr>
            <w:tcW w:w="1008" w:type="dxa"/>
          </w:tcPr>
          <w:p w14:paraId="3284799A" w14:textId="77777777" w:rsidR="00531520" w:rsidRPr="00D21BCE" w:rsidRDefault="00531520" w:rsidP="002350D1">
            <w:pPr>
              <w:spacing w:after="0" w:line="240" w:lineRule="auto"/>
              <w:jc w:val="center"/>
            </w:pPr>
            <w:r>
              <w:t>3.2</w:t>
            </w:r>
          </w:p>
        </w:tc>
      </w:tr>
      <w:tr w:rsidR="00531520" w:rsidRPr="00D21BCE" w14:paraId="2838A78F" w14:textId="77777777" w:rsidTr="00E14984">
        <w:tc>
          <w:tcPr>
            <w:tcW w:w="2970" w:type="dxa"/>
            <w:vMerge/>
          </w:tcPr>
          <w:p w14:paraId="080949DD" w14:textId="77777777" w:rsidR="00531520" w:rsidRPr="00D21BCE" w:rsidRDefault="00531520" w:rsidP="002350D1">
            <w:pPr>
              <w:spacing w:after="0" w:line="240" w:lineRule="auto"/>
            </w:pPr>
          </w:p>
        </w:tc>
        <w:tc>
          <w:tcPr>
            <w:tcW w:w="900" w:type="dxa"/>
          </w:tcPr>
          <w:p w14:paraId="6763520A" w14:textId="77777777" w:rsidR="00531520" w:rsidRPr="00D21BCE" w:rsidRDefault="00531520" w:rsidP="002350D1">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350" w:type="dxa"/>
          </w:tcPr>
          <w:p w14:paraId="684F30A8" w14:textId="77777777" w:rsidR="00531520" w:rsidRPr="00D21BCE" w:rsidRDefault="00531520" w:rsidP="002350D1">
            <w:pPr>
              <w:spacing w:after="0" w:line="240" w:lineRule="auto"/>
              <w:jc w:val="center"/>
            </w:pPr>
            <w:r>
              <w:t>0</w:t>
            </w:r>
            <w:r w:rsidRPr="00F36137">
              <w:t>%</w:t>
            </w:r>
          </w:p>
        </w:tc>
        <w:tc>
          <w:tcPr>
            <w:tcW w:w="1080" w:type="dxa"/>
          </w:tcPr>
          <w:p w14:paraId="410A93DE" w14:textId="77777777" w:rsidR="00531520" w:rsidRPr="00D21BCE" w:rsidRDefault="00531520" w:rsidP="002350D1">
            <w:pPr>
              <w:spacing w:after="0" w:line="240" w:lineRule="auto"/>
              <w:jc w:val="center"/>
            </w:pPr>
            <w:r>
              <w:t>10</w:t>
            </w:r>
            <w:r w:rsidRPr="00F36137">
              <w:t>%</w:t>
            </w:r>
          </w:p>
        </w:tc>
        <w:tc>
          <w:tcPr>
            <w:tcW w:w="1080" w:type="dxa"/>
          </w:tcPr>
          <w:p w14:paraId="4DD788A2" w14:textId="77777777" w:rsidR="00531520" w:rsidRPr="00D21BCE" w:rsidRDefault="00531520" w:rsidP="002350D1">
            <w:pPr>
              <w:spacing w:after="0" w:line="240" w:lineRule="auto"/>
              <w:jc w:val="center"/>
            </w:pPr>
            <w:r>
              <w:t>63</w:t>
            </w:r>
            <w:r w:rsidRPr="00F36137">
              <w:t>%</w:t>
            </w:r>
          </w:p>
        </w:tc>
        <w:tc>
          <w:tcPr>
            <w:tcW w:w="1350" w:type="dxa"/>
          </w:tcPr>
          <w:p w14:paraId="60A198A6" w14:textId="77777777" w:rsidR="00531520" w:rsidRPr="00D21BCE" w:rsidRDefault="00531520" w:rsidP="002350D1">
            <w:pPr>
              <w:spacing w:after="0" w:line="240" w:lineRule="auto"/>
              <w:jc w:val="center"/>
            </w:pPr>
            <w:r>
              <w:t>27</w:t>
            </w:r>
            <w:r w:rsidRPr="00F36137">
              <w:t>%</w:t>
            </w:r>
          </w:p>
        </w:tc>
        <w:tc>
          <w:tcPr>
            <w:tcW w:w="1008" w:type="dxa"/>
          </w:tcPr>
          <w:p w14:paraId="326A046D" w14:textId="77777777" w:rsidR="00531520" w:rsidRPr="00D21BCE" w:rsidRDefault="00531520" w:rsidP="002350D1">
            <w:pPr>
              <w:spacing w:after="0" w:line="240" w:lineRule="auto"/>
              <w:jc w:val="center"/>
            </w:pPr>
          </w:p>
        </w:tc>
      </w:tr>
      <w:tr w:rsidR="00531520" w:rsidRPr="00D21BCE" w14:paraId="21756CBF" w14:textId="77777777" w:rsidTr="00E14984">
        <w:trPr>
          <w:trHeight w:val="274"/>
        </w:trPr>
        <w:tc>
          <w:tcPr>
            <w:tcW w:w="2970" w:type="dxa"/>
            <w:vMerge w:val="restart"/>
            <w:shd w:val="clear" w:color="auto" w:fill="BFBFBF" w:themeFill="background1" w:themeFillShade="BF"/>
          </w:tcPr>
          <w:p w14:paraId="2080EA40" w14:textId="77777777" w:rsidR="00531520" w:rsidRPr="00D21BCE" w:rsidRDefault="00531520" w:rsidP="002350D1">
            <w:pPr>
              <w:spacing w:after="0" w:line="240" w:lineRule="auto"/>
              <w:jc w:val="center"/>
              <w:rPr>
                <w:rFonts w:ascii="Calibri" w:hAnsi="Calibri"/>
                <w:b/>
                <w:color w:val="000000"/>
              </w:rPr>
            </w:pPr>
            <w:r w:rsidRPr="00D21BCE">
              <w:rPr>
                <w:rFonts w:ascii="Calibri" w:hAnsi="Calibri"/>
                <w:b/>
                <w:color w:val="000000"/>
              </w:rPr>
              <w:t>Total Score For Focus Area #3</w:t>
            </w:r>
          </w:p>
        </w:tc>
        <w:tc>
          <w:tcPr>
            <w:tcW w:w="900" w:type="dxa"/>
            <w:shd w:val="clear" w:color="auto" w:fill="BFBFBF" w:themeFill="background1" w:themeFillShade="BF"/>
          </w:tcPr>
          <w:p w14:paraId="0CA74FCD" w14:textId="77777777" w:rsidR="00531520" w:rsidRPr="00D21BCE" w:rsidRDefault="00531520" w:rsidP="002350D1">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350" w:type="dxa"/>
            <w:shd w:val="clear" w:color="auto" w:fill="BFBFBF" w:themeFill="background1" w:themeFillShade="BF"/>
          </w:tcPr>
          <w:p w14:paraId="09AD27F2" w14:textId="77777777" w:rsidR="00531520" w:rsidRPr="00D21BCE" w:rsidRDefault="00531520" w:rsidP="002350D1">
            <w:pPr>
              <w:spacing w:after="0" w:line="240" w:lineRule="auto"/>
              <w:jc w:val="center"/>
            </w:pPr>
          </w:p>
        </w:tc>
        <w:tc>
          <w:tcPr>
            <w:tcW w:w="1080" w:type="dxa"/>
            <w:shd w:val="clear" w:color="auto" w:fill="BFBFBF" w:themeFill="background1" w:themeFillShade="BF"/>
          </w:tcPr>
          <w:p w14:paraId="52E2126E" w14:textId="77777777" w:rsidR="00531520" w:rsidRPr="00D21BCE" w:rsidRDefault="00531520" w:rsidP="002350D1">
            <w:pPr>
              <w:spacing w:after="0" w:line="240" w:lineRule="auto"/>
              <w:jc w:val="center"/>
            </w:pPr>
          </w:p>
        </w:tc>
        <w:tc>
          <w:tcPr>
            <w:tcW w:w="1080" w:type="dxa"/>
            <w:shd w:val="clear" w:color="auto" w:fill="BFBFBF" w:themeFill="background1" w:themeFillShade="BF"/>
          </w:tcPr>
          <w:p w14:paraId="45E9E38C" w14:textId="77777777" w:rsidR="00531520" w:rsidRPr="00D21BCE" w:rsidRDefault="00531520" w:rsidP="002350D1">
            <w:pPr>
              <w:spacing w:after="0" w:line="240" w:lineRule="auto"/>
              <w:jc w:val="center"/>
            </w:pPr>
          </w:p>
        </w:tc>
        <w:tc>
          <w:tcPr>
            <w:tcW w:w="1350" w:type="dxa"/>
            <w:shd w:val="clear" w:color="auto" w:fill="BFBFBF" w:themeFill="background1" w:themeFillShade="BF"/>
          </w:tcPr>
          <w:p w14:paraId="38CB46AE" w14:textId="77777777" w:rsidR="00531520" w:rsidRPr="00D21BCE" w:rsidRDefault="00531520" w:rsidP="002350D1">
            <w:pPr>
              <w:spacing w:after="0" w:line="240" w:lineRule="auto"/>
              <w:jc w:val="center"/>
            </w:pPr>
          </w:p>
        </w:tc>
        <w:tc>
          <w:tcPr>
            <w:tcW w:w="1008" w:type="dxa"/>
            <w:shd w:val="clear" w:color="auto" w:fill="BFBFBF" w:themeFill="background1" w:themeFillShade="BF"/>
          </w:tcPr>
          <w:p w14:paraId="69634C5D" w14:textId="77777777" w:rsidR="00531520" w:rsidRPr="00D21BCE" w:rsidRDefault="00531520" w:rsidP="002350D1">
            <w:pPr>
              <w:spacing w:after="0" w:line="240" w:lineRule="auto"/>
              <w:jc w:val="center"/>
            </w:pPr>
            <w:r>
              <w:t>12.0</w:t>
            </w:r>
          </w:p>
        </w:tc>
      </w:tr>
      <w:tr w:rsidR="00531520" w:rsidRPr="00D21BCE" w14:paraId="45B7F4D8" w14:textId="77777777" w:rsidTr="00E14984">
        <w:trPr>
          <w:trHeight w:val="274"/>
        </w:trPr>
        <w:tc>
          <w:tcPr>
            <w:tcW w:w="2970" w:type="dxa"/>
            <w:vMerge/>
            <w:shd w:val="clear" w:color="auto" w:fill="BFBFBF" w:themeFill="background1" w:themeFillShade="BF"/>
          </w:tcPr>
          <w:p w14:paraId="30D99083" w14:textId="77777777" w:rsidR="00531520" w:rsidRPr="00D21BCE" w:rsidRDefault="00531520" w:rsidP="002350D1">
            <w:pPr>
              <w:spacing w:after="0" w:line="240" w:lineRule="auto"/>
              <w:rPr>
                <w:rFonts w:ascii="Calibri" w:hAnsi="Calibri"/>
                <w:b/>
                <w:color w:val="000000"/>
              </w:rPr>
            </w:pPr>
          </w:p>
        </w:tc>
        <w:tc>
          <w:tcPr>
            <w:tcW w:w="900" w:type="dxa"/>
            <w:shd w:val="clear" w:color="auto" w:fill="BFBFBF" w:themeFill="background1" w:themeFillShade="BF"/>
          </w:tcPr>
          <w:p w14:paraId="2589C31D" w14:textId="77777777" w:rsidR="00531520" w:rsidRPr="00D21BCE" w:rsidRDefault="00531520" w:rsidP="002350D1">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350" w:type="dxa"/>
            <w:shd w:val="clear" w:color="auto" w:fill="BFBFBF" w:themeFill="background1" w:themeFillShade="BF"/>
          </w:tcPr>
          <w:p w14:paraId="310EFAFD" w14:textId="77777777" w:rsidR="00531520" w:rsidRPr="00D21BCE" w:rsidRDefault="00531520" w:rsidP="002350D1">
            <w:pPr>
              <w:spacing w:after="0" w:line="240" w:lineRule="auto"/>
              <w:jc w:val="center"/>
            </w:pPr>
          </w:p>
        </w:tc>
        <w:tc>
          <w:tcPr>
            <w:tcW w:w="1080" w:type="dxa"/>
            <w:shd w:val="clear" w:color="auto" w:fill="BFBFBF" w:themeFill="background1" w:themeFillShade="BF"/>
          </w:tcPr>
          <w:p w14:paraId="26BF9261" w14:textId="77777777" w:rsidR="00531520" w:rsidRPr="00D21BCE" w:rsidRDefault="00531520" w:rsidP="002350D1">
            <w:pPr>
              <w:spacing w:after="0" w:line="240" w:lineRule="auto"/>
              <w:jc w:val="center"/>
            </w:pPr>
          </w:p>
        </w:tc>
        <w:tc>
          <w:tcPr>
            <w:tcW w:w="1080" w:type="dxa"/>
            <w:shd w:val="clear" w:color="auto" w:fill="BFBFBF" w:themeFill="background1" w:themeFillShade="BF"/>
          </w:tcPr>
          <w:p w14:paraId="1E5F5E3E" w14:textId="77777777" w:rsidR="00531520" w:rsidRPr="00D21BCE" w:rsidRDefault="00531520" w:rsidP="002350D1">
            <w:pPr>
              <w:spacing w:after="0" w:line="240" w:lineRule="auto"/>
              <w:jc w:val="center"/>
            </w:pPr>
          </w:p>
        </w:tc>
        <w:tc>
          <w:tcPr>
            <w:tcW w:w="1350" w:type="dxa"/>
            <w:shd w:val="clear" w:color="auto" w:fill="BFBFBF" w:themeFill="background1" w:themeFillShade="BF"/>
          </w:tcPr>
          <w:p w14:paraId="4BAF438B" w14:textId="77777777" w:rsidR="00531520" w:rsidRPr="00D21BCE" w:rsidRDefault="00531520" w:rsidP="002350D1">
            <w:pPr>
              <w:spacing w:after="0" w:line="240" w:lineRule="auto"/>
              <w:jc w:val="center"/>
            </w:pPr>
          </w:p>
        </w:tc>
        <w:tc>
          <w:tcPr>
            <w:tcW w:w="1008" w:type="dxa"/>
            <w:shd w:val="clear" w:color="auto" w:fill="BFBFBF" w:themeFill="background1" w:themeFillShade="BF"/>
          </w:tcPr>
          <w:p w14:paraId="1DBF0F3A" w14:textId="77777777" w:rsidR="00531520" w:rsidRPr="00D21BCE" w:rsidRDefault="00531520" w:rsidP="002350D1">
            <w:pPr>
              <w:spacing w:after="0" w:line="240" w:lineRule="auto"/>
              <w:jc w:val="center"/>
            </w:pPr>
            <w:r>
              <w:t>10.7</w:t>
            </w:r>
          </w:p>
        </w:tc>
      </w:tr>
      <w:tr w:rsidR="00531520" w:rsidRPr="00D21BCE" w14:paraId="6C5CD84F" w14:textId="77777777" w:rsidTr="00E14984">
        <w:trPr>
          <w:trHeight w:val="274"/>
        </w:trPr>
        <w:tc>
          <w:tcPr>
            <w:tcW w:w="2970" w:type="dxa"/>
            <w:vMerge/>
            <w:shd w:val="clear" w:color="auto" w:fill="BFBFBF" w:themeFill="background1" w:themeFillShade="BF"/>
          </w:tcPr>
          <w:p w14:paraId="3D38D4F7" w14:textId="77777777" w:rsidR="00531520" w:rsidRPr="00D21BCE" w:rsidRDefault="00531520" w:rsidP="002350D1">
            <w:pPr>
              <w:spacing w:after="0" w:line="240" w:lineRule="auto"/>
              <w:rPr>
                <w:rFonts w:ascii="Calibri" w:hAnsi="Calibri"/>
                <w:b/>
                <w:color w:val="000000"/>
              </w:rPr>
            </w:pPr>
          </w:p>
        </w:tc>
        <w:tc>
          <w:tcPr>
            <w:tcW w:w="900" w:type="dxa"/>
            <w:shd w:val="clear" w:color="auto" w:fill="BFBFBF" w:themeFill="background1" w:themeFillShade="BF"/>
          </w:tcPr>
          <w:p w14:paraId="484EE10B" w14:textId="77777777" w:rsidR="00531520" w:rsidRPr="00D21BCE" w:rsidRDefault="00531520" w:rsidP="002350D1">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350" w:type="dxa"/>
            <w:shd w:val="clear" w:color="auto" w:fill="BFBFBF" w:themeFill="background1" w:themeFillShade="BF"/>
          </w:tcPr>
          <w:p w14:paraId="151C509E" w14:textId="77777777" w:rsidR="00531520" w:rsidRPr="00D21BCE" w:rsidRDefault="00531520" w:rsidP="002350D1">
            <w:pPr>
              <w:spacing w:after="0" w:line="240" w:lineRule="auto"/>
              <w:jc w:val="center"/>
            </w:pPr>
          </w:p>
        </w:tc>
        <w:tc>
          <w:tcPr>
            <w:tcW w:w="1080" w:type="dxa"/>
            <w:shd w:val="clear" w:color="auto" w:fill="BFBFBF" w:themeFill="background1" w:themeFillShade="BF"/>
          </w:tcPr>
          <w:p w14:paraId="7A4D8D45" w14:textId="77777777" w:rsidR="00531520" w:rsidRPr="00D21BCE" w:rsidRDefault="00531520" w:rsidP="002350D1">
            <w:pPr>
              <w:spacing w:after="0" w:line="240" w:lineRule="auto"/>
              <w:jc w:val="center"/>
            </w:pPr>
          </w:p>
        </w:tc>
        <w:tc>
          <w:tcPr>
            <w:tcW w:w="1080" w:type="dxa"/>
            <w:shd w:val="clear" w:color="auto" w:fill="BFBFBF" w:themeFill="background1" w:themeFillShade="BF"/>
          </w:tcPr>
          <w:p w14:paraId="0C318209" w14:textId="77777777" w:rsidR="00531520" w:rsidRPr="00D21BCE" w:rsidRDefault="00531520" w:rsidP="002350D1">
            <w:pPr>
              <w:spacing w:after="0" w:line="240" w:lineRule="auto"/>
              <w:jc w:val="center"/>
            </w:pPr>
          </w:p>
        </w:tc>
        <w:tc>
          <w:tcPr>
            <w:tcW w:w="1350" w:type="dxa"/>
            <w:shd w:val="clear" w:color="auto" w:fill="BFBFBF" w:themeFill="background1" w:themeFillShade="BF"/>
          </w:tcPr>
          <w:p w14:paraId="62565162" w14:textId="77777777" w:rsidR="00531520" w:rsidRPr="00D21BCE" w:rsidRDefault="00531520" w:rsidP="002350D1">
            <w:pPr>
              <w:spacing w:after="0" w:line="240" w:lineRule="auto"/>
              <w:jc w:val="center"/>
            </w:pPr>
          </w:p>
        </w:tc>
        <w:tc>
          <w:tcPr>
            <w:tcW w:w="1008" w:type="dxa"/>
            <w:shd w:val="clear" w:color="auto" w:fill="BFBFBF" w:themeFill="background1" w:themeFillShade="BF"/>
          </w:tcPr>
          <w:p w14:paraId="247D0CB2" w14:textId="77777777" w:rsidR="00531520" w:rsidRPr="00D21BCE" w:rsidRDefault="00531520" w:rsidP="002350D1">
            <w:pPr>
              <w:spacing w:after="0" w:line="240" w:lineRule="auto"/>
              <w:jc w:val="center"/>
            </w:pPr>
            <w:r>
              <w:t>11.2</w:t>
            </w:r>
          </w:p>
        </w:tc>
      </w:tr>
      <w:tr w:rsidR="00531520" w:rsidRPr="00D21BCE" w14:paraId="39D7DD42" w14:textId="77777777" w:rsidTr="00E14984">
        <w:trPr>
          <w:trHeight w:val="274"/>
        </w:trPr>
        <w:tc>
          <w:tcPr>
            <w:tcW w:w="2970" w:type="dxa"/>
            <w:vMerge/>
            <w:shd w:val="clear" w:color="auto" w:fill="BFBFBF" w:themeFill="background1" w:themeFillShade="BF"/>
          </w:tcPr>
          <w:p w14:paraId="40E35220" w14:textId="77777777" w:rsidR="00531520" w:rsidRPr="00D21BCE" w:rsidRDefault="00531520" w:rsidP="002350D1">
            <w:pPr>
              <w:spacing w:after="0" w:line="240" w:lineRule="auto"/>
              <w:rPr>
                <w:rFonts w:ascii="Calibri" w:hAnsi="Calibri"/>
                <w:b/>
                <w:color w:val="000000"/>
              </w:rPr>
            </w:pPr>
          </w:p>
        </w:tc>
        <w:tc>
          <w:tcPr>
            <w:tcW w:w="900" w:type="dxa"/>
            <w:shd w:val="clear" w:color="auto" w:fill="BFBFBF" w:themeFill="background1" w:themeFillShade="BF"/>
          </w:tcPr>
          <w:p w14:paraId="6BD2602D" w14:textId="77777777" w:rsidR="00531520" w:rsidRPr="00D21BCE" w:rsidRDefault="00531520" w:rsidP="002350D1">
            <w:pPr>
              <w:spacing w:after="0" w:line="240" w:lineRule="auto"/>
            </w:pPr>
            <w:r w:rsidRPr="00D21BCE">
              <w:rPr>
                <w:rFonts w:ascii="Calibri" w:hAnsi="Calibri"/>
                <w:b/>
                <w:bCs/>
                <w:color w:val="000000"/>
                <w:sz w:val="20"/>
                <w:szCs w:val="20"/>
              </w:rPr>
              <w:t>Total</w:t>
            </w:r>
          </w:p>
        </w:tc>
        <w:tc>
          <w:tcPr>
            <w:tcW w:w="1350" w:type="dxa"/>
            <w:shd w:val="clear" w:color="auto" w:fill="BFBFBF" w:themeFill="background1" w:themeFillShade="BF"/>
          </w:tcPr>
          <w:p w14:paraId="00C0944A" w14:textId="77777777" w:rsidR="00531520" w:rsidRPr="00D21BCE" w:rsidRDefault="00531520" w:rsidP="002350D1">
            <w:pPr>
              <w:spacing w:after="0" w:line="240" w:lineRule="auto"/>
              <w:jc w:val="center"/>
            </w:pPr>
          </w:p>
        </w:tc>
        <w:tc>
          <w:tcPr>
            <w:tcW w:w="1080" w:type="dxa"/>
            <w:shd w:val="clear" w:color="auto" w:fill="BFBFBF" w:themeFill="background1" w:themeFillShade="BF"/>
          </w:tcPr>
          <w:p w14:paraId="77058AC2" w14:textId="77777777" w:rsidR="00531520" w:rsidRPr="00D21BCE" w:rsidRDefault="00531520" w:rsidP="002350D1">
            <w:pPr>
              <w:spacing w:after="0" w:line="240" w:lineRule="auto"/>
              <w:jc w:val="center"/>
            </w:pPr>
          </w:p>
        </w:tc>
        <w:tc>
          <w:tcPr>
            <w:tcW w:w="1080" w:type="dxa"/>
            <w:shd w:val="clear" w:color="auto" w:fill="BFBFBF" w:themeFill="background1" w:themeFillShade="BF"/>
          </w:tcPr>
          <w:p w14:paraId="2AA9374E" w14:textId="77777777" w:rsidR="00531520" w:rsidRPr="00D21BCE" w:rsidRDefault="00531520" w:rsidP="002350D1">
            <w:pPr>
              <w:spacing w:after="0" w:line="240" w:lineRule="auto"/>
              <w:jc w:val="center"/>
            </w:pPr>
          </w:p>
        </w:tc>
        <w:tc>
          <w:tcPr>
            <w:tcW w:w="1350" w:type="dxa"/>
            <w:shd w:val="clear" w:color="auto" w:fill="BFBFBF" w:themeFill="background1" w:themeFillShade="BF"/>
          </w:tcPr>
          <w:p w14:paraId="38BB6FE5" w14:textId="77777777" w:rsidR="00531520" w:rsidRPr="00D21BCE" w:rsidRDefault="00531520" w:rsidP="002350D1">
            <w:pPr>
              <w:spacing w:after="0" w:line="240" w:lineRule="auto"/>
              <w:jc w:val="center"/>
            </w:pPr>
          </w:p>
        </w:tc>
        <w:tc>
          <w:tcPr>
            <w:tcW w:w="1008" w:type="dxa"/>
            <w:shd w:val="clear" w:color="auto" w:fill="BFBFBF" w:themeFill="background1" w:themeFillShade="BF"/>
          </w:tcPr>
          <w:p w14:paraId="09C085C0" w14:textId="77777777" w:rsidR="00531520" w:rsidRPr="00D21BCE" w:rsidRDefault="00531520" w:rsidP="002350D1">
            <w:pPr>
              <w:spacing w:after="0" w:line="240" w:lineRule="auto"/>
              <w:jc w:val="center"/>
            </w:pPr>
            <w:r>
              <w:t>11.2</w:t>
            </w:r>
          </w:p>
        </w:tc>
      </w:tr>
    </w:tbl>
    <w:p w14:paraId="295003E5" w14:textId="77777777" w:rsidR="00531520" w:rsidRPr="002F1EBE" w:rsidRDefault="00531520" w:rsidP="00531520">
      <w:pPr>
        <w:spacing w:after="0" w:line="240" w:lineRule="auto"/>
        <w:rPr>
          <w:rFonts w:ascii="Calibri" w:eastAsia="Times New Roman" w:hAnsi="Calibri" w:cs="Times New Roman"/>
          <w:sz w:val="20"/>
          <w:szCs w:val="20"/>
        </w:rPr>
      </w:pPr>
    </w:p>
    <w:bookmarkEnd w:id="18"/>
    <w:p w14:paraId="7DB236A3" w14:textId="77777777" w:rsidR="00531520" w:rsidRDefault="00531520" w:rsidP="00531520">
      <w:pPr>
        <w:spacing w:after="0" w:line="240" w:lineRule="auto"/>
      </w:pPr>
    </w:p>
    <w:sectPr w:rsidR="00531520" w:rsidSect="002F1EBE">
      <w:footerReference w:type="default" r:id="rId39"/>
      <w:endnotePr>
        <w:numFmt w:val="decimal"/>
      </w:endnotePr>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3520C8" w14:textId="77777777" w:rsidR="001F2357" w:rsidRDefault="001F2357" w:rsidP="00B93273">
      <w:pPr>
        <w:spacing w:after="0" w:line="240" w:lineRule="auto"/>
      </w:pPr>
      <w:r>
        <w:separator/>
      </w:r>
    </w:p>
  </w:endnote>
  <w:endnote w:type="continuationSeparator" w:id="0">
    <w:p w14:paraId="50F66F73" w14:textId="77777777" w:rsidR="001F2357" w:rsidRDefault="001F2357" w:rsidP="00B93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Noto Sans Symbol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auto"/>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D8A45" w14:textId="77777777" w:rsidR="00BB0032" w:rsidRDefault="00BB00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8FC94" w14:textId="77777777" w:rsidR="00BB0032" w:rsidRDefault="00BB00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153C6" w14:textId="77777777" w:rsidR="00BB0032" w:rsidRDefault="00BB003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69332"/>
      <w:docPartObj>
        <w:docPartGallery w:val="Page Numbers (Bottom of Page)"/>
        <w:docPartUnique/>
      </w:docPartObj>
    </w:sdtPr>
    <w:sdtEndPr/>
    <w:sdtContent>
      <w:p w14:paraId="20FF9522" w14:textId="076DB45F" w:rsidR="00707BD9" w:rsidRDefault="00707BD9">
        <w:pPr>
          <w:pStyle w:val="Footer"/>
          <w:jc w:val="right"/>
        </w:pPr>
        <w:r>
          <w:fldChar w:fldCharType="begin"/>
        </w:r>
        <w:r>
          <w:instrText xml:space="preserve"> PAGE   \* MERGEFORMAT </w:instrText>
        </w:r>
        <w:r>
          <w:fldChar w:fldCharType="separate"/>
        </w:r>
        <w:r w:rsidR="00BB0032">
          <w:rPr>
            <w:noProof/>
          </w:rPr>
          <w:t>45</w:t>
        </w:r>
        <w:r>
          <w:rPr>
            <w:noProof/>
          </w:rPr>
          <w:fldChar w:fldCharType="end"/>
        </w:r>
      </w:p>
    </w:sdtContent>
  </w:sdt>
  <w:p w14:paraId="08090961" w14:textId="77777777" w:rsidR="00707BD9" w:rsidRDefault="00707BD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69333"/>
      <w:docPartObj>
        <w:docPartGallery w:val="Page Numbers (Bottom of Page)"/>
        <w:docPartUnique/>
      </w:docPartObj>
    </w:sdtPr>
    <w:sdtEndPr/>
    <w:sdtContent>
      <w:p w14:paraId="30A69BAC" w14:textId="3A987DE2" w:rsidR="00707BD9" w:rsidRDefault="00707BD9">
        <w:pPr>
          <w:pStyle w:val="Footer"/>
          <w:jc w:val="right"/>
        </w:pPr>
        <w:r>
          <w:fldChar w:fldCharType="begin"/>
        </w:r>
        <w:r>
          <w:instrText xml:space="preserve"> PAGE   \* MERGEFORMAT </w:instrText>
        </w:r>
        <w:r>
          <w:fldChar w:fldCharType="separate"/>
        </w:r>
        <w:r w:rsidR="00BB0032">
          <w:rPr>
            <w:noProof/>
          </w:rPr>
          <w:t>47</w:t>
        </w:r>
        <w:r>
          <w:rPr>
            <w:noProof/>
          </w:rPr>
          <w:fldChar w:fldCharType="end"/>
        </w:r>
      </w:p>
    </w:sdtContent>
  </w:sdt>
  <w:p w14:paraId="02AED900" w14:textId="77777777" w:rsidR="00707BD9" w:rsidRDefault="00707BD9" w:rsidP="0035013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6D1240" w14:textId="77777777" w:rsidR="001F2357" w:rsidRDefault="001F2357" w:rsidP="00B93273">
      <w:pPr>
        <w:spacing w:after="0" w:line="240" w:lineRule="auto"/>
      </w:pPr>
      <w:r>
        <w:separator/>
      </w:r>
    </w:p>
  </w:footnote>
  <w:footnote w:type="continuationSeparator" w:id="0">
    <w:p w14:paraId="5EE430C1" w14:textId="77777777" w:rsidR="001F2357" w:rsidRDefault="001F2357" w:rsidP="00B93273">
      <w:pPr>
        <w:spacing w:after="0" w:line="240" w:lineRule="auto"/>
      </w:pPr>
      <w:r>
        <w:continuationSeparator/>
      </w:r>
    </w:p>
  </w:footnote>
  <w:footnote w:id="1">
    <w:p w14:paraId="7817B1F8" w14:textId="77777777" w:rsidR="00707BD9" w:rsidRPr="00551683" w:rsidRDefault="00707BD9" w:rsidP="00881DB7">
      <w:pPr>
        <w:pStyle w:val="FootnoteText"/>
        <w:rPr>
          <w:sz w:val="19"/>
          <w:szCs w:val="19"/>
        </w:rPr>
      </w:pPr>
      <w:r w:rsidRPr="00551683">
        <w:rPr>
          <w:rStyle w:val="FootnoteReference"/>
          <w:sz w:val="19"/>
          <w:szCs w:val="19"/>
        </w:rPr>
        <w:footnoteRef/>
      </w:r>
      <w:r w:rsidRPr="00551683">
        <w:rPr>
          <w:sz w:val="19"/>
          <w:szCs w:val="19"/>
        </w:rPr>
        <w:t xml:space="preserve"> Other factors are also taken into consideration when determining the type of review a district will receive.</w:t>
      </w:r>
    </w:p>
  </w:footnote>
  <w:footnote w:id="2">
    <w:p w14:paraId="64AD796C" w14:textId="5B791BA0" w:rsidR="00707BD9" w:rsidRDefault="00707BD9">
      <w:pPr>
        <w:pStyle w:val="FootnoteText"/>
      </w:pPr>
      <w:r w:rsidRPr="00720152">
        <w:rPr>
          <w:rStyle w:val="FootnoteReference"/>
        </w:rPr>
        <w:footnoteRef/>
      </w:r>
      <w:r w:rsidRPr="00720152">
        <w:t xml:space="preserve"> </w:t>
      </w:r>
      <w:r w:rsidRPr="00720152">
        <w:rPr>
          <w:rFonts w:cstheme="minorHAnsi"/>
          <w:sz w:val="19"/>
          <w:szCs w:val="19"/>
        </w:rPr>
        <w:t>Assessments include: the Benchmark Assessment System (BAS), AIMSweb diagnostic assessments, and math interim assessments K–4; writing K–12; writing in response to reading in grades 3–12; math interim assessments K–12; math I Ready assessments in grades 5–8; and science interim assessments in grades 5–12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27C05" w14:textId="77777777" w:rsidR="00BB0032" w:rsidRDefault="00BB00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FE456" w14:textId="77777777" w:rsidR="00707BD9" w:rsidRDefault="00707BD9" w:rsidP="002F1EBE">
    <w:pPr>
      <w:spacing w:after="240"/>
    </w:pPr>
    <w:r>
      <w:rPr>
        <w:sz w:val="19"/>
        <w:szCs w:val="19"/>
      </w:rPr>
      <w:t>Wakefield Public Schools District Review</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31158" w14:textId="77777777" w:rsidR="00707BD9" w:rsidRDefault="00707BD9">
    <w:r>
      <w:rPr>
        <w:noProof/>
      </w:rPr>
      <w:drawing>
        <wp:anchor distT="0" distB="0" distL="114300" distR="114300" simplePos="0" relativeHeight="251659264" behindDoc="0" locked="0" layoutInCell="1" allowOverlap="1" wp14:anchorId="5D247ACA" wp14:editId="7A9A1BA7">
          <wp:simplePos x="0" y="0"/>
          <wp:positionH relativeFrom="margin">
            <wp:posOffset>5486400</wp:posOffset>
          </wp:positionH>
          <wp:positionV relativeFrom="margin">
            <wp:posOffset>-18415</wp:posOffset>
          </wp:positionV>
          <wp:extent cx="609600" cy="952500"/>
          <wp:effectExtent l="0" t="0" r="0" b="0"/>
          <wp:wrapSquare wrapText="bothSides"/>
          <wp:docPr id="1" name="Picture 5" descr="Star Logo for D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ESELogo/Star%20Guy/205x100/Solo-Star-Logo_205x100_color.jpg"/>
                  <pic:cNvPicPr>
                    <a:picLocks noChangeAspect="1" noChangeArrowheads="1"/>
                  </pic:cNvPicPr>
                </pic:nvPicPr>
                <pic:blipFill rotWithShape="1">
                  <a:blip r:embed="rId1">
                    <a:extLst>
                      <a:ext uri="{28A0092B-C50C-407E-A947-70E740481C1C}">
                        <a14:useLocalDpi xmlns:a14="http://schemas.microsoft.com/office/drawing/2010/main" val="0"/>
                      </a:ext>
                    </a:extLst>
                  </a:blip>
                  <a:srcRect l="30244" r="38536"/>
                  <a:stretch/>
                </pic:blipFill>
                <pic:spPr bwMode="auto">
                  <a:xfrm>
                    <a:off x="0" y="0"/>
                    <a:ext cx="609600" cy="952500"/>
                  </a:xfrm>
                  <a:prstGeom prst="rect">
                    <a:avLst/>
                  </a:prstGeom>
                  <a:noFill/>
                  <a:ln>
                    <a:noFill/>
                  </a:ln>
                  <a:extLst>
                    <a:ext uri="{53640926-AAD7-44d8-BBD7-CCE9431645EC}">
                      <a14:shadowObscured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F13B2"/>
    <w:multiLevelType w:val="hybridMultilevel"/>
    <w:tmpl w:val="A89294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75B6354"/>
    <w:multiLevelType w:val="hybridMultilevel"/>
    <w:tmpl w:val="D80CD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CF0E39"/>
    <w:multiLevelType w:val="hybridMultilevel"/>
    <w:tmpl w:val="3864AC86"/>
    <w:lvl w:ilvl="0" w:tplc="1338903E">
      <w:start w:val="1"/>
      <w:numFmt w:val="bullet"/>
      <w:lvlText w:val=""/>
      <w:lvlJc w:val="left"/>
      <w:pPr>
        <w:ind w:left="720" w:hanging="360"/>
      </w:pPr>
      <w:rPr>
        <w:rFonts w:ascii="Symbol" w:hAnsi="Symbol" w:hint="default"/>
        <w:sz w:val="22"/>
        <w:szCs w:val="22"/>
      </w:rPr>
    </w:lvl>
    <w:lvl w:ilvl="1" w:tplc="F7BA30C4">
      <w:start w:val="1"/>
      <w:numFmt w:val="bullet"/>
      <w:lvlText w:val=""/>
      <w:lvlJc w:val="left"/>
      <w:pPr>
        <w:ind w:left="1440" w:hanging="360"/>
      </w:pPr>
      <w:rPr>
        <w:rFonts w:ascii="Symbol" w:hAnsi="Symbol" w:hint="default"/>
        <w:b w:val="0"/>
        <w:color w:val="auto"/>
        <w:sz w:val="22"/>
        <w:szCs w:val="22"/>
      </w:rPr>
    </w:lvl>
    <w:lvl w:ilvl="2" w:tplc="50DA4246">
      <w:start w:val="1"/>
      <w:numFmt w:val="bullet"/>
      <w:lvlText w:val=""/>
      <w:lvlJc w:val="left"/>
      <w:pPr>
        <w:ind w:left="2160" w:hanging="360"/>
      </w:pPr>
      <w:rPr>
        <w:rFonts w:ascii="Symbol" w:hAnsi="Symbol" w:hint="default"/>
        <w:color w:val="auto"/>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065DDD"/>
    <w:multiLevelType w:val="hybridMultilevel"/>
    <w:tmpl w:val="815ADEB8"/>
    <w:lvl w:ilvl="0" w:tplc="445E22BA">
      <w:start w:val="1"/>
      <w:numFmt w:val="upperLetter"/>
      <w:lvlText w:val="%1."/>
      <w:lvlJc w:val="left"/>
      <w:pPr>
        <w:ind w:left="810" w:hanging="360"/>
      </w:pPr>
      <w:rPr>
        <w:rFonts w:hint="default"/>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15:restartNumberingAfterBreak="0">
    <w:nsid w:val="18EC47E5"/>
    <w:multiLevelType w:val="hybridMultilevel"/>
    <w:tmpl w:val="FF6A2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201A15"/>
    <w:multiLevelType w:val="multilevel"/>
    <w:tmpl w:val="B3461EB2"/>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6" w15:restartNumberingAfterBreak="0">
    <w:nsid w:val="19A92E69"/>
    <w:multiLevelType w:val="hybridMultilevel"/>
    <w:tmpl w:val="9E526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485635"/>
    <w:multiLevelType w:val="hybridMultilevel"/>
    <w:tmpl w:val="287C8222"/>
    <w:lvl w:ilvl="0" w:tplc="0409000F">
      <w:start w:val="1"/>
      <w:numFmt w:val="decimal"/>
      <w:lvlText w:val="%1."/>
      <w:lvlJc w:val="left"/>
      <w:pPr>
        <w:ind w:left="4320" w:hanging="360"/>
      </w:pPr>
    </w:lvl>
    <w:lvl w:ilvl="1" w:tplc="445E22BA">
      <w:start w:val="1"/>
      <w:numFmt w:val="upperLetter"/>
      <w:lvlText w:val="%2."/>
      <w:lvlJc w:val="left"/>
      <w:pPr>
        <w:ind w:left="0" w:hanging="360"/>
      </w:pPr>
      <w:rPr>
        <w:rFonts w:hint="default"/>
        <w:b/>
      </w:r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8" w15:restartNumberingAfterBreak="0">
    <w:nsid w:val="2D7D5FDB"/>
    <w:multiLevelType w:val="multilevel"/>
    <w:tmpl w:val="D9B6A08A"/>
    <w:lvl w:ilvl="0">
      <w:start w:val="1"/>
      <w:numFmt w:val="upperLetter"/>
      <w:lvlText w:val="%1."/>
      <w:lvlJc w:val="left"/>
      <w:pPr>
        <w:ind w:left="0" w:hanging="360"/>
      </w:pPr>
      <w:rPr>
        <w:rFonts w:hint="default"/>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9" w15:restartNumberingAfterBreak="0">
    <w:nsid w:val="2FDA7851"/>
    <w:multiLevelType w:val="hybridMultilevel"/>
    <w:tmpl w:val="588C6844"/>
    <w:lvl w:ilvl="0" w:tplc="1BB677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7DC2CBD"/>
    <w:multiLevelType w:val="hybridMultilevel"/>
    <w:tmpl w:val="0EC279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972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88E4D42"/>
    <w:multiLevelType w:val="multilevel"/>
    <w:tmpl w:val="E332BAE4"/>
    <w:lvl w:ilvl="0">
      <w:start w:val="1"/>
      <w:numFmt w:val="upperLetter"/>
      <w:lvlText w:val="%1."/>
      <w:lvlJc w:val="left"/>
      <w:pPr>
        <w:ind w:left="720" w:hanging="360"/>
      </w:pPr>
      <w:rPr>
        <w:rFonts w:hint="default"/>
        <w:b/>
        <w:i w:val="0"/>
      </w:rPr>
    </w:lvl>
    <w:lvl w:ilvl="1">
      <w:start w:val="1"/>
      <w:numFmt w:val="upperLetter"/>
      <w:lvlText w:val="%2."/>
      <w:lvlJc w:val="left"/>
      <w:pPr>
        <w:ind w:left="1080" w:hanging="360"/>
      </w:pPr>
      <w:rPr>
        <w:rFonts w:hint="default"/>
        <w:b/>
        <w:i w:val="0"/>
      </w:rPr>
    </w:lvl>
    <w:lvl w:ilvl="2">
      <w:start w:val="1"/>
      <w:numFmt w:val="decimal"/>
      <w:lvlText w:val="%3."/>
      <w:lvlJc w:val="left"/>
      <w:pPr>
        <w:ind w:left="1440" w:hanging="360"/>
      </w:pPr>
      <w:rPr>
        <w:rFonts w:hint="default"/>
        <w:b w:val="0"/>
        <w:i w:val="0"/>
        <w:sz w:val="22"/>
        <w:szCs w:val="22"/>
      </w:rPr>
    </w:lvl>
    <w:lvl w:ilvl="3">
      <w:start w:val="1"/>
      <w:numFmt w:val="lowerLetter"/>
      <w:lvlText w:val="%4."/>
      <w:lvlJc w:val="left"/>
      <w:pPr>
        <w:ind w:left="1800" w:hanging="360"/>
      </w:pPr>
      <w:rPr>
        <w:rFonts w:hint="default"/>
        <w:b w:val="0"/>
        <w:i w:val="0"/>
      </w:rPr>
    </w:lvl>
    <w:lvl w:ilvl="4">
      <w:start w:val="1"/>
      <w:numFmt w:val="lowerRoman"/>
      <w:lvlText w:val="%5."/>
      <w:lvlJc w:val="right"/>
      <w:pPr>
        <w:ind w:left="2160" w:hanging="360"/>
      </w:pPr>
      <w:rPr>
        <w:rFonts w:hint="default"/>
        <w:b w:val="0"/>
        <w:i w:val="0"/>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 w15:restartNumberingAfterBreak="0">
    <w:nsid w:val="3B8116A4"/>
    <w:multiLevelType w:val="hybridMultilevel"/>
    <w:tmpl w:val="7602AA1E"/>
    <w:lvl w:ilvl="0" w:tplc="FC04F00A">
      <w:start w:val="2"/>
      <w:numFmt w:val="decimal"/>
      <w:lvlText w:val="%1."/>
      <w:lvlJc w:val="left"/>
      <w:pPr>
        <w:ind w:left="1080" w:hanging="360"/>
      </w:pPr>
      <w:rPr>
        <w:rFonts w:hint="default"/>
      </w:rPr>
    </w:lvl>
    <w:lvl w:ilvl="1" w:tplc="E03CF2F6">
      <w:start w:val="1"/>
      <w:numFmt w:val="upperLetter"/>
      <w:lvlText w:val="%2."/>
      <w:lvlJc w:val="left"/>
      <w:pPr>
        <w:ind w:left="1800" w:hanging="360"/>
      </w:pPr>
      <w:rPr>
        <w:rFonts w:hint="default"/>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BAF76F0"/>
    <w:multiLevelType w:val="hybridMultilevel"/>
    <w:tmpl w:val="588C6844"/>
    <w:lvl w:ilvl="0" w:tplc="1BB677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22354D"/>
    <w:multiLevelType w:val="hybridMultilevel"/>
    <w:tmpl w:val="588C6844"/>
    <w:lvl w:ilvl="0" w:tplc="1BB677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BAF5097"/>
    <w:multiLevelType w:val="hybridMultilevel"/>
    <w:tmpl w:val="E4A423E6"/>
    <w:lvl w:ilvl="0" w:tplc="849A67DA">
      <w:start w:val="1"/>
      <w:numFmt w:val="bullet"/>
      <w:lvlText w:val=""/>
      <w:lvlJc w:val="left"/>
      <w:pPr>
        <w:ind w:left="81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D13DB5"/>
    <w:multiLevelType w:val="hybridMultilevel"/>
    <w:tmpl w:val="2D9E6B16"/>
    <w:lvl w:ilvl="0" w:tplc="0409000F">
      <w:start w:val="1"/>
      <w:numFmt w:val="decimal"/>
      <w:lvlText w:val="%1."/>
      <w:lvlJc w:val="left"/>
      <w:pPr>
        <w:ind w:left="24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D836BD"/>
    <w:multiLevelType w:val="multilevel"/>
    <w:tmpl w:val="1A544F12"/>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8" w15:restartNumberingAfterBreak="0">
    <w:nsid w:val="51060FC2"/>
    <w:multiLevelType w:val="hybridMultilevel"/>
    <w:tmpl w:val="B2CCD980"/>
    <w:lvl w:ilvl="0" w:tplc="445E22B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432D17"/>
    <w:multiLevelType w:val="hybridMultilevel"/>
    <w:tmpl w:val="319C89A6"/>
    <w:lvl w:ilvl="0" w:tplc="F7BA30C4">
      <w:start w:val="1"/>
      <w:numFmt w:val="bullet"/>
      <w:lvlText w:val=""/>
      <w:lvlJc w:val="left"/>
      <w:pPr>
        <w:tabs>
          <w:tab w:val="num" w:pos="670"/>
        </w:tabs>
        <w:ind w:left="1390" w:hanging="360"/>
      </w:pPr>
      <w:rPr>
        <w:rFonts w:ascii="Symbol" w:hAnsi="Symbol" w:hint="default"/>
        <w:color w:val="auto"/>
        <w:sz w:val="22"/>
        <w:szCs w:val="22"/>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0" w15:restartNumberingAfterBreak="0">
    <w:nsid w:val="5A611792"/>
    <w:multiLevelType w:val="hybridMultilevel"/>
    <w:tmpl w:val="0DD887B6"/>
    <w:lvl w:ilvl="0" w:tplc="445E22BA">
      <w:start w:val="1"/>
      <w:numFmt w:val="upperLetter"/>
      <w:lvlText w:val="%1."/>
      <w:lvlJc w:val="left"/>
      <w:pPr>
        <w:ind w:left="990" w:hanging="360"/>
      </w:pPr>
      <w:rPr>
        <w:rFonts w:hint="default"/>
        <w:b/>
      </w:rPr>
    </w:lvl>
    <w:lvl w:ilvl="1" w:tplc="25D261A6">
      <w:start w:val="2"/>
      <w:numFmt w:val="bullet"/>
      <w:lvlText w:val="•"/>
      <w:lvlJc w:val="left"/>
      <w:pPr>
        <w:ind w:left="2430" w:hanging="360"/>
      </w:pPr>
      <w:rPr>
        <w:rFonts w:ascii="Calibri" w:eastAsia="Times New Roman" w:hAnsi="Calibri" w:cs="Times New Roman" w:hint="default"/>
      </w:r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1" w15:restartNumberingAfterBreak="0">
    <w:nsid w:val="604C1732"/>
    <w:multiLevelType w:val="multilevel"/>
    <w:tmpl w:val="47A02EA6"/>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2" w15:restartNumberingAfterBreak="0">
    <w:nsid w:val="626C0F33"/>
    <w:multiLevelType w:val="hybridMultilevel"/>
    <w:tmpl w:val="B88ECEAC"/>
    <w:lvl w:ilvl="0" w:tplc="66903202">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176A4E"/>
    <w:multiLevelType w:val="hybridMultilevel"/>
    <w:tmpl w:val="E2E29186"/>
    <w:lvl w:ilvl="0" w:tplc="66903202">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C60E6A"/>
    <w:multiLevelType w:val="hybridMultilevel"/>
    <w:tmpl w:val="4208C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9B0932"/>
    <w:multiLevelType w:val="hybridMultilevel"/>
    <w:tmpl w:val="E57E933C"/>
    <w:lvl w:ilvl="0" w:tplc="445E22B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1A2D17"/>
    <w:multiLevelType w:val="multilevel"/>
    <w:tmpl w:val="D3D2C9A8"/>
    <w:lvl w:ilvl="0">
      <w:start w:val="1"/>
      <w:numFmt w:val="bullet"/>
      <w:lvlText w:val=""/>
      <w:lvlJc w:val="left"/>
      <w:pPr>
        <w:ind w:left="720" w:hanging="360"/>
      </w:pPr>
      <w:rPr>
        <w:rFonts w:ascii="Symbol" w:hAnsi="Symbol" w:hint="default"/>
        <w:sz w:val="22"/>
        <w:szCs w:val="22"/>
      </w:rPr>
    </w:lvl>
    <w:lvl w:ilvl="1">
      <w:start w:val="1"/>
      <w:numFmt w:val="bullet"/>
      <w:lvlText w:val="o"/>
      <w:lvlJc w:val="left"/>
      <w:pPr>
        <w:ind w:left="1440" w:hanging="360"/>
      </w:pPr>
      <w:rPr>
        <w:rFonts w:ascii="Courier New" w:hAnsi="Courier New" w:cs="Courier New" w:hint="default"/>
        <w:b w:val="0"/>
        <w:color w:val="000000"/>
        <w:sz w:val="22"/>
        <w:szCs w:val="22"/>
      </w:rPr>
    </w:lvl>
    <w:lvl w:ilvl="2">
      <w:start w:val="1"/>
      <w:numFmt w:val="bullet"/>
      <w:lvlText w:val=""/>
      <w:lvlJc w:val="left"/>
      <w:pPr>
        <w:ind w:left="2160" w:hanging="360"/>
      </w:pPr>
      <w:rPr>
        <w:rFonts w:ascii="Symbol" w:hAnsi="Symbol" w:hint="default"/>
        <w:color w:val="000000"/>
        <w:sz w:val="22"/>
        <w:szCs w:val="22"/>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937179F"/>
    <w:multiLevelType w:val="multilevel"/>
    <w:tmpl w:val="ABD82A3E"/>
    <w:lvl w:ilvl="0">
      <w:start w:val="3"/>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8" w15:restartNumberingAfterBreak="0">
    <w:nsid w:val="7AC411F2"/>
    <w:multiLevelType w:val="hybridMultilevel"/>
    <w:tmpl w:val="8584812C"/>
    <w:lvl w:ilvl="0" w:tplc="ED72CCD8">
      <w:start w:val="1"/>
      <w:numFmt w:val="bullet"/>
      <w:lvlText w:val=""/>
      <w:lvlJc w:val="left"/>
      <w:pPr>
        <w:tabs>
          <w:tab w:val="num" w:pos="288"/>
        </w:tabs>
        <w:ind w:left="288" w:hanging="288"/>
      </w:pPr>
      <w:rPr>
        <w:rFonts w:ascii="Symbol" w:hAnsi="Symbol" w:hint="default"/>
        <w:color w:val="auto"/>
        <w:sz w:val="20"/>
        <w:szCs w:val="20"/>
      </w:rPr>
    </w:lvl>
    <w:lvl w:ilvl="1" w:tplc="04090003">
      <w:start w:val="1"/>
      <w:numFmt w:val="bullet"/>
      <w:lvlText w:val="o"/>
      <w:lvlJc w:val="left"/>
      <w:pPr>
        <w:ind w:left="840" w:hanging="360"/>
      </w:pPr>
      <w:rPr>
        <w:rFonts w:ascii="Courier New" w:hAnsi="Courier New" w:cs="Courier New" w:hint="default"/>
      </w:rPr>
    </w:lvl>
    <w:lvl w:ilvl="2" w:tplc="04090005" w:tentative="1">
      <w:start w:val="1"/>
      <w:numFmt w:val="bullet"/>
      <w:lvlText w:val=""/>
      <w:lvlJc w:val="left"/>
      <w:pPr>
        <w:ind w:left="1560" w:hanging="360"/>
      </w:pPr>
      <w:rPr>
        <w:rFonts w:ascii="Wingdings" w:hAnsi="Wingdings" w:hint="default"/>
      </w:rPr>
    </w:lvl>
    <w:lvl w:ilvl="3" w:tplc="04090001" w:tentative="1">
      <w:start w:val="1"/>
      <w:numFmt w:val="bullet"/>
      <w:lvlText w:val=""/>
      <w:lvlJc w:val="left"/>
      <w:pPr>
        <w:ind w:left="2280" w:hanging="360"/>
      </w:pPr>
      <w:rPr>
        <w:rFonts w:ascii="Symbol" w:hAnsi="Symbol" w:hint="default"/>
      </w:rPr>
    </w:lvl>
    <w:lvl w:ilvl="4" w:tplc="04090003" w:tentative="1">
      <w:start w:val="1"/>
      <w:numFmt w:val="bullet"/>
      <w:lvlText w:val="o"/>
      <w:lvlJc w:val="left"/>
      <w:pPr>
        <w:ind w:left="3000" w:hanging="360"/>
      </w:pPr>
      <w:rPr>
        <w:rFonts w:ascii="Courier New" w:hAnsi="Courier New" w:cs="Courier New" w:hint="default"/>
      </w:rPr>
    </w:lvl>
    <w:lvl w:ilvl="5" w:tplc="04090005" w:tentative="1">
      <w:start w:val="1"/>
      <w:numFmt w:val="bullet"/>
      <w:lvlText w:val=""/>
      <w:lvlJc w:val="left"/>
      <w:pPr>
        <w:ind w:left="3720" w:hanging="360"/>
      </w:pPr>
      <w:rPr>
        <w:rFonts w:ascii="Wingdings" w:hAnsi="Wingdings" w:hint="default"/>
      </w:rPr>
    </w:lvl>
    <w:lvl w:ilvl="6" w:tplc="04090001" w:tentative="1">
      <w:start w:val="1"/>
      <w:numFmt w:val="bullet"/>
      <w:lvlText w:val=""/>
      <w:lvlJc w:val="left"/>
      <w:pPr>
        <w:ind w:left="4440" w:hanging="360"/>
      </w:pPr>
      <w:rPr>
        <w:rFonts w:ascii="Symbol" w:hAnsi="Symbol" w:hint="default"/>
      </w:rPr>
    </w:lvl>
    <w:lvl w:ilvl="7" w:tplc="04090003" w:tentative="1">
      <w:start w:val="1"/>
      <w:numFmt w:val="bullet"/>
      <w:lvlText w:val="o"/>
      <w:lvlJc w:val="left"/>
      <w:pPr>
        <w:ind w:left="5160" w:hanging="360"/>
      </w:pPr>
      <w:rPr>
        <w:rFonts w:ascii="Courier New" w:hAnsi="Courier New" w:cs="Courier New" w:hint="default"/>
      </w:rPr>
    </w:lvl>
    <w:lvl w:ilvl="8" w:tplc="04090005" w:tentative="1">
      <w:start w:val="1"/>
      <w:numFmt w:val="bullet"/>
      <w:lvlText w:val=""/>
      <w:lvlJc w:val="left"/>
      <w:pPr>
        <w:ind w:left="5880" w:hanging="360"/>
      </w:pPr>
      <w:rPr>
        <w:rFonts w:ascii="Wingdings" w:hAnsi="Wingdings" w:hint="default"/>
      </w:rPr>
    </w:lvl>
  </w:abstractNum>
  <w:abstractNum w:abstractNumId="29" w15:restartNumberingAfterBreak="0">
    <w:nsid w:val="7BF2541C"/>
    <w:multiLevelType w:val="hybridMultilevel"/>
    <w:tmpl w:val="163EC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F13291"/>
    <w:multiLevelType w:val="hybridMultilevel"/>
    <w:tmpl w:val="A56EDE3E"/>
    <w:lvl w:ilvl="0" w:tplc="94C4CA1E">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28"/>
  </w:num>
  <w:num w:numId="3">
    <w:abstractNumId w:val="8"/>
  </w:num>
  <w:num w:numId="4">
    <w:abstractNumId w:val="17"/>
  </w:num>
  <w:num w:numId="5">
    <w:abstractNumId w:val="12"/>
  </w:num>
  <w:num w:numId="6">
    <w:abstractNumId w:val="30"/>
  </w:num>
  <w:num w:numId="7">
    <w:abstractNumId w:val="21"/>
  </w:num>
  <w:num w:numId="8">
    <w:abstractNumId w:val="13"/>
  </w:num>
  <w:num w:numId="9">
    <w:abstractNumId w:val="7"/>
  </w:num>
  <w:num w:numId="10">
    <w:abstractNumId w:val="14"/>
  </w:num>
  <w:num w:numId="11">
    <w:abstractNumId w:val="5"/>
  </w:num>
  <w:num w:numId="12">
    <w:abstractNumId w:val="20"/>
  </w:num>
  <w:num w:numId="13">
    <w:abstractNumId w:val="1"/>
  </w:num>
  <w:num w:numId="14">
    <w:abstractNumId w:val="24"/>
  </w:num>
  <w:num w:numId="15">
    <w:abstractNumId w:val="0"/>
  </w:num>
  <w:num w:numId="16">
    <w:abstractNumId w:val="18"/>
  </w:num>
  <w:num w:numId="17">
    <w:abstractNumId w:val="25"/>
  </w:num>
  <w:num w:numId="18">
    <w:abstractNumId w:val="11"/>
  </w:num>
  <w:num w:numId="19">
    <w:abstractNumId w:val="2"/>
  </w:num>
  <w:num w:numId="20">
    <w:abstractNumId w:val="27"/>
  </w:num>
  <w:num w:numId="21">
    <w:abstractNumId w:val="10"/>
  </w:num>
  <w:num w:numId="22">
    <w:abstractNumId w:val="9"/>
  </w:num>
  <w:num w:numId="23">
    <w:abstractNumId w:val="3"/>
  </w:num>
  <w:num w:numId="24">
    <w:abstractNumId w:val="19"/>
  </w:num>
  <w:num w:numId="25">
    <w:abstractNumId w:val="6"/>
  </w:num>
  <w:num w:numId="26">
    <w:abstractNumId w:val="29"/>
  </w:num>
  <w:num w:numId="27">
    <w:abstractNumId w:val="4"/>
  </w:num>
  <w:num w:numId="28">
    <w:abstractNumId w:val="15"/>
  </w:num>
  <w:num w:numId="29">
    <w:abstractNumId w:val="23"/>
  </w:num>
  <w:num w:numId="30">
    <w:abstractNumId w:val="22"/>
  </w:num>
  <w:num w:numId="31">
    <w:abstractNumId w:val="2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activeWritingStyle w:appName="MSWord" w:lang="en-US" w:vendorID="2" w:dllVersion="6"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14D"/>
    <w:rsid w:val="00001095"/>
    <w:rsid w:val="0001219B"/>
    <w:rsid w:val="00016832"/>
    <w:rsid w:val="00021C01"/>
    <w:rsid w:val="00021FBE"/>
    <w:rsid w:val="00025891"/>
    <w:rsid w:val="0002609F"/>
    <w:rsid w:val="000266C0"/>
    <w:rsid w:val="0003413C"/>
    <w:rsid w:val="00035544"/>
    <w:rsid w:val="000428DA"/>
    <w:rsid w:val="00062D66"/>
    <w:rsid w:val="000654E2"/>
    <w:rsid w:val="000656D6"/>
    <w:rsid w:val="000702A6"/>
    <w:rsid w:val="00072DCC"/>
    <w:rsid w:val="00076538"/>
    <w:rsid w:val="00076CB8"/>
    <w:rsid w:val="00077DC2"/>
    <w:rsid w:val="00082DB9"/>
    <w:rsid w:val="00083060"/>
    <w:rsid w:val="000847C0"/>
    <w:rsid w:val="00084945"/>
    <w:rsid w:val="000849E1"/>
    <w:rsid w:val="000851AA"/>
    <w:rsid w:val="00093005"/>
    <w:rsid w:val="00096A96"/>
    <w:rsid w:val="000A1BDA"/>
    <w:rsid w:val="000A1F46"/>
    <w:rsid w:val="000A2D17"/>
    <w:rsid w:val="000A42B3"/>
    <w:rsid w:val="000A54FE"/>
    <w:rsid w:val="000B015E"/>
    <w:rsid w:val="000B3631"/>
    <w:rsid w:val="000C0A31"/>
    <w:rsid w:val="000C1441"/>
    <w:rsid w:val="000C2156"/>
    <w:rsid w:val="000C5479"/>
    <w:rsid w:val="000C62FD"/>
    <w:rsid w:val="000C77C7"/>
    <w:rsid w:val="000D1425"/>
    <w:rsid w:val="000D2DD9"/>
    <w:rsid w:val="000D3BB2"/>
    <w:rsid w:val="000D7F3D"/>
    <w:rsid w:val="000E765A"/>
    <w:rsid w:val="000F4B7A"/>
    <w:rsid w:val="000F62F8"/>
    <w:rsid w:val="000F68EE"/>
    <w:rsid w:val="000F751C"/>
    <w:rsid w:val="00103FFB"/>
    <w:rsid w:val="001049D3"/>
    <w:rsid w:val="0010634D"/>
    <w:rsid w:val="0010691E"/>
    <w:rsid w:val="00107A7B"/>
    <w:rsid w:val="00111B00"/>
    <w:rsid w:val="001120BF"/>
    <w:rsid w:val="0011411A"/>
    <w:rsid w:val="00114FE8"/>
    <w:rsid w:val="001153E5"/>
    <w:rsid w:val="001157FA"/>
    <w:rsid w:val="00115960"/>
    <w:rsid w:val="00117930"/>
    <w:rsid w:val="001230BE"/>
    <w:rsid w:val="001231DB"/>
    <w:rsid w:val="00127795"/>
    <w:rsid w:val="00131046"/>
    <w:rsid w:val="001320EB"/>
    <w:rsid w:val="00134236"/>
    <w:rsid w:val="0013722E"/>
    <w:rsid w:val="00140655"/>
    <w:rsid w:val="001435FC"/>
    <w:rsid w:val="00143A57"/>
    <w:rsid w:val="0015013C"/>
    <w:rsid w:val="0015172C"/>
    <w:rsid w:val="001526E5"/>
    <w:rsid w:val="00155E66"/>
    <w:rsid w:val="001566B5"/>
    <w:rsid w:val="00161142"/>
    <w:rsid w:val="001626AA"/>
    <w:rsid w:val="00162AE8"/>
    <w:rsid w:val="0016441F"/>
    <w:rsid w:val="00166C3A"/>
    <w:rsid w:val="001671A6"/>
    <w:rsid w:val="001677CC"/>
    <w:rsid w:val="001679A5"/>
    <w:rsid w:val="00167AB5"/>
    <w:rsid w:val="00171DCA"/>
    <w:rsid w:val="0017250F"/>
    <w:rsid w:val="0017468F"/>
    <w:rsid w:val="001759AC"/>
    <w:rsid w:val="00175B9D"/>
    <w:rsid w:val="00181E2F"/>
    <w:rsid w:val="00181EA4"/>
    <w:rsid w:val="00190ED3"/>
    <w:rsid w:val="001919E9"/>
    <w:rsid w:val="001940FB"/>
    <w:rsid w:val="0019631F"/>
    <w:rsid w:val="00196AEB"/>
    <w:rsid w:val="001A1616"/>
    <w:rsid w:val="001A4A44"/>
    <w:rsid w:val="001A58CD"/>
    <w:rsid w:val="001B18CB"/>
    <w:rsid w:val="001B2EEA"/>
    <w:rsid w:val="001B57D8"/>
    <w:rsid w:val="001B79E4"/>
    <w:rsid w:val="001C3201"/>
    <w:rsid w:val="001C77C1"/>
    <w:rsid w:val="001D2855"/>
    <w:rsid w:val="001E3A27"/>
    <w:rsid w:val="001E3C85"/>
    <w:rsid w:val="001E6BFA"/>
    <w:rsid w:val="001E761C"/>
    <w:rsid w:val="001E7C79"/>
    <w:rsid w:val="001F0F6A"/>
    <w:rsid w:val="001F16CA"/>
    <w:rsid w:val="001F2357"/>
    <w:rsid w:val="001F2838"/>
    <w:rsid w:val="001F29A2"/>
    <w:rsid w:val="001F373E"/>
    <w:rsid w:val="001F6404"/>
    <w:rsid w:val="001F6E48"/>
    <w:rsid w:val="00200E9D"/>
    <w:rsid w:val="002044E5"/>
    <w:rsid w:val="00210B80"/>
    <w:rsid w:val="002135CE"/>
    <w:rsid w:val="002146A4"/>
    <w:rsid w:val="00216887"/>
    <w:rsid w:val="00221B8F"/>
    <w:rsid w:val="00221F76"/>
    <w:rsid w:val="002224DA"/>
    <w:rsid w:val="00222BC6"/>
    <w:rsid w:val="00223108"/>
    <w:rsid w:val="0022397A"/>
    <w:rsid w:val="00225581"/>
    <w:rsid w:val="002307FB"/>
    <w:rsid w:val="00231B83"/>
    <w:rsid w:val="002350D1"/>
    <w:rsid w:val="00237B59"/>
    <w:rsid w:val="00237D20"/>
    <w:rsid w:val="002441BF"/>
    <w:rsid w:val="002442D3"/>
    <w:rsid w:val="0024532F"/>
    <w:rsid w:val="0024799F"/>
    <w:rsid w:val="002533CB"/>
    <w:rsid w:val="00254267"/>
    <w:rsid w:val="00255109"/>
    <w:rsid w:val="002649C1"/>
    <w:rsid w:val="00265B8D"/>
    <w:rsid w:val="0027298F"/>
    <w:rsid w:val="002730EC"/>
    <w:rsid w:val="0027683A"/>
    <w:rsid w:val="00277B51"/>
    <w:rsid w:val="00282F1F"/>
    <w:rsid w:val="002835DE"/>
    <w:rsid w:val="00283792"/>
    <w:rsid w:val="00285EEF"/>
    <w:rsid w:val="0028766A"/>
    <w:rsid w:val="00290691"/>
    <w:rsid w:val="002906F4"/>
    <w:rsid w:val="0029387F"/>
    <w:rsid w:val="00295831"/>
    <w:rsid w:val="00296FAA"/>
    <w:rsid w:val="002A36F3"/>
    <w:rsid w:val="002A57E3"/>
    <w:rsid w:val="002A5C33"/>
    <w:rsid w:val="002B059F"/>
    <w:rsid w:val="002B0C54"/>
    <w:rsid w:val="002B6445"/>
    <w:rsid w:val="002B67D6"/>
    <w:rsid w:val="002C0724"/>
    <w:rsid w:val="002C27A8"/>
    <w:rsid w:val="002C382C"/>
    <w:rsid w:val="002C39E3"/>
    <w:rsid w:val="002D0893"/>
    <w:rsid w:val="002D3160"/>
    <w:rsid w:val="002D37BD"/>
    <w:rsid w:val="002E0C9C"/>
    <w:rsid w:val="002E153B"/>
    <w:rsid w:val="002E26BB"/>
    <w:rsid w:val="002E3328"/>
    <w:rsid w:val="002F0836"/>
    <w:rsid w:val="002F1104"/>
    <w:rsid w:val="002F1EBE"/>
    <w:rsid w:val="002F42DA"/>
    <w:rsid w:val="002F48A8"/>
    <w:rsid w:val="002F4966"/>
    <w:rsid w:val="002F49CF"/>
    <w:rsid w:val="002F6C4A"/>
    <w:rsid w:val="00300FC8"/>
    <w:rsid w:val="00302C59"/>
    <w:rsid w:val="00303117"/>
    <w:rsid w:val="00303853"/>
    <w:rsid w:val="00303CE6"/>
    <w:rsid w:val="003040B4"/>
    <w:rsid w:val="00304516"/>
    <w:rsid w:val="00307697"/>
    <w:rsid w:val="003105EE"/>
    <w:rsid w:val="003114A8"/>
    <w:rsid w:val="00316E1A"/>
    <w:rsid w:val="003245F2"/>
    <w:rsid w:val="0033670F"/>
    <w:rsid w:val="003408B3"/>
    <w:rsid w:val="003440B3"/>
    <w:rsid w:val="00345C15"/>
    <w:rsid w:val="0034644A"/>
    <w:rsid w:val="00350132"/>
    <w:rsid w:val="003507DC"/>
    <w:rsid w:val="00350A2E"/>
    <w:rsid w:val="003573F3"/>
    <w:rsid w:val="003575C2"/>
    <w:rsid w:val="003632D5"/>
    <w:rsid w:val="0036376A"/>
    <w:rsid w:val="0036461E"/>
    <w:rsid w:val="00364D02"/>
    <w:rsid w:val="003650E5"/>
    <w:rsid w:val="0036533B"/>
    <w:rsid w:val="003716DB"/>
    <w:rsid w:val="00374847"/>
    <w:rsid w:val="00374AE2"/>
    <w:rsid w:val="003764FC"/>
    <w:rsid w:val="003807EE"/>
    <w:rsid w:val="00381E23"/>
    <w:rsid w:val="00383E78"/>
    <w:rsid w:val="00387DC4"/>
    <w:rsid w:val="00391340"/>
    <w:rsid w:val="00395E5D"/>
    <w:rsid w:val="003962D8"/>
    <w:rsid w:val="003967B0"/>
    <w:rsid w:val="0039768B"/>
    <w:rsid w:val="003A22EA"/>
    <w:rsid w:val="003A5B3D"/>
    <w:rsid w:val="003B0944"/>
    <w:rsid w:val="003B26AD"/>
    <w:rsid w:val="003B2E1D"/>
    <w:rsid w:val="003C5B93"/>
    <w:rsid w:val="003D014A"/>
    <w:rsid w:val="003D2952"/>
    <w:rsid w:val="003D325B"/>
    <w:rsid w:val="003E040B"/>
    <w:rsid w:val="003E3D4A"/>
    <w:rsid w:val="003E4FB0"/>
    <w:rsid w:val="003F0BCE"/>
    <w:rsid w:val="003F0F27"/>
    <w:rsid w:val="003F4A74"/>
    <w:rsid w:val="003F5178"/>
    <w:rsid w:val="003F70C4"/>
    <w:rsid w:val="00401008"/>
    <w:rsid w:val="00401A5D"/>
    <w:rsid w:val="00402B76"/>
    <w:rsid w:val="00403F20"/>
    <w:rsid w:val="0041333E"/>
    <w:rsid w:val="00417D24"/>
    <w:rsid w:val="00417D6B"/>
    <w:rsid w:val="004219E0"/>
    <w:rsid w:val="00421D73"/>
    <w:rsid w:val="004272F7"/>
    <w:rsid w:val="00427631"/>
    <w:rsid w:val="00427706"/>
    <w:rsid w:val="00430539"/>
    <w:rsid w:val="00434137"/>
    <w:rsid w:val="0043603C"/>
    <w:rsid w:val="00437778"/>
    <w:rsid w:val="004422EE"/>
    <w:rsid w:val="00444C1B"/>
    <w:rsid w:val="00445DDC"/>
    <w:rsid w:val="004502DD"/>
    <w:rsid w:val="00453CA0"/>
    <w:rsid w:val="00457255"/>
    <w:rsid w:val="00462C1B"/>
    <w:rsid w:val="00465043"/>
    <w:rsid w:val="004656E5"/>
    <w:rsid w:val="00471919"/>
    <w:rsid w:val="004826C3"/>
    <w:rsid w:val="00482994"/>
    <w:rsid w:val="00483B06"/>
    <w:rsid w:val="00483FA1"/>
    <w:rsid w:val="0048688E"/>
    <w:rsid w:val="004869AA"/>
    <w:rsid w:val="00495AD0"/>
    <w:rsid w:val="004A12D2"/>
    <w:rsid w:val="004A313C"/>
    <w:rsid w:val="004A78E7"/>
    <w:rsid w:val="004B150A"/>
    <w:rsid w:val="004B4776"/>
    <w:rsid w:val="004B571F"/>
    <w:rsid w:val="004C02EA"/>
    <w:rsid w:val="004C0A56"/>
    <w:rsid w:val="004C0E70"/>
    <w:rsid w:val="004C242A"/>
    <w:rsid w:val="004C3AE0"/>
    <w:rsid w:val="004D1D55"/>
    <w:rsid w:val="004D1EDB"/>
    <w:rsid w:val="004D3BB6"/>
    <w:rsid w:val="004D5FDE"/>
    <w:rsid w:val="004E3F3F"/>
    <w:rsid w:val="004E4F6C"/>
    <w:rsid w:val="004F2470"/>
    <w:rsid w:val="004F3224"/>
    <w:rsid w:val="004F35AF"/>
    <w:rsid w:val="004F3A34"/>
    <w:rsid w:val="004F40CF"/>
    <w:rsid w:val="004F67FD"/>
    <w:rsid w:val="00500D42"/>
    <w:rsid w:val="00500D6A"/>
    <w:rsid w:val="00502356"/>
    <w:rsid w:val="0050316E"/>
    <w:rsid w:val="005059D3"/>
    <w:rsid w:val="00507CAD"/>
    <w:rsid w:val="00507EED"/>
    <w:rsid w:val="00511CC6"/>
    <w:rsid w:val="00514FD4"/>
    <w:rsid w:val="005153DE"/>
    <w:rsid w:val="005159B7"/>
    <w:rsid w:val="00520114"/>
    <w:rsid w:val="0052247D"/>
    <w:rsid w:val="00526514"/>
    <w:rsid w:val="00526ED4"/>
    <w:rsid w:val="005272DA"/>
    <w:rsid w:val="0052760F"/>
    <w:rsid w:val="005300ED"/>
    <w:rsid w:val="00531520"/>
    <w:rsid w:val="005358B5"/>
    <w:rsid w:val="0053797D"/>
    <w:rsid w:val="00542743"/>
    <w:rsid w:val="00544F1C"/>
    <w:rsid w:val="005477D8"/>
    <w:rsid w:val="00551677"/>
    <w:rsid w:val="00551683"/>
    <w:rsid w:val="00556D79"/>
    <w:rsid w:val="00562114"/>
    <w:rsid w:val="005661FF"/>
    <w:rsid w:val="00571680"/>
    <w:rsid w:val="00580EEB"/>
    <w:rsid w:val="00581250"/>
    <w:rsid w:val="00581666"/>
    <w:rsid w:val="0058168A"/>
    <w:rsid w:val="00581FC4"/>
    <w:rsid w:val="00583118"/>
    <w:rsid w:val="0058397A"/>
    <w:rsid w:val="00585B34"/>
    <w:rsid w:val="005863BA"/>
    <w:rsid w:val="00587E73"/>
    <w:rsid w:val="005922AB"/>
    <w:rsid w:val="00592C52"/>
    <w:rsid w:val="00593588"/>
    <w:rsid w:val="00595DD3"/>
    <w:rsid w:val="00596332"/>
    <w:rsid w:val="00596A34"/>
    <w:rsid w:val="005A4DAC"/>
    <w:rsid w:val="005A7789"/>
    <w:rsid w:val="005B0404"/>
    <w:rsid w:val="005B0420"/>
    <w:rsid w:val="005B0E60"/>
    <w:rsid w:val="005B1AC6"/>
    <w:rsid w:val="005B32BD"/>
    <w:rsid w:val="005B7778"/>
    <w:rsid w:val="005C3FA9"/>
    <w:rsid w:val="005C4608"/>
    <w:rsid w:val="005C4EAA"/>
    <w:rsid w:val="005C567F"/>
    <w:rsid w:val="005C56D6"/>
    <w:rsid w:val="005D74BC"/>
    <w:rsid w:val="005D78B1"/>
    <w:rsid w:val="005E260C"/>
    <w:rsid w:val="005E2B9B"/>
    <w:rsid w:val="005E33EA"/>
    <w:rsid w:val="005E5E1A"/>
    <w:rsid w:val="005F1B8B"/>
    <w:rsid w:val="005F2277"/>
    <w:rsid w:val="005F23C1"/>
    <w:rsid w:val="005F5321"/>
    <w:rsid w:val="006016FB"/>
    <w:rsid w:val="00601B79"/>
    <w:rsid w:val="0060278C"/>
    <w:rsid w:val="00602AE2"/>
    <w:rsid w:val="00602CFC"/>
    <w:rsid w:val="006031D6"/>
    <w:rsid w:val="00604946"/>
    <w:rsid w:val="006063E1"/>
    <w:rsid w:val="0061022C"/>
    <w:rsid w:val="00610DC8"/>
    <w:rsid w:val="00612C8D"/>
    <w:rsid w:val="00613C92"/>
    <w:rsid w:val="00616A01"/>
    <w:rsid w:val="00621F50"/>
    <w:rsid w:val="006229AC"/>
    <w:rsid w:val="006232DB"/>
    <w:rsid w:val="0062348E"/>
    <w:rsid w:val="006248DE"/>
    <w:rsid w:val="006309DA"/>
    <w:rsid w:val="00631031"/>
    <w:rsid w:val="006403F2"/>
    <w:rsid w:val="006404E0"/>
    <w:rsid w:val="00640585"/>
    <w:rsid w:val="00642879"/>
    <w:rsid w:val="0064304E"/>
    <w:rsid w:val="006474D6"/>
    <w:rsid w:val="00647720"/>
    <w:rsid w:val="0065129B"/>
    <w:rsid w:val="00653EB6"/>
    <w:rsid w:val="00654A19"/>
    <w:rsid w:val="00655D40"/>
    <w:rsid w:val="00657331"/>
    <w:rsid w:val="00664597"/>
    <w:rsid w:val="0067062E"/>
    <w:rsid w:val="00671286"/>
    <w:rsid w:val="00671532"/>
    <w:rsid w:val="00671D00"/>
    <w:rsid w:val="00677D81"/>
    <w:rsid w:val="00686209"/>
    <w:rsid w:val="00686367"/>
    <w:rsid w:val="0069057C"/>
    <w:rsid w:val="006907DC"/>
    <w:rsid w:val="006909CF"/>
    <w:rsid w:val="00690A61"/>
    <w:rsid w:val="00692A58"/>
    <w:rsid w:val="006964C0"/>
    <w:rsid w:val="00696AA8"/>
    <w:rsid w:val="006A0A4D"/>
    <w:rsid w:val="006A5AC1"/>
    <w:rsid w:val="006B180C"/>
    <w:rsid w:val="006C01F1"/>
    <w:rsid w:val="006C03D9"/>
    <w:rsid w:val="006C077B"/>
    <w:rsid w:val="006D78EA"/>
    <w:rsid w:val="006E1E6A"/>
    <w:rsid w:val="006E3573"/>
    <w:rsid w:val="006E3925"/>
    <w:rsid w:val="006E44BE"/>
    <w:rsid w:val="006E4862"/>
    <w:rsid w:val="006F118B"/>
    <w:rsid w:val="006F1D7E"/>
    <w:rsid w:val="006F3249"/>
    <w:rsid w:val="006F481E"/>
    <w:rsid w:val="006F579B"/>
    <w:rsid w:val="00704A98"/>
    <w:rsid w:val="00706A96"/>
    <w:rsid w:val="00707BD9"/>
    <w:rsid w:val="007103A9"/>
    <w:rsid w:val="007141DD"/>
    <w:rsid w:val="00720152"/>
    <w:rsid w:val="00720D18"/>
    <w:rsid w:val="007217C4"/>
    <w:rsid w:val="0072250B"/>
    <w:rsid w:val="00725972"/>
    <w:rsid w:val="00727D9C"/>
    <w:rsid w:val="00730A5F"/>
    <w:rsid w:val="00731EF3"/>
    <w:rsid w:val="00735DC5"/>
    <w:rsid w:val="00735EFA"/>
    <w:rsid w:val="007369E9"/>
    <w:rsid w:val="0074493C"/>
    <w:rsid w:val="0074522E"/>
    <w:rsid w:val="00745774"/>
    <w:rsid w:val="00746696"/>
    <w:rsid w:val="007545DC"/>
    <w:rsid w:val="00755A06"/>
    <w:rsid w:val="00755CAE"/>
    <w:rsid w:val="007652AE"/>
    <w:rsid w:val="0076669D"/>
    <w:rsid w:val="0077129A"/>
    <w:rsid w:val="00771BFD"/>
    <w:rsid w:val="00772E81"/>
    <w:rsid w:val="00773C21"/>
    <w:rsid w:val="007769E5"/>
    <w:rsid w:val="0078366D"/>
    <w:rsid w:val="00791506"/>
    <w:rsid w:val="00792202"/>
    <w:rsid w:val="0079407D"/>
    <w:rsid w:val="007A0067"/>
    <w:rsid w:val="007A559C"/>
    <w:rsid w:val="007A607F"/>
    <w:rsid w:val="007B4B64"/>
    <w:rsid w:val="007C01ED"/>
    <w:rsid w:val="007C6B93"/>
    <w:rsid w:val="007C7EE9"/>
    <w:rsid w:val="007D0D59"/>
    <w:rsid w:val="007D114C"/>
    <w:rsid w:val="007D60C2"/>
    <w:rsid w:val="007D6CBD"/>
    <w:rsid w:val="007D6E58"/>
    <w:rsid w:val="007D7B7B"/>
    <w:rsid w:val="007D7EAD"/>
    <w:rsid w:val="007E1A07"/>
    <w:rsid w:val="007E2029"/>
    <w:rsid w:val="007E3B63"/>
    <w:rsid w:val="007E41F3"/>
    <w:rsid w:val="007F1C7C"/>
    <w:rsid w:val="007F20B4"/>
    <w:rsid w:val="007F3393"/>
    <w:rsid w:val="007F4734"/>
    <w:rsid w:val="00807628"/>
    <w:rsid w:val="008303CA"/>
    <w:rsid w:val="00830DB7"/>
    <w:rsid w:val="00832833"/>
    <w:rsid w:val="00833F2D"/>
    <w:rsid w:val="00834354"/>
    <w:rsid w:val="00836448"/>
    <w:rsid w:val="00837D37"/>
    <w:rsid w:val="0084104E"/>
    <w:rsid w:val="00841AE4"/>
    <w:rsid w:val="00841CE6"/>
    <w:rsid w:val="0084488C"/>
    <w:rsid w:val="00845B9C"/>
    <w:rsid w:val="00846369"/>
    <w:rsid w:val="00847320"/>
    <w:rsid w:val="00851370"/>
    <w:rsid w:val="00851C5A"/>
    <w:rsid w:val="00853A18"/>
    <w:rsid w:val="00854C29"/>
    <w:rsid w:val="00854FC7"/>
    <w:rsid w:val="00855204"/>
    <w:rsid w:val="00856727"/>
    <w:rsid w:val="00856FEE"/>
    <w:rsid w:val="0085727D"/>
    <w:rsid w:val="00860BBF"/>
    <w:rsid w:val="008639B8"/>
    <w:rsid w:val="00864AEF"/>
    <w:rsid w:val="00865035"/>
    <w:rsid w:val="008700A8"/>
    <w:rsid w:val="00870C3A"/>
    <w:rsid w:val="008725BE"/>
    <w:rsid w:val="00875082"/>
    <w:rsid w:val="0088072B"/>
    <w:rsid w:val="00881CF3"/>
    <w:rsid w:val="00881DB7"/>
    <w:rsid w:val="008825DB"/>
    <w:rsid w:val="00883E21"/>
    <w:rsid w:val="00887203"/>
    <w:rsid w:val="008A19C5"/>
    <w:rsid w:val="008A21A5"/>
    <w:rsid w:val="008B1964"/>
    <w:rsid w:val="008B2348"/>
    <w:rsid w:val="008B25DD"/>
    <w:rsid w:val="008B5C86"/>
    <w:rsid w:val="008B655A"/>
    <w:rsid w:val="008B67AA"/>
    <w:rsid w:val="008C1C2F"/>
    <w:rsid w:val="008C206F"/>
    <w:rsid w:val="008C6282"/>
    <w:rsid w:val="008D0116"/>
    <w:rsid w:val="008D3F7C"/>
    <w:rsid w:val="008D6167"/>
    <w:rsid w:val="008D6436"/>
    <w:rsid w:val="008D64BC"/>
    <w:rsid w:val="008D7213"/>
    <w:rsid w:val="008E26DB"/>
    <w:rsid w:val="008E2EC0"/>
    <w:rsid w:val="008E314D"/>
    <w:rsid w:val="008E4A91"/>
    <w:rsid w:val="008F1288"/>
    <w:rsid w:val="008F18D8"/>
    <w:rsid w:val="008F2FE2"/>
    <w:rsid w:val="008F71ED"/>
    <w:rsid w:val="008F78FD"/>
    <w:rsid w:val="008F7D5B"/>
    <w:rsid w:val="00900FC7"/>
    <w:rsid w:val="00904514"/>
    <w:rsid w:val="00907195"/>
    <w:rsid w:val="009118E9"/>
    <w:rsid w:val="00913E25"/>
    <w:rsid w:val="00915376"/>
    <w:rsid w:val="0092040E"/>
    <w:rsid w:val="009229A9"/>
    <w:rsid w:val="00924087"/>
    <w:rsid w:val="009278E6"/>
    <w:rsid w:val="00930890"/>
    <w:rsid w:val="00931713"/>
    <w:rsid w:val="00931979"/>
    <w:rsid w:val="00937130"/>
    <w:rsid w:val="00940290"/>
    <w:rsid w:val="009412A0"/>
    <w:rsid w:val="00941DE9"/>
    <w:rsid w:val="00946594"/>
    <w:rsid w:val="00951740"/>
    <w:rsid w:val="00952ED8"/>
    <w:rsid w:val="00953338"/>
    <w:rsid w:val="009551BB"/>
    <w:rsid w:val="009573BC"/>
    <w:rsid w:val="009622F8"/>
    <w:rsid w:val="009637C0"/>
    <w:rsid w:val="009637D8"/>
    <w:rsid w:val="009669FB"/>
    <w:rsid w:val="009671D8"/>
    <w:rsid w:val="0096781C"/>
    <w:rsid w:val="0097296B"/>
    <w:rsid w:val="009770B2"/>
    <w:rsid w:val="009803A0"/>
    <w:rsid w:val="00980761"/>
    <w:rsid w:val="00980885"/>
    <w:rsid w:val="00984879"/>
    <w:rsid w:val="00984AD6"/>
    <w:rsid w:val="0099237E"/>
    <w:rsid w:val="00995F2A"/>
    <w:rsid w:val="009A3C3E"/>
    <w:rsid w:val="009A4A36"/>
    <w:rsid w:val="009A6C11"/>
    <w:rsid w:val="009B12D9"/>
    <w:rsid w:val="009B1A4A"/>
    <w:rsid w:val="009B3D10"/>
    <w:rsid w:val="009B52CF"/>
    <w:rsid w:val="009B76D5"/>
    <w:rsid w:val="009B7D92"/>
    <w:rsid w:val="009C0FE6"/>
    <w:rsid w:val="009C274A"/>
    <w:rsid w:val="009C2F10"/>
    <w:rsid w:val="009C3000"/>
    <w:rsid w:val="009C39FE"/>
    <w:rsid w:val="009C553D"/>
    <w:rsid w:val="009C7ABB"/>
    <w:rsid w:val="009D0667"/>
    <w:rsid w:val="009D3E5B"/>
    <w:rsid w:val="009D448E"/>
    <w:rsid w:val="009E3399"/>
    <w:rsid w:val="009E6C3B"/>
    <w:rsid w:val="009F402F"/>
    <w:rsid w:val="00A00EA5"/>
    <w:rsid w:val="00A020BB"/>
    <w:rsid w:val="00A031F9"/>
    <w:rsid w:val="00A03C07"/>
    <w:rsid w:val="00A04EB3"/>
    <w:rsid w:val="00A11849"/>
    <w:rsid w:val="00A1242A"/>
    <w:rsid w:val="00A12DB9"/>
    <w:rsid w:val="00A136CB"/>
    <w:rsid w:val="00A16C2B"/>
    <w:rsid w:val="00A1793D"/>
    <w:rsid w:val="00A20FF7"/>
    <w:rsid w:val="00A2273D"/>
    <w:rsid w:val="00A238A5"/>
    <w:rsid w:val="00A23DB4"/>
    <w:rsid w:val="00A27FFB"/>
    <w:rsid w:val="00A3501D"/>
    <w:rsid w:val="00A37BF9"/>
    <w:rsid w:val="00A37F19"/>
    <w:rsid w:val="00A403FE"/>
    <w:rsid w:val="00A40AE3"/>
    <w:rsid w:val="00A656BC"/>
    <w:rsid w:val="00A73F77"/>
    <w:rsid w:val="00A7596A"/>
    <w:rsid w:val="00A810CC"/>
    <w:rsid w:val="00A85600"/>
    <w:rsid w:val="00A9116F"/>
    <w:rsid w:val="00A9225F"/>
    <w:rsid w:val="00A92592"/>
    <w:rsid w:val="00A934CC"/>
    <w:rsid w:val="00A96EF8"/>
    <w:rsid w:val="00AA017F"/>
    <w:rsid w:val="00AA09A6"/>
    <w:rsid w:val="00AA3056"/>
    <w:rsid w:val="00AA3603"/>
    <w:rsid w:val="00AA5F9C"/>
    <w:rsid w:val="00AA634E"/>
    <w:rsid w:val="00AB29EB"/>
    <w:rsid w:val="00AB60B0"/>
    <w:rsid w:val="00AC3EF2"/>
    <w:rsid w:val="00AC6E55"/>
    <w:rsid w:val="00AD3441"/>
    <w:rsid w:val="00AD51F6"/>
    <w:rsid w:val="00AD7EAF"/>
    <w:rsid w:val="00AE3940"/>
    <w:rsid w:val="00AE7963"/>
    <w:rsid w:val="00AF1BEE"/>
    <w:rsid w:val="00AF2EC5"/>
    <w:rsid w:val="00AF3EDF"/>
    <w:rsid w:val="00AF52F0"/>
    <w:rsid w:val="00AF6194"/>
    <w:rsid w:val="00B02A09"/>
    <w:rsid w:val="00B03398"/>
    <w:rsid w:val="00B03616"/>
    <w:rsid w:val="00B0449C"/>
    <w:rsid w:val="00B0507E"/>
    <w:rsid w:val="00B05267"/>
    <w:rsid w:val="00B06A96"/>
    <w:rsid w:val="00B07B19"/>
    <w:rsid w:val="00B1572E"/>
    <w:rsid w:val="00B172AB"/>
    <w:rsid w:val="00B174AB"/>
    <w:rsid w:val="00B2074C"/>
    <w:rsid w:val="00B22721"/>
    <w:rsid w:val="00B27EA7"/>
    <w:rsid w:val="00B431BB"/>
    <w:rsid w:val="00B44168"/>
    <w:rsid w:val="00B4487F"/>
    <w:rsid w:val="00B44C08"/>
    <w:rsid w:val="00B47A88"/>
    <w:rsid w:val="00B50024"/>
    <w:rsid w:val="00B565D0"/>
    <w:rsid w:val="00B5691A"/>
    <w:rsid w:val="00B623DF"/>
    <w:rsid w:val="00B67B0A"/>
    <w:rsid w:val="00B7182B"/>
    <w:rsid w:val="00B72948"/>
    <w:rsid w:val="00B73388"/>
    <w:rsid w:val="00B7587F"/>
    <w:rsid w:val="00B75E6F"/>
    <w:rsid w:val="00B75F2A"/>
    <w:rsid w:val="00B76427"/>
    <w:rsid w:val="00B77D83"/>
    <w:rsid w:val="00B819E0"/>
    <w:rsid w:val="00B8240C"/>
    <w:rsid w:val="00B83E8A"/>
    <w:rsid w:val="00B8491C"/>
    <w:rsid w:val="00B90630"/>
    <w:rsid w:val="00B90928"/>
    <w:rsid w:val="00B91549"/>
    <w:rsid w:val="00B919FB"/>
    <w:rsid w:val="00B93273"/>
    <w:rsid w:val="00B94716"/>
    <w:rsid w:val="00B95EBF"/>
    <w:rsid w:val="00BA058C"/>
    <w:rsid w:val="00BA2D54"/>
    <w:rsid w:val="00BB0032"/>
    <w:rsid w:val="00BB0061"/>
    <w:rsid w:val="00BB3926"/>
    <w:rsid w:val="00BB4A27"/>
    <w:rsid w:val="00BB64D3"/>
    <w:rsid w:val="00BC074D"/>
    <w:rsid w:val="00BC0DCF"/>
    <w:rsid w:val="00BC33A2"/>
    <w:rsid w:val="00BC6383"/>
    <w:rsid w:val="00BC63B8"/>
    <w:rsid w:val="00BC6F9A"/>
    <w:rsid w:val="00BC7C01"/>
    <w:rsid w:val="00BD6CCF"/>
    <w:rsid w:val="00BD7BC8"/>
    <w:rsid w:val="00BE0035"/>
    <w:rsid w:val="00BE07AF"/>
    <w:rsid w:val="00BE22E2"/>
    <w:rsid w:val="00BE33CA"/>
    <w:rsid w:val="00BE524F"/>
    <w:rsid w:val="00BE56B2"/>
    <w:rsid w:val="00BE7664"/>
    <w:rsid w:val="00BE7820"/>
    <w:rsid w:val="00BE7AE8"/>
    <w:rsid w:val="00BF09CB"/>
    <w:rsid w:val="00BF1059"/>
    <w:rsid w:val="00BF2B0F"/>
    <w:rsid w:val="00BF3E30"/>
    <w:rsid w:val="00BF5BD1"/>
    <w:rsid w:val="00BF5D5E"/>
    <w:rsid w:val="00BF7160"/>
    <w:rsid w:val="00C05490"/>
    <w:rsid w:val="00C0681E"/>
    <w:rsid w:val="00C07B76"/>
    <w:rsid w:val="00C115B1"/>
    <w:rsid w:val="00C148AD"/>
    <w:rsid w:val="00C15626"/>
    <w:rsid w:val="00C217A4"/>
    <w:rsid w:val="00C2196D"/>
    <w:rsid w:val="00C223E7"/>
    <w:rsid w:val="00C24114"/>
    <w:rsid w:val="00C259B1"/>
    <w:rsid w:val="00C329BB"/>
    <w:rsid w:val="00C41C4A"/>
    <w:rsid w:val="00C43800"/>
    <w:rsid w:val="00C45A64"/>
    <w:rsid w:val="00C53BC0"/>
    <w:rsid w:val="00C53D84"/>
    <w:rsid w:val="00C56F64"/>
    <w:rsid w:val="00C61D6A"/>
    <w:rsid w:val="00C62D84"/>
    <w:rsid w:val="00C647DB"/>
    <w:rsid w:val="00C64A1F"/>
    <w:rsid w:val="00C65400"/>
    <w:rsid w:val="00C65A4D"/>
    <w:rsid w:val="00C66816"/>
    <w:rsid w:val="00C70ADD"/>
    <w:rsid w:val="00C71E9E"/>
    <w:rsid w:val="00C7271A"/>
    <w:rsid w:val="00C74E12"/>
    <w:rsid w:val="00C82703"/>
    <w:rsid w:val="00C84112"/>
    <w:rsid w:val="00C85590"/>
    <w:rsid w:val="00C85CD0"/>
    <w:rsid w:val="00C86C9D"/>
    <w:rsid w:val="00C91E9B"/>
    <w:rsid w:val="00C93518"/>
    <w:rsid w:val="00C94A52"/>
    <w:rsid w:val="00C96727"/>
    <w:rsid w:val="00C96E5A"/>
    <w:rsid w:val="00C97422"/>
    <w:rsid w:val="00CA2AD4"/>
    <w:rsid w:val="00CA35A5"/>
    <w:rsid w:val="00CA57E5"/>
    <w:rsid w:val="00CB28A8"/>
    <w:rsid w:val="00CB564A"/>
    <w:rsid w:val="00CB6E68"/>
    <w:rsid w:val="00CC1798"/>
    <w:rsid w:val="00CC20AF"/>
    <w:rsid w:val="00CC4C53"/>
    <w:rsid w:val="00CC5131"/>
    <w:rsid w:val="00CC5560"/>
    <w:rsid w:val="00CC58DD"/>
    <w:rsid w:val="00CE2D3B"/>
    <w:rsid w:val="00CF4D31"/>
    <w:rsid w:val="00CF599A"/>
    <w:rsid w:val="00CF651C"/>
    <w:rsid w:val="00CF651D"/>
    <w:rsid w:val="00CF75EC"/>
    <w:rsid w:val="00CF7CE1"/>
    <w:rsid w:val="00D05A95"/>
    <w:rsid w:val="00D06214"/>
    <w:rsid w:val="00D10F0C"/>
    <w:rsid w:val="00D14E17"/>
    <w:rsid w:val="00D17F3F"/>
    <w:rsid w:val="00D21BCE"/>
    <w:rsid w:val="00D306EE"/>
    <w:rsid w:val="00D31CF0"/>
    <w:rsid w:val="00D40656"/>
    <w:rsid w:val="00D41FDE"/>
    <w:rsid w:val="00D42F8D"/>
    <w:rsid w:val="00D4639C"/>
    <w:rsid w:val="00D47FD0"/>
    <w:rsid w:val="00D549BC"/>
    <w:rsid w:val="00D57084"/>
    <w:rsid w:val="00D61E69"/>
    <w:rsid w:val="00D62CFD"/>
    <w:rsid w:val="00D65E71"/>
    <w:rsid w:val="00D66D36"/>
    <w:rsid w:val="00D71EC1"/>
    <w:rsid w:val="00D76C69"/>
    <w:rsid w:val="00D800DA"/>
    <w:rsid w:val="00D8052A"/>
    <w:rsid w:val="00D80E84"/>
    <w:rsid w:val="00D82013"/>
    <w:rsid w:val="00D8293F"/>
    <w:rsid w:val="00D85F8C"/>
    <w:rsid w:val="00D86D28"/>
    <w:rsid w:val="00D90D79"/>
    <w:rsid w:val="00D9130D"/>
    <w:rsid w:val="00D91806"/>
    <w:rsid w:val="00D91A4D"/>
    <w:rsid w:val="00D97907"/>
    <w:rsid w:val="00DA333B"/>
    <w:rsid w:val="00DB0332"/>
    <w:rsid w:val="00DB07FF"/>
    <w:rsid w:val="00DB1EAC"/>
    <w:rsid w:val="00DB398B"/>
    <w:rsid w:val="00DB4DF0"/>
    <w:rsid w:val="00DB603A"/>
    <w:rsid w:val="00DB7A1B"/>
    <w:rsid w:val="00DC066E"/>
    <w:rsid w:val="00DC10AA"/>
    <w:rsid w:val="00DC5A45"/>
    <w:rsid w:val="00DD3578"/>
    <w:rsid w:val="00DD3A5E"/>
    <w:rsid w:val="00DD5A3C"/>
    <w:rsid w:val="00DD62ED"/>
    <w:rsid w:val="00DD6D5F"/>
    <w:rsid w:val="00DE2C48"/>
    <w:rsid w:val="00DF0F80"/>
    <w:rsid w:val="00DF275F"/>
    <w:rsid w:val="00DF3862"/>
    <w:rsid w:val="00DF5AC6"/>
    <w:rsid w:val="00E06F76"/>
    <w:rsid w:val="00E109A5"/>
    <w:rsid w:val="00E11E75"/>
    <w:rsid w:val="00E11EB0"/>
    <w:rsid w:val="00E13873"/>
    <w:rsid w:val="00E14984"/>
    <w:rsid w:val="00E14CC7"/>
    <w:rsid w:val="00E159DE"/>
    <w:rsid w:val="00E15A5B"/>
    <w:rsid w:val="00E16DF7"/>
    <w:rsid w:val="00E20E4A"/>
    <w:rsid w:val="00E22258"/>
    <w:rsid w:val="00E257F0"/>
    <w:rsid w:val="00E25B2F"/>
    <w:rsid w:val="00E2610D"/>
    <w:rsid w:val="00E26824"/>
    <w:rsid w:val="00E314E3"/>
    <w:rsid w:val="00E36D00"/>
    <w:rsid w:val="00E4204D"/>
    <w:rsid w:val="00E4243E"/>
    <w:rsid w:val="00E456DF"/>
    <w:rsid w:val="00E4631D"/>
    <w:rsid w:val="00E50F58"/>
    <w:rsid w:val="00E510E1"/>
    <w:rsid w:val="00E51112"/>
    <w:rsid w:val="00E52C66"/>
    <w:rsid w:val="00E57A74"/>
    <w:rsid w:val="00E60DA6"/>
    <w:rsid w:val="00E630AF"/>
    <w:rsid w:val="00E63E3A"/>
    <w:rsid w:val="00E6707C"/>
    <w:rsid w:val="00E67184"/>
    <w:rsid w:val="00E71FCE"/>
    <w:rsid w:val="00E77FB0"/>
    <w:rsid w:val="00E82541"/>
    <w:rsid w:val="00E83D50"/>
    <w:rsid w:val="00E937E2"/>
    <w:rsid w:val="00EA16D0"/>
    <w:rsid w:val="00EA20EC"/>
    <w:rsid w:val="00EA40F3"/>
    <w:rsid w:val="00EB1ED5"/>
    <w:rsid w:val="00EC0E2C"/>
    <w:rsid w:val="00EC0FF9"/>
    <w:rsid w:val="00EC2E63"/>
    <w:rsid w:val="00EC6EC0"/>
    <w:rsid w:val="00ED0544"/>
    <w:rsid w:val="00ED116C"/>
    <w:rsid w:val="00ED5928"/>
    <w:rsid w:val="00EE22C9"/>
    <w:rsid w:val="00EE24D9"/>
    <w:rsid w:val="00EE591D"/>
    <w:rsid w:val="00EF0CCD"/>
    <w:rsid w:val="00EF3EE3"/>
    <w:rsid w:val="00EF556D"/>
    <w:rsid w:val="00EF7799"/>
    <w:rsid w:val="00EF78AB"/>
    <w:rsid w:val="00F00AFD"/>
    <w:rsid w:val="00F03EC8"/>
    <w:rsid w:val="00F04F65"/>
    <w:rsid w:val="00F1316E"/>
    <w:rsid w:val="00F16345"/>
    <w:rsid w:val="00F16B11"/>
    <w:rsid w:val="00F17FB9"/>
    <w:rsid w:val="00F205CC"/>
    <w:rsid w:val="00F220ED"/>
    <w:rsid w:val="00F22150"/>
    <w:rsid w:val="00F2296B"/>
    <w:rsid w:val="00F27746"/>
    <w:rsid w:val="00F30BAB"/>
    <w:rsid w:val="00F3192E"/>
    <w:rsid w:val="00F32495"/>
    <w:rsid w:val="00F332F5"/>
    <w:rsid w:val="00F33D68"/>
    <w:rsid w:val="00F5110F"/>
    <w:rsid w:val="00F51A87"/>
    <w:rsid w:val="00F543FB"/>
    <w:rsid w:val="00F5728A"/>
    <w:rsid w:val="00F62CFC"/>
    <w:rsid w:val="00F63EFA"/>
    <w:rsid w:val="00F7486C"/>
    <w:rsid w:val="00F75738"/>
    <w:rsid w:val="00F758AC"/>
    <w:rsid w:val="00F76BEE"/>
    <w:rsid w:val="00F80259"/>
    <w:rsid w:val="00F82EB5"/>
    <w:rsid w:val="00FA012C"/>
    <w:rsid w:val="00FA01C1"/>
    <w:rsid w:val="00FA2D50"/>
    <w:rsid w:val="00FA4517"/>
    <w:rsid w:val="00FA4C01"/>
    <w:rsid w:val="00FA6F4A"/>
    <w:rsid w:val="00FB442E"/>
    <w:rsid w:val="00FB5A37"/>
    <w:rsid w:val="00FB6A4F"/>
    <w:rsid w:val="00FC292C"/>
    <w:rsid w:val="00FC51AD"/>
    <w:rsid w:val="00FC55FF"/>
    <w:rsid w:val="00FC58CB"/>
    <w:rsid w:val="00FC5CD3"/>
    <w:rsid w:val="00FD14E6"/>
    <w:rsid w:val="00FD45F2"/>
    <w:rsid w:val="00FD5543"/>
    <w:rsid w:val="00FE20BC"/>
    <w:rsid w:val="00FE49D0"/>
    <w:rsid w:val="00FE67E9"/>
    <w:rsid w:val="00FE6815"/>
    <w:rsid w:val="00FE6A61"/>
    <w:rsid w:val="00FF4A12"/>
    <w:rsid w:val="00FF6C00"/>
    <w:rsid w:val="00FF7C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7DC4A0"/>
  <w15:docId w15:val="{A778BB7B-F661-4BAE-9D17-941D44ADB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18B"/>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next w:val="Normal"/>
    <w:link w:val="SectionChar"/>
    <w:qFormat/>
    <w:rsid w:val="008E314D"/>
    <w:pPr>
      <w:keepNext/>
      <w:pageBreakBefore/>
      <w:pBdr>
        <w:bottom w:val="single" w:sz="4" w:space="1" w:color="auto"/>
      </w:pBdr>
    </w:pPr>
    <w:rPr>
      <w:sz w:val="36"/>
    </w:rPr>
  </w:style>
  <w:style w:type="character" w:customStyle="1" w:styleId="SectionChar">
    <w:name w:val="Section Char"/>
    <w:basedOn w:val="DefaultParagraphFont"/>
    <w:link w:val="Section"/>
    <w:rsid w:val="008E314D"/>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8E314D"/>
    <w:pPr>
      <w:keepNext/>
      <w:spacing w:before="200"/>
    </w:pPr>
    <w:rPr>
      <w:b/>
      <w:sz w:val="28"/>
    </w:rPr>
  </w:style>
  <w:style w:type="character" w:customStyle="1" w:styleId="SubsectionChar">
    <w:name w:val="Subsection Char"/>
    <w:basedOn w:val="DefaultParagraphFont"/>
    <w:link w:val="Subsection"/>
    <w:rsid w:val="008E314D"/>
    <w:rPr>
      <w:rFonts w:asciiTheme="minorHAnsi" w:eastAsiaTheme="minorHAnsi" w:hAnsiTheme="minorHAnsi" w:cstheme="minorBidi"/>
      <w:b/>
      <w:sz w:val="28"/>
      <w:szCs w:val="22"/>
    </w:rPr>
  </w:style>
  <w:style w:type="paragraph" w:customStyle="1" w:styleId="Standard">
    <w:name w:val="Standard"/>
    <w:basedOn w:val="Normal"/>
    <w:link w:val="StandardChar"/>
    <w:qFormat/>
    <w:rsid w:val="008E314D"/>
    <w:pPr>
      <w:widowControl w:val="0"/>
      <w:spacing w:before="240" w:after="0"/>
      <w:contextualSpacing/>
    </w:pPr>
    <w:rPr>
      <w:rFonts w:eastAsia="Cambria" w:cstheme="minorHAnsi"/>
      <w:b/>
      <w:bCs/>
      <w:i/>
      <w:iCs/>
      <w:sz w:val="24"/>
      <w:szCs w:val="24"/>
    </w:rPr>
  </w:style>
  <w:style w:type="character" w:customStyle="1" w:styleId="StandardChar">
    <w:name w:val="Standard Char"/>
    <w:basedOn w:val="DefaultParagraphFont"/>
    <w:link w:val="Standard"/>
    <w:rsid w:val="008E314D"/>
    <w:rPr>
      <w:rFonts w:asciiTheme="minorHAnsi" w:eastAsia="Cambria" w:hAnsiTheme="minorHAnsi" w:cstheme="minorHAnsi"/>
      <w:b/>
      <w:bCs/>
      <w:i/>
      <w:iCs/>
      <w:sz w:val="24"/>
      <w:szCs w:val="24"/>
    </w:rPr>
  </w:style>
  <w:style w:type="paragraph" w:styleId="TOC1">
    <w:name w:val="toc 1"/>
    <w:basedOn w:val="Normal"/>
    <w:next w:val="Normal"/>
    <w:autoRedefine/>
    <w:uiPriority w:val="39"/>
    <w:rsid w:val="008E314D"/>
    <w:pPr>
      <w:tabs>
        <w:tab w:val="right" w:leader="dot" w:pos="9350"/>
      </w:tabs>
    </w:pPr>
    <w:rPr>
      <w:noProof/>
    </w:rPr>
  </w:style>
  <w:style w:type="paragraph" w:customStyle="1" w:styleId="Subsection2">
    <w:name w:val="Subsection2"/>
    <w:basedOn w:val="Normal"/>
    <w:link w:val="Subsection2Char"/>
    <w:qFormat/>
    <w:rsid w:val="008E314D"/>
    <w:rPr>
      <w:b/>
    </w:rPr>
  </w:style>
  <w:style w:type="character" w:customStyle="1" w:styleId="Subsection2Char">
    <w:name w:val="Subsection2 Char"/>
    <w:basedOn w:val="DefaultParagraphFont"/>
    <w:link w:val="Subsection2"/>
    <w:rsid w:val="008E314D"/>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8E314D"/>
    <w:rPr>
      <w:kern w:val="28"/>
      <w:sz w:val="24"/>
      <w:szCs w:val="24"/>
    </w:rPr>
  </w:style>
  <w:style w:type="paragraph" w:styleId="Footer">
    <w:name w:val="footer"/>
    <w:basedOn w:val="Normal"/>
    <w:link w:val="FooterChar"/>
    <w:uiPriority w:val="99"/>
    <w:unhideWhenUsed/>
    <w:rsid w:val="008E314D"/>
    <w:pPr>
      <w:widowControl w:val="0"/>
      <w:tabs>
        <w:tab w:val="center" w:pos="4680"/>
        <w:tab w:val="right" w:pos="9360"/>
      </w:tabs>
      <w:overflowPunct w:val="0"/>
      <w:adjustRightInd w:val="0"/>
      <w:spacing w:after="0" w:line="240" w:lineRule="auto"/>
    </w:pPr>
    <w:rPr>
      <w:rFonts w:ascii="Times New Roman" w:eastAsia="Times New Roman" w:hAnsi="Times New Roman" w:cs="Times New Roman"/>
      <w:kern w:val="28"/>
      <w:sz w:val="24"/>
      <w:szCs w:val="24"/>
    </w:rPr>
  </w:style>
  <w:style w:type="character" w:customStyle="1" w:styleId="FooterChar1">
    <w:name w:val="Footer Char1"/>
    <w:basedOn w:val="DefaultParagraphFont"/>
    <w:rsid w:val="008E314D"/>
    <w:rPr>
      <w:rFonts w:asciiTheme="minorHAnsi" w:eastAsiaTheme="minorHAnsi" w:hAnsiTheme="minorHAnsi" w:cstheme="minorBidi"/>
      <w:sz w:val="22"/>
      <w:szCs w:val="22"/>
    </w:rPr>
  </w:style>
  <w:style w:type="character" w:styleId="Hyperlink">
    <w:name w:val="Hyperlink"/>
    <w:basedOn w:val="DefaultParagraphFont"/>
    <w:uiPriority w:val="99"/>
    <w:unhideWhenUsed/>
    <w:rsid w:val="008E314D"/>
    <w:rPr>
      <w:color w:val="0000FF" w:themeColor="hyperlink"/>
      <w:u w:val="single"/>
    </w:rPr>
  </w:style>
  <w:style w:type="paragraph" w:styleId="BalloonText">
    <w:name w:val="Balloon Text"/>
    <w:basedOn w:val="Normal"/>
    <w:link w:val="BalloonTextChar"/>
    <w:uiPriority w:val="99"/>
    <w:rsid w:val="008E3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E314D"/>
    <w:rPr>
      <w:rFonts w:ascii="Tahoma" w:eastAsiaTheme="minorHAnsi" w:hAnsi="Tahoma" w:cs="Tahoma"/>
      <w:sz w:val="16"/>
      <w:szCs w:val="16"/>
    </w:rPr>
  </w:style>
  <w:style w:type="numbering" w:customStyle="1" w:styleId="NoList1">
    <w:name w:val="No List1"/>
    <w:next w:val="NoList"/>
    <w:uiPriority w:val="99"/>
    <w:semiHidden/>
    <w:unhideWhenUsed/>
    <w:rsid w:val="002F1EBE"/>
  </w:style>
  <w:style w:type="table" w:styleId="TableGrid">
    <w:name w:val="Table Grid"/>
    <w:basedOn w:val="TableNormal"/>
    <w:rsid w:val="002F1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Title"/>
    <w:basedOn w:val="Normal"/>
    <w:link w:val="TableTitleChar"/>
    <w:qFormat/>
    <w:rsid w:val="002F1EBE"/>
    <w:pPr>
      <w:spacing w:after="0"/>
      <w:jc w:val="center"/>
    </w:pPr>
    <w:rPr>
      <w:b/>
      <w:sz w:val="20"/>
    </w:rPr>
  </w:style>
  <w:style w:type="character" w:customStyle="1" w:styleId="TableTitleChar">
    <w:name w:val="TableTitle Char"/>
    <w:basedOn w:val="DefaultParagraphFont"/>
    <w:link w:val="TableTitle"/>
    <w:rsid w:val="002F1EBE"/>
    <w:rPr>
      <w:rFonts w:asciiTheme="minorHAnsi" w:eastAsiaTheme="minorHAnsi" w:hAnsiTheme="minorHAnsi" w:cstheme="minorBidi"/>
      <w:b/>
      <w:szCs w:val="22"/>
    </w:rPr>
  </w:style>
  <w:style w:type="table" w:customStyle="1" w:styleId="TableGrid1">
    <w:name w:val="Table Grid1"/>
    <w:basedOn w:val="TableNormal"/>
    <w:next w:val="TableGrid"/>
    <w:rsid w:val="002F1E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F1E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EBE"/>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350132"/>
    <w:pPr>
      <w:ind w:left="720"/>
      <w:contextualSpacing/>
    </w:pPr>
  </w:style>
  <w:style w:type="character" w:styleId="CommentReference">
    <w:name w:val="annotation reference"/>
    <w:basedOn w:val="DefaultParagraphFont"/>
    <w:uiPriority w:val="99"/>
    <w:semiHidden/>
    <w:unhideWhenUsed/>
    <w:rsid w:val="007C01ED"/>
    <w:rPr>
      <w:sz w:val="16"/>
      <w:szCs w:val="16"/>
    </w:rPr>
  </w:style>
  <w:style w:type="paragraph" w:styleId="CommentText">
    <w:name w:val="annotation text"/>
    <w:basedOn w:val="Normal"/>
    <w:link w:val="CommentTextChar"/>
    <w:uiPriority w:val="99"/>
    <w:unhideWhenUsed/>
    <w:rsid w:val="007C01ED"/>
    <w:pPr>
      <w:spacing w:line="240" w:lineRule="auto"/>
    </w:pPr>
    <w:rPr>
      <w:sz w:val="20"/>
      <w:szCs w:val="20"/>
    </w:rPr>
  </w:style>
  <w:style w:type="character" w:customStyle="1" w:styleId="CommentTextChar">
    <w:name w:val="Comment Text Char"/>
    <w:basedOn w:val="DefaultParagraphFont"/>
    <w:link w:val="CommentText"/>
    <w:uiPriority w:val="99"/>
    <w:rsid w:val="007C01ED"/>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7C01ED"/>
    <w:rPr>
      <w:b/>
      <w:bCs/>
    </w:rPr>
  </w:style>
  <w:style w:type="character" w:customStyle="1" w:styleId="CommentSubjectChar">
    <w:name w:val="Comment Subject Char"/>
    <w:basedOn w:val="CommentTextChar"/>
    <w:link w:val="CommentSubject"/>
    <w:uiPriority w:val="99"/>
    <w:semiHidden/>
    <w:rsid w:val="007C01ED"/>
    <w:rPr>
      <w:rFonts w:asciiTheme="minorHAnsi" w:eastAsiaTheme="minorHAnsi" w:hAnsiTheme="minorHAnsi" w:cstheme="minorBidi"/>
      <w:b/>
      <w:bCs/>
    </w:rPr>
  </w:style>
  <w:style w:type="table" w:customStyle="1" w:styleId="TableGrid2">
    <w:name w:val="Table Grid2"/>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21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B79E4"/>
    <w:rPr>
      <w:color w:val="800080" w:themeColor="followedHyperlink"/>
      <w:u w:val="single"/>
    </w:rPr>
  </w:style>
  <w:style w:type="paragraph" w:styleId="FootnoteText">
    <w:name w:val="footnote text"/>
    <w:basedOn w:val="Normal"/>
    <w:link w:val="FootnoteTextChar"/>
    <w:uiPriority w:val="99"/>
    <w:unhideWhenUsed/>
    <w:rsid w:val="00881DB7"/>
    <w:pPr>
      <w:spacing w:after="0" w:line="240" w:lineRule="auto"/>
    </w:pPr>
    <w:rPr>
      <w:sz w:val="20"/>
      <w:szCs w:val="20"/>
    </w:rPr>
  </w:style>
  <w:style w:type="character" w:customStyle="1" w:styleId="FootnoteTextChar">
    <w:name w:val="Footnote Text Char"/>
    <w:basedOn w:val="DefaultParagraphFont"/>
    <w:link w:val="FootnoteText"/>
    <w:uiPriority w:val="99"/>
    <w:rsid w:val="00881DB7"/>
    <w:rPr>
      <w:rFonts w:asciiTheme="minorHAnsi" w:eastAsiaTheme="minorHAnsi" w:hAnsiTheme="minorHAnsi" w:cstheme="minorBidi"/>
    </w:rPr>
  </w:style>
  <w:style w:type="character" w:styleId="FootnoteReference">
    <w:name w:val="footnote reference"/>
    <w:basedOn w:val="DefaultParagraphFont"/>
    <w:uiPriority w:val="99"/>
    <w:unhideWhenUsed/>
    <w:rsid w:val="00881DB7"/>
    <w:rPr>
      <w:vertAlign w:val="superscript"/>
    </w:rPr>
  </w:style>
  <w:style w:type="character" w:customStyle="1" w:styleId="ListParagraphChar">
    <w:name w:val="List Paragraph Char"/>
    <w:link w:val="ListParagraph"/>
    <w:uiPriority w:val="34"/>
    <w:locked/>
    <w:rsid w:val="00C96727"/>
    <w:rPr>
      <w:rFonts w:asciiTheme="minorHAnsi" w:eastAsiaTheme="minorHAnsi" w:hAnsiTheme="minorHAnsi" w:cstheme="minorBidi"/>
      <w:sz w:val="22"/>
      <w:szCs w:val="22"/>
    </w:rPr>
  </w:style>
  <w:style w:type="numbering" w:customStyle="1" w:styleId="NoList2">
    <w:name w:val="No List2"/>
    <w:next w:val="NoList"/>
    <w:uiPriority w:val="99"/>
    <w:semiHidden/>
    <w:unhideWhenUsed/>
    <w:rsid w:val="00134236"/>
  </w:style>
  <w:style w:type="table" w:customStyle="1" w:styleId="TableGrid5">
    <w:name w:val="Table Grid5"/>
    <w:basedOn w:val="TableNormal"/>
    <w:next w:val="TableGrid"/>
    <w:uiPriority w:val="59"/>
    <w:rsid w:val="0013423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3423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3423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134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13423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13423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13423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13423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134236"/>
  </w:style>
  <w:style w:type="table" w:customStyle="1" w:styleId="TableGrid17">
    <w:name w:val="Table Grid17"/>
    <w:basedOn w:val="TableNormal"/>
    <w:uiPriority w:val="59"/>
    <w:rsid w:val="0013423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34236"/>
    <w:rPr>
      <w:rFonts w:asciiTheme="minorHAnsi" w:eastAsiaTheme="minorHAnsi" w:hAnsiTheme="minorHAnsi" w:cstheme="minorBidi"/>
      <w:sz w:val="22"/>
      <w:szCs w:val="22"/>
    </w:rPr>
  </w:style>
  <w:style w:type="paragraph" w:styleId="Subtitle">
    <w:name w:val="Subtitle"/>
    <w:basedOn w:val="Normal"/>
    <w:next w:val="Normal"/>
    <w:link w:val="SubtitleChar"/>
    <w:qFormat/>
    <w:rsid w:val="00B90928"/>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rsid w:val="00B90928"/>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76334">
      <w:bodyDiv w:val="1"/>
      <w:marLeft w:val="0"/>
      <w:marRight w:val="0"/>
      <w:marTop w:val="0"/>
      <w:marBottom w:val="0"/>
      <w:divBdr>
        <w:top w:val="none" w:sz="0" w:space="0" w:color="auto"/>
        <w:left w:val="none" w:sz="0" w:space="0" w:color="auto"/>
        <w:bottom w:val="none" w:sz="0" w:space="0" w:color="auto"/>
        <w:right w:val="none" w:sz="0" w:space="0" w:color="auto"/>
      </w:divBdr>
    </w:div>
    <w:div w:id="169100408">
      <w:bodyDiv w:val="1"/>
      <w:marLeft w:val="0"/>
      <w:marRight w:val="0"/>
      <w:marTop w:val="0"/>
      <w:marBottom w:val="0"/>
      <w:divBdr>
        <w:top w:val="none" w:sz="0" w:space="0" w:color="auto"/>
        <w:left w:val="none" w:sz="0" w:space="0" w:color="auto"/>
        <w:bottom w:val="none" w:sz="0" w:space="0" w:color="auto"/>
        <w:right w:val="none" w:sz="0" w:space="0" w:color="auto"/>
      </w:divBdr>
    </w:div>
    <w:div w:id="1412657751">
      <w:bodyDiv w:val="1"/>
      <w:marLeft w:val="0"/>
      <w:marRight w:val="0"/>
      <w:marTop w:val="0"/>
      <w:marBottom w:val="0"/>
      <w:divBdr>
        <w:top w:val="none" w:sz="0" w:space="0" w:color="auto"/>
        <w:left w:val="none" w:sz="0" w:space="0" w:color="auto"/>
        <w:bottom w:val="none" w:sz="0" w:space="0" w:color="auto"/>
        <w:right w:val="none" w:sz="0" w:space="0" w:color="auto"/>
      </w:divBdr>
    </w:div>
    <w:div w:id="1503473484">
      <w:bodyDiv w:val="1"/>
      <w:marLeft w:val="0"/>
      <w:marRight w:val="0"/>
      <w:marTop w:val="0"/>
      <w:marBottom w:val="0"/>
      <w:divBdr>
        <w:top w:val="none" w:sz="0" w:space="0" w:color="auto"/>
        <w:left w:val="none" w:sz="0" w:space="0" w:color="auto"/>
        <w:bottom w:val="none" w:sz="0" w:space="0" w:color="auto"/>
        <w:right w:val="none" w:sz="0" w:space="0" w:color="auto"/>
      </w:divBdr>
    </w:div>
    <w:div w:id="188274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oter" Target="footer2.xml"/><Relationship Id="rId26" Type="http://schemas.openxmlformats.org/officeDocument/2006/relationships/hyperlink" Target="http://www.doe.mass.edu/edeval/resources/calibration/" TargetMode="External"/><Relationship Id="rId39"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image" Target="media/image3.png"/><Relationship Id="rId34" Type="http://schemas.openxmlformats.org/officeDocument/2006/relationships/hyperlink" Target="http://www.doe.mass.edu/ccr/initiatives/" TargetMode="External"/><Relationship Id="rId7" Type="http://schemas.openxmlformats.org/officeDocument/2006/relationships/styles" Target="styles.xml"/><Relationship Id="rId12" Type="http://schemas.openxmlformats.org/officeDocument/2006/relationships/hyperlink" Target="http://www.doe.mass.edu" TargetMode="External"/><Relationship Id="rId17" Type="http://schemas.openxmlformats.org/officeDocument/2006/relationships/footer" Target="footer1.xml"/><Relationship Id="rId25" Type="http://schemas.openxmlformats.org/officeDocument/2006/relationships/hyperlink" Target="http://www.mass.gov/edu/docs/ese/accountability/dart/walkthrough/continuum-practice.pdf" TargetMode="External"/><Relationship Id="rId33" Type="http://schemas.openxmlformats.org/officeDocument/2006/relationships/hyperlink" Target="http://www.doe.mass.edu/edwin/analytics/implementation-guide.pdf" TargetMode="External"/><Relationship Id="rId38" Type="http://schemas.openxmlformats.org/officeDocument/2006/relationships/hyperlink" Target="http://www.doe.mass.edu/finance/statistics/ppx.html"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www.doe.mass.edu/edeval/guideboo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mass.gov/edu/docs/ese/accountability/dart/walkthrough/implementation-guide.docx" TargetMode="External"/><Relationship Id="rId32" Type="http://schemas.openxmlformats.org/officeDocument/2006/relationships/hyperlink" Target="http://www.doe.mass.edu/edwin/analytics/ewis.html" TargetMode="External"/><Relationship Id="rId37" Type="http://schemas.openxmlformats.org/officeDocument/2006/relationships/footer" Target="footer4.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www.doe.mass.edu/mcas/parents/results-faq.html" TargetMode="External"/><Relationship Id="rId28" Type="http://schemas.openxmlformats.org/officeDocument/2006/relationships/hyperlink" Target="http://www.doe.mass.edu/candi/observation/" TargetMode="External"/><Relationship Id="rId36" Type="http://schemas.openxmlformats.org/officeDocument/2006/relationships/hyperlink" Target="http://www.doe.mass.edu/sfss/" TargetMode="Externa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hyperlink" Target="http://www.doe.mass.edu/accountability/toolkit/district-data-toolkit.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 TargetMode="External"/><Relationship Id="rId22" Type="http://schemas.openxmlformats.org/officeDocument/2006/relationships/hyperlink" Target="http://www.mass.gov/edu/government/departments-and-boards/ese/programs/accountability/tools-and-resources/district-analysis-review-and-assistance/dart-for-districts-and-dart-for-schools.html" TargetMode="External"/><Relationship Id="rId27" Type="http://schemas.openxmlformats.org/officeDocument/2006/relationships/hyperlink" Target="http://www.doe.mass.edu/edeval/resources/calibration/tool/" TargetMode="External"/><Relationship Id="rId30" Type="http://schemas.openxmlformats.org/officeDocument/2006/relationships/hyperlink" Target="http://www.doe.mass.edu/acls/assessment/continuum.pdf" TargetMode="External"/><Relationship Id="rId35" Type="http://schemas.openxmlformats.org/officeDocument/2006/relationships/hyperlink" Target="http://www.doe.mass.edu/ccr/resources.html?section=tool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733efe1c-5bbe-4968-87dc-d400e65c879f">DESE-231-47465</_dlc_DocId>
    <_dlc_DocIdUrl xmlns="733efe1c-5bbe-4968-87dc-d400e65c879f">
      <Url>https://sharepoint.doemass.org/ese/webteam/cps/_layouts/DocIdRedir.aspx?ID=DESE-231-47465</Url>
      <Description>DESE-231-47465</Description>
    </_dlc_DocIdUrl>
    <_vti_RoutingExistingProperties xmlns="0a4e05da-b9bc-4326-ad73-01ef31b95567" xsi:nil="true"/>
    <_dlc_DocIdPersistId xmlns="733efe1c-5bbe-4968-87dc-d400e65c879f">true</_dlc_DocIdPersistI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0B4DD9-FAAA-4E3F-BED1-86F86FBC0743}">
  <ds:schemaRefs>
    <ds:schemaRef ds:uri="http://schemas.microsoft.com/sharepoint/v3/contenttype/forms"/>
  </ds:schemaRefs>
</ds:datastoreItem>
</file>

<file path=customXml/itemProps2.xml><?xml version="1.0" encoding="utf-8"?>
<ds:datastoreItem xmlns:ds="http://schemas.openxmlformats.org/officeDocument/2006/customXml" ds:itemID="{D6E22896-DDF6-4DD0-A40A-234F609D0A23}">
  <ds:schemaRefs>
    <ds:schemaRef ds:uri="http://schemas.microsoft.com/sharepoint/events"/>
  </ds:schemaRefs>
</ds:datastoreItem>
</file>

<file path=customXml/itemProps3.xml><?xml version="1.0" encoding="utf-8"?>
<ds:datastoreItem xmlns:ds="http://schemas.openxmlformats.org/officeDocument/2006/customXml" ds:itemID="{642BBA46-623E-4740-AAB6-01824C52AFD7}">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customXml/itemProps4.xml><?xml version="1.0" encoding="utf-8"?>
<ds:datastoreItem xmlns:ds="http://schemas.openxmlformats.org/officeDocument/2006/customXml" ds:itemID="{B5F08010-A9A9-4C9B-BB90-775040A16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7447C48-0AA6-4F87-9C6E-D4F20369E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51</Pages>
  <Words>16087</Words>
  <Characters>89768</Characters>
  <Application>Microsoft Office Word</Application>
  <DocSecurity>0</DocSecurity>
  <Lines>3902</Lines>
  <Paragraphs>3113</Paragraphs>
  <ScaleCrop>false</ScaleCrop>
  <HeadingPairs>
    <vt:vector size="2" baseType="variant">
      <vt:variant>
        <vt:lpstr>Title</vt:lpstr>
      </vt:variant>
      <vt:variant>
        <vt:i4>1</vt:i4>
      </vt:variant>
    </vt:vector>
  </HeadingPairs>
  <TitlesOfParts>
    <vt:vector size="1" baseType="lpstr">
      <vt:lpstr>Wakefield District Review Report - 2018</vt:lpstr>
    </vt:vector>
  </TitlesOfParts>
  <Company>Microsoft</Company>
  <LinksUpToDate>false</LinksUpToDate>
  <CharactersWithSpaces>102742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Wakefield District Review Report - 2018</dc:title>
  <dc:subject>Wakefield District Review Report - 2018</dc:subject>
  <dc:creator>Long, Melinda</dc:creator>
  <cp:lastModifiedBy>O'Brien-Driscoll, Courtney</cp:lastModifiedBy>
  <cp:revision>3</cp:revision>
  <cp:lastPrinted>2018-11-13T17:24:00Z</cp:lastPrinted>
  <dcterms:created xsi:type="dcterms:W3CDTF">2018-12-27T12:41:00Z</dcterms:created>
  <dcterms:modified xsi:type="dcterms:W3CDTF">2018-12-27T15:15:00Z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Client Name">
    <vt:lpwstr>39;#MA DESE|847727f9-e323-4eef-b2f2-e09a97a5fe1a</vt:lpwstr>
  </property>
  <property fmtid="{D5CDD505-2E9C-101B-9397-08002B2CF9AE}" pid="4" name="_dlc_DocIdItemGuid">
    <vt:lpwstr>0ae18204-7ce2-4d85-b723-1a080091ea08</vt:lpwstr>
  </property>
  <property fmtid="{D5CDD505-2E9C-101B-9397-08002B2CF9AE}" pid="5" name="metadate">
    <vt:lpwstr>Dec 27 2018</vt:lpwstr>
  </property>
</Properties>
</file>