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D2754" w14:textId="4BE95055" w:rsidR="27294DD8" w:rsidRPr="00B910F5" w:rsidRDefault="00E250D4" w:rsidP="00B910F5">
      <w:pPr>
        <w:pStyle w:val="Title"/>
      </w:pPr>
      <w:r w:rsidRPr="00B910F5">
        <w:t>Summary of Updates to the District Standards and Indicators</w:t>
      </w:r>
    </w:p>
    <w:p w14:paraId="36D9DE0D" w14:textId="2156466E" w:rsidR="00285E0F" w:rsidRDefault="009541E9" w:rsidP="00305D06">
      <w:pPr>
        <w:rPr>
          <w:b/>
          <w:bCs/>
        </w:rPr>
      </w:pPr>
      <w:r>
        <w:t xml:space="preserve">Last summer, the </w:t>
      </w:r>
      <w:r w:rsidR="49DAAD32">
        <w:t xml:space="preserve">Department of Elementary and Secondary Education’s (DESE) </w:t>
      </w:r>
      <w:r>
        <w:t xml:space="preserve">Office of District Reviews and Monitoring (ODRM) set out to update the </w:t>
      </w:r>
      <w:r w:rsidRPr="720F5051">
        <w:rPr>
          <w:i/>
          <w:iCs/>
        </w:rPr>
        <w:t>District Standards and Indicators</w:t>
      </w:r>
      <w:r>
        <w:t xml:space="preserve">, a document that serves as the foundation of all </w:t>
      </w:r>
      <w:hyperlink r:id="rId10">
        <w:r w:rsidRPr="720F5051">
          <w:rPr>
            <w:rStyle w:val="Hyperlink"/>
          </w:rPr>
          <w:t>district reviews</w:t>
        </w:r>
      </w:hyperlink>
      <w:r>
        <w:t xml:space="preserve"> and outlines </w:t>
      </w:r>
      <w:r w:rsidR="0046463D">
        <w:t>how</w:t>
      </w:r>
      <w:r>
        <w:t xml:space="preserve"> school districts </w:t>
      </w:r>
      <w:r w:rsidR="00352500">
        <w:t>can organize their systems to</w:t>
      </w:r>
      <w:r>
        <w:t xml:space="preserve"> facilitate positive student outcomes and experiences. We structured our project using </w:t>
      </w:r>
      <w:r w:rsidR="7BACBD4E">
        <w:t>DESE’s</w:t>
      </w:r>
      <w:r w:rsidR="00781D90">
        <w:t xml:space="preserve"> Racial Equity Decision-Making Tool (REDT), which</w:t>
      </w:r>
      <w:r w:rsidR="005D5CC8">
        <w:t xml:space="preserve"> guides decision-making to explicitly and intentionally </w:t>
      </w:r>
      <w:r w:rsidR="001B0C27">
        <w:t>center equity, particularly racial equity.</w:t>
      </w:r>
      <w:r w:rsidR="00781D90">
        <w:t xml:space="preserve"> </w:t>
      </w:r>
      <w:r w:rsidR="001B0C27">
        <w:t xml:space="preserve">As </w:t>
      </w:r>
      <w:r w:rsidR="00BC742A">
        <w:t>a first step,</w:t>
      </w:r>
      <w:r w:rsidR="00A66A53">
        <w:t xml:space="preserve"> we </w:t>
      </w:r>
      <w:r w:rsidR="00F76F6D">
        <w:t xml:space="preserve">convened more than 30 </w:t>
      </w:r>
      <w:r w:rsidR="0050108D">
        <w:t xml:space="preserve">DESE </w:t>
      </w:r>
      <w:r w:rsidR="00D332B3">
        <w:t xml:space="preserve">experts </w:t>
      </w:r>
      <w:r w:rsidR="0050108D">
        <w:t>to</w:t>
      </w:r>
      <w:r w:rsidR="001B7330">
        <w:t xml:space="preserve"> serve on </w:t>
      </w:r>
      <w:r w:rsidR="00374E76">
        <w:t xml:space="preserve">internal committees for each standard. </w:t>
      </w:r>
      <w:r w:rsidR="009E70C9">
        <w:t xml:space="preserve">Additional stakeholder engagement efforts include sharing the draft document </w:t>
      </w:r>
      <w:r w:rsidR="00A36325">
        <w:t>wi</w:t>
      </w:r>
      <w:r w:rsidR="009E70C9">
        <w:t xml:space="preserve">th </w:t>
      </w:r>
      <w:r w:rsidR="00DB2533">
        <w:t xml:space="preserve">a </w:t>
      </w:r>
      <w:r w:rsidR="00B833F8">
        <w:t>broad range of</w:t>
      </w:r>
      <w:r w:rsidR="00DB2533">
        <w:t xml:space="preserve"> </w:t>
      </w:r>
      <w:r w:rsidR="004339A0">
        <w:t xml:space="preserve">external </w:t>
      </w:r>
      <w:r w:rsidR="00DB2533">
        <w:t>stakeholder</w:t>
      </w:r>
      <w:r w:rsidR="00B833F8">
        <w:t>s</w:t>
      </w:r>
      <w:r w:rsidR="00C17D3E">
        <w:t xml:space="preserve">, including but not limited to </w:t>
      </w:r>
      <w:r w:rsidR="00B833F8">
        <w:t xml:space="preserve">district and school leaders, stakeholder associations and organizations, </w:t>
      </w:r>
      <w:r w:rsidR="00D00517">
        <w:t xml:space="preserve">advocacy groups, </w:t>
      </w:r>
      <w:r w:rsidR="00A74046">
        <w:t xml:space="preserve">advisory councils, </w:t>
      </w:r>
      <w:r w:rsidR="00B833F8">
        <w:t xml:space="preserve">and the </w:t>
      </w:r>
      <w:r w:rsidR="009E2332">
        <w:t xml:space="preserve">general </w:t>
      </w:r>
      <w:r w:rsidR="00A36325">
        <w:t>public</w:t>
      </w:r>
      <w:r w:rsidR="00B833F8">
        <w:t>.</w:t>
      </w:r>
      <w:r w:rsidR="00DB2533">
        <w:t xml:space="preserve"> </w:t>
      </w:r>
    </w:p>
    <w:p w14:paraId="0D60E80F" w14:textId="248D0DE7" w:rsidR="00E45245" w:rsidRPr="00916DAA" w:rsidRDefault="00E45245" w:rsidP="00305D06">
      <w:r>
        <w:t>Once we have</w:t>
      </w:r>
      <w:r w:rsidR="00A36325">
        <w:t xml:space="preserve"> reviewed and</w:t>
      </w:r>
      <w:r>
        <w:t xml:space="preserve"> incorporated </w:t>
      </w:r>
      <w:r w:rsidR="00A36325">
        <w:t xml:space="preserve">their </w:t>
      </w:r>
      <w:r>
        <w:t xml:space="preserve">feedback, the ODRM team will </w:t>
      </w:r>
      <w:r w:rsidR="00916DAA">
        <w:t xml:space="preserve">focus on implementing the updated </w:t>
      </w:r>
      <w:r w:rsidR="00916DAA" w:rsidRPr="005442B1">
        <w:rPr>
          <w:i/>
          <w:iCs/>
        </w:rPr>
        <w:t>District Standards and Indicators</w:t>
      </w:r>
      <w:r w:rsidR="00916DAA">
        <w:t xml:space="preserve"> in the 2024-25 </w:t>
      </w:r>
      <w:r w:rsidR="3426FAC6">
        <w:t>school year</w:t>
      </w:r>
      <w:r w:rsidR="00916DAA">
        <w:t>.</w:t>
      </w:r>
    </w:p>
    <w:p w14:paraId="426EF622" w14:textId="1B9860FC" w:rsidR="00BD6DE9" w:rsidRDefault="0A9D6FB5" w:rsidP="00305D06">
      <w:r>
        <w:t xml:space="preserve">District reviews are required by </w:t>
      </w:r>
      <w:hyperlink r:id="rId11">
        <w:r w:rsidRPr="68F85036">
          <w:rPr>
            <w:rStyle w:val="Hyperlink"/>
          </w:rPr>
          <w:t>state statute</w:t>
        </w:r>
      </w:hyperlink>
      <w:r>
        <w:t xml:space="preserve">, and the six standards on which we base these reviews are </w:t>
      </w:r>
      <w:r w:rsidR="003055BF">
        <w:t>outlined</w:t>
      </w:r>
      <w:r>
        <w:t xml:space="preserve"> in </w:t>
      </w:r>
      <w:hyperlink r:id="rId12">
        <w:r w:rsidR="33A6EC19" w:rsidRPr="7BDA476F">
          <w:rPr>
            <w:rStyle w:val="Hyperlink"/>
          </w:rPr>
          <w:t>state regulation</w:t>
        </w:r>
      </w:hyperlink>
      <w:r w:rsidR="33A6EC19">
        <w:t xml:space="preserve"> (Leadership and Governance, Curriculum and Instruction, Assessment, Human Resources and Professional Development, Student Support, and Financial and Asset Management).</w:t>
      </w:r>
      <w:r>
        <w:t xml:space="preserve"> </w:t>
      </w:r>
      <w:r w:rsidR="00834F0F">
        <w:t>The</w:t>
      </w:r>
      <w:r w:rsidR="00834F0F" w:rsidRPr="00D966E2">
        <w:t xml:space="preserve"> Department </w:t>
      </w:r>
      <w:r w:rsidR="00834F0F" w:rsidRPr="00D966E2">
        <w:rPr>
          <w:b/>
          <w:bCs/>
        </w:rPr>
        <w:t xml:space="preserve">is not proposing changes to the </w:t>
      </w:r>
      <w:r w:rsidR="6CBFBAB0" w:rsidRPr="00D966E2">
        <w:rPr>
          <w:b/>
          <w:bCs/>
        </w:rPr>
        <w:t>six standards</w:t>
      </w:r>
      <w:r w:rsidR="31888953" w:rsidRPr="719B63A2">
        <w:rPr>
          <w:b/>
          <w:bCs/>
        </w:rPr>
        <w:t>.</w:t>
      </w:r>
      <w:r w:rsidR="00E06836">
        <w:t xml:space="preserve"> Instead, we are proposing changes to the </w:t>
      </w:r>
      <w:r w:rsidR="24FA6986">
        <w:t xml:space="preserve">corresponding indicators and “look-fors” </w:t>
      </w:r>
      <w:r w:rsidR="00E06836">
        <w:t>within each standard.</w:t>
      </w:r>
      <w:r w:rsidR="007F2025">
        <w:t xml:space="preserve"> A</w:t>
      </w:r>
      <w:r w:rsidR="72D13A67">
        <w:t xml:space="preserve"> </w:t>
      </w:r>
      <w:r w:rsidR="00CA2575">
        <w:t>summary</w:t>
      </w:r>
      <w:r w:rsidR="00374E76">
        <w:t xml:space="preserve"> of </w:t>
      </w:r>
      <w:r w:rsidR="007F2025">
        <w:t xml:space="preserve">the proposed changes to </w:t>
      </w:r>
      <w:r w:rsidR="00374E76">
        <w:t xml:space="preserve">the </w:t>
      </w:r>
      <w:hyperlink r:id="rId13">
        <w:r w:rsidR="5D38C06F" w:rsidRPr="42CA4266">
          <w:rPr>
            <w:rStyle w:val="Hyperlink"/>
          </w:rPr>
          <w:t xml:space="preserve">currently </w:t>
        </w:r>
        <w:r w:rsidR="00374E76" w:rsidRPr="42CA4266">
          <w:rPr>
            <w:rStyle w:val="Hyperlink"/>
          </w:rPr>
          <w:t xml:space="preserve">published </w:t>
        </w:r>
        <w:r w:rsidR="00374E76" w:rsidRPr="42CA4266">
          <w:rPr>
            <w:rStyle w:val="Hyperlink"/>
            <w:i/>
            <w:iCs/>
          </w:rPr>
          <w:t>District Standards and Indicators</w:t>
        </w:r>
      </w:hyperlink>
      <w:r w:rsidR="00374E76" w:rsidRPr="42CA4266">
        <w:rPr>
          <w:i/>
          <w:iCs/>
        </w:rPr>
        <w:t xml:space="preserve"> </w:t>
      </w:r>
      <w:r w:rsidR="00CA2575">
        <w:t>is below</w:t>
      </w:r>
      <w:r w:rsidR="21BAC3FA">
        <w:t>:</w:t>
      </w:r>
    </w:p>
    <w:p w14:paraId="62EE4E56" w14:textId="2A06CE90" w:rsidR="00BD6DE9" w:rsidRDefault="46DBE640" w:rsidP="71A3D0F1">
      <w:pPr>
        <w:pStyle w:val="ListParagraph"/>
        <w:numPr>
          <w:ilvl w:val="0"/>
          <w:numId w:val="1"/>
        </w:numPr>
      </w:pPr>
      <w:r w:rsidRPr="6996D4A9">
        <w:rPr>
          <w:b/>
          <w:bCs/>
        </w:rPr>
        <w:t>Alignment with core</w:t>
      </w:r>
      <w:r w:rsidR="00FA45AB">
        <w:rPr>
          <w:b/>
          <w:bCs/>
        </w:rPr>
        <w:t xml:space="preserve"> DESE</w:t>
      </w:r>
      <w:r w:rsidRPr="6996D4A9">
        <w:rPr>
          <w:b/>
          <w:bCs/>
        </w:rPr>
        <w:t xml:space="preserve"> documents</w:t>
      </w:r>
      <w:r>
        <w:t>:</w:t>
      </w:r>
      <w:r w:rsidR="40754FDC">
        <w:t xml:space="preserve"> W</w:t>
      </w:r>
      <w:r>
        <w:t>e</w:t>
      </w:r>
      <w:r w:rsidR="00305D06">
        <w:t xml:space="preserve"> </w:t>
      </w:r>
      <w:r w:rsidR="4296D78E">
        <w:t xml:space="preserve">have </w:t>
      </w:r>
      <w:r w:rsidR="00305D06">
        <w:t xml:space="preserve">incorporated significant language </w:t>
      </w:r>
      <w:r w:rsidR="005A325C">
        <w:t>from</w:t>
      </w:r>
      <w:r w:rsidR="00305D06">
        <w:t xml:space="preserve"> the </w:t>
      </w:r>
      <w:hyperlink r:id="rId14" w:history="1">
        <w:r w:rsidR="00305D06" w:rsidRPr="00040469">
          <w:rPr>
            <w:rStyle w:val="Hyperlink"/>
          </w:rPr>
          <w:t>Ed</w:t>
        </w:r>
        <w:r w:rsidR="00D5703B" w:rsidRPr="00040469">
          <w:rPr>
            <w:rStyle w:val="Hyperlink"/>
          </w:rPr>
          <w:t xml:space="preserve">ucational </w:t>
        </w:r>
        <w:r w:rsidR="00305D06" w:rsidRPr="00040469">
          <w:rPr>
            <w:rStyle w:val="Hyperlink"/>
          </w:rPr>
          <w:t>Vision</w:t>
        </w:r>
      </w:hyperlink>
      <w:r w:rsidR="00305D06">
        <w:t xml:space="preserve"> </w:t>
      </w:r>
      <w:r w:rsidR="005A325C">
        <w:t xml:space="preserve">and </w:t>
      </w:r>
      <w:r w:rsidR="00D5703B">
        <w:t xml:space="preserve">the Center for District and School Partnerships’ </w:t>
      </w:r>
      <w:hyperlink r:id="rId15" w:history="1">
        <w:r w:rsidR="005A325C" w:rsidRPr="002D5B96">
          <w:rPr>
            <w:rStyle w:val="Hyperlink"/>
          </w:rPr>
          <w:t>Coherence Guidebook</w:t>
        </w:r>
      </w:hyperlink>
      <w:r w:rsidR="005A325C">
        <w:t xml:space="preserve"> throughout the document</w:t>
      </w:r>
      <w:r w:rsidR="00565984">
        <w:t xml:space="preserve">. This version also includes an Appendix </w:t>
      </w:r>
      <w:r w:rsidR="0046463D">
        <w:t>that</w:t>
      </w:r>
      <w:r w:rsidR="00565984">
        <w:t xml:space="preserve"> links to</w:t>
      </w:r>
      <w:r w:rsidR="00531AE0">
        <w:t xml:space="preserve"> core pieces of DESE guidance and resources</w:t>
      </w:r>
      <w:r w:rsidR="00A47C12">
        <w:t xml:space="preserve"> </w:t>
      </w:r>
      <w:r w:rsidR="005A325C">
        <w:t>(e.g. educator evaluation rubrics, Massachusetts Curriculum Frameworks, etc</w:t>
      </w:r>
      <w:r w:rsidR="31BED7AC">
        <w:t>.</w:t>
      </w:r>
      <w:r w:rsidR="005A325C">
        <w:t xml:space="preserve">). </w:t>
      </w:r>
    </w:p>
    <w:p w14:paraId="2D4B913A" w14:textId="14C27FF4" w:rsidR="00BD6DE9" w:rsidRDefault="1B3A3E76" w:rsidP="71A3D0F1">
      <w:pPr>
        <w:pStyle w:val="ListParagraph"/>
        <w:numPr>
          <w:ilvl w:val="0"/>
          <w:numId w:val="1"/>
        </w:numPr>
      </w:pPr>
      <w:r w:rsidRPr="6996D4A9">
        <w:rPr>
          <w:b/>
          <w:bCs/>
        </w:rPr>
        <w:t>Length</w:t>
      </w:r>
      <w:r>
        <w:t>: The published version includ</w:t>
      </w:r>
      <w:r w:rsidR="00072942">
        <w:t>es</w:t>
      </w:r>
      <w:r>
        <w:t xml:space="preserve"> 21 indicators. Th</w:t>
      </w:r>
      <w:r w:rsidR="009718D9">
        <w:t>e</w:t>
      </w:r>
      <w:r>
        <w:t xml:space="preserve"> new draft currently includes 24 indicators.</w:t>
      </w:r>
      <w:r w:rsidR="5CB1666E">
        <w:t xml:space="preserve"> </w:t>
      </w:r>
    </w:p>
    <w:p w14:paraId="6D10F30F" w14:textId="47BB7BD8" w:rsidR="00BD6DE9" w:rsidRDefault="1B3A3E76" w:rsidP="71A3D0F1">
      <w:pPr>
        <w:pStyle w:val="ListParagraph"/>
        <w:numPr>
          <w:ilvl w:val="0"/>
          <w:numId w:val="1"/>
        </w:numPr>
      </w:pPr>
      <w:r w:rsidRPr="3298BC78">
        <w:rPr>
          <w:b/>
          <w:bCs/>
        </w:rPr>
        <w:t>Focus on racial equity</w:t>
      </w:r>
      <w:r>
        <w:t xml:space="preserve">: </w:t>
      </w:r>
      <w:r w:rsidR="179AFA98">
        <w:t>We</w:t>
      </w:r>
      <w:r w:rsidR="00C8641B">
        <w:t xml:space="preserve"> incorporate</w:t>
      </w:r>
      <w:r w:rsidR="6122DD43">
        <w:t>d</w:t>
      </w:r>
      <w:r w:rsidR="00C8641B">
        <w:t xml:space="preserve"> a greater equity lens in this </w:t>
      </w:r>
      <w:r w:rsidR="00A47C12">
        <w:t>draft</w:t>
      </w:r>
      <w:r w:rsidR="00234E7A">
        <w:t xml:space="preserve"> </w:t>
      </w:r>
      <w:r w:rsidR="0046463D">
        <w:t>to further communicate</w:t>
      </w:r>
      <w:r w:rsidR="00234E7A">
        <w:t xml:space="preserve"> the importance of equitable practices and policies. We</w:t>
      </w:r>
      <w:r w:rsidR="00065F8A">
        <w:t xml:space="preserve"> have attempted to weave this focus </w:t>
      </w:r>
      <w:r w:rsidR="008C12F5">
        <w:t xml:space="preserve">on equity </w:t>
      </w:r>
      <w:r w:rsidR="00065F8A">
        <w:t xml:space="preserve">throughout the </w:t>
      </w:r>
      <w:r w:rsidR="451EA67E">
        <w:t>document but</w:t>
      </w:r>
      <w:r w:rsidR="00CA068C">
        <w:t xml:space="preserve"> would appreciate your insights around how to be even more explicit about districts’ responsibilit</w:t>
      </w:r>
      <w:r w:rsidR="008C12F5">
        <w:t>ies</w:t>
      </w:r>
      <w:r w:rsidR="00CA068C">
        <w:t xml:space="preserve"> to serve all students, including and especially those who have been historically underserved. </w:t>
      </w:r>
    </w:p>
    <w:p w14:paraId="56224AC2" w14:textId="08F40A99" w:rsidR="005A325C" w:rsidRDefault="00667804" w:rsidP="00305D06">
      <w:r>
        <w:t xml:space="preserve">Below is an overview of some of the </w:t>
      </w:r>
      <w:r w:rsidR="00B210CE">
        <w:t xml:space="preserve">proposed </w:t>
      </w:r>
      <w:r w:rsidR="000C0986">
        <w:t>shifts evident in each of the standards</w:t>
      </w:r>
      <w:r w:rsidR="01D06AAB">
        <w:t>:</w:t>
      </w:r>
      <w:r w:rsidR="000C0986">
        <w:t xml:space="preserve"> </w:t>
      </w:r>
    </w:p>
    <w:p w14:paraId="6A386BE1" w14:textId="4A57DD30" w:rsidR="005A325C" w:rsidRDefault="5B2FA67A" w:rsidP="00305D06">
      <w:r w:rsidRPr="71A3D0F1">
        <w:rPr>
          <w:b/>
          <w:bCs/>
        </w:rPr>
        <w:t xml:space="preserve">Leadership and Governance: </w:t>
      </w:r>
      <w:r w:rsidR="005A325C">
        <w:t>The Leadership and Governance standard n</w:t>
      </w:r>
      <w:r w:rsidR="00A64956">
        <w:t>ow emphasizes leadership culture and the degree to which stakeholders hold themselves, and others, accountable for student outcomes and experiences. Furthermore, we have removed the Budget Development indicator to consolidate budgeting indicators</w:t>
      </w:r>
      <w:r w:rsidR="00E67393">
        <w:t xml:space="preserve"> and</w:t>
      </w:r>
      <w:r w:rsidR="00E4530E">
        <w:t xml:space="preserve"> </w:t>
      </w:r>
      <w:r w:rsidR="00A64956">
        <w:t xml:space="preserve">look-fors in the Financial and Asset Management standard. </w:t>
      </w:r>
    </w:p>
    <w:p w14:paraId="6783C52A" w14:textId="7C5C0248" w:rsidR="00305D06" w:rsidRDefault="6458B1D8" w:rsidP="0002348B">
      <w:r w:rsidRPr="06C127C6">
        <w:rPr>
          <w:b/>
          <w:bCs/>
        </w:rPr>
        <w:t xml:space="preserve">Curriculum and Instruction: </w:t>
      </w:r>
      <w:r w:rsidR="0002348B">
        <w:t xml:space="preserve">The Curriculum and Instruction standard emphasizes the use of </w:t>
      </w:r>
      <w:r w:rsidR="5FB4B03E">
        <w:t>high-quality</w:t>
      </w:r>
      <w:r w:rsidR="0002348B">
        <w:t xml:space="preserve"> curriculum and instructional materials far more than the </w:t>
      </w:r>
      <w:r w:rsidR="18357F47">
        <w:t xml:space="preserve">published version </w:t>
      </w:r>
      <w:r w:rsidR="0002348B">
        <w:t>does. This aligns with</w:t>
      </w:r>
      <w:r w:rsidR="4CDC9FE8">
        <w:t xml:space="preserve"> </w:t>
      </w:r>
      <w:r w:rsidR="1F440853">
        <w:t>DESE’s</w:t>
      </w:r>
      <w:r w:rsidR="0002348B">
        <w:t xml:space="preserve"> move toward promoting evidence-based, effective curricula. This standard </w:t>
      </w:r>
      <w:r w:rsidR="7B7966EB">
        <w:t>now also</w:t>
      </w:r>
      <w:r w:rsidR="0002348B">
        <w:t xml:space="preserve"> includes an indicator on instructional leadership, which was previously missing from the </w:t>
      </w:r>
      <w:r w:rsidR="0002348B" w:rsidRPr="06C127C6">
        <w:rPr>
          <w:i/>
          <w:iCs/>
        </w:rPr>
        <w:t>District Standards and Indicators</w:t>
      </w:r>
      <w:r w:rsidR="0002348B">
        <w:t xml:space="preserve">. </w:t>
      </w:r>
    </w:p>
    <w:p w14:paraId="7654A268" w14:textId="25B4684F" w:rsidR="0002348B" w:rsidRDefault="36C961D1" w:rsidP="0002348B">
      <w:r w:rsidRPr="3298BC78">
        <w:rPr>
          <w:b/>
          <w:bCs/>
        </w:rPr>
        <w:lastRenderedPageBreak/>
        <w:t xml:space="preserve">Assessment: </w:t>
      </w:r>
      <w:r w:rsidR="0002348B">
        <w:t xml:space="preserve">The Assessment standard has a greater emphasis on data and data systems than it previously did. Additionally, this draft refers to the collection and analysis of multiple data points and types of data to build a comprehensive understanding of each individual student. </w:t>
      </w:r>
    </w:p>
    <w:p w14:paraId="7AFAC8C6" w14:textId="0B075AE4" w:rsidR="0002348B" w:rsidRDefault="53673C19" w:rsidP="0002348B">
      <w:r w:rsidRPr="3298BC78">
        <w:rPr>
          <w:b/>
          <w:bCs/>
        </w:rPr>
        <w:t xml:space="preserve">Human Resources and Professional Development: </w:t>
      </w:r>
      <w:r w:rsidR="0002348B">
        <w:t>The Human Resources and Professional Development standard is more detailed than it previously was.</w:t>
      </w:r>
      <w:r w:rsidR="00C345A0">
        <w:t xml:space="preserve"> This standard</w:t>
      </w:r>
      <w:r w:rsidR="00664D75">
        <w:t xml:space="preserve"> now includes a robust section on leveraging district systems to build and </w:t>
      </w:r>
      <w:r w:rsidR="5714E601">
        <w:t xml:space="preserve">sustain </w:t>
      </w:r>
      <w:r w:rsidR="00664D75">
        <w:t xml:space="preserve">a diverse educator workforce. Additionally, the professional development piece has expanded into systems of professional learning, including cycles of observation and feedback, curriculum-aligned </w:t>
      </w:r>
      <w:r w:rsidR="005E44C5">
        <w:t>professional development</w:t>
      </w:r>
      <w:r w:rsidR="00664D75">
        <w:t xml:space="preserve">, and </w:t>
      </w:r>
      <w:r w:rsidR="00856337">
        <w:t xml:space="preserve">targeted supports for new educators. </w:t>
      </w:r>
      <w:r w:rsidR="00C345A0">
        <w:t xml:space="preserve"> </w:t>
      </w:r>
    </w:p>
    <w:p w14:paraId="515D8E4E" w14:textId="40446CA2" w:rsidR="0002348B" w:rsidRDefault="2BE465FE" w:rsidP="0002348B">
      <w:r w:rsidRPr="71A3D0F1">
        <w:rPr>
          <w:b/>
          <w:bCs/>
        </w:rPr>
        <w:t xml:space="preserve">Student Support: </w:t>
      </w:r>
      <w:r w:rsidR="0002348B">
        <w:t>The</w:t>
      </w:r>
      <w:r w:rsidR="00C345A0">
        <w:t xml:space="preserve"> Student Support standard now includes an indicator entitled “Health and Wellbeing,” which addresses physical and mental health education and services. This standard now also includes look-fors around wraparound support for vulnerable student populations including students living in foster care, newly arrived migrants, and unhoused students. </w:t>
      </w:r>
    </w:p>
    <w:p w14:paraId="21407541" w14:textId="2D44E6C2" w:rsidR="00C345A0" w:rsidRPr="00C345A0" w:rsidRDefault="76AAA173" w:rsidP="3298BC78">
      <w:pPr>
        <w:rPr>
          <w:i/>
          <w:iCs/>
        </w:rPr>
      </w:pPr>
      <w:r w:rsidRPr="3298BC78">
        <w:rPr>
          <w:b/>
          <w:bCs/>
        </w:rPr>
        <w:t xml:space="preserve">Financial and Asset Management: </w:t>
      </w:r>
      <w:r w:rsidR="00C345A0">
        <w:t>The Financial and Asset Management standard is now more specific and detailed about the many responsibilities the</w:t>
      </w:r>
      <w:r w:rsidR="6B7978C2">
        <w:t xml:space="preserve"> district</w:t>
      </w:r>
      <w:r w:rsidR="00C345A0">
        <w:t xml:space="preserve"> business office oversees</w:t>
      </w:r>
      <w:r w:rsidR="007C5B27">
        <w:t xml:space="preserve"> and carries out</w:t>
      </w:r>
      <w:r w:rsidR="00C345A0">
        <w:t xml:space="preserve">. The draft of this standard now includes an indicator on operations, which </w:t>
      </w:r>
      <w:r w:rsidR="00D00127">
        <w:t>is not in the published version</w:t>
      </w:r>
      <w:r w:rsidR="00C345A0">
        <w:t xml:space="preserve">, and </w:t>
      </w:r>
      <w:r w:rsidR="007C5B27">
        <w:t xml:space="preserve">indicators around business office infrastructure, procurement and contracting, and accounting and reporting. By adding several new indicators to this standard (and reworking the </w:t>
      </w:r>
      <w:r w:rsidR="0CD11432">
        <w:t xml:space="preserve">existing </w:t>
      </w:r>
      <w:r w:rsidR="007C5B27">
        <w:t>ones)</w:t>
      </w:r>
      <w:r w:rsidR="003E60AB">
        <w:t>,</w:t>
      </w:r>
      <w:r w:rsidR="007C5B27">
        <w:t xml:space="preserve"> we have developed a far more robust standard. </w:t>
      </w:r>
    </w:p>
    <w:sectPr w:rsidR="00C345A0" w:rsidRPr="00C345A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FF692" w14:textId="77777777" w:rsidR="00DB4079" w:rsidRDefault="00DB4079" w:rsidP="006B1223">
      <w:pPr>
        <w:spacing w:after="0" w:line="240" w:lineRule="auto"/>
      </w:pPr>
      <w:r>
        <w:separator/>
      </w:r>
    </w:p>
  </w:endnote>
  <w:endnote w:type="continuationSeparator" w:id="0">
    <w:p w14:paraId="4ECE15E6" w14:textId="77777777" w:rsidR="00DB4079" w:rsidRDefault="00DB4079" w:rsidP="006B1223">
      <w:pPr>
        <w:spacing w:after="0" w:line="240" w:lineRule="auto"/>
      </w:pPr>
      <w:r>
        <w:continuationSeparator/>
      </w:r>
    </w:p>
  </w:endnote>
  <w:endnote w:type="continuationNotice" w:id="1">
    <w:p w14:paraId="3417620B" w14:textId="77777777" w:rsidR="00DB4079" w:rsidRDefault="00DB4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240444"/>
      <w:docPartObj>
        <w:docPartGallery w:val="Page Numbers (Bottom of Page)"/>
        <w:docPartUnique/>
      </w:docPartObj>
    </w:sdtPr>
    <w:sdtEndPr>
      <w:rPr>
        <w:noProof/>
      </w:rPr>
    </w:sdtEndPr>
    <w:sdtContent>
      <w:p w14:paraId="714B1D58" w14:textId="2BE37562" w:rsidR="00370105" w:rsidRDefault="001906C9">
        <w:pPr>
          <w:pStyle w:val="Footer"/>
          <w:jc w:val="right"/>
        </w:pPr>
        <w:r>
          <w:rPr>
            <w:noProof/>
          </w:rPr>
          <w:drawing>
            <wp:anchor distT="0" distB="0" distL="114300" distR="114300" simplePos="0" relativeHeight="251658240" behindDoc="1" locked="0" layoutInCell="1" allowOverlap="1" wp14:anchorId="496A179A" wp14:editId="08F6DA94">
              <wp:simplePos x="0" y="0"/>
              <wp:positionH relativeFrom="column">
                <wp:posOffset>-34078</wp:posOffset>
              </wp:positionH>
              <wp:positionV relativeFrom="paragraph">
                <wp:posOffset>-107315</wp:posOffset>
              </wp:positionV>
              <wp:extent cx="1898650" cy="398780"/>
              <wp:effectExtent l="0" t="0" r="6350" b="1270"/>
              <wp:wrapTight wrapText="bothSides">
                <wp:wrapPolygon edited="0">
                  <wp:start x="0" y="0"/>
                  <wp:lineTo x="0" y="20637"/>
                  <wp:lineTo x="21456" y="20637"/>
                  <wp:lineTo x="21456" y="0"/>
                  <wp:lineTo x="0" y="0"/>
                </wp:wrapPolygon>
              </wp:wrapTight>
              <wp:docPr id="503339989" name="Picture 1" descr="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339989" name="Picture 1" descr="DESE's logo"/>
                      <pic:cNvPicPr/>
                    </pic:nvPicPr>
                    <pic:blipFill>
                      <a:blip r:embed="rId1">
                        <a:extLst>
                          <a:ext uri="{28A0092B-C50C-407E-A947-70E740481C1C}">
                            <a14:useLocalDpi xmlns:a14="http://schemas.microsoft.com/office/drawing/2010/main" val="0"/>
                          </a:ext>
                        </a:extLst>
                      </a:blip>
                      <a:stretch>
                        <a:fillRect/>
                      </a:stretch>
                    </pic:blipFill>
                    <pic:spPr>
                      <a:xfrm>
                        <a:off x="0" y="0"/>
                        <a:ext cx="1898650" cy="398780"/>
                      </a:xfrm>
                      <a:prstGeom prst="rect">
                        <a:avLst/>
                      </a:prstGeom>
                    </pic:spPr>
                  </pic:pic>
                </a:graphicData>
              </a:graphic>
            </wp:anchor>
          </w:drawing>
        </w:r>
        <w:r w:rsidR="00370105">
          <w:fldChar w:fldCharType="begin"/>
        </w:r>
        <w:r w:rsidR="00370105">
          <w:instrText xml:space="preserve"> PAGE   \* MERGEFORMAT </w:instrText>
        </w:r>
        <w:r w:rsidR="00370105">
          <w:fldChar w:fldCharType="separate"/>
        </w:r>
        <w:r w:rsidR="00370105">
          <w:rPr>
            <w:noProof/>
          </w:rPr>
          <w:t>2</w:t>
        </w:r>
        <w:r w:rsidR="0037010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2FB18" w14:textId="77777777" w:rsidR="00DB4079" w:rsidRDefault="00DB4079" w:rsidP="006B1223">
      <w:pPr>
        <w:spacing w:after="0" w:line="240" w:lineRule="auto"/>
      </w:pPr>
      <w:r>
        <w:separator/>
      </w:r>
    </w:p>
  </w:footnote>
  <w:footnote w:type="continuationSeparator" w:id="0">
    <w:p w14:paraId="05707723" w14:textId="77777777" w:rsidR="00DB4079" w:rsidRDefault="00DB4079" w:rsidP="006B1223">
      <w:pPr>
        <w:spacing w:after="0" w:line="240" w:lineRule="auto"/>
      </w:pPr>
      <w:r>
        <w:continuationSeparator/>
      </w:r>
    </w:p>
  </w:footnote>
  <w:footnote w:type="continuationNotice" w:id="1">
    <w:p w14:paraId="30BBE1D4" w14:textId="77777777" w:rsidR="00DB4079" w:rsidRDefault="00DB4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2C721" w14:textId="5B906865" w:rsidR="006B1223" w:rsidRDefault="008718D8">
    <w:pPr>
      <w:pStyle w:val="Header"/>
    </w:pPr>
    <w:r>
      <w:t xml:space="preserve">Summary of </w:t>
    </w:r>
    <w:r w:rsidR="00B43F8D">
      <w:t>Revisions</w:t>
    </w:r>
    <w:r>
      <w:t xml:space="preserve"> to</w:t>
    </w:r>
    <w:r w:rsidR="00A321DE">
      <w:t xml:space="preserve"> the</w:t>
    </w:r>
    <w:r>
      <w:t xml:space="preserve"> </w:t>
    </w:r>
    <w:r w:rsidRPr="008718D8">
      <w:rPr>
        <w:i/>
        <w:iCs/>
      </w:rPr>
      <w:t>District Standards and Indicators</w:t>
    </w:r>
    <w:r>
      <w:t xml:space="preserve"> –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99F1A8"/>
    <w:multiLevelType w:val="hybridMultilevel"/>
    <w:tmpl w:val="3C642812"/>
    <w:lvl w:ilvl="0" w:tplc="A3FC9C42">
      <w:start w:val="1"/>
      <w:numFmt w:val="bullet"/>
      <w:lvlText w:val=""/>
      <w:lvlJc w:val="left"/>
      <w:pPr>
        <w:ind w:left="720" w:hanging="360"/>
      </w:pPr>
      <w:rPr>
        <w:rFonts w:ascii="Symbol" w:hAnsi="Symbol" w:hint="default"/>
      </w:rPr>
    </w:lvl>
    <w:lvl w:ilvl="1" w:tplc="189EA6BE">
      <w:start w:val="1"/>
      <w:numFmt w:val="bullet"/>
      <w:lvlText w:val="o"/>
      <w:lvlJc w:val="left"/>
      <w:pPr>
        <w:ind w:left="1440" w:hanging="360"/>
      </w:pPr>
      <w:rPr>
        <w:rFonts w:ascii="Courier New" w:hAnsi="Courier New" w:hint="default"/>
      </w:rPr>
    </w:lvl>
    <w:lvl w:ilvl="2" w:tplc="5114F060">
      <w:start w:val="1"/>
      <w:numFmt w:val="bullet"/>
      <w:lvlText w:val=""/>
      <w:lvlJc w:val="left"/>
      <w:pPr>
        <w:ind w:left="2160" w:hanging="360"/>
      </w:pPr>
      <w:rPr>
        <w:rFonts w:ascii="Wingdings" w:hAnsi="Wingdings" w:hint="default"/>
      </w:rPr>
    </w:lvl>
    <w:lvl w:ilvl="3" w:tplc="5D980FB0">
      <w:start w:val="1"/>
      <w:numFmt w:val="bullet"/>
      <w:lvlText w:val=""/>
      <w:lvlJc w:val="left"/>
      <w:pPr>
        <w:ind w:left="2880" w:hanging="360"/>
      </w:pPr>
      <w:rPr>
        <w:rFonts w:ascii="Symbol" w:hAnsi="Symbol" w:hint="default"/>
      </w:rPr>
    </w:lvl>
    <w:lvl w:ilvl="4" w:tplc="40EC2322">
      <w:start w:val="1"/>
      <w:numFmt w:val="bullet"/>
      <w:lvlText w:val="o"/>
      <w:lvlJc w:val="left"/>
      <w:pPr>
        <w:ind w:left="3600" w:hanging="360"/>
      </w:pPr>
      <w:rPr>
        <w:rFonts w:ascii="Courier New" w:hAnsi="Courier New" w:hint="default"/>
      </w:rPr>
    </w:lvl>
    <w:lvl w:ilvl="5" w:tplc="4B3A47FC">
      <w:start w:val="1"/>
      <w:numFmt w:val="bullet"/>
      <w:lvlText w:val=""/>
      <w:lvlJc w:val="left"/>
      <w:pPr>
        <w:ind w:left="4320" w:hanging="360"/>
      </w:pPr>
      <w:rPr>
        <w:rFonts w:ascii="Wingdings" w:hAnsi="Wingdings" w:hint="default"/>
      </w:rPr>
    </w:lvl>
    <w:lvl w:ilvl="6" w:tplc="06DA5D3A">
      <w:start w:val="1"/>
      <w:numFmt w:val="bullet"/>
      <w:lvlText w:val=""/>
      <w:lvlJc w:val="left"/>
      <w:pPr>
        <w:ind w:left="5040" w:hanging="360"/>
      </w:pPr>
      <w:rPr>
        <w:rFonts w:ascii="Symbol" w:hAnsi="Symbol" w:hint="default"/>
      </w:rPr>
    </w:lvl>
    <w:lvl w:ilvl="7" w:tplc="CEE4798E">
      <w:start w:val="1"/>
      <w:numFmt w:val="bullet"/>
      <w:lvlText w:val="o"/>
      <w:lvlJc w:val="left"/>
      <w:pPr>
        <w:ind w:left="5760" w:hanging="360"/>
      </w:pPr>
      <w:rPr>
        <w:rFonts w:ascii="Courier New" w:hAnsi="Courier New" w:hint="default"/>
      </w:rPr>
    </w:lvl>
    <w:lvl w:ilvl="8" w:tplc="B5D8BA60">
      <w:start w:val="1"/>
      <w:numFmt w:val="bullet"/>
      <w:lvlText w:val=""/>
      <w:lvlJc w:val="left"/>
      <w:pPr>
        <w:ind w:left="6480" w:hanging="360"/>
      </w:pPr>
      <w:rPr>
        <w:rFonts w:ascii="Wingdings" w:hAnsi="Wingdings" w:hint="default"/>
      </w:rPr>
    </w:lvl>
  </w:abstractNum>
  <w:abstractNum w:abstractNumId="1" w15:restartNumberingAfterBreak="0">
    <w:nsid w:val="54DD6B8F"/>
    <w:multiLevelType w:val="hybridMultilevel"/>
    <w:tmpl w:val="53484BB2"/>
    <w:lvl w:ilvl="0" w:tplc="F6AE0F7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09378">
    <w:abstractNumId w:val="0"/>
  </w:num>
  <w:num w:numId="2" w16cid:durableId="1410736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D"/>
    <w:rsid w:val="00010E92"/>
    <w:rsid w:val="0002348B"/>
    <w:rsid w:val="00040469"/>
    <w:rsid w:val="00053D93"/>
    <w:rsid w:val="00065F8A"/>
    <w:rsid w:val="00072942"/>
    <w:rsid w:val="000C0986"/>
    <w:rsid w:val="000C2B26"/>
    <w:rsid w:val="000F4092"/>
    <w:rsid w:val="00141F7E"/>
    <w:rsid w:val="00142AEA"/>
    <w:rsid w:val="00143FAE"/>
    <w:rsid w:val="00155953"/>
    <w:rsid w:val="001737EC"/>
    <w:rsid w:val="001779D6"/>
    <w:rsid w:val="001906C9"/>
    <w:rsid w:val="001B0C27"/>
    <w:rsid w:val="001B3072"/>
    <w:rsid w:val="001B7330"/>
    <w:rsid w:val="001D0BDC"/>
    <w:rsid w:val="001D4C40"/>
    <w:rsid w:val="00211642"/>
    <w:rsid w:val="00213E69"/>
    <w:rsid w:val="002156E0"/>
    <w:rsid w:val="00234E7A"/>
    <w:rsid w:val="00250EB9"/>
    <w:rsid w:val="00285E0F"/>
    <w:rsid w:val="00297721"/>
    <w:rsid w:val="002A357F"/>
    <w:rsid w:val="002A40F9"/>
    <w:rsid w:val="002B1827"/>
    <w:rsid w:val="002C389A"/>
    <w:rsid w:val="002D3B00"/>
    <w:rsid w:val="002D4863"/>
    <w:rsid w:val="002D51B8"/>
    <w:rsid w:val="002D5B96"/>
    <w:rsid w:val="003055BF"/>
    <w:rsid w:val="00305D06"/>
    <w:rsid w:val="00325B30"/>
    <w:rsid w:val="003446E3"/>
    <w:rsid w:val="0034572C"/>
    <w:rsid w:val="00352500"/>
    <w:rsid w:val="00370105"/>
    <w:rsid w:val="00374E76"/>
    <w:rsid w:val="0038230A"/>
    <w:rsid w:val="003B477F"/>
    <w:rsid w:val="003B64F3"/>
    <w:rsid w:val="003D731A"/>
    <w:rsid w:val="003E3C58"/>
    <w:rsid w:val="003E60AB"/>
    <w:rsid w:val="003F33B6"/>
    <w:rsid w:val="003F7015"/>
    <w:rsid w:val="0040564C"/>
    <w:rsid w:val="004160FC"/>
    <w:rsid w:val="004339A0"/>
    <w:rsid w:val="00451F80"/>
    <w:rsid w:val="0046463D"/>
    <w:rsid w:val="0046601B"/>
    <w:rsid w:val="004B322E"/>
    <w:rsid w:val="004B56C0"/>
    <w:rsid w:val="004E5110"/>
    <w:rsid w:val="004E59F9"/>
    <w:rsid w:val="004E7D92"/>
    <w:rsid w:val="0050108D"/>
    <w:rsid w:val="0050163D"/>
    <w:rsid w:val="00504C16"/>
    <w:rsid w:val="005234C6"/>
    <w:rsid w:val="00530517"/>
    <w:rsid w:val="00531AE0"/>
    <w:rsid w:val="005442B1"/>
    <w:rsid w:val="00565984"/>
    <w:rsid w:val="00567196"/>
    <w:rsid w:val="00576A42"/>
    <w:rsid w:val="00595D0D"/>
    <w:rsid w:val="005A325C"/>
    <w:rsid w:val="005A448F"/>
    <w:rsid w:val="005B3583"/>
    <w:rsid w:val="005D5CC8"/>
    <w:rsid w:val="005E4451"/>
    <w:rsid w:val="005E44C5"/>
    <w:rsid w:val="00605B80"/>
    <w:rsid w:val="006300AA"/>
    <w:rsid w:val="00630566"/>
    <w:rsid w:val="00645748"/>
    <w:rsid w:val="006470E0"/>
    <w:rsid w:val="00647A86"/>
    <w:rsid w:val="00656057"/>
    <w:rsid w:val="00664D75"/>
    <w:rsid w:val="00667804"/>
    <w:rsid w:val="006A7BB7"/>
    <w:rsid w:val="006B1223"/>
    <w:rsid w:val="006D2AD4"/>
    <w:rsid w:val="006E43BE"/>
    <w:rsid w:val="00711E29"/>
    <w:rsid w:val="007201F0"/>
    <w:rsid w:val="007232E9"/>
    <w:rsid w:val="007245F0"/>
    <w:rsid w:val="00741429"/>
    <w:rsid w:val="007545B9"/>
    <w:rsid w:val="00781D90"/>
    <w:rsid w:val="007A0147"/>
    <w:rsid w:val="007C5B27"/>
    <w:rsid w:val="007E4752"/>
    <w:rsid w:val="007F2025"/>
    <w:rsid w:val="00807253"/>
    <w:rsid w:val="00834F0F"/>
    <w:rsid w:val="008455E5"/>
    <w:rsid w:val="00851863"/>
    <w:rsid w:val="00856337"/>
    <w:rsid w:val="00864688"/>
    <w:rsid w:val="0086593B"/>
    <w:rsid w:val="008718D8"/>
    <w:rsid w:val="00895683"/>
    <w:rsid w:val="008B58AE"/>
    <w:rsid w:val="008C12F5"/>
    <w:rsid w:val="008C575C"/>
    <w:rsid w:val="008D4A21"/>
    <w:rsid w:val="008D6065"/>
    <w:rsid w:val="008F3FEB"/>
    <w:rsid w:val="00916DAA"/>
    <w:rsid w:val="00923F13"/>
    <w:rsid w:val="009541E9"/>
    <w:rsid w:val="009718D9"/>
    <w:rsid w:val="0098004E"/>
    <w:rsid w:val="0098201B"/>
    <w:rsid w:val="009A150F"/>
    <w:rsid w:val="009A404B"/>
    <w:rsid w:val="009C34AB"/>
    <w:rsid w:val="009C5139"/>
    <w:rsid w:val="009D3034"/>
    <w:rsid w:val="009E2332"/>
    <w:rsid w:val="009E70C9"/>
    <w:rsid w:val="00A16BE0"/>
    <w:rsid w:val="00A17A4C"/>
    <w:rsid w:val="00A23662"/>
    <w:rsid w:val="00A321DE"/>
    <w:rsid w:val="00A36325"/>
    <w:rsid w:val="00A47C12"/>
    <w:rsid w:val="00A54DD8"/>
    <w:rsid w:val="00A60A52"/>
    <w:rsid w:val="00A64956"/>
    <w:rsid w:val="00A6567C"/>
    <w:rsid w:val="00A66A53"/>
    <w:rsid w:val="00A74046"/>
    <w:rsid w:val="00A91CC1"/>
    <w:rsid w:val="00AA5D20"/>
    <w:rsid w:val="00AC1819"/>
    <w:rsid w:val="00AC642D"/>
    <w:rsid w:val="00AF4341"/>
    <w:rsid w:val="00B10409"/>
    <w:rsid w:val="00B11ABB"/>
    <w:rsid w:val="00B210CE"/>
    <w:rsid w:val="00B21424"/>
    <w:rsid w:val="00B34DC4"/>
    <w:rsid w:val="00B422D3"/>
    <w:rsid w:val="00B42C91"/>
    <w:rsid w:val="00B43F8D"/>
    <w:rsid w:val="00B52DDD"/>
    <w:rsid w:val="00B753A7"/>
    <w:rsid w:val="00B77199"/>
    <w:rsid w:val="00B833F8"/>
    <w:rsid w:val="00B910F5"/>
    <w:rsid w:val="00B94B7A"/>
    <w:rsid w:val="00BB3F4B"/>
    <w:rsid w:val="00BB62AE"/>
    <w:rsid w:val="00BC742A"/>
    <w:rsid w:val="00BD6DE9"/>
    <w:rsid w:val="00BE0EFF"/>
    <w:rsid w:val="00BE21F3"/>
    <w:rsid w:val="00C17D3E"/>
    <w:rsid w:val="00C345A0"/>
    <w:rsid w:val="00C435DF"/>
    <w:rsid w:val="00C5649A"/>
    <w:rsid w:val="00C61D72"/>
    <w:rsid w:val="00C63C89"/>
    <w:rsid w:val="00C8641B"/>
    <w:rsid w:val="00CA068C"/>
    <w:rsid w:val="00CA2575"/>
    <w:rsid w:val="00CA498D"/>
    <w:rsid w:val="00CC0369"/>
    <w:rsid w:val="00CE370B"/>
    <w:rsid w:val="00CF2C30"/>
    <w:rsid w:val="00CF7F94"/>
    <w:rsid w:val="00D00127"/>
    <w:rsid w:val="00D00517"/>
    <w:rsid w:val="00D262A7"/>
    <w:rsid w:val="00D32FCB"/>
    <w:rsid w:val="00D332B3"/>
    <w:rsid w:val="00D46990"/>
    <w:rsid w:val="00D476E7"/>
    <w:rsid w:val="00D5703B"/>
    <w:rsid w:val="00D966E2"/>
    <w:rsid w:val="00DA17EB"/>
    <w:rsid w:val="00DB2533"/>
    <w:rsid w:val="00DB4079"/>
    <w:rsid w:val="00DE3F2D"/>
    <w:rsid w:val="00E035E4"/>
    <w:rsid w:val="00E06836"/>
    <w:rsid w:val="00E21B1B"/>
    <w:rsid w:val="00E250D4"/>
    <w:rsid w:val="00E2549F"/>
    <w:rsid w:val="00E2616D"/>
    <w:rsid w:val="00E4050D"/>
    <w:rsid w:val="00E45245"/>
    <w:rsid w:val="00E4530E"/>
    <w:rsid w:val="00E53A88"/>
    <w:rsid w:val="00E67393"/>
    <w:rsid w:val="00E954E3"/>
    <w:rsid w:val="00EA1163"/>
    <w:rsid w:val="00EA786D"/>
    <w:rsid w:val="00EB5AE1"/>
    <w:rsid w:val="00EE00AF"/>
    <w:rsid w:val="00EF1E0A"/>
    <w:rsid w:val="00F03EEA"/>
    <w:rsid w:val="00F167D0"/>
    <w:rsid w:val="00F16A4D"/>
    <w:rsid w:val="00F2461C"/>
    <w:rsid w:val="00F45397"/>
    <w:rsid w:val="00F564CE"/>
    <w:rsid w:val="00F635B2"/>
    <w:rsid w:val="00F76F6D"/>
    <w:rsid w:val="00F92B6B"/>
    <w:rsid w:val="00FA3735"/>
    <w:rsid w:val="00FA45AB"/>
    <w:rsid w:val="00FF2D55"/>
    <w:rsid w:val="01D06AAB"/>
    <w:rsid w:val="03FA5D6A"/>
    <w:rsid w:val="0413B898"/>
    <w:rsid w:val="0521A5F1"/>
    <w:rsid w:val="06549284"/>
    <w:rsid w:val="06C127C6"/>
    <w:rsid w:val="0A9D6FB5"/>
    <w:rsid w:val="0AE61C30"/>
    <w:rsid w:val="0B1BB8C4"/>
    <w:rsid w:val="0C624B88"/>
    <w:rsid w:val="0C62927C"/>
    <w:rsid w:val="0CD11432"/>
    <w:rsid w:val="0F7AB1ED"/>
    <w:rsid w:val="0F967E7A"/>
    <w:rsid w:val="0FD5909D"/>
    <w:rsid w:val="1131A1D6"/>
    <w:rsid w:val="127DCD49"/>
    <w:rsid w:val="12C19548"/>
    <w:rsid w:val="14B92715"/>
    <w:rsid w:val="179AFA98"/>
    <w:rsid w:val="18357F47"/>
    <w:rsid w:val="198A9EFF"/>
    <w:rsid w:val="1B3A3E76"/>
    <w:rsid w:val="1B54045A"/>
    <w:rsid w:val="1F440853"/>
    <w:rsid w:val="1FB94697"/>
    <w:rsid w:val="201B279D"/>
    <w:rsid w:val="202E98BA"/>
    <w:rsid w:val="21BAC3FA"/>
    <w:rsid w:val="24E2888C"/>
    <w:rsid w:val="24FA6986"/>
    <w:rsid w:val="251312DE"/>
    <w:rsid w:val="2649D387"/>
    <w:rsid w:val="27294DD8"/>
    <w:rsid w:val="279C358F"/>
    <w:rsid w:val="28AC3688"/>
    <w:rsid w:val="2BE465FE"/>
    <w:rsid w:val="2D9E2CDD"/>
    <w:rsid w:val="2E238A41"/>
    <w:rsid w:val="2EF46ED7"/>
    <w:rsid w:val="2F13C51B"/>
    <w:rsid w:val="2F3CEBC0"/>
    <w:rsid w:val="301D1BD7"/>
    <w:rsid w:val="310432CC"/>
    <w:rsid w:val="31706693"/>
    <w:rsid w:val="31888953"/>
    <w:rsid w:val="31BED7AC"/>
    <w:rsid w:val="32152CA9"/>
    <w:rsid w:val="3298BC78"/>
    <w:rsid w:val="33A6EC19"/>
    <w:rsid w:val="3426FAC6"/>
    <w:rsid w:val="346B9397"/>
    <w:rsid w:val="35B09022"/>
    <w:rsid w:val="36C961D1"/>
    <w:rsid w:val="375883DB"/>
    <w:rsid w:val="37F4729F"/>
    <w:rsid w:val="380B3D1C"/>
    <w:rsid w:val="3A3F6520"/>
    <w:rsid w:val="3C5BA242"/>
    <w:rsid w:val="3EBCFF04"/>
    <w:rsid w:val="3F9B0C44"/>
    <w:rsid w:val="40754FDC"/>
    <w:rsid w:val="417BD394"/>
    <w:rsid w:val="424F181C"/>
    <w:rsid w:val="4296D78E"/>
    <w:rsid w:val="42CA4266"/>
    <w:rsid w:val="451EA67E"/>
    <w:rsid w:val="46DBE640"/>
    <w:rsid w:val="470B24CA"/>
    <w:rsid w:val="4889EF5C"/>
    <w:rsid w:val="4892BDDF"/>
    <w:rsid w:val="48DD764A"/>
    <w:rsid w:val="490A9AC4"/>
    <w:rsid w:val="49DAAD32"/>
    <w:rsid w:val="4A4C8CAA"/>
    <w:rsid w:val="4A9E8978"/>
    <w:rsid w:val="4BC9C729"/>
    <w:rsid w:val="4C883A6D"/>
    <w:rsid w:val="4CDC9FE8"/>
    <w:rsid w:val="4D6C87F6"/>
    <w:rsid w:val="4D7C6207"/>
    <w:rsid w:val="52210F40"/>
    <w:rsid w:val="52E7D4B1"/>
    <w:rsid w:val="53673C19"/>
    <w:rsid w:val="539EC011"/>
    <w:rsid w:val="550361E8"/>
    <w:rsid w:val="551819A0"/>
    <w:rsid w:val="561E707B"/>
    <w:rsid w:val="5714E601"/>
    <w:rsid w:val="577910CD"/>
    <w:rsid w:val="5B2FA67A"/>
    <w:rsid w:val="5CB1666E"/>
    <w:rsid w:val="5D38C06F"/>
    <w:rsid w:val="5F174230"/>
    <w:rsid w:val="5F1D678F"/>
    <w:rsid w:val="5F344A7F"/>
    <w:rsid w:val="5FB4B03E"/>
    <w:rsid w:val="6122DD43"/>
    <w:rsid w:val="6458B1D8"/>
    <w:rsid w:val="67F4815C"/>
    <w:rsid w:val="68F85036"/>
    <w:rsid w:val="690FE4FC"/>
    <w:rsid w:val="696435FA"/>
    <w:rsid w:val="6996D4A9"/>
    <w:rsid w:val="6B7978C2"/>
    <w:rsid w:val="6BBF2EDB"/>
    <w:rsid w:val="6CBFBAB0"/>
    <w:rsid w:val="719B63A2"/>
    <w:rsid w:val="71A3D0F1"/>
    <w:rsid w:val="720F5051"/>
    <w:rsid w:val="72D13A67"/>
    <w:rsid w:val="733FA152"/>
    <w:rsid w:val="74CB7C80"/>
    <w:rsid w:val="74DB71B3"/>
    <w:rsid w:val="7544615D"/>
    <w:rsid w:val="75732547"/>
    <w:rsid w:val="7698C036"/>
    <w:rsid w:val="76AAA173"/>
    <w:rsid w:val="77893C46"/>
    <w:rsid w:val="779E0D8A"/>
    <w:rsid w:val="79533919"/>
    <w:rsid w:val="7A8700B7"/>
    <w:rsid w:val="7ADE97F1"/>
    <w:rsid w:val="7B7966EB"/>
    <w:rsid w:val="7BACBD4E"/>
    <w:rsid w:val="7BDA476F"/>
    <w:rsid w:val="7C260DBE"/>
    <w:rsid w:val="7E2F66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C6516"/>
  <w15:chartTrackingRefBased/>
  <w15:docId w15:val="{881BEAB4-6DB3-4CA5-A1A2-56138BBD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0D"/>
    <w:pPr>
      <w:ind w:left="720"/>
      <w:contextualSpacing/>
    </w:pPr>
  </w:style>
  <w:style w:type="character" w:styleId="CommentReference">
    <w:name w:val="annotation reference"/>
    <w:basedOn w:val="DefaultParagraphFont"/>
    <w:uiPriority w:val="99"/>
    <w:semiHidden/>
    <w:unhideWhenUsed/>
    <w:rsid w:val="002D4863"/>
    <w:rPr>
      <w:sz w:val="16"/>
      <w:szCs w:val="16"/>
    </w:rPr>
  </w:style>
  <w:style w:type="paragraph" w:styleId="CommentText">
    <w:name w:val="annotation text"/>
    <w:basedOn w:val="Normal"/>
    <w:link w:val="CommentTextChar"/>
    <w:uiPriority w:val="99"/>
    <w:unhideWhenUsed/>
    <w:rsid w:val="002D4863"/>
    <w:pPr>
      <w:spacing w:line="240" w:lineRule="auto"/>
    </w:pPr>
    <w:rPr>
      <w:sz w:val="20"/>
      <w:szCs w:val="20"/>
    </w:rPr>
  </w:style>
  <w:style w:type="character" w:customStyle="1" w:styleId="CommentTextChar">
    <w:name w:val="Comment Text Char"/>
    <w:basedOn w:val="DefaultParagraphFont"/>
    <w:link w:val="CommentText"/>
    <w:uiPriority w:val="99"/>
    <w:rsid w:val="002D4863"/>
    <w:rPr>
      <w:sz w:val="20"/>
      <w:szCs w:val="20"/>
    </w:rPr>
  </w:style>
  <w:style w:type="paragraph" w:styleId="CommentSubject">
    <w:name w:val="annotation subject"/>
    <w:basedOn w:val="CommentText"/>
    <w:next w:val="CommentText"/>
    <w:link w:val="CommentSubjectChar"/>
    <w:uiPriority w:val="99"/>
    <w:semiHidden/>
    <w:unhideWhenUsed/>
    <w:rsid w:val="002D4863"/>
    <w:rPr>
      <w:b/>
      <w:bCs/>
    </w:rPr>
  </w:style>
  <w:style w:type="character" w:customStyle="1" w:styleId="CommentSubjectChar">
    <w:name w:val="Comment Subject Char"/>
    <w:basedOn w:val="CommentTextChar"/>
    <w:link w:val="CommentSubject"/>
    <w:uiPriority w:val="99"/>
    <w:semiHidden/>
    <w:rsid w:val="002D4863"/>
    <w:rPr>
      <w:b/>
      <w:bCs/>
      <w:sz w:val="20"/>
      <w:szCs w:val="20"/>
    </w:rPr>
  </w:style>
  <w:style w:type="paragraph" w:styleId="Revision">
    <w:name w:val="Revision"/>
    <w:hidden/>
    <w:uiPriority w:val="99"/>
    <w:semiHidden/>
    <w:rsid w:val="00781D90"/>
    <w:pPr>
      <w:spacing w:after="0" w:line="240" w:lineRule="auto"/>
    </w:pPr>
  </w:style>
  <w:style w:type="character" w:styleId="Hyperlink">
    <w:name w:val="Hyperlink"/>
    <w:basedOn w:val="DefaultParagraphFont"/>
    <w:uiPriority w:val="99"/>
    <w:unhideWhenUsed/>
    <w:rsid w:val="00040469"/>
    <w:rPr>
      <w:color w:val="0563C1" w:themeColor="hyperlink"/>
      <w:u w:val="single"/>
    </w:rPr>
  </w:style>
  <w:style w:type="character" w:styleId="UnresolvedMention">
    <w:name w:val="Unresolved Mention"/>
    <w:basedOn w:val="DefaultParagraphFont"/>
    <w:uiPriority w:val="99"/>
    <w:semiHidden/>
    <w:unhideWhenUsed/>
    <w:rsid w:val="00040469"/>
    <w:rPr>
      <w:color w:val="605E5C"/>
      <w:shd w:val="clear" w:color="auto" w:fill="E1DFDD"/>
    </w:rPr>
  </w:style>
  <w:style w:type="paragraph" w:styleId="Title">
    <w:name w:val="Title"/>
    <w:basedOn w:val="Normal"/>
    <w:next w:val="Normal"/>
    <w:link w:val="TitleChar"/>
    <w:uiPriority w:val="10"/>
    <w:qFormat/>
    <w:rsid w:val="00B910F5"/>
    <w:rPr>
      <w:rFonts w:eastAsia="Calibri" w:cstheme="minorHAnsi"/>
      <w:b/>
      <w:bCs/>
      <w:kern w:val="0"/>
      <w:sz w:val="36"/>
      <w:szCs w:val="36"/>
      <w14:ligatures w14:val="none"/>
    </w:rPr>
  </w:style>
  <w:style w:type="character" w:customStyle="1" w:styleId="TitleChar">
    <w:name w:val="Title Char"/>
    <w:basedOn w:val="DefaultParagraphFont"/>
    <w:link w:val="Title"/>
    <w:uiPriority w:val="10"/>
    <w:rsid w:val="00B910F5"/>
    <w:rPr>
      <w:rFonts w:eastAsia="Calibri" w:cstheme="minorHAnsi"/>
      <w:b/>
      <w:bCs/>
      <w:kern w:val="0"/>
      <w:sz w:val="36"/>
      <w:szCs w:val="36"/>
      <w14:ligatures w14:val="none"/>
    </w:rPr>
  </w:style>
  <w:style w:type="paragraph" w:styleId="Header">
    <w:name w:val="header"/>
    <w:basedOn w:val="Normal"/>
    <w:link w:val="HeaderChar"/>
    <w:uiPriority w:val="99"/>
    <w:unhideWhenUsed/>
    <w:rsid w:val="006B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23"/>
  </w:style>
  <w:style w:type="paragraph" w:styleId="Footer">
    <w:name w:val="footer"/>
    <w:basedOn w:val="Normal"/>
    <w:link w:val="FooterChar"/>
    <w:uiPriority w:val="99"/>
    <w:unhideWhenUsed/>
    <w:rsid w:val="006B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23"/>
  </w:style>
  <w:style w:type="character" w:styleId="FollowedHyperlink">
    <w:name w:val="FollowedHyperlink"/>
    <w:basedOn w:val="DefaultParagraphFont"/>
    <w:uiPriority w:val="99"/>
    <w:semiHidden/>
    <w:unhideWhenUsed/>
    <w:rsid w:val="00451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accountability/district-review/district-standards-indicator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lawsregs/603cmr2.html?section=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legislature.gov/Laws/GeneralLaws/PartI/TitleII/Chapter15/Section55A" TargetMode="External"/><Relationship Id="rId5" Type="http://schemas.openxmlformats.org/officeDocument/2006/relationships/styles" Target="styles.xml"/><Relationship Id="rId15" Type="http://schemas.openxmlformats.org/officeDocument/2006/relationships/hyperlink" Target="https://www.doe.mass.edu/csdp/guidebook/coherence-guidebook.pdf" TargetMode="External"/><Relationship Id="rId10" Type="http://schemas.openxmlformats.org/officeDocument/2006/relationships/hyperlink" Target="https://www.doe.mass.edu/accountability/district-review/default.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commissioner/vision/vision-suppor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rraine_x0020_Test xmlns="68b45241-2e0a-4324-b6cd-9efd2f11b483">true</Lorraine_x0020_Test>
    <SharedWithUsers xmlns="22602442-92ee-4d3a-8ce8-f0d739bf7d54">
      <UserInfo>
        <DisplayName>Havdala, Robert J.  (DESE)</DisplayName>
        <AccountId>76</AccountId>
        <AccountType/>
      </UserInfo>
      <UserInfo>
        <DisplayName>Thomas, Corinne T. (DESE)</DisplayName>
        <AccountId>96</AccountId>
        <AccountType/>
      </UserInfo>
      <UserInfo>
        <DisplayName>Curtin, Robert (DESE)</DisplayName>
        <AccountId>24</AccountId>
        <AccountType/>
      </UserInfo>
      <UserInfo>
        <DisplayName>Gonzales, Erica (DESE)</DisplayName>
        <AccountId>57</AccountId>
        <AccountType/>
      </UserInfo>
      <UserInfo>
        <DisplayName>Sabshon, Sarah (GOV)</DisplayName>
        <AccountId>283</AccountId>
        <AccountType/>
      </UserInfo>
      <UserInfo>
        <DisplayName>Dew, Amanda (GOV)</DisplayName>
        <AccountId>284</AccountId>
        <AccountType/>
      </UserInfo>
      <UserInfo>
        <DisplayName>Fee, Abigail (EOE)</DisplayName>
        <AccountId>286</AccountId>
        <AccountType/>
      </UserInfo>
      <UserInfo>
        <DisplayName>Schmidt, Greg (GOV)</DisplayName>
        <AccountId>285</AccountId>
        <AccountType/>
      </UserInfo>
      <UserInfo>
        <DisplayName>Sahni, Aneesh (EOE)</DisplayName>
        <AccountId>287</AccountId>
        <AccountType/>
      </UserInfo>
      <UserInfo>
        <DisplayName>Almeida-Barros, Marcony (GOV)</DisplayName>
        <AccountId>289</AccountId>
        <AccountType/>
      </UserInfo>
    </SharedWithUsers>
    <lcf76f155ced4ddcb4097134ff3c332f xmlns="68b45241-2e0a-4324-b6cd-9efd2f11b483">
      <Terms xmlns="http://schemas.microsoft.com/office/infopath/2007/PartnerControls"/>
    </lcf76f155ced4ddcb4097134ff3c332f>
    <TaxCatchAll xmlns="22602442-92ee-4d3a-8ce8-f0d739bf7d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A4ADF-DF6C-4474-AF92-AC4C2003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47939-2339-4558-B45F-5CCF3144E457}">
  <ds:schemaRefs>
    <ds:schemaRef ds:uri="http://schemas.microsoft.com/office/2006/metadata/properties"/>
    <ds:schemaRef ds:uri="http://schemas.microsoft.com/office/infopath/2007/PartnerControls"/>
    <ds:schemaRef ds:uri="68b45241-2e0a-4324-b6cd-9efd2f11b483"/>
    <ds:schemaRef ds:uri="22602442-92ee-4d3a-8ce8-f0d739bf7d54"/>
  </ds:schemaRefs>
</ds:datastoreItem>
</file>

<file path=customXml/itemProps3.xml><?xml version="1.0" encoding="utf-8"?>
<ds:datastoreItem xmlns:ds="http://schemas.openxmlformats.org/officeDocument/2006/customXml" ds:itemID="{9B2A0CB5-4CD6-4909-96EE-791C15A82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Summary of Revisions to the District Standards and Indicators</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Revisions to the District Standards and Indicators</dc:title>
  <dc:subject/>
  <dc:creator>DESE</dc:creator>
  <cp:keywords/>
  <dc:description/>
  <cp:lastModifiedBy>Zou, Dong (EOE)</cp:lastModifiedBy>
  <cp:revision>110</cp:revision>
  <dcterms:created xsi:type="dcterms:W3CDTF">2024-02-29T22:34:00Z</dcterms:created>
  <dcterms:modified xsi:type="dcterms:W3CDTF">2024-04-01T13:44:00Z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 2024 12:00AM</vt:lpwstr>
  </property>
</Properties>
</file>