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C147A">
      <w:pPr>
        <w:rPr>
          <w:sz w:val="22"/>
        </w:rPr>
      </w:pPr>
      <w:bookmarkStart w:id="0" w:name="_GoBack"/>
      <w:bookmarkEnd w:id="0"/>
      <w:r>
        <w:rPr>
          <w:sz w:val="22"/>
        </w:rPr>
        <w:t>Page 65</w:t>
      </w:r>
    </w:p>
    <w:p w:rsidR="00000000" w:rsidRDefault="006C147A">
      <w:pPr>
        <w:rPr>
          <w:sz w:val="22"/>
        </w:rPr>
      </w:pPr>
    </w:p>
    <w:p w:rsidR="00000000" w:rsidRDefault="006C147A">
      <w:pPr>
        <w:rPr>
          <w:i/>
          <w:iCs/>
          <w:sz w:val="22"/>
        </w:rPr>
      </w:pPr>
      <w:r>
        <w:rPr>
          <w:i/>
          <w:iCs/>
          <w:sz w:val="22"/>
        </w:rPr>
        <w:t>13. Title V, Part A -- Innovative Programs (1,2,3,4,5)</w:t>
      </w:r>
    </w:p>
    <w:p w:rsidR="00000000" w:rsidRDefault="006C147A">
      <w:pPr>
        <w:rPr>
          <w:i/>
          <w:iCs/>
          <w:sz w:val="22"/>
        </w:rPr>
      </w:pPr>
    </w:p>
    <w:p w:rsidR="00000000" w:rsidRDefault="006C147A">
      <w:pPr>
        <w:rPr>
          <w:i/>
          <w:iCs/>
          <w:sz w:val="22"/>
        </w:rPr>
      </w:pPr>
      <w:r>
        <w:rPr>
          <w:i/>
          <w:iCs/>
          <w:sz w:val="22"/>
        </w:rPr>
        <w:t xml:space="preserve">b.  Identify the amount or percentage the State will reserve for each State-level activity under section </w:t>
      </w:r>
      <w:proofErr w:type="gramStart"/>
      <w:r>
        <w:rPr>
          <w:i/>
          <w:iCs/>
          <w:sz w:val="22"/>
        </w:rPr>
        <w:t>5121, and</w:t>
      </w:r>
      <w:proofErr w:type="gramEnd"/>
      <w:r>
        <w:rPr>
          <w:i/>
          <w:iCs/>
          <w:sz w:val="22"/>
        </w:rPr>
        <w:t xml:space="preserve"> describe the activity. </w:t>
      </w:r>
    </w:p>
    <w:p w:rsidR="00000000" w:rsidRDefault="006C147A">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1800"/>
      </w:tblGrid>
      <w:tr w:rsidR="00000000">
        <w:tblPrEx>
          <w:tblCellMar>
            <w:top w:w="0" w:type="dxa"/>
            <w:bottom w:w="0" w:type="dxa"/>
          </w:tblCellMar>
        </w:tblPrEx>
        <w:tc>
          <w:tcPr>
            <w:tcW w:w="5508" w:type="dxa"/>
          </w:tcPr>
          <w:p w:rsidR="00000000" w:rsidRDefault="006C147A">
            <w:pPr>
              <w:rPr>
                <w:sz w:val="22"/>
              </w:rPr>
            </w:pPr>
            <w:r>
              <w:rPr>
                <w:sz w:val="22"/>
              </w:rPr>
              <w:t>State-Level Activity</w:t>
            </w:r>
          </w:p>
        </w:tc>
        <w:tc>
          <w:tcPr>
            <w:tcW w:w="1800" w:type="dxa"/>
          </w:tcPr>
          <w:p w:rsidR="00000000" w:rsidRDefault="006C147A">
            <w:pPr>
              <w:rPr>
                <w:sz w:val="22"/>
              </w:rPr>
            </w:pPr>
            <w:r>
              <w:rPr>
                <w:sz w:val="22"/>
              </w:rPr>
              <w:t>Percentage</w:t>
            </w:r>
          </w:p>
        </w:tc>
      </w:tr>
      <w:tr w:rsidR="00000000">
        <w:tblPrEx>
          <w:tblCellMar>
            <w:top w:w="0" w:type="dxa"/>
            <w:bottom w:w="0" w:type="dxa"/>
          </w:tblCellMar>
        </w:tblPrEx>
        <w:trPr>
          <w:trHeight w:val="1299"/>
        </w:trPr>
        <w:tc>
          <w:tcPr>
            <w:tcW w:w="5508" w:type="dxa"/>
            <w:vAlign w:val="center"/>
          </w:tcPr>
          <w:p w:rsidR="00000000" w:rsidRDefault="006C147A">
            <w:pPr>
              <w:rPr>
                <w:sz w:val="22"/>
              </w:rPr>
            </w:pPr>
          </w:p>
          <w:p w:rsidR="00000000" w:rsidRDefault="006C147A">
            <w:pPr>
              <w:rPr>
                <w:sz w:val="22"/>
              </w:rPr>
            </w:pPr>
            <w:r>
              <w:rPr>
                <w:sz w:val="22"/>
              </w:rPr>
              <w:t>(3) Statewide edu</w:t>
            </w:r>
            <w:r>
              <w:rPr>
                <w:sz w:val="22"/>
              </w:rPr>
              <w:t>cation reform, school improvement programs and technical assistance and direct grants to local educational agencies, which assist such agencies under section 5131.</w:t>
            </w:r>
          </w:p>
          <w:p w:rsidR="00000000" w:rsidRDefault="006C147A">
            <w:pPr>
              <w:rPr>
                <w:sz w:val="22"/>
              </w:rPr>
            </w:pPr>
          </w:p>
        </w:tc>
        <w:tc>
          <w:tcPr>
            <w:tcW w:w="1800" w:type="dxa"/>
          </w:tcPr>
          <w:p w:rsidR="00000000" w:rsidRDefault="006C147A">
            <w:pPr>
              <w:jc w:val="center"/>
              <w:rPr>
                <w:sz w:val="22"/>
              </w:rPr>
            </w:pPr>
          </w:p>
          <w:p w:rsidR="00000000" w:rsidRDefault="006C147A">
            <w:pPr>
              <w:jc w:val="center"/>
              <w:rPr>
                <w:sz w:val="22"/>
              </w:rPr>
            </w:pPr>
            <w:r>
              <w:rPr>
                <w:sz w:val="22"/>
              </w:rPr>
              <w:t>41%</w:t>
            </w:r>
          </w:p>
        </w:tc>
      </w:tr>
    </w:tbl>
    <w:p w:rsidR="00000000" w:rsidRDefault="006C147A">
      <w:pPr>
        <w:rPr>
          <w:sz w:val="22"/>
        </w:rPr>
      </w:pPr>
    </w:p>
    <w:p w:rsidR="00000000" w:rsidRDefault="006C147A">
      <w:pPr>
        <w:rPr>
          <w:sz w:val="22"/>
        </w:rPr>
      </w:pPr>
      <w:r>
        <w:rPr>
          <w:sz w:val="22"/>
        </w:rPr>
        <w:t>Specific Activities under (3)</w:t>
      </w:r>
    </w:p>
    <w:p w:rsidR="00000000" w:rsidRDefault="006C147A">
      <w:pPr>
        <w:pStyle w:val="Heading1"/>
        <w:rPr>
          <w:sz w:val="22"/>
        </w:rPr>
      </w:pPr>
    </w:p>
    <w:p w:rsidR="00000000" w:rsidRDefault="006C147A">
      <w:pPr>
        <w:pStyle w:val="Heading1"/>
        <w:rPr>
          <w:sz w:val="22"/>
        </w:rPr>
      </w:pPr>
      <w:r>
        <w:rPr>
          <w:sz w:val="22"/>
        </w:rPr>
        <w:t>High School Redesign</w:t>
      </w:r>
    </w:p>
    <w:p w:rsidR="00000000" w:rsidRDefault="006C147A">
      <w:pPr>
        <w:rPr>
          <w:b/>
          <w:bCs/>
          <w:sz w:val="22"/>
        </w:rPr>
      </w:pPr>
    </w:p>
    <w:p w:rsidR="00000000" w:rsidRDefault="006C147A">
      <w:pPr>
        <w:rPr>
          <w:sz w:val="22"/>
        </w:rPr>
      </w:pPr>
      <w:r>
        <w:rPr>
          <w:sz w:val="22"/>
        </w:rPr>
        <w:t>Massachusetts will use Title V,</w:t>
      </w:r>
      <w:r>
        <w:rPr>
          <w:sz w:val="22"/>
        </w:rPr>
        <w:t xml:space="preserve"> Part A Funds to help support the MADOE’s initiative to reform and redesign high schools in the Commonwealth.  The goal of the initiative is to raise high school graduation and college readiness rates in large measure through changes in state educational p</w:t>
      </w:r>
      <w:r>
        <w:rPr>
          <w:sz w:val="22"/>
        </w:rPr>
        <w:t>olicy and the development of data and web-based tools. The MADOE will partner with the Governor’s Office, the Massachusetts Board of Higher Education and the University of Massachusetts along with external partners including the Rennie Center, Mass Insight</w:t>
      </w:r>
      <w:r>
        <w:rPr>
          <w:sz w:val="22"/>
        </w:rPr>
        <w:t>, the National Governors Association Center for Best Practices and Achieve. The state initiative will include development of a PK-16 School to College database.  State-level activities will include the following:</w:t>
      </w:r>
    </w:p>
    <w:p w:rsidR="00000000" w:rsidRDefault="006C147A">
      <w:pPr>
        <w:rPr>
          <w:sz w:val="22"/>
        </w:rPr>
      </w:pPr>
    </w:p>
    <w:p w:rsidR="00000000" w:rsidRDefault="006C147A">
      <w:pPr>
        <w:numPr>
          <w:ilvl w:val="0"/>
          <w:numId w:val="1"/>
        </w:numPr>
        <w:rPr>
          <w:sz w:val="22"/>
        </w:rPr>
      </w:pPr>
      <w:r>
        <w:rPr>
          <w:sz w:val="22"/>
        </w:rPr>
        <w:t xml:space="preserve">Collaborate with Achieve and the American </w:t>
      </w:r>
      <w:r>
        <w:rPr>
          <w:sz w:val="22"/>
        </w:rPr>
        <w:t xml:space="preserve">Diploma Project to align the Massachusetts Curriculum Framework Standards in English Language Arts and Mathematics. This alignment will help define what students need to know and be able to do in their first college courses in English and mathematics;  </w:t>
      </w:r>
    </w:p>
    <w:p w:rsidR="00000000" w:rsidRDefault="006C147A">
      <w:pPr>
        <w:numPr>
          <w:ilvl w:val="0"/>
          <w:numId w:val="1"/>
        </w:numPr>
        <w:rPr>
          <w:sz w:val="22"/>
        </w:rPr>
      </w:pPr>
      <w:r>
        <w:rPr>
          <w:sz w:val="22"/>
        </w:rPr>
        <w:t>De</w:t>
      </w:r>
      <w:r>
        <w:rPr>
          <w:sz w:val="22"/>
        </w:rPr>
        <w:t>velop a recommended Curriculum for College and Career Readiness that not only defines the courses that nearly all students will take in high school, but the characteristics of the courses and the level of rigor needed for success in postsecondary education</w:t>
      </w:r>
      <w:r>
        <w:rPr>
          <w:sz w:val="22"/>
        </w:rPr>
        <w:t xml:space="preserve"> and the workplace;</w:t>
      </w:r>
    </w:p>
    <w:p w:rsidR="00000000" w:rsidRDefault="006C147A">
      <w:pPr>
        <w:numPr>
          <w:ilvl w:val="0"/>
          <w:numId w:val="1"/>
        </w:numPr>
        <w:rPr>
          <w:sz w:val="22"/>
        </w:rPr>
      </w:pPr>
      <w:r>
        <w:rPr>
          <w:sz w:val="22"/>
        </w:rPr>
        <w:t>Develop an Algebra II assessment in collaboration with Achieve and other participating states to serve as a measure of whether students have mastered Algebra II standards and are ready for college-level mathematics;</w:t>
      </w:r>
    </w:p>
    <w:p w:rsidR="00000000" w:rsidRDefault="006C147A">
      <w:pPr>
        <w:numPr>
          <w:ilvl w:val="0"/>
          <w:numId w:val="1"/>
        </w:numPr>
        <w:rPr>
          <w:sz w:val="22"/>
        </w:rPr>
      </w:pPr>
      <w:r>
        <w:rPr>
          <w:sz w:val="22"/>
        </w:rPr>
        <w:t>Develop a communicat</w:t>
      </w:r>
      <w:r>
        <w:rPr>
          <w:sz w:val="22"/>
        </w:rPr>
        <w:t xml:space="preserve">ions campaign that targets underrepresented students and their families on the need to complete high school and attend postsecondary education.  As part of the communications campaign, develop a career and education portal to inform and encourage students </w:t>
      </w:r>
      <w:r>
        <w:rPr>
          <w:sz w:val="22"/>
        </w:rPr>
        <w:t xml:space="preserve">to take challenging courses in high school and help them to </w:t>
      </w:r>
      <w:proofErr w:type="gramStart"/>
      <w:r>
        <w:rPr>
          <w:sz w:val="22"/>
        </w:rPr>
        <w:t>plan for the future</w:t>
      </w:r>
      <w:proofErr w:type="gramEnd"/>
      <w:r>
        <w:rPr>
          <w:sz w:val="22"/>
        </w:rPr>
        <w:t>;</w:t>
      </w:r>
    </w:p>
    <w:p w:rsidR="00000000" w:rsidRDefault="006C147A">
      <w:pPr>
        <w:numPr>
          <w:ilvl w:val="0"/>
          <w:numId w:val="1"/>
        </w:numPr>
        <w:rPr>
          <w:sz w:val="22"/>
        </w:rPr>
      </w:pPr>
      <w:r>
        <w:rPr>
          <w:sz w:val="22"/>
        </w:rPr>
        <w:t>Develop a high school graduation rate that can be used as a NCLB’s Annual Yearly Progress (AYP) measure and to guide high school reform;</w:t>
      </w:r>
    </w:p>
    <w:p w:rsidR="00000000" w:rsidRDefault="006C147A">
      <w:pPr>
        <w:numPr>
          <w:ilvl w:val="0"/>
          <w:numId w:val="1"/>
        </w:numPr>
        <w:rPr>
          <w:sz w:val="22"/>
        </w:rPr>
      </w:pPr>
      <w:r>
        <w:rPr>
          <w:sz w:val="22"/>
        </w:rPr>
        <w:t>Increase the number of underrepresente</w:t>
      </w:r>
      <w:r>
        <w:rPr>
          <w:sz w:val="22"/>
        </w:rPr>
        <w:t>d students enrolled in Advanced Placement (AP) courses and the number of students earning 3 or higher in AP tests;</w:t>
      </w:r>
    </w:p>
    <w:p w:rsidR="00000000" w:rsidRDefault="006C147A">
      <w:pPr>
        <w:numPr>
          <w:ilvl w:val="0"/>
          <w:numId w:val="1"/>
        </w:numPr>
        <w:rPr>
          <w:sz w:val="22"/>
        </w:rPr>
      </w:pPr>
      <w:r>
        <w:rPr>
          <w:sz w:val="22"/>
        </w:rPr>
        <w:t>Restore and redesign the state’s dual enrollment program;</w:t>
      </w:r>
    </w:p>
    <w:p w:rsidR="00000000" w:rsidRDefault="006C147A">
      <w:pPr>
        <w:numPr>
          <w:ilvl w:val="0"/>
          <w:numId w:val="1"/>
        </w:numPr>
        <w:rPr>
          <w:sz w:val="22"/>
        </w:rPr>
      </w:pPr>
      <w:r>
        <w:rPr>
          <w:sz w:val="22"/>
        </w:rPr>
        <w:t xml:space="preserve">Develop an educator database that that can be used to link student performance and </w:t>
      </w:r>
      <w:r>
        <w:rPr>
          <w:sz w:val="22"/>
        </w:rPr>
        <w:t xml:space="preserve">teacher performance and better access teacher preparation programs; </w:t>
      </w:r>
    </w:p>
    <w:p w:rsidR="00000000" w:rsidRDefault="006C147A">
      <w:pPr>
        <w:numPr>
          <w:ilvl w:val="0"/>
          <w:numId w:val="1"/>
        </w:numPr>
        <w:rPr>
          <w:sz w:val="22"/>
        </w:rPr>
      </w:pPr>
      <w:r>
        <w:rPr>
          <w:sz w:val="22"/>
        </w:rPr>
        <w:t>Create a school to college database using the MADOE’s Student Information Management System (SIMS) and the Board of Education’s Higher Education Information System (HEIRS).  The system wi</w:t>
      </w:r>
      <w:r>
        <w:rPr>
          <w:sz w:val="22"/>
        </w:rPr>
        <w:t xml:space="preserve">ll serve </w:t>
      </w:r>
      <w:proofErr w:type="gramStart"/>
      <w:r>
        <w:rPr>
          <w:sz w:val="22"/>
        </w:rPr>
        <w:t>a number of</w:t>
      </w:r>
      <w:proofErr w:type="gramEnd"/>
      <w:r>
        <w:rPr>
          <w:sz w:val="22"/>
        </w:rPr>
        <w:t xml:space="preserve"> purposes including informing high schools of the progress their graduates are making in the postsecondary educational pipeline; and </w:t>
      </w:r>
    </w:p>
    <w:p w:rsidR="00000000" w:rsidRDefault="006C147A">
      <w:pPr>
        <w:numPr>
          <w:ilvl w:val="0"/>
          <w:numId w:val="1"/>
        </w:numPr>
        <w:rPr>
          <w:sz w:val="22"/>
        </w:rPr>
      </w:pPr>
      <w:r>
        <w:rPr>
          <w:sz w:val="22"/>
        </w:rPr>
        <w:t xml:space="preserve">Sponsor or co-sponsor professional development events to inform school leaders about key goals of the </w:t>
      </w:r>
      <w:r>
        <w:rPr>
          <w:sz w:val="22"/>
        </w:rPr>
        <w:t>initiative and best practices to raise high school and college readiness rates.</w:t>
      </w:r>
    </w:p>
    <w:p w:rsidR="00000000" w:rsidRDefault="006C147A">
      <w:pPr>
        <w:rPr>
          <w:sz w:val="22"/>
        </w:rPr>
      </w:pPr>
      <w:r>
        <w:rPr>
          <w:sz w:val="22"/>
        </w:rPr>
        <w:br w:type="page"/>
      </w:r>
    </w:p>
    <w:p w:rsidR="00000000" w:rsidRDefault="006C147A">
      <w:pPr>
        <w:pStyle w:val="Heading1"/>
        <w:rPr>
          <w:sz w:val="22"/>
          <w:szCs w:val="20"/>
        </w:rPr>
      </w:pPr>
      <w:r>
        <w:rPr>
          <w:sz w:val="22"/>
          <w:szCs w:val="20"/>
        </w:rPr>
        <w:lastRenderedPageBreak/>
        <w:t>Singapore Math Program</w:t>
      </w:r>
    </w:p>
    <w:p w:rsidR="00000000" w:rsidRDefault="006C147A">
      <w:pPr>
        <w:rPr>
          <w:sz w:val="22"/>
          <w:szCs w:val="20"/>
        </w:rPr>
      </w:pPr>
    </w:p>
    <w:p w:rsidR="00000000" w:rsidRDefault="006C147A">
      <w:pPr>
        <w:rPr>
          <w:sz w:val="22"/>
          <w:szCs w:val="20"/>
        </w:rPr>
      </w:pPr>
      <w:r>
        <w:rPr>
          <w:sz w:val="22"/>
          <w:szCs w:val="20"/>
        </w:rPr>
        <w:t>Title V-A funds will be used to help improve the mathematics achievement of students in the Commonwealth by conducting a multi-year pilot in ten schoo</w:t>
      </w:r>
      <w:r>
        <w:rPr>
          <w:sz w:val="22"/>
          <w:szCs w:val="20"/>
        </w:rPr>
        <w:t>l districts of the Singapore math curriculum. The pilot will include three components:</w:t>
      </w:r>
    </w:p>
    <w:p w:rsidR="00000000" w:rsidRDefault="006C147A">
      <w:pPr>
        <w:rPr>
          <w:sz w:val="22"/>
          <w:szCs w:val="20"/>
        </w:rPr>
      </w:pPr>
    </w:p>
    <w:p w:rsidR="00000000" w:rsidRDefault="006C147A">
      <w:pPr>
        <w:numPr>
          <w:ilvl w:val="0"/>
          <w:numId w:val="2"/>
        </w:numPr>
        <w:rPr>
          <w:sz w:val="22"/>
          <w:szCs w:val="20"/>
        </w:rPr>
      </w:pPr>
      <w:r>
        <w:rPr>
          <w:sz w:val="22"/>
          <w:szCs w:val="20"/>
        </w:rPr>
        <w:t>A Singapore Math Content Institute to be held for school district math instructors that volunteer to participate in the project;</w:t>
      </w:r>
    </w:p>
    <w:p w:rsidR="00000000" w:rsidRDefault="006C147A">
      <w:pPr>
        <w:numPr>
          <w:ilvl w:val="0"/>
          <w:numId w:val="2"/>
        </w:numPr>
        <w:rPr>
          <w:sz w:val="22"/>
          <w:szCs w:val="20"/>
        </w:rPr>
      </w:pPr>
      <w:r>
        <w:rPr>
          <w:sz w:val="22"/>
          <w:szCs w:val="20"/>
        </w:rPr>
        <w:t>A year-long pilot using the Singapore C</w:t>
      </w:r>
      <w:r>
        <w:rPr>
          <w:sz w:val="22"/>
          <w:szCs w:val="20"/>
        </w:rPr>
        <w:t xml:space="preserve">urriculum in classrooms; and </w:t>
      </w:r>
    </w:p>
    <w:p w:rsidR="00000000" w:rsidRDefault="006C147A">
      <w:pPr>
        <w:numPr>
          <w:ilvl w:val="0"/>
          <w:numId w:val="2"/>
        </w:numPr>
        <w:rPr>
          <w:sz w:val="22"/>
          <w:szCs w:val="20"/>
        </w:rPr>
      </w:pPr>
      <w:r>
        <w:rPr>
          <w:sz w:val="22"/>
          <w:szCs w:val="20"/>
        </w:rPr>
        <w:t>An assessment of the impact of the Singapore Math Curriculum on students’ achievement.</w:t>
      </w:r>
    </w:p>
    <w:p w:rsidR="00000000" w:rsidRDefault="006C147A">
      <w:pPr>
        <w:rPr>
          <w:sz w:val="22"/>
        </w:rPr>
      </w:pPr>
    </w:p>
    <w:sectPr w:rsidR="00000000">
      <w:headerReference w:type="default" r:id="rId7"/>
      <w:type w:val="continuous"/>
      <w:pgSz w:w="12240" w:h="15840" w:code="1"/>
      <w:pgMar w:top="1008"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C147A">
      <w:r>
        <w:separator/>
      </w:r>
    </w:p>
  </w:endnote>
  <w:endnote w:type="continuationSeparator" w:id="0">
    <w:p w:rsidR="00000000" w:rsidRDefault="006C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C147A">
      <w:r>
        <w:separator/>
      </w:r>
    </w:p>
  </w:footnote>
  <w:footnote w:type="continuationSeparator" w:id="0">
    <w:p w:rsidR="00000000" w:rsidRDefault="006C1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C147A">
    <w:pPr>
      <w:pStyle w:val="Heading1"/>
      <w:jc w:val="center"/>
      <w:rPr>
        <w:sz w:val="22"/>
      </w:rPr>
    </w:pPr>
    <w:r>
      <w:rPr>
        <w:sz w:val="22"/>
      </w:rPr>
      <w:t>November 2006 Addendum to the June 12, 2002 Massachusetts Consolidated Application, approved July 1, 2002.</w:t>
    </w:r>
  </w:p>
  <w:p w:rsidR="00000000" w:rsidRDefault="006C1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A544FF"/>
    <w:multiLevelType w:val="hybridMultilevel"/>
    <w:tmpl w:val="407E8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AD5385"/>
    <w:multiLevelType w:val="hybridMultilevel"/>
    <w:tmpl w:val="BA24A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0E"/>
    <w:rsid w:val="001F750E"/>
    <w:rsid w:val="006C14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0A2C22-F47C-4109-AB1D-08904FE3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p\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2</Pages>
  <Words>592</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November, 2006 Addendum to the June 12, 2002 Massachusetts Consolidated Application</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2006 Addendum to the June 12, 2002 Massachusetts Consolidated Application</dc:title>
  <dc:subject/>
  <dc:creator>DESE</dc:creator>
  <cp:keywords/>
  <dc:description/>
  <cp:lastModifiedBy>Zou, Dong (EOE)</cp:lastModifiedBy>
  <cp:revision>3</cp:revision>
  <cp:lastPrinted>2006-11-20T15:21:00Z</cp:lastPrinted>
  <dcterms:created xsi:type="dcterms:W3CDTF">2019-05-03T14:50:00Z</dcterms:created>
  <dcterms:modified xsi:type="dcterms:W3CDTF">2019-05-03T14:50:00Z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2007</vt:lpwstr>
  </property>
</Properties>
</file>