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18568" w14:textId="77777777" w:rsidR="00C04BC1" w:rsidRPr="00412830" w:rsidRDefault="00C04BC1">
      <w:pPr>
        <w:rPr>
          <w:rFonts w:ascii="Calibri" w:eastAsia="Calibri" w:hAnsi="Calibri" w:cs="Calibri"/>
          <w:iCs/>
        </w:rPr>
      </w:pPr>
    </w:p>
    <w:p w14:paraId="167A3696" w14:textId="77777777" w:rsidR="00F04B7D" w:rsidRPr="008A3F6B" w:rsidRDefault="008A3F6B">
      <w:pPr>
        <w:rPr>
          <w:rFonts w:ascii="Calibri" w:eastAsia="Calibri" w:hAnsi="Calibri" w:cs="Calibri"/>
          <w:b/>
        </w:rPr>
      </w:pPr>
      <w:r>
        <w:rPr>
          <w:rFonts w:ascii="Calibri" w:eastAsia="Calibri" w:hAnsi="Calibri" w:cs="Calibri"/>
          <w:b/>
        </w:rPr>
        <w:t>*</w:t>
      </w:r>
      <w:r w:rsidR="00D846A4" w:rsidRPr="008A3F6B">
        <w:rPr>
          <w:rFonts w:ascii="Calibri" w:eastAsia="Calibri" w:hAnsi="Calibri" w:cs="Calibri"/>
          <w:b/>
        </w:rPr>
        <w:t>Indicator 7: Advising and Student Support Services: The program ensures effective and equitable delivery of advising and support services.</w:t>
      </w:r>
    </w:p>
    <w:p w14:paraId="698CCCDD" w14:textId="77777777" w:rsidR="00F04B7D" w:rsidRPr="008A3F6B" w:rsidRDefault="00D846A4">
      <w:pPr>
        <w:numPr>
          <w:ilvl w:val="0"/>
          <w:numId w:val="1"/>
        </w:numPr>
        <w:rPr>
          <w:rFonts w:ascii="Calibri" w:eastAsia="Calibri" w:hAnsi="Calibri" w:cs="Calibri"/>
          <w:i/>
        </w:rPr>
      </w:pPr>
      <w:r w:rsidRPr="008A3F6B">
        <w:rPr>
          <w:rFonts w:ascii="Calibri" w:eastAsia="Calibri" w:hAnsi="Calibri" w:cs="Calibri"/>
          <w:i/>
        </w:rPr>
        <w:t>Standard 7.1: Staff with advising responsibilities facilitate students’ career development by providing all students with accurate and up-to-date information and equal opportunities to explore and evaluate postsecondary education, training, and employment options.</w:t>
      </w:r>
    </w:p>
    <w:p w14:paraId="599C3936" w14:textId="77777777" w:rsidR="00F04B7D" w:rsidRPr="008A3F6B" w:rsidRDefault="00D846A4">
      <w:pPr>
        <w:numPr>
          <w:ilvl w:val="0"/>
          <w:numId w:val="1"/>
        </w:numPr>
        <w:rPr>
          <w:rFonts w:ascii="Calibri" w:eastAsia="Calibri" w:hAnsi="Calibri" w:cs="Calibri"/>
          <w:i/>
        </w:rPr>
      </w:pPr>
      <w:r w:rsidRPr="008A3F6B">
        <w:rPr>
          <w:rFonts w:ascii="Calibri" w:eastAsia="Calibri" w:hAnsi="Calibri" w:cs="Calibri"/>
          <w:i/>
        </w:rPr>
        <w:t>Standard 7.2: All program staff communicate regularly with students and analyze data to identify barriers to program access, participation, and completion and then take steps for remediation including referring students to outside social service agencies as needed.</w:t>
      </w:r>
    </w:p>
    <w:p w14:paraId="594BC148" w14:textId="77777777" w:rsidR="00F04B7D" w:rsidRPr="008A3F6B" w:rsidRDefault="00F04B7D">
      <w:pPr>
        <w:rPr>
          <w:rFonts w:ascii="Calibri" w:eastAsia="Calibri" w:hAnsi="Calibri" w:cs="Calibri"/>
        </w:rPr>
      </w:pPr>
    </w:p>
    <w:p w14:paraId="4A42B9E0" w14:textId="77777777" w:rsidR="00F04B7D" w:rsidRPr="008A3F6B" w:rsidRDefault="00D846A4">
      <w:pPr>
        <w:rPr>
          <w:rFonts w:ascii="Calibri" w:eastAsia="Calibri" w:hAnsi="Calibri" w:cs="Calibri"/>
        </w:rPr>
      </w:pPr>
      <w:r w:rsidRPr="008A3F6B">
        <w:rPr>
          <w:rFonts w:ascii="Calibri" w:eastAsia="Calibri" w:hAnsi="Calibri" w:cs="Calibri"/>
        </w:rPr>
        <w:t>This document was developed by the SABES Program Support PD Center. It draws on prior Adult and Community Learning Services (ACLS) guidance documents (</w:t>
      </w:r>
      <w:r w:rsidRPr="008A3F6B">
        <w:rPr>
          <w:rFonts w:ascii="Calibri" w:eastAsia="Calibri" w:hAnsi="Calibri" w:cs="Calibri"/>
          <w:i/>
        </w:rPr>
        <w:t>Indicators of Effective Advising</w:t>
      </w:r>
      <w:r w:rsidRPr="008A3F6B">
        <w:rPr>
          <w:rFonts w:ascii="Calibri" w:eastAsia="Calibri" w:hAnsi="Calibri" w:cs="Calibri"/>
        </w:rPr>
        <w:t xml:space="preserve">, </w:t>
      </w:r>
      <w:r w:rsidRPr="008A3F6B">
        <w:rPr>
          <w:rFonts w:ascii="Calibri" w:eastAsia="Calibri" w:hAnsi="Calibri" w:cs="Calibri"/>
          <w:i/>
        </w:rPr>
        <w:t>Guide for Completing the Student Education and Career Plan</w:t>
      </w:r>
      <w:r w:rsidRPr="008A3F6B">
        <w:rPr>
          <w:rFonts w:ascii="Calibri" w:eastAsia="Calibri" w:hAnsi="Calibri" w:cs="Calibri"/>
        </w:rPr>
        <w:t>) as well other evidence-based practices and professional wisdom.</w:t>
      </w:r>
    </w:p>
    <w:p w14:paraId="7CE1B497" w14:textId="77777777" w:rsidR="00F04B7D" w:rsidRPr="008A3F6B" w:rsidRDefault="00F04B7D">
      <w:pPr>
        <w:rPr>
          <w:rFonts w:ascii="Calibri" w:eastAsia="Calibri" w:hAnsi="Calibri" w:cs="Calibri"/>
        </w:rPr>
      </w:pPr>
    </w:p>
    <w:p w14:paraId="79DA0C79" w14:textId="77777777" w:rsidR="00F04B7D" w:rsidRPr="008A3F6B" w:rsidRDefault="00D846A4">
      <w:pPr>
        <w:rPr>
          <w:rFonts w:ascii="Calibri" w:eastAsia="Calibri" w:hAnsi="Calibri" w:cs="Calibri"/>
        </w:rPr>
      </w:pPr>
      <w:r w:rsidRPr="008A3F6B">
        <w:rPr>
          <w:rFonts w:ascii="Calibri" w:eastAsia="Calibri" w:hAnsi="Calibri" w:cs="Calibri"/>
        </w:rPr>
        <w:t>The intended audience is program directors and coordinators, staff with advising responsibilities, and teachers, and is meant to guide reflection, discussion, continuous improvement, and design of your advising program. It does not reflect the full scope or detail of effective practices that might be implemented to achieve IPQ #7, but it provides some key examples.</w:t>
      </w:r>
    </w:p>
    <w:p w14:paraId="3D1D7578" w14:textId="77777777" w:rsidR="00F04B7D" w:rsidRPr="008A3F6B" w:rsidRDefault="00F04B7D">
      <w:pPr>
        <w:rPr>
          <w:rFonts w:ascii="Calibri" w:eastAsia="Calibri" w:hAnsi="Calibri" w:cs="Calibri"/>
        </w:rPr>
      </w:pPr>
    </w:p>
    <w:p w14:paraId="2E304BA5" w14:textId="77777777" w:rsidR="00F04B7D" w:rsidRPr="008A3F6B" w:rsidRDefault="00D846A4">
      <w:pPr>
        <w:rPr>
          <w:rFonts w:ascii="Calibri" w:eastAsia="Calibri" w:hAnsi="Calibri" w:cs="Calibri"/>
          <w:b/>
        </w:rPr>
      </w:pPr>
      <w:r w:rsidRPr="008A3F6B">
        <w:rPr>
          <w:rFonts w:ascii="Calibri" w:eastAsia="Calibri" w:hAnsi="Calibri" w:cs="Calibri"/>
          <w:b/>
        </w:rPr>
        <w:t>Review the practices and add notes about your program:</w:t>
      </w:r>
    </w:p>
    <w:p w14:paraId="0DD2C49F" w14:textId="77777777" w:rsidR="00F04B7D" w:rsidRPr="008A3F6B" w:rsidRDefault="00D846A4">
      <w:pPr>
        <w:numPr>
          <w:ilvl w:val="0"/>
          <w:numId w:val="2"/>
        </w:numPr>
        <w:rPr>
          <w:rFonts w:ascii="Calibri" w:eastAsia="Calibri" w:hAnsi="Calibri" w:cs="Calibri"/>
        </w:rPr>
      </w:pPr>
      <w:r w:rsidRPr="008A3F6B">
        <w:rPr>
          <w:rFonts w:ascii="Calibri" w:eastAsia="Calibri" w:hAnsi="Calibri" w:cs="Calibri"/>
        </w:rPr>
        <w:t>What are examples of how you address or implement similar practices?</w:t>
      </w:r>
    </w:p>
    <w:p w14:paraId="69CDCCC5" w14:textId="77777777" w:rsidR="00F04B7D" w:rsidRDefault="00D846A4">
      <w:pPr>
        <w:numPr>
          <w:ilvl w:val="0"/>
          <w:numId w:val="2"/>
        </w:numPr>
        <w:rPr>
          <w:rFonts w:ascii="Calibri" w:eastAsia="Calibri" w:hAnsi="Calibri" w:cs="Calibri"/>
        </w:rPr>
      </w:pPr>
      <w:r w:rsidRPr="008A3F6B">
        <w:rPr>
          <w:rFonts w:ascii="Calibri" w:eastAsia="Calibri" w:hAnsi="Calibri" w:cs="Calibri"/>
        </w:rPr>
        <w:t>Where could your program make improvements or expand on these practices?</w:t>
      </w:r>
    </w:p>
    <w:p w14:paraId="17358693" w14:textId="77777777" w:rsidR="008A3F6B" w:rsidRPr="008A3F6B" w:rsidRDefault="008A3F6B" w:rsidP="008A3F6B">
      <w:pPr>
        <w:ind w:left="720"/>
        <w:rPr>
          <w:rFonts w:ascii="Calibri" w:eastAsia="Calibri" w:hAnsi="Calibri" w:cs="Calibri"/>
        </w:rPr>
      </w:pPr>
    </w:p>
    <w:p w14:paraId="7B78632E" w14:textId="77777777" w:rsidR="00F04B7D" w:rsidRPr="008A3F6B" w:rsidRDefault="00F04B7D">
      <w:pPr>
        <w:rPr>
          <w:rFonts w:ascii="Calibri" w:eastAsia="Calibri" w:hAnsi="Calibri" w:cs="Calibri"/>
        </w:rPr>
      </w:pPr>
    </w:p>
    <w:tbl>
      <w:tblPr>
        <w:tblStyle w:val="a0"/>
        <w:tblW w:w="13991"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94"/>
        <w:gridCol w:w="4769"/>
        <w:gridCol w:w="702"/>
        <w:gridCol w:w="5926"/>
      </w:tblGrid>
      <w:tr w:rsidR="008A3F6B" w:rsidRPr="008A3F6B" w14:paraId="54480053" w14:textId="77777777" w:rsidTr="0017156C">
        <w:trPr>
          <w:trHeight w:val="449"/>
        </w:trPr>
        <w:tc>
          <w:tcPr>
            <w:tcW w:w="7363" w:type="dxa"/>
            <w:gridSpan w:val="2"/>
            <w:tcBorders>
              <w:right w:val="single" w:sz="4" w:space="0" w:color="FFFFFF"/>
            </w:tcBorders>
            <w:shd w:val="clear" w:color="auto" w:fill="1F497D"/>
          </w:tcPr>
          <w:p w14:paraId="5481DB3D" w14:textId="77777777" w:rsidR="00F04B7D" w:rsidRPr="008A3F6B" w:rsidRDefault="00D846A4">
            <w:pPr>
              <w:spacing w:before="120" w:after="120"/>
              <w:jc w:val="center"/>
              <w:rPr>
                <w:rFonts w:ascii="Calibri" w:eastAsia="Calibri" w:hAnsi="Calibri" w:cs="Calibri"/>
                <w:b/>
                <w:color w:val="FFFFFF" w:themeColor="background1"/>
                <w:sz w:val="28"/>
                <w:szCs w:val="28"/>
              </w:rPr>
            </w:pPr>
            <w:r w:rsidRPr="008A3F6B">
              <w:rPr>
                <w:rFonts w:ascii="Calibri" w:eastAsia="Calibri" w:hAnsi="Calibri" w:cs="Calibri"/>
                <w:b/>
                <w:color w:val="FFFFFF" w:themeColor="background1"/>
                <w:sz w:val="28"/>
                <w:szCs w:val="28"/>
              </w:rPr>
              <w:t>Examples</w:t>
            </w:r>
          </w:p>
        </w:tc>
        <w:tc>
          <w:tcPr>
            <w:tcW w:w="6628" w:type="dxa"/>
            <w:gridSpan w:val="2"/>
            <w:tcBorders>
              <w:left w:val="single" w:sz="4" w:space="0" w:color="FFFFFF"/>
            </w:tcBorders>
            <w:shd w:val="clear" w:color="auto" w:fill="1F497D"/>
          </w:tcPr>
          <w:p w14:paraId="14C492FF" w14:textId="77777777" w:rsidR="00F04B7D" w:rsidRPr="008A3F6B" w:rsidRDefault="00D846A4">
            <w:pPr>
              <w:spacing w:before="120" w:after="120"/>
              <w:jc w:val="center"/>
              <w:rPr>
                <w:rFonts w:ascii="Calibri" w:eastAsia="Calibri" w:hAnsi="Calibri" w:cs="Calibri"/>
                <w:b/>
                <w:color w:val="FFFFFF" w:themeColor="background1"/>
                <w:sz w:val="28"/>
                <w:szCs w:val="28"/>
              </w:rPr>
            </w:pPr>
            <w:r w:rsidRPr="008A3F6B">
              <w:rPr>
                <w:rFonts w:ascii="Calibri" w:eastAsia="Calibri" w:hAnsi="Calibri" w:cs="Calibri"/>
                <w:b/>
                <w:color w:val="FFFFFF" w:themeColor="background1"/>
                <w:sz w:val="28"/>
                <w:szCs w:val="28"/>
              </w:rPr>
              <w:t>Notes</w:t>
            </w:r>
          </w:p>
        </w:tc>
      </w:tr>
      <w:tr w:rsidR="008A3F6B" w:rsidRPr="008A3F6B" w14:paraId="0B050CD3" w14:textId="77777777" w:rsidTr="0017156C">
        <w:tc>
          <w:tcPr>
            <w:tcW w:w="13991" w:type="dxa"/>
            <w:gridSpan w:val="4"/>
            <w:shd w:val="clear" w:color="auto" w:fill="F2F2F2"/>
          </w:tcPr>
          <w:p w14:paraId="69415920" w14:textId="77777777" w:rsidR="00F04B7D" w:rsidRPr="008A3F6B" w:rsidRDefault="00D846A4">
            <w:pPr>
              <w:rPr>
                <w:rFonts w:ascii="Calibri" w:eastAsia="Calibri" w:hAnsi="Calibri" w:cs="Calibri"/>
                <w:b/>
                <w:i/>
                <w:sz w:val="24"/>
                <w:szCs w:val="24"/>
              </w:rPr>
            </w:pPr>
            <w:r w:rsidRPr="008A3F6B">
              <w:rPr>
                <w:rFonts w:ascii="Calibri" w:eastAsia="Calibri" w:hAnsi="Calibri" w:cs="Calibri"/>
                <w:sz w:val="24"/>
                <w:szCs w:val="24"/>
              </w:rPr>
              <w:t>Standard 7.1: Staff with advising responsibilities facilitate students’ career development by providing all students with accurate and up-to-date information and equal opportunities to explore and evaluate postsecondary education, training, and employment options.</w:t>
            </w:r>
          </w:p>
        </w:tc>
      </w:tr>
      <w:tr w:rsidR="008A3F6B" w:rsidRPr="008A3F6B" w14:paraId="2A78C841" w14:textId="77777777" w:rsidTr="0017156C">
        <w:trPr>
          <w:trHeight w:val="683"/>
        </w:trPr>
        <w:tc>
          <w:tcPr>
            <w:tcW w:w="2594" w:type="dxa"/>
            <w:vMerge w:val="restart"/>
            <w:shd w:val="clear" w:color="auto" w:fill="EBF1DD"/>
            <w:vAlign w:val="center"/>
          </w:tcPr>
          <w:p w14:paraId="5BC9B937" w14:textId="77777777" w:rsidR="00F04B7D" w:rsidRPr="008A3F6B" w:rsidRDefault="00D846A4">
            <w:pPr>
              <w:spacing w:before="200" w:after="200"/>
              <w:ind w:left="113" w:right="113"/>
              <w:jc w:val="center"/>
              <w:rPr>
                <w:rFonts w:ascii="Calibri" w:eastAsia="Calibri" w:hAnsi="Calibri" w:cs="Calibri"/>
                <w:b/>
                <w:sz w:val="24"/>
                <w:szCs w:val="24"/>
              </w:rPr>
            </w:pPr>
            <w:r w:rsidRPr="008A3F6B">
              <w:rPr>
                <w:rFonts w:ascii="Calibri" w:eastAsia="Calibri" w:hAnsi="Calibri" w:cs="Calibri"/>
                <w:b/>
                <w:sz w:val="28"/>
                <w:szCs w:val="28"/>
              </w:rPr>
              <w:t>Director and/or Coordinator</w:t>
            </w:r>
          </w:p>
        </w:tc>
        <w:tc>
          <w:tcPr>
            <w:tcW w:w="5471" w:type="dxa"/>
            <w:gridSpan w:val="2"/>
            <w:shd w:val="clear" w:color="auto" w:fill="FFFFFF"/>
          </w:tcPr>
          <w:p w14:paraId="64D36685"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 xml:space="preserve">Establishes and communicates to staff and students the expectation that education and career advising is a core component of the overall program, ensuring </w:t>
            </w:r>
            <w:r w:rsidRPr="008A3F6B">
              <w:rPr>
                <w:rFonts w:ascii="Calibri" w:eastAsia="Calibri" w:hAnsi="Calibri" w:cs="Calibri"/>
                <w:sz w:val="24"/>
                <w:szCs w:val="24"/>
              </w:rPr>
              <w:lastRenderedPageBreak/>
              <w:t>equal access to career and educational opportunities for all students.</w:t>
            </w:r>
          </w:p>
        </w:tc>
        <w:tc>
          <w:tcPr>
            <w:tcW w:w="5926" w:type="dxa"/>
            <w:shd w:val="clear" w:color="auto" w:fill="FFFFFF"/>
          </w:tcPr>
          <w:p w14:paraId="1D10D99B"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5CCD5D79" w14:textId="77777777" w:rsidTr="0017156C">
        <w:trPr>
          <w:trHeight w:val="240"/>
        </w:trPr>
        <w:tc>
          <w:tcPr>
            <w:tcW w:w="2594" w:type="dxa"/>
            <w:vMerge/>
            <w:shd w:val="clear" w:color="auto" w:fill="EBF1DD"/>
            <w:vAlign w:val="center"/>
          </w:tcPr>
          <w:p w14:paraId="76A7413F"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5471" w:type="dxa"/>
            <w:gridSpan w:val="2"/>
            <w:shd w:val="clear" w:color="auto" w:fill="FFFFFF"/>
          </w:tcPr>
          <w:p w14:paraId="097F13B6"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Communicates to staff and students the importance of integrating education and career planning into curriculum and classroom activities.</w:t>
            </w:r>
          </w:p>
        </w:tc>
        <w:tc>
          <w:tcPr>
            <w:tcW w:w="5926" w:type="dxa"/>
            <w:shd w:val="clear" w:color="auto" w:fill="FFFFFF"/>
          </w:tcPr>
          <w:p w14:paraId="6B23F07A"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211A8A5F" w14:textId="77777777" w:rsidTr="0017156C">
        <w:trPr>
          <w:trHeight w:val="240"/>
        </w:trPr>
        <w:tc>
          <w:tcPr>
            <w:tcW w:w="2594" w:type="dxa"/>
            <w:vMerge/>
            <w:shd w:val="clear" w:color="auto" w:fill="EBF1DD"/>
            <w:vAlign w:val="center"/>
          </w:tcPr>
          <w:p w14:paraId="4D87CD30"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5471" w:type="dxa"/>
            <w:gridSpan w:val="2"/>
            <w:shd w:val="clear" w:color="auto" w:fill="FFFFFF"/>
          </w:tcPr>
          <w:p w14:paraId="6DD7894B"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Provides time for staff with advising responsibilities to collaborate with teachers to encourage college and career readiness for all students, including integrated, contextualized curriculum that brings education and career planning skills into the classroom.</w:t>
            </w:r>
          </w:p>
        </w:tc>
        <w:tc>
          <w:tcPr>
            <w:tcW w:w="5926" w:type="dxa"/>
            <w:shd w:val="clear" w:color="auto" w:fill="FFFFFF"/>
          </w:tcPr>
          <w:p w14:paraId="00BB00CE"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2A83431E" w14:textId="77777777" w:rsidTr="0017156C">
        <w:trPr>
          <w:trHeight w:val="240"/>
        </w:trPr>
        <w:tc>
          <w:tcPr>
            <w:tcW w:w="2594" w:type="dxa"/>
            <w:vMerge/>
            <w:shd w:val="clear" w:color="auto" w:fill="EBF1DD"/>
            <w:vAlign w:val="center"/>
          </w:tcPr>
          <w:p w14:paraId="123B2672"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5471" w:type="dxa"/>
            <w:gridSpan w:val="2"/>
            <w:shd w:val="clear" w:color="auto" w:fill="FFFFFF"/>
          </w:tcPr>
          <w:p w14:paraId="023EB0C8" w14:textId="77777777" w:rsidR="00F04B7D" w:rsidRPr="008A3F6B" w:rsidRDefault="00D846A4">
            <w:pPr>
              <w:keepLines/>
              <w:spacing w:before="60" w:after="60"/>
              <w:rPr>
                <w:rFonts w:ascii="Calibri" w:eastAsia="Calibri" w:hAnsi="Calibri" w:cs="Calibri"/>
              </w:rPr>
            </w:pPr>
            <w:r w:rsidRPr="008A3F6B">
              <w:rPr>
                <w:rFonts w:ascii="Calibri" w:eastAsia="Calibri" w:hAnsi="Calibri" w:cs="Calibri"/>
                <w:sz w:val="24"/>
                <w:szCs w:val="24"/>
              </w:rPr>
              <w:t>Introduces staff with advising responsibilities to local Workforce Innovation and Opportunity Act (WIOA) partners and connects them to their local workforce area Outstationing Coordinator.</w:t>
            </w:r>
          </w:p>
        </w:tc>
        <w:tc>
          <w:tcPr>
            <w:tcW w:w="5926" w:type="dxa"/>
            <w:shd w:val="clear" w:color="auto" w:fill="FFFFFF"/>
          </w:tcPr>
          <w:p w14:paraId="3A109DD2"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225C6007" w14:textId="77777777" w:rsidTr="0017156C">
        <w:trPr>
          <w:trHeight w:val="1569"/>
        </w:trPr>
        <w:tc>
          <w:tcPr>
            <w:tcW w:w="2594" w:type="dxa"/>
            <w:vMerge/>
            <w:shd w:val="clear" w:color="auto" w:fill="EBF1DD"/>
            <w:vAlign w:val="center"/>
          </w:tcPr>
          <w:p w14:paraId="08B2A314"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5471" w:type="dxa"/>
            <w:gridSpan w:val="2"/>
            <w:shd w:val="clear" w:color="auto" w:fill="FFFFFF"/>
          </w:tcPr>
          <w:p w14:paraId="4826ED30"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Seeks and provides professional development opportunities for staff with advising responsibilities and teachers to stay up to date on the latest career and education planning and labor market resources and build their knowledge and skills in these areas.</w:t>
            </w:r>
          </w:p>
        </w:tc>
        <w:tc>
          <w:tcPr>
            <w:tcW w:w="5926" w:type="dxa"/>
            <w:shd w:val="clear" w:color="auto" w:fill="FFFFFF"/>
          </w:tcPr>
          <w:p w14:paraId="186629C0"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4AFAC2E8" w14:textId="77777777" w:rsidTr="0017156C">
        <w:trPr>
          <w:trHeight w:val="1569"/>
        </w:trPr>
        <w:tc>
          <w:tcPr>
            <w:tcW w:w="2594" w:type="dxa"/>
            <w:vMerge/>
            <w:shd w:val="clear" w:color="auto" w:fill="EBF1DD"/>
            <w:vAlign w:val="center"/>
          </w:tcPr>
          <w:p w14:paraId="4CDCA5A3"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5471" w:type="dxa"/>
            <w:gridSpan w:val="2"/>
            <w:shd w:val="clear" w:color="auto" w:fill="FFFFFF"/>
          </w:tcPr>
          <w:p w14:paraId="47CB47CA" w14:textId="77777777" w:rsidR="00F04B7D" w:rsidRPr="008A3F6B" w:rsidRDefault="00D846A4">
            <w:pPr>
              <w:spacing w:before="60" w:after="60"/>
              <w:rPr>
                <w:rFonts w:ascii="Calibri" w:eastAsia="Calibri" w:hAnsi="Calibri" w:cs="Calibri"/>
                <w:sz w:val="24"/>
                <w:szCs w:val="24"/>
              </w:rPr>
            </w:pPr>
            <w:r w:rsidRPr="008A3F6B">
              <w:rPr>
                <w:rFonts w:ascii="Calibri" w:eastAsia="Calibri" w:hAnsi="Calibri" w:cs="Calibri"/>
                <w:sz w:val="24"/>
                <w:szCs w:val="24"/>
              </w:rPr>
              <w:t>Seeks out professional development opportunities for staff with advising responsibilities and teachers to build their knowledge about conditions that affect their students’ progress, and to build skills to help address them. (These may include the effects of trauma, discrimination, violence, racism, poverty, incarceration, legal status, and spiritual/cultural beliefs.)</w:t>
            </w:r>
          </w:p>
        </w:tc>
        <w:tc>
          <w:tcPr>
            <w:tcW w:w="5926" w:type="dxa"/>
            <w:shd w:val="clear" w:color="auto" w:fill="FFFFFF"/>
          </w:tcPr>
          <w:p w14:paraId="5C8DE799"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0A82820D" w14:textId="77777777" w:rsidTr="0017156C">
        <w:tc>
          <w:tcPr>
            <w:tcW w:w="2594" w:type="dxa"/>
            <w:vMerge w:val="restart"/>
            <w:shd w:val="clear" w:color="auto" w:fill="DBEEF3"/>
          </w:tcPr>
          <w:p w14:paraId="11140E75" w14:textId="77777777" w:rsidR="00F04B7D" w:rsidRPr="008A3F6B" w:rsidRDefault="00D846A4">
            <w:pPr>
              <w:spacing w:before="200" w:after="200"/>
              <w:ind w:left="113" w:right="113"/>
              <w:jc w:val="center"/>
              <w:rPr>
                <w:rFonts w:ascii="Calibri" w:eastAsia="Calibri" w:hAnsi="Calibri" w:cs="Calibri"/>
                <w:b/>
                <w:sz w:val="28"/>
                <w:szCs w:val="28"/>
              </w:rPr>
            </w:pPr>
            <w:r w:rsidRPr="008A3F6B">
              <w:rPr>
                <w:rFonts w:ascii="Calibri" w:eastAsia="Calibri" w:hAnsi="Calibri" w:cs="Calibri"/>
                <w:b/>
                <w:sz w:val="28"/>
                <w:szCs w:val="28"/>
              </w:rPr>
              <w:t xml:space="preserve">Staff with advising responsibilities </w:t>
            </w:r>
          </w:p>
        </w:tc>
        <w:tc>
          <w:tcPr>
            <w:tcW w:w="5471" w:type="dxa"/>
            <w:gridSpan w:val="2"/>
            <w:shd w:val="clear" w:color="auto" w:fill="FFFFFF"/>
          </w:tcPr>
          <w:p w14:paraId="497B5F9E"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Meets with students individually and in groups, initially and over time, to help them identify and achieve authentic goals.</w:t>
            </w:r>
          </w:p>
        </w:tc>
        <w:tc>
          <w:tcPr>
            <w:tcW w:w="5926" w:type="dxa"/>
            <w:shd w:val="clear" w:color="auto" w:fill="FFFFFF"/>
          </w:tcPr>
          <w:p w14:paraId="1D100452"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27A195DF" w14:textId="77777777" w:rsidTr="0017156C">
        <w:tc>
          <w:tcPr>
            <w:tcW w:w="2594" w:type="dxa"/>
            <w:vMerge/>
            <w:shd w:val="clear" w:color="auto" w:fill="DBEEF3"/>
          </w:tcPr>
          <w:p w14:paraId="4BC3F268" w14:textId="77777777" w:rsidR="00F04B7D" w:rsidRPr="008A3F6B" w:rsidRDefault="00F04B7D">
            <w:pPr>
              <w:widowControl w:val="0"/>
              <w:pBdr>
                <w:top w:val="nil"/>
                <w:left w:val="nil"/>
                <w:bottom w:val="nil"/>
                <w:right w:val="nil"/>
                <w:between w:val="nil"/>
              </w:pBdr>
              <w:spacing w:line="276" w:lineRule="auto"/>
              <w:rPr>
                <w:rFonts w:ascii="Calibri" w:eastAsia="Calibri" w:hAnsi="Calibri" w:cs="Calibri"/>
                <w:sz w:val="24"/>
                <w:szCs w:val="24"/>
              </w:rPr>
            </w:pPr>
          </w:p>
        </w:tc>
        <w:tc>
          <w:tcPr>
            <w:tcW w:w="5471" w:type="dxa"/>
            <w:gridSpan w:val="2"/>
            <w:shd w:val="clear" w:color="auto" w:fill="FFFFFF"/>
          </w:tcPr>
          <w:p w14:paraId="373756C6"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Is available to teachers when they have concerns to share about students.</w:t>
            </w:r>
          </w:p>
        </w:tc>
        <w:tc>
          <w:tcPr>
            <w:tcW w:w="5926" w:type="dxa"/>
            <w:shd w:val="clear" w:color="auto" w:fill="FFFFFF"/>
          </w:tcPr>
          <w:p w14:paraId="6108BF59"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079552C7" w14:textId="77777777" w:rsidTr="0017156C">
        <w:tc>
          <w:tcPr>
            <w:tcW w:w="2594" w:type="dxa"/>
            <w:vMerge/>
            <w:shd w:val="clear" w:color="auto" w:fill="DBEEF3"/>
          </w:tcPr>
          <w:p w14:paraId="7CFF4BFF" w14:textId="77777777" w:rsidR="00F04B7D" w:rsidRPr="008A3F6B" w:rsidRDefault="00F04B7D">
            <w:pPr>
              <w:widowControl w:val="0"/>
              <w:pBdr>
                <w:top w:val="nil"/>
                <w:left w:val="nil"/>
                <w:bottom w:val="nil"/>
                <w:right w:val="nil"/>
                <w:between w:val="nil"/>
              </w:pBdr>
              <w:spacing w:line="276" w:lineRule="auto"/>
              <w:rPr>
                <w:rFonts w:ascii="Calibri" w:eastAsia="Calibri" w:hAnsi="Calibri" w:cs="Calibri"/>
                <w:sz w:val="24"/>
                <w:szCs w:val="24"/>
              </w:rPr>
            </w:pPr>
          </w:p>
        </w:tc>
        <w:tc>
          <w:tcPr>
            <w:tcW w:w="5471" w:type="dxa"/>
            <w:gridSpan w:val="2"/>
            <w:shd w:val="clear" w:color="auto" w:fill="FFFFFF"/>
          </w:tcPr>
          <w:p w14:paraId="69137A7B"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Helps students articulate and break down short- and long-term goals to develop education and career plans that are flexible, address potential barriers to success, and always evolving.</w:t>
            </w:r>
          </w:p>
        </w:tc>
        <w:tc>
          <w:tcPr>
            <w:tcW w:w="5926" w:type="dxa"/>
            <w:shd w:val="clear" w:color="auto" w:fill="FFFFFF"/>
          </w:tcPr>
          <w:p w14:paraId="2B4EC2D6"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629806B9" w14:textId="77777777" w:rsidTr="0017156C">
        <w:tc>
          <w:tcPr>
            <w:tcW w:w="2594" w:type="dxa"/>
            <w:vMerge/>
            <w:shd w:val="clear" w:color="auto" w:fill="DBEEF3"/>
          </w:tcPr>
          <w:p w14:paraId="06955744" w14:textId="77777777" w:rsidR="00F04B7D" w:rsidRPr="008A3F6B" w:rsidRDefault="00F04B7D">
            <w:pPr>
              <w:widowControl w:val="0"/>
              <w:pBdr>
                <w:top w:val="nil"/>
                <w:left w:val="nil"/>
                <w:bottom w:val="nil"/>
                <w:right w:val="nil"/>
                <w:between w:val="nil"/>
              </w:pBdr>
              <w:spacing w:line="276" w:lineRule="auto"/>
              <w:rPr>
                <w:rFonts w:ascii="Calibri" w:eastAsia="Calibri" w:hAnsi="Calibri" w:cs="Calibri"/>
                <w:sz w:val="24"/>
                <w:szCs w:val="24"/>
              </w:rPr>
            </w:pPr>
          </w:p>
        </w:tc>
        <w:tc>
          <w:tcPr>
            <w:tcW w:w="5471" w:type="dxa"/>
            <w:gridSpan w:val="2"/>
            <w:shd w:val="clear" w:color="auto" w:fill="FFFFFF"/>
          </w:tcPr>
          <w:p w14:paraId="2A417D4F"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Maintains contact with WIOA partners and local workforce area Outstationing Coordinator to learn about labor market trends, training and employment opportunities, and to refer students to the local MassHire Career Center, as appropriate.</w:t>
            </w:r>
          </w:p>
        </w:tc>
        <w:tc>
          <w:tcPr>
            <w:tcW w:w="5926" w:type="dxa"/>
            <w:shd w:val="clear" w:color="auto" w:fill="FFFFFF"/>
          </w:tcPr>
          <w:p w14:paraId="2D70FC9E"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3972CF9E" w14:textId="77777777" w:rsidTr="0017156C">
        <w:tc>
          <w:tcPr>
            <w:tcW w:w="2594" w:type="dxa"/>
            <w:vMerge w:val="restart"/>
            <w:shd w:val="clear" w:color="auto" w:fill="FDEADA"/>
          </w:tcPr>
          <w:p w14:paraId="7D46D26D" w14:textId="77777777" w:rsidR="00F04B7D" w:rsidRPr="008A3F6B" w:rsidRDefault="00D846A4">
            <w:pPr>
              <w:spacing w:before="200" w:after="200"/>
              <w:ind w:left="113" w:right="113"/>
              <w:jc w:val="center"/>
              <w:rPr>
                <w:rFonts w:ascii="Calibri" w:eastAsia="Calibri" w:hAnsi="Calibri" w:cs="Calibri"/>
                <w:b/>
                <w:sz w:val="28"/>
                <w:szCs w:val="28"/>
              </w:rPr>
            </w:pPr>
            <w:r w:rsidRPr="008A3F6B">
              <w:rPr>
                <w:rFonts w:ascii="Calibri" w:eastAsia="Calibri" w:hAnsi="Calibri" w:cs="Calibri"/>
                <w:b/>
                <w:sz w:val="28"/>
                <w:szCs w:val="28"/>
              </w:rPr>
              <w:t>Program-wide practices</w:t>
            </w:r>
          </w:p>
        </w:tc>
        <w:tc>
          <w:tcPr>
            <w:tcW w:w="5471" w:type="dxa"/>
            <w:gridSpan w:val="2"/>
            <w:shd w:val="clear" w:color="auto" w:fill="FFFFFF"/>
          </w:tcPr>
          <w:p w14:paraId="21039D08"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Teachers, staff with advising responsibilities, and directors establish a process for routinely sharing non-confidential case notes relevant to students’ progress.</w:t>
            </w:r>
          </w:p>
        </w:tc>
        <w:tc>
          <w:tcPr>
            <w:tcW w:w="5926" w:type="dxa"/>
            <w:shd w:val="clear" w:color="auto" w:fill="FFFFFF"/>
          </w:tcPr>
          <w:p w14:paraId="22ABF215" w14:textId="77777777" w:rsidR="00F04B7D" w:rsidRPr="008A3F6B" w:rsidRDefault="00F04B7D">
            <w:pPr>
              <w:spacing w:before="200" w:after="200"/>
              <w:rPr>
                <w:rFonts w:ascii="Calibri" w:eastAsia="Calibri" w:hAnsi="Calibri" w:cs="Calibri"/>
                <w:sz w:val="24"/>
                <w:szCs w:val="24"/>
              </w:rPr>
            </w:pPr>
          </w:p>
        </w:tc>
      </w:tr>
      <w:tr w:rsidR="008A3F6B" w:rsidRPr="008A3F6B" w14:paraId="7F51F35C" w14:textId="77777777" w:rsidTr="0017156C">
        <w:tc>
          <w:tcPr>
            <w:tcW w:w="2594" w:type="dxa"/>
            <w:vMerge/>
            <w:shd w:val="clear" w:color="auto" w:fill="FDEADA"/>
          </w:tcPr>
          <w:p w14:paraId="0493BEE3" w14:textId="77777777" w:rsidR="00F04B7D" w:rsidRPr="008A3F6B" w:rsidRDefault="00F04B7D">
            <w:pPr>
              <w:widowControl w:val="0"/>
              <w:pBdr>
                <w:top w:val="nil"/>
                <w:left w:val="nil"/>
                <w:bottom w:val="nil"/>
                <w:right w:val="nil"/>
                <w:between w:val="nil"/>
              </w:pBdr>
              <w:spacing w:line="276" w:lineRule="auto"/>
              <w:rPr>
                <w:rFonts w:ascii="Calibri" w:eastAsia="Calibri" w:hAnsi="Calibri" w:cs="Calibri"/>
                <w:sz w:val="24"/>
                <w:szCs w:val="24"/>
              </w:rPr>
            </w:pPr>
          </w:p>
        </w:tc>
        <w:tc>
          <w:tcPr>
            <w:tcW w:w="5471" w:type="dxa"/>
            <w:gridSpan w:val="2"/>
            <w:shd w:val="clear" w:color="auto" w:fill="FFFFFF"/>
          </w:tcPr>
          <w:p w14:paraId="330EBFD1"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Teachers (and staff with advising responsibilities) develop contextualized lessons/integrated curriculum to help students gain education and career planning skills, learn about postsecondary education and training programs, and explore community resources in the context of reading, writing, math, and language instruction.</w:t>
            </w:r>
          </w:p>
        </w:tc>
        <w:tc>
          <w:tcPr>
            <w:tcW w:w="5926" w:type="dxa"/>
            <w:shd w:val="clear" w:color="auto" w:fill="FFFFFF"/>
          </w:tcPr>
          <w:p w14:paraId="57E174FD" w14:textId="77777777" w:rsidR="00F04B7D" w:rsidRPr="008A3F6B" w:rsidRDefault="00F04B7D">
            <w:pPr>
              <w:spacing w:before="200" w:after="200"/>
              <w:rPr>
                <w:rFonts w:ascii="Calibri" w:eastAsia="Calibri" w:hAnsi="Calibri" w:cs="Calibri"/>
                <w:sz w:val="24"/>
                <w:szCs w:val="24"/>
              </w:rPr>
            </w:pPr>
          </w:p>
        </w:tc>
      </w:tr>
      <w:tr w:rsidR="008A3F6B" w:rsidRPr="008A3F6B" w14:paraId="50199288" w14:textId="77777777" w:rsidTr="0017156C">
        <w:tc>
          <w:tcPr>
            <w:tcW w:w="2594" w:type="dxa"/>
            <w:vMerge/>
            <w:shd w:val="clear" w:color="auto" w:fill="FDEADA"/>
          </w:tcPr>
          <w:p w14:paraId="05F20E61" w14:textId="77777777" w:rsidR="00F04B7D" w:rsidRPr="008A3F6B" w:rsidRDefault="00F04B7D">
            <w:pPr>
              <w:widowControl w:val="0"/>
              <w:pBdr>
                <w:top w:val="nil"/>
                <w:left w:val="nil"/>
                <w:bottom w:val="nil"/>
                <w:right w:val="nil"/>
                <w:between w:val="nil"/>
              </w:pBdr>
              <w:spacing w:line="276" w:lineRule="auto"/>
              <w:rPr>
                <w:rFonts w:ascii="Calibri" w:eastAsia="Calibri" w:hAnsi="Calibri" w:cs="Calibri"/>
                <w:sz w:val="24"/>
                <w:szCs w:val="24"/>
              </w:rPr>
            </w:pPr>
          </w:p>
        </w:tc>
        <w:tc>
          <w:tcPr>
            <w:tcW w:w="5471" w:type="dxa"/>
            <w:gridSpan w:val="2"/>
            <w:shd w:val="clear" w:color="auto" w:fill="FFFFFF"/>
          </w:tcPr>
          <w:p w14:paraId="321E5FC1"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Teachers integrate lessons that include field trips to community colleges and MassHire Career Centers and/or invite representatives, including Outstationing Coordinator, to visit classes.</w:t>
            </w:r>
          </w:p>
        </w:tc>
        <w:tc>
          <w:tcPr>
            <w:tcW w:w="5926" w:type="dxa"/>
            <w:shd w:val="clear" w:color="auto" w:fill="FFFFFF"/>
          </w:tcPr>
          <w:p w14:paraId="524C31A6" w14:textId="77777777" w:rsidR="00F04B7D" w:rsidRPr="008A3F6B" w:rsidRDefault="00F04B7D">
            <w:pPr>
              <w:spacing w:before="200" w:after="200"/>
              <w:rPr>
                <w:rFonts w:ascii="Calibri" w:eastAsia="Calibri" w:hAnsi="Calibri" w:cs="Calibri"/>
                <w:sz w:val="24"/>
                <w:szCs w:val="24"/>
              </w:rPr>
            </w:pPr>
          </w:p>
        </w:tc>
      </w:tr>
    </w:tbl>
    <w:p w14:paraId="00175476" w14:textId="77777777" w:rsidR="00F04B7D" w:rsidRPr="008A3F6B" w:rsidRDefault="00D846A4">
      <w:r w:rsidRPr="008A3F6B">
        <w:br w:type="page"/>
      </w:r>
    </w:p>
    <w:tbl>
      <w:tblPr>
        <w:tblStyle w:val="a1"/>
        <w:tblW w:w="13670"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35"/>
        <w:gridCol w:w="6165"/>
        <w:gridCol w:w="4620"/>
        <w:gridCol w:w="50"/>
      </w:tblGrid>
      <w:tr w:rsidR="008A3F6B" w:rsidRPr="008A3F6B" w14:paraId="6D106624" w14:textId="77777777" w:rsidTr="0017156C">
        <w:trPr>
          <w:gridAfter w:val="1"/>
          <w:wAfter w:w="50" w:type="dxa"/>
        </w:trPr>
        <w:tc>
          <w:tcPr>
            <w:tcW w:w="13620" w:type="dxa"/>
            <w:gridSpan w:val="3"/>
            <w:shd w:val="clear" w:color="auto" w:fill="F2F2F2"/>
          </w:tcPr>
          <w:p w14:paraId="1A0FD94F" w14:textId="77777777" w:rsidR="00F04B7D" w:rsidRPr="008A3F6B" w:rsidRDefault="00D846A4">
            <w:pPr>
              <w:rPr>
                <w:rFonts w:ascii="Calibri" w:eastAsia="Calibri" w:hAnsi="Calibri" w:cs="Calibri"/>
                <w:b/>
                <w:i/>
                <w:sz w:val="24"/>
                <w:szCs w:val="24"/>
              </w:rPr>
            </w:pPr>
            <w:r w:rsidRPr="008A3F6B">
              <w:rPr>
                <w:rFonts w:ascii="Calibri" w:eastAsia="Calibri" w:hAnsi="Calibri" w:cs="Calibri"/>
                <w:sz w:val="24"/>
                <w:szCs w:val="24"/>
              </w:rPr>
              <w:lastRenderedPageBreak/>
              <w:t>Standard 7.2: All program staff communicate regularly with students and analyze data to identify barriers to program access, participation, and completion and then take steps for remediation including referring students to outside social service agencies as needed.</w:t>
            </w:r>
          </w:p>
        </w:tc>
      </w:tr>
      <w:tr w:rsidR="008A3F6B" w:rsidRPr="008A3F6B" w14:paraId="179AAD05" w14:textId="77777777" w:rsidTr="0017156C">
        <w:trPr>
          <w:gridAfter w:val="1"/>
          <w:wAfter w:w="50" w:type="dxa"/>
          <w:trHeight w:val="280"/>
        </w:trPr>
        <w:tc>
          <w:tcPr>
            <w:tcW w:w="2835" w:type="dxa"/>
            <w:vMerge w:val="restart"/>
            <w:shd w:val="clear" w:color="auto" w:fill="EBF1DD"/>
            <w:vAlign w:val="center"/>
          </w:tcPr>
          <w:p w14:paraId="292B74A6" w14:textId="77777777" w:rsidR="00F04B7D" w:rsidRPr="008A3F6B" w:rsidRDefault="00D846A4">
            <w:pPr>
              <w:widowControl w:val="0"/>
              <w:pBdr>
                <w:top w:val="nil"/>
                <w:left w:val="nil"/>
                <w:bottom w:val="nil"/>
                <w:right w:val="nil"/>
                <w:between w:val="nil"/>
              </w:pBdr>
              <w:tabs>
                <w:tab w:val="left" w:pos="720"/>
              </w:tabs>
              <w:ind w:left="113" w:right="113"/>
              <w:jc w:val="center"/>
              <w:rPr>
                <w:rFonts w:ascii="Calibri" w:eastAsia="Calibri" w:hAnsi="Calibri" w:cs="Calibri"/>
                <w:b/>
                <w:sz w:val="28"/>
                <w:szCs w:val="28"/>
              </w:rPr>
            </w:pPr>
            <w:r w:rsidRPr="008A3F6B">
              <w:rPr>
                <w:rFonts w:ascii="Calibri" w:eastAsia="Calibri" w:hAnsi="Calibri" w:cs="Calibri"/>
                <w:b/>
                <w:sz w:val="28"/>
                <w:szCs w:val="28"/>
              </w:rPr>
              <w:t>Director and/or Coordinator</w:t>
            </w:r>
          </w:p>
        </w:tc>
        <w:tc>
          <w:tcPr>
            <w:tcW w:w="6165" w:type="dxa"/>
            <w:shd w:val="clear" w:color="auto" w:fill="FFFFFF"/>
          </w:tcPr>
          <w:p w14:paraId="0326D89A" w14:textId="77777777" w:rsidR="00F04B7D" w:rsidRPr="008A3F6B" w:rsidRDefault="00D846A4">
            <w:pPr>
              <w:widowControl w:val="0"/>
              <w:pBdr>
                <w:top w:val="nil"/>
                <w:left w:val="nil"/>
                <w:bottom w:val="nil"/>
                <w:right w:val="nil"/>
                <w:between w:val="nil"/>
              </w:pBdr>
              <w:tabs>
                <w:tab w:val="left" w:pos="720"/>
              </w:tabs>
              <w:spacing w:before="60" w:after="60"/>
              <w:rPr>
                <w:rFonts w:ascii="Calibri" w:eastAsia="Calibri" w:hAnsi="Calibri" w:cs="Calibri"/>
                <w:sz w:val="24"/>
                <w:szCs w:val="24"/>
              </w:rPr>
            </w:pPr>
            <w:r w:rsidRPr="008A3F6B">
              <w:rPr>
                <w:rFonts w:ascii="Calibri" w:eastAsia="Calibri" w:hAnsi="Calibri" w:cs="Calibri"/>
                <w:sz w:val="24"/>
                <w:szCs w:val="24"/>
              </w:rPr>
              <w:t>Communicates that all adult education staff are considered mandated reporters and are required by law to report cases of suspected abuse and has systems in place to contact the Department of Children and Families, Disabled Persons Protection Commission, and Executive Office of Elder Affairs, if reports are warranted.</w:t>
            </w:r>
          </w:p>
        </w:tc>
        <w:tc>
          <w:tcPr>
            <w:tcW w:w="4620" w:type="dxa"/>
            <w:shd w:val="clear" w:color="auto" w:fill="FFFFFF"/>
          </w:tcPr>
          <w:p w14:paraId="04504CB0" w14:textId="77777777" w:rsidR="00F04B7D" w:rsidRPr="008A3F6B" w:rsidRDefault="00F04B7D">
            <w:pPr>
              <w:spacing w:before="200" w:after="200"/>
              <w:rPr>
                <w:rFonts w:ascii="Calibri" w:eastAsia="Calibri" w:hAnsi="Calibri" w:cs="Calibri"/>
              </w:rPr>
            </w:pPr>
          </w:p>
        </w:tc>
      </w:tr>
      <w:tr w:rsidR="008A3F6B" w:rsidRPr="008A3F6B" w14:paraId="1239AFDB" w14:textId="77777777" w:rsidTr="0017156C">
        <w:trPr>
          <w:trHeight w:val="200"/>
        </w:trPr>
        <w:tc>
          <w:tcPr>
            <w:tcW w:w="2835" w:type="dxa"/>
            <w:vMerge/>
            <w:shd w:val="clear" w:color="auto" w:fill="EBF1DD"/>
            <w:vAlign w:val="center"/>
          </w:tcPr>
          <w:p w14:paraId="23EC6250" w14:textId="77777777" w:rsidR="00F04B7D" w:rsidRPr="008A3F6B" w:rsidRDefault="00F04B7D">
            <w:pPr>
              <w:widowControl w:val="0"/>
              <w:pBdr>
                <w:top w:val="nil"/>
                <w:left w:val="nil"/>
                <w:bottom w:val="nil"/>
                <w:right w:val="nil"/>
                <w:between w:val="nil"/>
              </w:pBdr>
              <w:rPr>
                <w:rFonts w:ascii="Calibri" w:eastAsia="Calibri" w:hAnsi="Calibri" w:cs="Calibri"/>
              </w:rPr>
            </w:pPr>
          </w:p>
        </w:tc>
        <w:tc>
          <w:tcPr>
            <w:tcW w:w="6165" w:type="dxa"/>
            <w:shd w:val="clear" w:color="auto" w:fill="FFFFFF"/>
          </w:tcPr>
          <w:p w14:paraId="3E8468EC" w14:textId="77777777" w:rsidR="00F04B7D" w:rsidRPr="008A3F6B" w:rsidRDefault="00D846A4">
            <w:pPr>
              <w:spacing w:before="60" w:after="60"/>
              <w:rPr>
                <w:rFonts w:ascii="Calibri" w:eastAsia="Calibri" w:hAnsi="Calibri" w:cs="Calibri"/>
                <w:b/>
              </w:rPr>
            </w:pPr>
            <w:r w:rsidRPr="008A3F6B">
              <w:rPr>
                <w:rFonts w:ascii="Calibri" w:eastAsia="Calibri" w:hAnsi="Calibri" w:cs="Calibri"/>
                <w:sz w:val="24"/>
                <w:szCs w:val="24"/>
              </w:rPr>
              <w:t>Recognizes that staff with advising responsibilities need to build community relationships and encourages work time that is not directly student contact-focused.</w:t>
            </w:r>
          </w:p>
        </w:tc>
        <w:tc>
          <w:tcPr>
            <w:tcW w:w="4670" w:type="dxa"/>
            <w:gridSpan w:val="2"/>
            <w:shd w:val="clear" w:color="auto" w:fill="FFFFFF"/>
          </w:tcPr>
          <w:p w14:paraId="78B9FD5C" w14:textId="77777777" w:rsidR="00F04B7D" w:rsidRPr="008A3F6B" w:rsidRDefault="00F04B7D">
            <w:pPr>
              <w:spacing w:before="200" w:after="200"/>
              <w:rPr>
                <w:rFonts w:ascii="Calibri" w:eastAsia="Calibri" w:hAnsi="Calibri" w:cs="Calibri"/>
                <w:sz w:val="24"/>
                <w:szCs w:val="24"/>
              </w:rPr>
            </w:pPr>
          </w:p>
        </w:tc>
      </w:tr>
      <w:tr w:rsidR="008A3F6B" w:rsidRPr="008A3F6B" w14:paraId="6DA70313" w14:textId="77777777" w:rsidTr="0017156C">
        <w:trPr>
          <w:gridAfter w:val="1"/>
          <w:wAfter w:w="50" w:type="dxa"/>
          <w:trHeight w:val="240"/>
        </w:trPr>
        <w:tc>
          <w:tcPr>
            <w:tcW w:w="2835" w:type="dxa"/>
            <w:vMerge/>
            <w:shd w:val="clear" w:color="auto" w:fill="EBF1DD"/>
            <w:vAlign w:val="center"/>
          </w:tcPr>
          <w:p w14:paraId="4A1C1ABB"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6165" w:type="dxa"/>
            <w:shd w:val="clear" w:color="auto" w:fill="FFFFFF"/>
          </w:tcPr>
          <w:p w14:paraId="333A5E49"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Connects staff with advising responsibilities to community coalitions, social service provider networks, and WIOA partners, so that the advisor can learn about resources.</w:t>
            </w:r>
          </w:p>
        </w:tc>
        <w:tc>
          <w:tcPr>
            <w:tcW w:w="4620" w:type="dxa"/>
            <w:shd w:val="clear" w:color="auto" w:fill="FFFFFF"/>
          </w:tcPr>
          <w:p w14:paraId="613FF501" w14:textId="77777777" w:rsidR="00F04B7D" w:rsidRPr="008A3F6B" w:rsidRDefault="00F04B7D">
            <w:pPr>
              <w:spacing w:before="200" w:after="200"/>
              <w:rPr>
                <w:rFonts w:ascii="Calibri" w:eastAsia="Calibri" w:hAnsi="Calibri" w:cs="Calibri"/>
                <w:sz w:val="24"/>
                <w:szCs w:val="24"/>
              </w:rPr>
            </w:pPr>
          </w:p>
        </w:tc>
      </w:tr>
      <w:tr w:rsidR="008A3F6B" w:rsidRPr="008A3F6B" w14:paraId="0BA3A845" w14:textId="77777777" w:rsidTr="0017156C">
        <w:trPr>
          <w:gridAfter w:val="1"/>
          <w:wAfter w:w="50" w:type="dxa"/>
          <w:trHeight w:val="240"/>
        </w:trPr>
        <w:tc>
          <w:tcPr>
            <w:tcW w:w="2835" w:type="dxa"/>
            <w:vMerge/>
            <w:shd w:val="clear" w:color="auto" w:fill="EBF1DD"/>
            <w:vAlign w:val="center"/>
          </w:tcPr>
          <w:p w14:paraId="3B2DD654"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6165" w:type="dxa"/>
            <w:shd w:val="clear" w:color="auto" w:fill="FFFFFF"/>
          </w:tcPr>
          <w:p w14:paraId="68843A0B"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Encourages collection and analysis of student data on barriers to attendance, drop-out/stop-out reasons, and high-attrition times to maximize and target advising activities.</w:t>
            </w:r>
          </w:p>
        </w:tc>
        <w:tc>
          <w:tcPr>
            <w:tcW w:w="4620" w:type="dxa"/>
            <w:shd w:val="clear" w:color="auto" w:fill="FFFFFF"/>
          </w:tcPr>
          <w:p w14:paraId="33B3968F" w14:textId="77777777" w:rsidR="00F04B7D" w:rsidRPr="008A3F6B" w:rsidRDefault="00F04B7D">
            <w:pPr>
              <w:spacing w:before="200" w:after="200"/>
              <w:rPr>
                <w:rFonts w:ascii="Calibri" w:eastAsia="Calibri" w:hAnsi="Calibri" w:cs="Calibri"/>
                <w:sz w:val="24"/>
                <w:szCs w:val="24"/>
              </w:rPr>
            </w:pPr>
          </w:p>
        </w:tc>
      </w:tr>
      <w:tr w:rsidR="008A3F6B" w:rsidRPr="008A3F6B" w14:paraId="6051973A" w14:textId="77777777" w:rsidTr="0017156C">
        <w:trPr>
          <w:gridAfter w:val="1"/>
          <w:wAfter w:w="50" w:type="dxa"/>
          <w:trHeight w:val="240"/>
        </w:trPr>
        <w:tc>
          <w:tcPr>
            <w:tcW w:w="2835" w:type="dxa"/>
            <w:vMerge/>
            <w:shd w:val="clear" w:color="auto" w:fill="EBF1DD"/>
            <w:vAlign w:val="center"/>
          </w:tcPr>
          <w:p w14:paraId="207B1B03"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6165" w:type="dxa"/>
            <w:shd w:val="clear" w:color="auto" w:fill="FFFFFF"/>
          </w:tcPr>
          <w:p w14:paraId="2DC8018E"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Seeks out professional development opportunities for staff with advising responsibilities and teachers to learn how to effectively use technology tools that engage learners in developing their own digital skills inside and outside the classroom.</w:t>
            </w:r>
          </w:p>
        </w:tc>
        <w:tc>
          <w:tcPr>
            <w:tcW w:w="4620" w:type="dxa"/>
            <w:shd w:val="clear" w:color="auto" w:fill="FFFFFF"/>
          </w:tcPr>
          <w:p w14:paraId="6CF078A7" w14:textId="77777777" w:rsidR="00F04B7D" w:rsidRPr="008A3F6B" w:rsidRDefault="00F04B7D">
            <w:pPr>
              <w:spacing w:before="200" w:after="200"/>
              <w:rPr>
                <w:rFonts w:ascii="Calibri" w:eastAsia="Calibri" w:hAnsi="Calibri" w:cs="Calibri"/>
                <w:sz w:val="24"/>
                <w:szCs w:val="24"/>
              </w:rPr>
            </w:pPr>
          </w:p>
        </w:tc>
      </w:tr>
      <w:tr w:rsidR="008A3F6B" w:rsidRPr="008A3F6B" w14:paraId="2C793C53" w14:textId="77777777" w:rsidTr="0017156C">
        <w:trPr>
          <w:gridAfter w:val="1"/>
          <w:wAfter w:w="50" w:type="dxa"/>
          <w:trHeight w:val="280"/>
        </w:trPr>
        <w:tc>
          <w:tcPr>
            <w:tcW w:w="2835" w:type="dxa"/>
            <w:vMerge w:val="restart"/>
            <w:shd w:val="clear" w:color="auto" w:fill="DBEEF3"/>
          </w:tcPr>
          <w:p w14:paraId="35236FF3" w14:textId="77777777" w:rsidR="00F04B7D" w:rsidRPr="008A3F6B" w:rsidRDefault="00D846A4">
            <w:pPr>
              <w:spacing w:before="200" w:after="200"/>
              <w:ind w:left="113" w:right="113"/>
              <w:jc w:val="center"/>
              <w:rPr>
                <w:rFonts w:ascii="Calibri" w:eastAsia="Calibri" w:hAnsi="Calibri" w:cs="Calibri"/>
                <w:b/>
                <w:sz w:val="28"/>
                <w:szCs w:val="28"/>
              </w:rPr>
            </w:pPr>
            <w:r w:rsidRPr="008A3F6B">
              <w:rPr>
                <w:rFonts w:ascii="Calibri" w:eastAsia="Calibri" w:hAnsi="Calibri" w:cs="Calibri"/>
                <w:b/>
                <w:sz w:val="28"/>
                <w:szCs w:val="28"/>
              </w:rPr>
              <w:t>Staff with Advising Responsibilities</w:t>
            </w:r>
          </w:p>
        </w:tc>
        <w:tc>
          <w:tcPr>
            <w:tcW w:w="6165" w:type="dxa"/>
            <w:shd w:val="clear" w:color="auto" w:fill="FFFFFF"/>
          </w:tcPr>
          <w:p w14:paraId="2B8A9BFD"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Is familiar with local area resources and is prepared to make referrals to help students seeking assistance with food insecurity, discrimination, housing insecurity, unemployment, mental health, domestic and sexual violence, and other emergency and non-emergency services.</w:t>
            </w:r>
          </w:p>
        </w:tc>
        <w:tc>
          <w:tcPr>
            <w:tcW w:w="4620" w:type="dxa"/>
            <w:shd w:val="clear" w:color="auto" w:fill="FFFFFF"/>
          </w:tcPr>
          <w:p w14:paraId="7F8F0329" w14:textId="77777777" w:rsidR="00F04B7D" w:rsidRPr="008A3F6B" w:rsidRDefault="00F04B7D">
            <w:pPr>
              <w:spacing w:before="200" w:after="200"/>
              <w:rPr>
                <w:rFonts w:ascii="Calibri" w:eastAsia="Calibri" w:hAnsi="Calibri" w:cs="Calibri"/>
              </w:rPr>
            </w:pPr>
          </w:p>
        </w:tc>
      </w:tr>
      <w:tr w:rsidR="008A3F6B" w:rsidRPr="008A3F6B" w14:paraId="3897949F" w14:textId="77777777" w:rsidTr="0017156C">
        <w:trPr>
          <w:gridAfter w:val="1"/>
          <w:wAfter w:w="50" w:type="dxa"/>
          <w:trHeight w:val="200"/>
        </w:trPr>
        <w:tc>
          <w:tcPr>
            <w:tcW w:w="2835" w:type="dxa"/>
            <w:vMerge/>
            <w:shd w:val="clear" w:color="auto" w:fill="DBEEF3"/>
          </w:tcPr>
          <w:p w14:paraId="420BFC84" w14:textId="77777777" w:rsidR="00F04B7D" w:rsidRPr="008A3F6B" w:rsidRDefault="00F04B7D">
            <w:pPr>
              <w:widowControl w:val="0"/>
              <w:pBdr>
                <w:top w:val="nil"/>
                <w:left w:val="nil"/>
                <w:bottom w:val="nil"/>
                <w:right w:val="nil"/>
                <w:between w:val="nil"/>
              </w:pBdr>
              <w:rPr>
                <w:rFonts w:ascii="Calibri" w:eastAsia="Calibri" w:hAnsi="Calibri" w:cs="Calibri"/>
              </w:rPr>
            </w:pPr>
          </w:p>
        </w:tc>
        <w:tc>
          <w:tcPr>
            <w:tcW w:w="6165" w:type="dxa"/>
            <w:shd w:val="clear" w:color="auto" w:fill="FFFFFF"/>
          </w:tcPr>
          <w:p w14:paraId="60E32EEA"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Helps students identify strengths, anticipate barriers to success, and practice strategies to overcome barriers.</w:t>
            </w:r>
          </w:p>
        </w:tc>
        <w:tc>
          <w:tcPr>
            <w:tcW w:w="4620" w:type="dxa"/>
            <w:shd w:val="clear" w:color="auto" w:fill="FFFFFF"/>
          </w:tcPr>
          <w:p w14:paraId="068BB47B" w14:textId="77777777" w:rsidR="00F04B7D" w:rsidRPr="008A3F6B" w:rsidRDefault="00F04B7D">
            <w:pPr>
              <w:spacing w:before="200" w:after="200"/>
              <w:rPr>
                <w:rFonts w:ascii="Calibri" w:eastAsia="Calibri" w:hAnsi="Calibri" w:cs="Calibri"/>
                <w:sz w:val="24"/>
                <w:szCs w:val="24"/>
              </w:rPr>
            </w:pPr>
          </w:p>
        </w:tc>
      </w:tr>
      <w:tr w:rsidR="008A3F6B" w:rsidRPr="008A3F6B" w14:paraId="7BE5B362" w14:textId="77777777" w:rsidTr="0017156C">
        <w:trPr>
          <w:gridAfter w:val="1"/>
          <w:wAfter w:w="50" w:type="dxa"/>
          <w:trHeight w:val="240"/>
        </w:trPr>
        <w:tc>
          <w:tcPr>
            <w:tcW w:w="2835" w:type="dxa"/>
            <w:vMerge/>
            <w:shd w:val="clear" w:color="auto" w:fill="DBEEF3"/>
          </w:tcPr>
          <w:p w14:paraId="2A2D6B9C"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6165" w:type="dxa"/>
            <w:shd w:val="clear" w:color="auto" w:fill="FFFFFF"/>
          </w:tcPr>
          <w:p w14:paraId="2B85FCF7"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 xml:space="preserve">Understands legal limits in questioning students about disabilities while creating a comfortable and safe space </w:t>
            </w:r>
            <w:r w:rsidRPr="008A3F6B">
              <w:rPr>
                <w:rFonts w:ascii="Calibri" w:eastAsia="Calibri" w:hAnsi="Calibri" w:cs="Calibri"/>
                <w:sz w:val="24"/>
                <w:szCs w:val="24"/>
              </w:rPr>
              <w:lastRenderedPageBreak/>
              <w:t>where students can voluntarily disclose information that may affect their learning progress.</w:t>
            </w:r>
          </w:p>
        </w:tc>
        <w:tc>
          <w:tcPr>
            <w:tcW w:w="4620" w:type="dxa"/>
            <w:shd w:val="clear" w:color="auto" w:fill="FFFFFF"/>
          </w:tcPr>
          <w:p w14:paraId="4E465989" w14:textId="77777777" w:rsidR="00F04B7D" w:rsidRPr="008A3F6B" w:rsidRDefault="00F04B7D">
            <w:pPr>
              <w:spacing w:before="200" w:after="200"/>
              <w:rPr>
                <w:rFonts w:ascii="Calibri" w:eastAsia="Calibri" w:hAnsi="Calibri" w:cs="Calibri"/>
                <w:sz w:val="24"/>
                <w:szCs w:val="24"/>
              </w:rPr>
            </w:pPr>
          </w:p>
        </w:tc>
      </w:tr>
      <w:tr w:rsidR="008A3F6B" w:rsidRPr="008A3F6B" w14:paraId="4619653B" w14:textId="77777777" w:rsidTr="0017156C">
        <w:trPr>
          <w:gridAfter w:val="1"/>
          <w:wAfter w:w="50" w:type="dxa"/>
          <w:trHeight w:val="240"/>
        </w:trPr>
        <w:tc>
          <w:tcPr>
            <w:tcW w:w="2835" w:type="dxa"/>
            <w:vMerge/>
            <w:shd w:val="clear" w:color="auto" w:fill="DBEEF3"/>
          </w:tcPr>
          <w:p w14:paraId="361FB5E8"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6165" w:type="dxa"/>
            <w:shd w:val="clear" w:color="auto" w:fill="FFFFFF"/>
          </w:tcPr>
          <w:p w14:paraId="79925022"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Establishes relationships with key staff in relevant community services and shares this information with teachers. (These services include, but are not limited to health, mental health, housing, education and training, libraries, food pantries, shelters, childcare, legal assistance, transportation, and cultural enrichment centers.)</w:t>
            </w:r>
          </w:p>
        </w:tc>
        <w:tc>
          <w:tcPr>
            <w:tcW w:w="4620" w:type="dxa"/>
            <w:shd w:val="clear" w:color="auto" w:fill="FFFFFF"/>
          </w:tcPr>
          <w:p w14:paraId="7D1913CC" w14:textId="77777777" w:rsidR="00F04B7D" w:rsidRPr="008A3F6B" w:rsidRDefault="00F04B7D">
            <w:pPr>
              <w:spacing w:before="200" w:after="200"/>
              <w:rPr>
                <w:rFonts w:ascii="Calibri" w:eastAsia="Calibri" w:hAnsi="Calibri" w:cs="Calibri"/>
                <w:sz w:val="24"/>
                <w:szCs w:val="24"/>
              </w:rPr>
            </w:pPr>
          </w:p>
        </w:tc>
      </w:tr>
      <w:tr w:rsidR="008A3F6B" w:rsidRPr="008A3F6B" w14:paraId="7FDA6252" w14:textId="77777777" w:rsidTr="0017156C">
        <w:trPr>
          <w:gridAfter w:val="1"/>
          <w:wAfter w:w="50" w:type="dxa"/>
          <w:trHeight w:val="240"/>
        </w:trPr>
        <w:tc>
          <w:tcPr>
            <w:tcW w:w="2835" w:type="dxa"/>
            <w:vMerge/>
            <w:shd w:val="clear" w:color="auto" w:fill="DBEEF3"/>
          </w:tcPr>
          <w:p w14:paraId="574D6678" w14:textId="77777777" w:rsidR="00F04B7D" w:rsidRPr="008A3F6B" w:rsidRDefault="00F04B7D">
            <w:pPr>
              <w:widowControl w:val="0"/>
              <w:pBdr>
                <w:top w:val="nil"/>
                <w:left w:val="nil"/>
                <w:bottom w:val="nil"/>
                <w:right w:val="nil"/>
                <w:between w:val="nil"/>
              </w:pBdr>
              <w:rPr>
                <w:rFonts w:ascii="Calibri" w:eastAsia="Calibri" w:hAnsi="Calibri" w:cs="Calibri"/>
                <w:sz w:val="24"/>
                <w:szCs w:val="24"/>
              </w:rPr>
            </w:pPr>
          </w:p>
        </w:tc>
        <w:tc>
          <w:tcPr>
            <w:tcW w:w="6165" w:type="dxa"/>
            <w:shd w:val="clear" w:color="auto" w:fill="FFFFFF"/>
          </w:tcPr>
          <w:p w14:paraId="4F60E1DC" w14:textId="77777777" w:rsidR="00F04B7D" w:rsidRPr="008A3F6B" w:rsidRDefault="00D846A4">
            <w:pPr>
              <w:spacing w:before="60" w:after="60"/>
              <w:rPr>
                <w:rFonts w:ascii="Calibri" w:eastAsia="Calibri" w:hAnsi="Calibri" w:cs="Calibri"/>
              </w:rPr>
            </w:pPr>
            <w:r w:rsidRPr="008A3F6B">
              <w:rPr>
                <w:rFonts w:ascii="Calibri" w:eastAsia="Calibri" w:hAnsi="Calibri" w:cs="Calibri"/>
                <w:sz w:val="24"/>
                <w:szCs w:val="24"/>
              </w:rPr>
              <w:t>Uses technology tools to engage learners, offer support, share community resources, complete education and career planning activities, and develop digital skills inside and outside the classroom.</w:t>
            </w:r>
          </w:p>
        </w:tc>
        <w:tc>
          <w:tcPr>
            <w:tcW w:w="4620" w:type="dxa"/>
            <w:shd w:val="clear" w:color="auto" w:fill="FFFFFF"/>
          </w:tcPr>
          <w:p w14:paraId="52C58DB6" w14:textId="77777777" w:rsidR="00F04B7D" w:rsidRPr="008A3F6B" w:rsidRDefault="00F04B7D">
            <w:pPr>
              <w:spacing w:before="200" w:after="200"/>
              <w:rPr>
                <w:rFonts w:ascii="Calibri" w:eastAsia="Calibri" w:hAnsi="Calibri" w:cs="Calibri"/>
                <w:sz w:val="24"/>
                <w:szCs w:val="24"/>
              </w:rPr>
            </w:pPr>
          </w:p>
        </w:tc>
      </w:tr>
      <w:tr w:rsidR="008A3F6B" w:rsidRPr="008A3F6B" w14:paraId="150B2CF2" w14:textId="77777777" w:rsidTr="0017156C">
        <w:trPr>
          <w:gridAfter w:val="1"/>
          <w:wAfter w:w="50" w:type="dxa"/>
          <w:trHeight w:val="1134"/>
        </w:trPr>
        <w:tc>
          <w:tcPr>
            <w:tcW w:w="2835" w:type="dxa"/>
            <w:vMerge w:val="restart"/>
            <w:shd w:val="clear" w:color="auto" w:fill="FDEADA"/>
          </w:tcPr>
          <w:p w14:paraId="77FAD082" w14:textId="77777777" w:rsidR="00F04B7D" w:rsidRPr="008A3F6B" w:rsidRDefault="00F04B7D">
            <w:pPr>
              <w:spacing w:before="200" w:after="200"/>
              <w:ind w:left="113" w:right="113"/>
              <w:rPr>
                <w:rFonts w:ascii="Calibri" w:eastAsia="Calibri" w:hAnsi="Calibri" w:cs="Calibri"/>
                <w:b/>
                <w:sz w:val="28"/>
                <w:szCs w:val="28"/>
              </w:rPr>
            </w:pPr>
          </w:p>
          <w:p w14:paraId="6C1DFAA4" w14:textId="77777777" w:rsidR="00F04B7D" w:rsidRPr="008A3F6B" w:rsidRDefault="00D846A4">
            <w:pPr>
              <w:spacing w:before="200" w:after="200"/>
              <w:ind w:left="113" w:right="113"/>
              <w:rPr>
                <w:rFonts w:ascii="Calibri" w:eastAsia="Calibri" w:hAnsi="Calibri" w:cs="Calibri"/>
                <w:sz w:val="24"/>
                <w:szCs w:val="24"/>
              </w:rPr>
            </w:pPr>
            <w:r w:rsidRPr="008A3F6B">
              <w:rPr>
                <w:rFonts w:ascii="Calibri" w:eastAsia="Calibri" w:hAnsi="Calibri" w:cs="Calibri"/>
                <w:b/>
                <w:sz w:val="28"/>
                <w:szCs w:val="28"/>
              </w:rPr>
              <w:t>Program-wide Practices</w:t>
            </w:r>
          </w:p>
          <w:p w14:paraId="552569AD" w14:textId="77777777" w:rsidR="00F04B7D" w:rsidRPr="008A3F6B" w:rsidRDefault="00F04B7D">
            <w:pPr>
              <w:spacing w:before="200" w:after="200"/>
              <w:ind w:left="113" w:right="113"/>
              <w:jc w:val="center"/>
              <w:rPr>
                <w:rFonts w:ascii="Calibri" w:eastAsia="Calibri" w:hAnsi="Calibri" w:cs="Calibri"/>
                <w:b/>
                <w:sz w:val="24"/>
                <w:szCs w:val="24"/>
              </w:rPr>
            </w:pPr>
          </w:p>
        </w:tc>
        <w:tc>
          <w:tcPr>
            <w:tcW w:w="6165" w:type="dxa"/>
            <w:shd w:val="clear" w:color="auto" w:fill="FFFFFF"/>
          </w:tcPr>
          <w:p w14:paraId="1753F4AE" w14:textId="77777777" w:rsidR="00F04B7D" w:rsidRPr="008A3F6B" w:rsidRDefault="00D846A4">
            <w:pPr>
              <w:spacing w:before="60" w:after="60"/>
              <w:rPr>
                <w:rFonts w:ascii="Calibri" w:eastAsia="Calibri" w:hAnsi="Calibri" w:cs="Calibri"/>
                <w:sz w:val="24"/>
                <w:szCs w:val="24"/>
              </w:rPr>
            </w:pPr>
            <w:r w:rsidRPr="008A3F6B">
              <w:rPr>
                <w:rFonts w:ascii="Calibri" w:eastAsia="Calibri" w:hAnsi="Calibri" w:cs="Calibri"/>
                <w:sz w:val="24"/>
                <w:szCs w:val="24"/>
              </w:rPr>
              <w:t>Teachers and staff with advising responsibilities share data on barriers to attendance, drop-out/stop-out reasons, and high-attrition times with students to proactively address anticipated attendance or attrition issues.</w:t>
            </w:r>
          </w:p>
        </w:tc>
        <w:tc>
          <w:tcPr>
            <w:tcW w:w="4620" w:type="dxa"/>
            <w:shd w:val="clear" w:color="auto" w:fill="FFFFFF"/>
          </w:tcPr>
          <w:p w14:paraId="0ADE8118"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60E6E19D" w14:textId="77777777" w:rsidTr="0017156C">
        <w:trPr>
          <w:gridAfter w:val="1"/>
          <w:wAfter w:w="50" w:type="dxa"/>
          <w:trHeight w:val="1134"/>
        </w:trPr>
        <w:tc>
          <w:tcPr>
            <w:tcW w:w="2835" w:type="dxa"/>
            <w:vMerge/>
            <w:shd w:val="clear" w:color="auto" w:fill="FDEADA"/>
          </w:tcPr>
          <w:p w14:paraId="68C7EE5E" w14:textId="77777777" w:rsidR="00F04B7D" w:rsidRPr="008A3F6B" w:rsidRDefault="00F04B7D">
            <w:pPr>
              <w:ind w:right="113"/>
              <w:jc w:val="center"/>
              <w:rPr>
                <w:rFonts w:ascii="Calibri" w:eastAsia="Calibri" w:hAnsi="Calibri" w:cs="Calibri"/>
                <w:b/>
                <w:sz w:val="24"/>
                <w:szCs w:val="24"/>
              </w:rPr>
            </w:pPr>
          </w:p>
        </w:tc>
        <w:tc>
          <w:tcPr>
            <w:tcW w:w="6165" w:type="dxa"/>
            <w:shd w:val="clear" w:color="auto" w:fill="FFFFFF"/>
          </w:tcPr>
          <w:p w14:paraId="59107DAA" w14:textId="77777777" w:rsidR="00F04B7D" w:rsidRPr="008A3F6B" w:rsidRDefault="00D846A4">
            <w:pPr>
              <w:spacing w:before="60" w:after="60"/>
              <w:rPr>
                <w:rFonts w:ascii="Calibri" w:eastAsia="Calibri" w:hAnsi="Calibri" w:cs="Calibri"/>
                <w:sz w:val="24"/>
                <w:szCs w:val="24"/>
              </w:rPr>
            </w:pPr>
            <w:r w:rsidRPr="008A3F6B">
              <w:rPr>
                <w:rFonts w:ascii="Calibri" w:eastAsia="Calibri" w:hAnsi="Calibri" w:cs="Calibri"/>
                <w:sz w:val="24"/>
                <w:szCs w:val="24"/>
              </w:rPr>
              <w:t>Teachers (in collaboration with staff with advising responsibilities) integrate lessons on barriers to persistence that feature information about community resources, including planning field trips to local agencies, and inviting representatives of community agencies into the classroom.</w:t>
            </w:r>
          </w:p>
          <w:p w14:paraId="68B1C3B6" w14:textId="77777777" w:rsidR="00F04B7D" w:rsidRPr="008A3F6B" w:rsidRDefault="00F04B7D">
            <w:pPr>
              <w:spacing w:before="60" w:after="60"/>
              <w:rPr>
                <w:rFonts w:ascii="Calibri" w:eastAsia="Calibri" w:hAnsi="Calibri" w:cs="Calibri"/>
              </w:rPr>
            </w:pPr>
          </w:p>
        </w:tc>
        <w:tc>
          <w:tcPr>
            <w:tcW w:w="4620" w:type="dxa"/>
            <w:shd w:val="clear" w:color="auto" w:fill="FFFFFF"/>
          </w:tcPr>
          <w:p w14:paraId="06AE1EF9" w14:textId="77777777" w:rsidR="00F04B7D" w:rsidRPr="008A3F6B" w:rsidRDefault="00F04B7D">
            <w:pPr>
              <w:pBdr>
                <w:top w:val="nil"/>
                <w:left w:val="nil"/>
                <w:bottom w:val="nil"/>
                <w:right w:val="nil"/>
                <w:between w:val="nil"/>
              </w:pBdr>
              <w:spacing w:before="200" w:after="200"/>
              <w:ind w:left="720" w:hanging="720"/>
              <w:rPr>
                <w:rFonts w:ascii="Calibri" w:eastAsia="Calibri" w:hAnsi="Calibri" w:cs="Calibri"/>
                <w:sz w:val="24"/>
                <w:szCs w:val="24"/>
              </w:rPr>
            </w:pPr>
          </w:p>
        </w:tc>
      </w:tr>
      <w:tr w:rsidR="008A3F6B" w:rsidRPr="008A3F6B" w14:paraId="629B11DC" w14:textId="77777777" w:rsidTr="0017156C">
        <w:trPr>
          <w:gridAfter w:val="1"/>
          <w:wAfter w:w="50" w:type="dxa"/>
          <w:trHeight w:val="1727"/>
        </w:trPr>
        <w:tc>
          <w:tcPr>
            <w:tcW w:w="2835" w:type="dxa"/>
            <w:vMerge/>
            <w:shd w:val="clear" w:color="auto" w:fill="FDEADA"/>
          </w:tcPr>
          <w:p w14:paraId="146A35DB" w14:textId="77777777" w:rsidR="00F04B7D" w:rsidRPr="008A3F6B" w:rsidRDefault="00F04B7D">
            <w:pPr>
              <w:ind w:right="113"/>
              <w:jc w:val="center"/>
              <w:rPr>
                <w:rFonts w:ascii="Calibri" w:eastAsia="Calibri" w:hAnsi="Calibri" w:cs="Calibri"/>
                <w:b/>
                <w:sz w:val="24"/>
                <w:szCs w:val="24"/>
              </w:rPr>
            </w:pPr>
          </w:p>
        </w:tc>
        <w:tc>
          <w:tcPr>
            <w:tcW w:w="6165" w:type="dxa"/>
            <w:shd w:val="clear" w:color="auto" w:fill="FFFFFF"/>
          </w:tcPr>
          <w:p w14:paraId="49A0C2AA" w14:textId="77777777" w:rsidR="00F04B7D" w:rsidRPr="008A3F6B" w:rsidRDefault="00D846A4">
            <w:pPr>
              <w:spacing w:before="60" w:after="60"/>
              <w:rPr>
                <w:rFonts w:ascii="Calibri" w:eastAsia="Calibri" w:hAnsi="Calibri" w:cs="Calibri"/>
                <w:b/>
              </w:rPr>
            </w:pPr>
            <w:r w:rsidRPr="008A3F6B">
              <w:rPr>
                <w:rFonts w:ascii="Calibri" w:eastAsia="Calibri" w:hAnsi="Calibri" w:cs="Calibri"/>
                <w:sz w:val="24"/>
                <w:szCs w:val="24"/>
              </w:rPr>
              <w:t xml:space="preserve">Integrate lessons to proactively build workforce preparation and personal and workplace success skills, </w:t>
            </w:r>
            <w:proofErr w:type="gramStart"/>
            <w:r w:rsidRPr="008A3F6B">
              <w:rPr>
                <w:rFonts w:ascii="Calibri" w:eastAsia="Calibri" w:hAnsi="Calibri" w:cs="Calibri"/>
                <w:sz w:val="24"/>
                <w:szCs w:val="24"/>
              </w:rPr>
              <w:t>including:</w:t>
            </w:r>
            <w:proofErr w:type="gramEnd"/>
            <w:r w:rsidRPr="008A3F6B">
              <w:rPr>
                <w:rFonts w:ascii="Calibri" w:eastAsia="Calibri" w:hAnsi="Calibri" w:cs="Calibri"/>
                <w:sz w:val="24"/>
                <w:szCs w:val="24"/>
              </w:rPr>
              <w:t xml:space="preserve"> self-efficacy, growth mindset, communication, collaboration, adaptability, flexibility, critical thinking, respecting differences, and leadership. </w:t>
            </w:r>
          </w:p>
        </w:tc>
        <w:tc>
          <w:tcPr>
            <w:tcW w:w="4620" w:type="dxa"/>
            <w:shd w:val="clear" w:color="auto" w:fill="FFFFFF"/>
          </w:tcPr>
          <w:p w14:paraId="3758BEC3" w14:textId="77777777" w:rsidR="00F04B7D" w:rsidRPr="008A3F6B" w:rsidRDefault="00F04B7D">
            <w:pPr>
              <w:spacing w:before="200" w:after="200"/>
              <w:rPr>
                <w:rFonts w:ascii="Calibri" w:eastAsia="Calibri" w:hAnsi="Calibri" w:cs="Calibri"/>
                <w:sz w:val="24"/>
                <w:szCs w:val="24"/>
              </w:rPr>
            </w:pPr>
          </w:p>
        </w:tc>
      </w:tr>
    </w:tbl>
    <w:p w14:paraId="720908A6" w14:textId="77777777" w:rsidR="00F04B7D" w:rsidRPr="008A3F6B" w:rsidRDefault="00F04B7D">
      <w:pPr>
        <w:rPr>
          <w:rFonts w:ascii="Calibri" w:eastAsia="Calibri" w:hAnsi="Calibri" w:cs="Calibri"/>
        </w:rPr>
      </w:pPr>
    </w:p>
    <w:sectPr w:rsidR="00F04B7D" w:rsidRPr="008A3F6B">
      <w:headerReference w:type="default" r:id="rId12"/>
      <w:footerReference w:type="default" r:id="rId13"/>
      <w:headerReference w:type="first" r:id="rId14"/>
      <w:footerReference w:type="first" r:id="rId15"/>
      <w:pgSz w:w="15840" w:h="12240" w:orient="landscape"/>
      <w:pgMar w:top="720" w:right="1440" w:bottom="72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07206" w14:textId="77777777" w:rsidR="008A0C31" w:rsidRDefault="008A0C31">
      <w:r>
        <w:separator/>
      </w:r>
    </w:p>
  </w:endnote>
  <w:endnote w:type="continuationSeparator" w:id="0">
    <w:p w14:paraId="709C1190" w14:textId="77777777" w:rsidR="008A0C31" w:rsidRDefault="008A0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0755E" w14:textId="77777777" w:rsidR="00F04B7D" w:rsidRDefault="00D846A4">
    <w:pPr>
      <w:jc w:val="right"/>
    </w:pPr>
    <w:r>
      <w:fldChar w:fldCharType="begin"/>
    </w:r>
    <w:r>
      <w:instrText>PAGE</w:instrText>
    </w:r>
    <w:r>
      <w:fldChar w:fldCharType="separate"/>
    </w:r>
    <w:r w:rsidR="00A36C6C">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2E541" w14:textId="77777777" w:rsidR="008A3F6B" w:rsidRDefault="008A3F6B" w:rsidP="008A3F6B">
    <w:pPr>
      <w:rPr>
        <w:rFonts w:ascii="Calibri" w:eastAsia="Calibri" w:hAnsi="Calibri" w:cs="Calibri"/>
        <w:i/>
      </w:rPr>
    </w:pPr>
    <w:r>
      <w:rPr>
        <w:rFonts w:ascii="Calibri" w:eastAsia="Calibri" w:hAnsi="Calibri" w:cs="Calibri"/>
        <w:i/>
      </w:rPr>
      <w:t xml:space="preserve">*Please note: As of October 2021, the IPQs are still in draft form and the finalized version has not yet been released from ACLS. Therefore, this document is subject to slight modifications pending release of the finalized IPQs. </w:t>
    </w:r>
  </w:p>
  <w:p w14:paraId="59A1A1CA" w14:textId="77777777" w:rsidR="008A3F6B" w:rsidRDefault="008A3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39C9B" w14:textId="77777777" w:rsidR="008A0C31" w:rsidRDefault="008A0C31">
      <w:r>
        <w:separator/>
      </w:r>
    </w:p>
  </w:footnote>
  <w:footnote w:type="continuationSeparator" w:id="0">
    <w:p w14:paraId="2667BFDB" w14:textId="77777777" w:rsidR="008A0C31" w:rsidRDefault="008A0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C4A7E" w14:textId="77777777" w:rsidR="00F04B7D" w:rsidRDefault="00D846A4">
    <w:pPr>
      <w:pBdr>
        <w:top w:val="nil"/>
        <w:left w:val="nil"/>
        <w:bottom w:val="nil"/>
        <w:right w:val="nil"/>
        <w:between w:val="nil"/>
      </w:pBdr>
      <w:tabs>
        <w:tab w:val="center" w:pos="4680"/>
        <w:tab w:val="right" w:pos="9360"/>
      </w:tabs>
      <w:jc w:val="center"/>
      <w:rPr>
        <w:color w:val="000000"/>
      </w:rPr>
    </w:pPr>
    <w:r>
      <w:rPr>
        <w:rFonts w:ascii="Calibri" w:eastAsia="Calibri" w:hAnsi="Calibri" w:cs="Calibri"/>
        <w:b/>
        <w:color w:val="000000"/>
      </w:rPr>
      <w:t xml:space="preserve">   </w:t>
    </w:r>
    <w:r>
      <w:rPr>
        <w:rFonts w:ascii="Calibri" w:eastAsia="Calibri" w:hAnsi="Calibri" w:cs="Calibri"/>
        <w:b/>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458D8" w14:textId="77777777" w:rsidR="00F04B7D" w:rsidRDefault="00D846A4">
    <w:pPr>
      <w:jc w:val="center"/>
      <w:rPr>
        <w:rFonts w:ascii="Calibri" w:eastAsia="Calibri" w:hAnsi="Calibri" w:cs="Calibri"/>
        <w:b/>
        <w:sz w:val="36"/>
        <w:szCs w:val="36"/>
      </w:rPr>
    </w:pPr>
    <w:r>
      <w:rPr>
        <w:rFonts w:ascii="Calibri" w:eastAsia="Calibri" w:hAnsi="Calibri" w:cs="Calibri"/>
        <w:b/>
        <w:sz w:val="36"/>
        <w:szCs w:val="36"/>
      </w:rPr>
      <w:t>Effective Practices Aligned with Indicator of Program Quality (IPQ) #7</w:t>
    </w:r>
  </w:p>
  <w:p w14:paraId="70A146C9" w14:textId="77777777" w:rsidR="00F04B7D" w:rsidRDefault="00F04B7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361B"/>
    <w:multiLevelType w:val="multilevel"/>
    <w:tmpl w:val="F3CA1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5608CB"/>
    <w:multiLevelType w:val="multilevel"/>
    <w:tmpl w:val="074A0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7D"/>
    <w:rsid w:val="0017156C"/>
    <w:rsid w:val="002E41D8"/>
    <w:rsid w:val="003E210A"/>
    <w:rsid w:val="00412830"/>
    <w:rsid w:val="00413E40"/>
    <w:rsid w:val="00517C34"/>
    <w:rsid w:val="005E30B1"/>
    <w:rsid w:val="00882E3F"/>
    <w:rsid w:val="008A0C31"/>
    <w:rsid w:val="008A3F6B"/>
    <w:rsid w:val="00A36C6C"/>
    <w:rsid w:val="00C04BC1"/>
    <w:rsid w:val="00D846A4"/>
    <w:rsid w:val="00F04B7D"/>
    <w:rsid w:val="00F36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8700"/>
  <w15:docId w15:val="{2B4C7404-030E-43DC-B48D-A0A95E77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39"/>
  </w:style>
  <w:style w:type="paragraph" w:styleId="Heading1">
    <w:name w:val="heading 1"/>
    <w:basedOn w:val="Normal"/>
    <w:next w:val="Normal"/>
    <w:rsid w:val="00E31382"/>
    <w:pPr>
      <w:keepNext/>
      <w:keepLines/>
      <w:spacing w:before="480" w:after="120"/>
      <w:outlineLvl w:val="0"/>
    </w:pPr>
    <w:rPr>
      <w:b/>
      <w:sz w:val="48"/>
      <w:szCs w:val="48"/>
    </w:rPr>
  </w:style>
  <w:style w:type="paragraph" w:styleId="Heading2">
    <w:name w:val="heading 2"/>
    <w:basedOn w:val="Normal"/>
    <w:next w:val="Normal"/>
    <w:rsid w:val="00E31382"/>
    <w:pPr>
      <w:keepNext/>
      <w:keepLines/>
      <w:spacing w:before="360" w:after="80"/>
      <w:outlineLvl w:val="1"/>
    </w:pPr>
    <w:rPr>
      <w:b/>
      <w:sz w:val="36"/>
      <w:szCs w:val="36"/>
    </w:rPr>
  </w:style>
  <w:style w:type="paragraph" w:styleId="Heading3">
    <w:name w:val="heading 3"/>
    <w:basedOn w:val="Normal"/>
    <w:next w:val="Normal"/>
    <w:rsid w:val="00E31382"/>
    <w:pPr>
      <w:keepNext/>
      <w:keepLines/>
      <w:spacing w:before="280" w:after="80"/>
      <w:outlineLvl w:val="2"/>
    </w:pPr>
    <w:rPr>
      <w:b/>
      <w:sz w:val="28"/>
      <w:szCs w:val="28"/>
    </w:rPr>
  </w:style>
  <w:style w:type="paragraph" w:styleId="Heading4">
    <w:name w:val="heading 4"/>
    <w:basedOn w:val="Normal"/>
    <w:next w:val="Normal"/>
    <w:rsid w:val="00E31382"/>
    <w:pPr>
      <w:keepNext/>
      <w:keepLines/>
      <w:spacing w:before="240" w:after="40"/>
      <w:outlineLvl w:val="3"/>
    </w:pPr>
    <w:rPr>
      <w:b/>
    </w:rPr>
  </w:style>
  <w:style w:type="paragraph" w:styleId="Heading5">
    <w:name w:val="heading 5"/>
    <w:basedOn w:val="Normal"/>
    <w:next w:val="Normal"/>
    <w:rsid w:val="00E31382"/>
    <w:pPr>
      <w:keepNext/>
      <w:keepLines/>
      <w:spacing w:before="220" w:after="40"/>
      <w:outlineLvl w:val="4"/>
    </w:pPr>
    <w:rPr>
      <w:b/>
      <w:sz w:val="22"/>
      <w:szCs w:val="22"/>
    </w:rPr>
  </w:style>
  <w:style w:type="paragraph" w:styleId="Heading6">
    <w:name w:val="heading 6"/>
    <w:basedOn w:val="Normal"/>
    <w:next w:val="Normal"/>
    <w:rsid w:val="00E313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31382"/>
    <w:pPr>
      <w:keepNext/>
      <w:keepLines/>
      <w:spacing w:before="480" w:after="120"/>
    </w:pPr>
    <w:rPr>
      <w:b/>
      <w:sz w:val="72"/>
      <w:szCs w:val="72"/>
    </w:rPr>
  </w:style>
  <w:style w:type="table" w:styleId="TableGrid">
    <w:name w:val="Table Grid"/>
    <w:basedOn w:val="TableNormal"/>
    <w:rsid w:val="008579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939"/>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857939"/>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sid w:val="00E31382"/>
    <w:rPr>
      <w:sz w:val="20"/>
      <w:szCs w:val="20"/>
    </w:rPr>
    <w:tblPr>
      <w:tblStyleRowBandSize w:val="1"/>
      <w:tblStyleColBandSize w:val="1"/>
    </w:tblPr>
  </w:style>
  <w:style w:type="paragraph" w:styleId="Header">
    <w:name w:val="header"/>
    <w:basedOn w:val="Normal"/>
    <w:link w:val="HeaderChar"/>
    <w:uiPriority w:val="99"/>
    <w:unhideWhenUsed/>
    <w:rsid w:val="00BE0A23"/>
    <w:pPr>
      <w:tabs>
        <w:tab w:val="center" w:pos="4680"/>
        <w:tab w:val="right" w:pos="9360"/>
      </w:tabs>
    </w:pPr>
  </w:style>
  <w:style w:type="character" w:customStyle="1" w:styleId="HeaderChar">
    <w:name w:val="Header Char"/>
    <w:basedOn w:val="DefaultParagraphFont"/>
    <w:link w:val="Header"/>
    <w:uiPriority w:val="99"/>
    <w:rsid w:val="00BE0A23"/>
  </w:style>
  <w:style w:type="paragraph" w:styleId="Footer">
    <w:name w:val="footer"/>
    <w:basedOn w:val="Normal"/>
    <w:link w:val="FooterChar"/>
    <w:uiPriority w:val="99"/>
    <w:unhideWhenUsed/>
    <w:rsid w:val="00BE0A23"/>
    <w:pPr>
      <w:tabs>
        <w:tab w:val="center" w:pos="4680"/>
        <w:tab w:val="right" w:pos="9360"/>
      </w:tabs>
    </w:pPr>
  </w:style>
  <w:style w:type="character" w:customStyle="1" w:styleId="FooterChar">
    <w:name w:val="Footer Char"/>
    <w:basedOn w:val="DefaultParagraphFont"/>
    <w:link w:val="Footer"/>
    <w:uiPriority w:val="99"/>
    <w:rsid w:val="00BE0A23"/>
  </w:style>
  <w:style w:type="paragraph" w:styleId="BalloonText">
    <w:name w:val="Balloon Text"/>
    <w:basedOn w:val="Normal"/>
    <w:link w:val="BalloonTextChar"/>
    <w:uiPriority w:val="99"/>
    <w:semiHidden/>
    <w:unhideWhenUsed/>
    <w:rsid w:val="008C01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69"/>
    <w:rPr>
      <w:rFonts w:ascii="Segoe UI" w:hAnsi="Segoe UI" w:cs="Segoe UI"/>
      <w:sz w:val="18"/>
      <w:szCs w:val="18"/>
    </w:rPr>
  </w:style>
  <w:style w:type="paragraph" w:customStyle="1" w:styleId="Bullet1">
    <w:name w:val="Bullet 1"/>
    <w:basedOn w:val="Normal"/>
    <w:link w:val="Bullet1Char"/>
    <w:uiPriority w:val="99"/>
    <w:rsid w:val="008C0169"/>
    <w:pPr>
      <w:widowControl w:val="0"/>
      <w:spacing w:before="120"/>
      <w:jc w:val="both"/>
    </w:pPr>
  </w:style>
  <w:style w:type="character" w:customStyle="1" w:styleId="Bullet1Char">
    <w:name w:val="Bullet 1 Char"/>
    <w:link w:val="Bullet1"/>
    <w:uiPriority w:val="99"/>
    <w:rsid w:val="008C0169"/>
  </w:style>
  <w:style w:type="character" w:styleId="CommentReference">
    <w:name w:val="annotation reference"/>
    <w:basedOn w:val="DefaultParagraphFont"/>
    <w:uiPriority w:val="99"/>
    <w:semiHidden/>
    <w:unhideWhenUsed/>
    <w:rsid w:val="00872E9D"/>
    <w:rPr>
      <w:sz w:val="16"/>
      <w:szCs w:val="16"/>
    </w:rPr>
  </w:style>
  <w:style w:type="paragraph" w:styleId="CommentText">
    <w:name w:val="annotation text"/>
    <w:basedOn w:val="Normal"/>
    <w:link w:val="CommentTextChar"/>
    <w:uiPriority w:val="99"/>
    <w:semiHidden/>
    <w:unhideWhenUsed/>
    <w:rsid w:val="00872E9D"/>
    <w:rPr>
      <w:sz w:val="20"/>
      <w:szCs w:val="20"/>
    </w:rPr>
  </w:style>
  <w:style w:type="character" w:customStyle="1" w:styleId="CommentTextChar">
    <w:name w:val="Comment Text Char"/>
    <w:basedOn w:val="DefaultParagraphFont"/>
    <w:link w:val="CommentText"/>
    <w:uiPriority w:val="99"/>
    <w:semiHidden/>
    <w:rsid w:val="00872E9D"/>
    <w:rPr>
      <w:sz w:val="20"/>
      <w:szCs w:val="20"/>
    </w:rPr>
  </w:style>
  <w:style w:type="paragraph" w:styleId="CommentSubject">
    <w:name w:val="annotation subject"/>
    <w:basedOn w:val="CommentText"/>
    <w:next w:val="CommentText"/>
    <w:link w:val="CommentSubjectChar"/>
    <w:uiPriority w:val="99"/>
    <w:semiHidden/>
    <w:unhideWhenUsed/>
    <w:rsid w:val="00872E9D"/>
    <w:rPr>
      <w:b/>
      <w:bCs/>
    </w:rPr>
  </w:style>
  <w:style w:type="character" w:customStyle="1" w:styleId="CommentSubjectChar">
    <w:name w:val="Comment Subject Char"/>
    <w:basedOn w:val="CommentTextChar"/>
    <w:link w:val="CommentSubject"/>
    <w:uiPriority w:val="99"/>
    <w:semiHidden/>
    <w:rsid w:val="00872E9D"/>
    <w:rPr>
      <w:b/>
      <w:bCs/>
      <w:sz w:val="20"/>
      <w:szCs w:val="20"/>
    </w:rPr>
  </w:style>
  <w:style w:type="paragraph" w:styleId="Revision">
    <w:name w:val="Revision"/>
    <w:hidden/>
    <w:uiPriority w:val="99"/>
    <w:semiHidden/>
    <w:rsid w:val="0068701C"/>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DESE-231-75792</_dlc_DocId>
    <_dlc_DocIdUrl xmlns="733efe1c-5bbe-4968-87dc-d400e65c879f">
      <Url>https://sharepoint.doemass.org/ese/webteam/cps/_layouts/DocIdRedir.aspx?ID=DESE-231-75792</Url>
      <Description>DESE-231-75792</Description>
    </_dlc_DocIdUrl>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no6Irko9RtOCV5X4kaDa/oo+Ybg==">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</go:docsCustomData>
</go:gDocsCustomXmlDataStorag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8065DE5-F7BB-4E6D-802A-54991404C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A043C-E005-48D6-8B76-75EFDD103C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B132429-AF80-43BE-B579-E222F21D8679}">
  <ds:schemaRefs>
    <ds:schemaRef ds:uri="http://schemas.microsoft.com/sharepoint/events"/>
  </ds:schemaRefs>
</ds:datastoreItem>
</file>

<file path=customXml/itemProps5.xml><?xml version="1.0" encoding="utf-8"?>
<ds:datastoreItem xmlns:ds="http://schemas.openxmlformats.org/officeDocument/2006/customXml" ds:itemID="{B8D9EE32-2DF7-4118-81F8-50D1AE12C3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Effective Practices Aligned with IPQ7 January 7, 2022</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Practices Aligned with IPQ7 January 7, 2022</dc:title>
  <dc:creator>DESE</dc:creator>
  <cp:lastModifiedBy>Zou, Dong (EOE)</cp:lastModifiedBy>
  <cp:revision>6</cp:revision>
  <dcterms:created xsi:type="dcterms:W3CDTF">2022-01-07T14:58:00Z</dcterms:created>
  <dcterms:modified xsi:type="dcterms:W3CDTF">2022-01-07T17:16:00Z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2022</vt:lpwstr>
  </property>
</Properties>
</file>