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F507B" w14:textId="6829AEB1" w:rsidR="00A8072E" w:rsidRDefault="00A8072E" w:rsidP="00C74A67">
      <w:pPr>
        <w:jc w:val="center"/>
        <w:rPr>
          <w:b/>
          <w:bCs/>
        </w:rPr>
      </w:pPr>
      <w:bookmarkStart w:id="0" w:name="_Hlk71797150"/>
      <w:r w:rsidRPr="009D24EB">
        <w:rPr>
          <w:b/>
          <w:bCs/>
        </w:rPr>
        <w:t>Adult and Community Learning Services (ACLS)</w:t>
      </w:r>
    </w:p>
    <w:p w14:paraId="221FBD41" w14:textId="77777777" w:rsidR="00C74A67" w:rsidRDefault="00C74A67" w:rsidP="00C74A67">
      <w:pPr>
        <w:jc w:val="center"/>
        <w:rPr>
          <w:b/>
          <w:bCs/>
        </w:rPr>
      </w:pPr>
    </w:p>
    <w:p w14:paraId="0B5F48DE" w14:textId="33797129" w:rsidR="00A8072E" w:rsidRPr="00536583" w:rsidRDefault="00A8072E" w:rsidP="00A8072E">
      <w:r w:rsidRPr="00536583">
        <w:rPr>
          <w:b/>
          <w:bCs/>
        </w:rPr>
        <w:t>To</w:t>
      </w:r>
      <w:r w:rsidRPr="00536583">
        <w:t xml:space="preserve">: </w:t>
      </w:r>
      <w:r w:rsidRPr="00536583">
        <w:tab/>
        <w:t>Program Directors, Adult Basic Education Teachers, UMass Center for Educational Assessment Staff, SABES Directors, SABES Staff</w:t>
      </w:r>
    </w:p>
    <w:p w14:paraId="617B1961" w14:textId="77777777" w:rsidR="00A8072E" w:rsidRPr="00536583" w:rsidRDefault="00A8072E" w:rsidP="00A8072E">
      <w:r w:rsidRPr="00536583">
        <w:rPr>
          <w:b/>
          <w:bCs/>
        </w:rPr>
        <w:t>From</w:t>
      </w:r>
      <w:r w:rsidRPr="00536583">
        <w:t xml:space="preserve">: </w:t>
      </w:r>
      <w:r w:rsidRPr="00536583">
        <w:tab/>
        <w:t>Wyvonne Stevens-Carter, Adult Education State Director</w:t>
      </w:r>
    </w:p>
    <w:p w14:paraId="4A8988F0" w14:textId="0031896D" w:rsidR="00A8072E" w:rsidRPr="00536583" w:rsidRDefault="00A8072E" w:rsidP="00A8072E">
      <w:pPr>
        <w:rPr>
          <w:b/>
          <w:bCs/>
        </w:rPr>
      </w:pPr>
      <w:r w:rsidRPr="00536583">
        <w:rPr>
          <w:b/>
          <w:bCs/>
        </w:rPr>
        <w:t xml:space="preserve">Re: </w:t>
      </w:r>
      <w:r w:rsidRPr="00536583">
        <w:rPr>
          <w:b/>
          <w:bCs/>
        </w:rPr>
        <w:tab/>
      </w:r>
      <w:r w:rsidRPr="00536583">
        <w:t>Revised Assessment Policy 4</w:t>
      </w:r>
      <w:r w:rsidR="00943578">
        <w:t xml:space="preserve"> </w:t>
      </w:r>
      <w:r w:rsidRPr="00536583">
        <w:t>-</w:t>
      </w:r>
      <w:r w:rsidR="00943578">
        <w:t xml:space="preserve"> </w:t>
      </w:r>
      <w:r w:rsidRPr="00536583">
        <w:t>Moving Assessments Forward</w:t>
      </w:r>
    </w:p>
    <w:p w14:paraId="19572BD8" w14:textId="33774687" w:rsidR="00A8072E" w:rsidRPr="00536583" w:rsidRDefault="00A8072E" w:rsidP="00A8072E">
      <w:r w:rsidRPr="00536583">
        <w:rPr>
          <w:b/>
          <w:bCs/>
        </w:rPr>
        <w:t>Date</w:t>
      </w:r>
      <w:r w:rsidRPr="00536583">
        <w:t xml:space="preserve">: </w:t>
      </w:r>
      <w:r w:rsidRPr="00536583">
        <w:tab/>
        <w:t>May 1</w:t>
      </w:r>
      <w:r w:rsidR="00943578">
        <w:t>4</w:t>
      </w:r>
      <w:r w:rsidRPr="00536583">
        <w:t>, 2021</w:t>
      </w:r>
    </w:p>
    <w:p w14:paraId="23849E20" w14:textId="77777777" w:rsidR="00A8072E" w:rsidRDefault="00A8072E" w:rsidP="00DD09CA">
      <w:pPr>
        <w:pStyle w:val="Heading2"/>
        <w:rPr>
          <w:color w:val="BC5908"/>
        </w:rPr>
      </w:pPr>
    </w:p>
    <w:p w14:paraId="3023A0D6" w14:textId="79BBFB25" w:rsidR="00A8072E" w:rsidRPr="00536583" w:rsidRDefault="00004B17" w:rsidP="00A8072E">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D</w:t>
      </w:r>
      <w:r w:rsidR="00E04B60">
        <w:rPr>
          <w:rFonts w:asciiTheme="minorHAnsi" w:hAnsiTheme="minorHAnsi" w:cstheme="minorHAnsi"/>
          <w:sz w:val="22"/>
          <w:szCs w:val="22"/>
        </w:rPr>
        <w:t>u</w:t>
      </w:r>
      <w:r>
        <w:rPr>
          <w:rFonts w:asciiTheme="minorHAnsi" w:hAnsiTheme="minorHAnsi" w:cstheme="minorHAnsi"/>
          <w:sz w:val="22"/>
          <w:szCs w:val="22"/>
        </w:rPr>
        <w:t xml:space="preserve">e to COVID-19, ACLS will extend the relaxed requirements </w:t>
      </w:r>
      <w:r w:rsidR="00A8072E" w:rsidRPr="00536583">
        <w:rPr>
          <w:rFonts w:asciiTheme="minorHAnsi" w:hAnsiTheme="minorHAnsi" w:cstheme="minorHAnsi"/>
          <w:sz w:val="22"/>
          <w:szCs w:val="22"/>
        </w:rPr>
        <w:t>related to </w:t>
      </w:r>
      <w:r w:rsidR="00A8072E" w:rsidRPr="00536583">
        <w:rPr>
          <w:rFonts w:asciiTheme="minorHAnsi" w:hAnsiTheme="minorHAnsi" w:cstheme="minorHAnsi"/>
          <w:i/>
          <w:iCs/>
          <w:sz w:val="22"/>
          <w:szCs w:val="22"/>
        </w:rPr>
        <w:t>Assessment Policy 4</w:t>
      </w:r>
      <w:r w:rsidR="00943578">
        <w:rPr>
          <w:rFonts w:asciiTheme="minorHAnsi" w:hAnsiTheme="minorHAnsi" w:cstheme="minorHAnsi"/>
          <w:i/>
          <w:iCs/>
          <w:sz w:val="22"/>
          <w:szCs w:val="22"/>
        </w:rPr>
        <w:t xml:space="preserve"> </w:t>
      </w:r>
      <w:r w:rsidR="00A8072E" w:rsidRPr="00536583">
        <w:rPr>
          <w:rFonts w:asciiTheme="minorHAnsi" w:hAnsiTheme="minorHAnsi" w:cstheme="minorHAnsi"/>
          <w:i/>
          <w:iCs/>
          <w:sz w:val="22"/>
          <w:szCs w:val="22"/>
        </w:rPr>
        <w:t>-</w:t>
      </w:r>
      <w:r w:rsidR="00943578">
        <w:rPr>
          <w:rFonts w:asciiTheme="minorHAnsi" w:hAnsiTheme="minorHAnsi" w:cstheme="minorHAnsi"/>
          <w:i/>
          <w:iCs/>
          <w:sz w:val="22"/>
          <w:szCs w:val="22"/>
        </w:rPr>
        <w:t xml:space="preserve"> </w:t>
      </w:r>
      <w:r w:rsidR="00A8072E" w:rsidRPr="00536583">
        <w:rPr>
          <w:rFonts w:asciiTheme="minorHAnsi" w:hAnsiTheme="minorHAnsi" w:cstheme="minorHAnsi"/>
          <w:i/>
          <w:iCs/>
          <w:sz w:val="22"/>
          <w:szCs w:val="22"/>
        </w:rPr>
        <w:t>Moving Assessments Forward</w:t>
      </w:r>
      <w:r>
        <w:rPr>
          <w:rFonts w:asciiTheme="minorHAnsi" w:hAnsiTheme="minorHAnsi" w:cstheme="minorHAnsi"/>
          <w:sz w:val="22"/>
          <w:szCs w:val="22"/>
        </w:rPr>
        <w:t xml:space="preserve"> into FY 2022.</w:t>
      </w:r>
    </w:p>
    <w:p w14:paraId="61DE03F0" w14:textId="213F4C53" w:rsidR="00A8072E" w:rsidRPr="00536583" w:rsidRDefault="00A8072E" w:rsidP="00A8072E">
      <w:pPr>
        <w:pStyle w:val="NormalWeb"/>
        <w:shd w:val="clear" w:color="auto" w:fill="FFFFFF"/>
        <w:spacing w:before="0" w:beforeAutospacing="0" w:after="150" w:afterAutospacing="0"/>
        <w:rPr>
          <w:rFonts w:asciiTheme="minorHAnsi" w:hAnsiTheme="minorHAnsi" w:cstheme="minorHAnsi"/>
          <w:sz w:val="22"/>
          <w:szCs w:val="22"/>
        </w:rPr>
      </w:pPr>
      <w:r w:rsidRPr="00536583">
        <w:rPr>
          <w:rFonts w:asciiTheme="minorHAnsi" w:hAnsiTheme="minorHAnsi" w:cstheme="minorHAnsi"/>
          <w:sz w:val="22"/>
          <w:szCs w:val="22"/>
        </w:rPr>
        <w:t xml:space="preserve">Currently, this policy </w:t>
      </w:r>
      <w:r w:rsidR="00004B17">
        <w:rPr>
          <w:rFonts w:asciiTheme="minorHAnsi" w:hAnsiTheme="minorHAnsi" w:cstheme="minorHAnsi"/>
          <w:sz w:val="22"/>
          <w:szCs w:val="22"/>
        </w:rPr>
        <w:t>is</w:t>
      </w:r>
      <w:r w:rsidRPr="00536583">
        <w:rPr>
          <w:rFonts w:asciiTheme="minorHAnsi" w:hAnsiTheme="minorHAnsi" w:cstheme="minorHAnsi"/>
          <w:sz w:val="22"/>
          <w:szCs w:val="22"/>
        </w:rPr>
        <w:t xml:space="preserve"> (</w:t>
      </w:r>
      <w:r w:rsidR="00004B17">
        <w:rPr>
          <w:rFonts w:asciiTheme="minorHAnsi" w:hAnsiTheme="minorHAnsi" w:cstheme="minorHAnsi"/>
          <w:sz w:val="22"/>
          <w:szCs w:val="22"/>
        </w:rPr>
        <w:t>s</w:t>
      </w:r>
      <w:r w:rsidRPr="00536583">
        <w:rPr>
          <w:rFonts w:asciiTheme="minorHAnsi" w:hAnsiTheme="minorHAnsi" w:cstheme="minorHAnsi"/>
          <w:sz w:val="22"/>
          <w:szCs w:val="22"/>
        </w:rPr>
        <w:t>ee</w:t>
      </w:r>
      <w:r w:rsidR="00943578">
        <w:rPr>
          <w:rFonts w:asciiTheme="minorHAnsi" w:hAnsiTheme="minorHAnsi" w:cstheme="minorHAnsi"/>
          <w:sz w:val="22"/>
          <w:szCs w:val="22"/>
        </w:rPr>
        <w:t xml:space="preserve"> page 9 of the</w:t>
      </w:r>
      <w:r w:rsidRPr="00536583">
        <w:rPr>
          <w:rFonts w:asciiTheme="minorHAnsi" w:hAnsiTheme="minorHAnsi" w:cstheme="minorHAnsi"/>
          <w:sz w:val="22"/>
          <w:szCs w:val="22"/>
        </w:rPr>
        <w:t> </w:t>
      </w:r>
      <w:hyperlink r:id="rId9" w:history="1">
        <w:r w:rsidRPr="00536583">
          <w:rPr>
            <w:rStyle w:val="Hyperlink"/>
            <w:rFonts w:asciiTheme="minorHAnsi" w:hAnsiTheme="minorHAnsi" w:cstheme="minorHAnsi"/>
            <w:color w:val="auto"/>
            <w:sz w:val="22"/>
            <w:szCs w:val="22"/>
          </w:rPr>
          <w:t>ACLS Assessment Policies Manual</w:t>
        </w:r>
      </w:hyperlink>
      <w:r w:rsidRPr="00536583">
        <w:rPr>
          <w:rFonts w:asciiTheme="minorHAnsi" w:hAnsiTheme="minorHAnsi" w:cstheme="minorHAnsi"/>
          <w:sz w:val="22"/>
          <w:szCs w:val="22"/>
        </w:rPr>
        <w:t>):</w:t>
      </w:r>
    </w:p>
    <w:p w14:paraId="22909AFF" w14:textId="07B688EB" w:rsidR="00A8072E" w:rsidRPr="00536583" w:rsidRDefault="00A8072E" w:rsidP="00A8072E">
      <w:pPr>
        <w:pStyle w:val="ListParagraph"/>
        <w:numPr>
          <w:ilvl w:val="0"/>
          <w:numId w:val="4"/>
        </w:numPr>
        <w:jc w:val="both"/>
        <w:rPr>
          <w:rFonts w:asciiTheme="minorHAnsi" w:hAnsiTheme="minorHAnsi" w:cstheme="minorHAnsi"/>
          <w:sz w:val="22"/>
          <w:szCs w:val="22"/>
          <w:shd w:val="clear" w:color="auto" w:fill="FFFFFF"/>
        </w:rPr>
      </w:pPr>
      <w:r w:rsidRPr="00536583">
        <w:rPr>
          <w:rFonts w:asciiTheme="minorHAnsi" w:hAnsiTheme="minorHAnsi" w:cstheme="minorHAnsi"/>
          <w:sz w:val="22"/>
          <w:szCs w:val="22"/>
          <w:shd w:val="clear" w:color="auto" w:fill="FFFFFF"/>
        </w:rPr>
        <w:t>Any assessment administered in FY 2020 may be moved forward in FY 2021 and used as a pre-test until December 31, 2020. If a student has two previous assessments, the most recent assessment may be moved forward. For example, a student’s test administered in September 2019 (FY 2020) can be moved forward and used as a pre-test into the next fiscal year from July 1, 2020 (FY 2021) until December 31, 2020. If the student has an assessment administered in October 2019 and another assessment administered in January 2020, </w:t>
      </w:r>
      <w:r w:rsidRPr="00536583">
        <w:rPr>
          <w:rFonts w:asciiTheme="minorHAnsi" w:hAnsiTheme="minorHAnsi" w:cstheme="minorHAnsi"/>
          <w:b/>
          <w:bCs/>
          <w:sz w:val="22"/>
          <w:szCs w:val="22"/>
          <w:shd w:val="clear" w:color="auto" w:fill="FFFFFF"/>
        </w:rPr>
        <w:t>only</w:t>
      </w:r>
      <w:r w:rsidRPr="00536583">
        <w:rPr>
          <w:rFonts w:asciiTheme="minorHAnsi" w:hAnsiTheme="minorHAnsi" w:cstheme="minorHAnsi"/>
          <w:sz w:val="22"/>
          <w:szCs w:val="22"/>
          <w:shd w:val="clear" w:color="auto" w:fill="FFFFFF"/>
        </w:rPr>
        <w:t> the January 2020 assessment can be moved forward.</w:t>
      </w:r>
    </w:p>
    <w:p w14:paraId="5EC57AA0" w14:textId="77777777" w:rsidR="00A8072E" w:rsidRPr="00536583" w:rsidRDefault="00A8072E" w:rsidP="00A8072E">
      <w:pPr>
        <w:pStyle w:val="NormalWeb"/>
        <w:shd w:val="clear" w:color="auto" w:fill="FFFFFF"/>
        <w:spacing w:before="0" w:beforeAutospacing="0" w:after="150" w:afterAutospacing="0"/>
        <w:rPr>
          <w:rFonts w:asciiTheme="minorHAnsi" w:hAnsiTheme="minorHAnsi" w:cstheme="minorHAnsi"/>
          <w:color w:val="333333"/>
          <w:sz w:val="22"/>
          <w:szCs w:val="22"/>
        </w:rPr>
      </w:pPr>
    </w:p>
    <w:p w14:paraId="38D57504" w14:textId="7ABBAAAE" w:rsidR="00A8072E" w:rsidRPr="00536583" w:rsidRDefault="00A8072E" w:rsidP="00A8072E">
      <w:pPr>
        <w:pStyle w:val="NormalWeb"/>
        <w:shd w:val="clear" w:color="auto" w:fill="FFFFFF"/>
        <w:spacing w:before="0" w:beforeAutospacing="0" w:after="150" w:afterAutospacing="0"/>
        <w:rPr>
          <w:rFonts w:asciiTheme="minorHAnsi" w:hAnsiTheme="minorHAnsi" w:cstheme="minorHAnsi"/>
          <w:sz w:val="22"/>
          <w:szCs w:val="22"/>
        </w:rPr>
      </w:pPr>
      <w:r w:rsidRPr="00536583">
        <w:rPr>
          <w:rFonts w:asciiTheme="minorHAnsi" w:hAnsiTheme="minorHAnsi" w:cstheme="minorHAnsi"/>
          <w:sz w:val="22"/>
          <w:szCs w:val="22"/>
        </w:rPr>
        <w:t>Effective July 1, 2021, the policy</w:t>
      </w:r>
      <w:r w:rsidR="00004B17">
        <w:rPr>
          <w:rFonts w:asciiTheme="minorHAnsi" w:hAnsiTheme="minorHAnsi" w:cstheme="minorHAnsi"/>
          <w:sz w:val="22"/>
          <w:szCs w:val="22"/>
        </w:rPr>
        <w:t xml:space="preserve"> will be</w:t>
      </w:r>
      <w:r w:rsidRPr="00536583">
        <w:rPr>
          <w:rFonts w:asciiTheme="minorHAnsi" w:hAnsiTheme="minorHAnsi" w:cstheme="minorHAnsi"/>
          <w:sz w:val="22"/>
          <w:szCs w:val="22"/>
        </w:rPr>
        <w:t>:</w:t>
      </w:r>
    </w:p>
    <w:p w14:paraId="3C277781" w14:textId="28456FCC" w:rsidR="00A8072E" w:rsidRPr="00536583" w:rsidRDefault="00A8072E" w:rsidP="00A8072E">
      <w:pPr>
        <w:pStyle w:val="ListParagraph"/>
        <w:numPr>
          <w:ilvl w:val="0"/>
          <w:numId w:val="4"/>
        </w:numPr>
        <w:jc w:val="both"/>
        <w:rPr>
          <w:rFonts w:asciiTheme="minorHAnsi" w:hAnsiTheme="minorHAnsi" w:cstheme="minorHAnsi"/>
          <w:sz w:val="22"/>
          <w:szCs w:val="22"/>
          <w:shd w:val="clear" w:color="auto" w:fill="FFFFFF"/>
        </w:rPr>
      </w:pPr>
      <w:r w:rsidRPr="00536583">
        <w:rPr>
          <w:rFonts w:asciiTheme="minorHAnsi" w:hAnsiTheme="minorHAnsi" w:cstheme="minorHAnsi"/>
          <w:sz w:val="22"/>
          <w:szCs w:val="22"/>
          <w:shd w:val="clear" w:color="auto" w:fill="FFFFFF"/>
        </w:rPr>
        <w:t>Any assessment administered after April 1</w:t>
      </w:r>
      <w:r w:rsidRPr="00536583">
        <w:rPr>
          <w:rFonts w:asciiTheme="minorHAnsi" w:hAnsiTheme="minorHAnsi" w:cstheme="minorHAnsi"/>
          <w:sz w:val="22"/>
          <w:szCs w:val="22"/>
          <w:shd w:val="clear" w:color="auto" w:fill="FFFFFF"/>
          <w:vertAlign w:val="superscript"/>
        </w:rPr>
        <w:t>st</w:t>
      </w:r>
      <w:r w:rsidRPr="00536583">
        <w:rPr>
          <w:rFonts w:asciiTheme="minorHAnsi" w:hAnsiTheme="minorHAnsi" w:cstheme="minorHAnsi"/>
          <w:sz w:val="22"/>
          <w:szCs w:val="22"/>
          <w:shd w:val="clear" w:color="auto" w:fill="FFFFFF"/>
        </w:rPr>
        <w:t xml:space="preserve"> in FY 2021 may be moved forward in FY 2022 and used as a pre-test until December 31, 2020. If a student has two previous assessments, the most recent assessment may be moved forward. For example, a student’s test administered in April 2021 (FY 2021) can be moved forward and used as a pre-test into the next fiscal year from July 1, 2021 (FY 2022) until December 31, 2021. If the student has an assessment administered in April 2021 and another assessment administered in June 2021, </w:t>
      </w:r>
      <w:r w:rsidRPr="00536583">
        <w:rPr>
          <w:rFonts w:asciiTheme="minorHAnsi" w:hAnsiTheme="minorHAnsi" w:cstheme="minorHAnsi"/>
          <w:b/>
          <w:bCs/>
          <w:sz w:val="22"/>
          <w:szCs w:val="22"/>
          <w:shd w:val="clear" w:color="auto" w:fill="FFFFFF"/>
        </w:rPr>
        <w:t>only</w:t>
      </w:r>
      <w:r w:rsidRPr="00536583">
        <w:rPr>
          <w:rFonts w:asciiTheme="minorHAnsi" w:hAnsiTheme="minorHAnsi" w:cstheme="minorHAnsi"/>
          <w:sz w:val="22"/>
          <w:szCs w:val="22"/>
          <w:shd w:val="clear" w:color="auto" w:fill="FFFFFF"/>
        </w:rPr>
        <w:t> the June 2021 assessment can be moved forward.</w:t>
      </w:r>
      <w:r w:rsidR="00536583" w:rsidRPr="00536583">
        <w:rPr>
          <w:rFonts w:asciiTheme="minorHAnsi" w:hAnsiTheme="minorHAnsi" w:cstheme="minorHAnsi"/>
          <w:sz w:val="22"/>
          <w:szCs w:val="22"/>
          <w:shd w:val="clear" w:color="auto" w:fill="FFFFFF"/>
        </w:rPr>
        <w:t xml:space="preserve"> </w:t>
      </w:r>
      <w:r w:rsidRPr="00536583">
        <w:rPr>
          <w:rFonts w:asciiTheme="minorHAnsi" w:hAnsiTheme="minorHAnsi" w:cstheme="minorHAnsi"/>
          <w:sz w:val="22"/>
          <w:szCs w:val="22"/>
        </w:rPr>
        <w:t xml:space="preserve">If the student leaves before June 30, 2021 and returns after December 31, 2021, the student must be pre-tested again. </w:t>
      </w:r>
    </w:p>
    <w:p w14:paraId="03B276D4" w14:textId="77777777" w:rsidR="00536583" w:rsidRDefault="00536583" w:rsidP="00A8072E">
      <w:pPr>
        <w:pStyle w:val="NormalWeb"/>
        <w:shd w:val="clear" w:color="auto" w:fill="FFFFFF"/>
        <w:spacing w:before="0" w:beforeAutospacing="0" w:after="150" w:afterAutospacing="0"/>
        <w:rPr>
          <w:rFonts w:asciiTheme="minorHAnsi" w:hAnsiTheme="minorHAnsi" w:cstheme="minorHAnsi"/>
          <w:color w:val="333333"/>
          <w:sz w:val="22"/>
          <w:szCs w:val="22"/>
        </w:rPr>
      </w:pPr>
    </w:p>
    <w:p w14:paraId="47F1DED2" w14:textId="369AC432" w:rsidR="00536583" w:rsidRPr="00536583" w:rsidRDefault="00536583" w:rsidP="00A8072E">
      <w:pPr>
        <w:pStyle w:val="NormalWeb"/>
        <w:shd w:val="clear" w:color="auto" w:fill="FFFFFF"/>
        <w:spacing w:before="0" w:beforeAutospacing="0" w:after="150" w:afterAutospacing="0"/>
        <w:rPr>
          <w:rFonts w:asciiTheme="minorHAnsi" w:hAnsiTheme="minorHAnsi" w:cstheme="minorHAnsi"/>
          <w:sz w:val="22"/>
          <w:szCs w:val="22"/>
        </w:rPr>
      </w:pPr>
      <w:r w:rsidRPr="00536583">
        <w:rPr>
          <w:rFonts w:asciiTheme="minorHAnsi" w:hAnsiTheme="minorHAnsi" w:cstheme="minorHAnsi"/>
          <w:sz w:val="22"/>
          <w:szCs w:val="22"/>
        </w:rPr>
        <w:t xml:space="preserve">The table below summarizes the changes </w:t>
      </w:r>
      <w:r>
        <w:rPr>
          <w:rFonts w:asciiTheme="minorHAnsi" w:hAnsiTheme="minorHAnsi" w:cstheme="minorHAnsi"/>
          <w:sz w:val="22"/>
          <w:szCs w:val="22"/>
        </w:rPr>
        <w:t xml:space="preserve">to assessment policy 4 </w:t>
      </w:r>
      <w:r w:rsidR="00004B17">
        <w:rPr>
          <w:rFonts w:asciiTheme="minorHAnsi" w:hAnsiTheme="minorHAnsi" w:cstheme="minorHAnsi"/>
          <w:sz w:val="22"/>
          <w:szCs w:val="22"/>
        </w:rPr>
        <w:t>as a result of the COVID-19 pandemic.</w:t>
      </w:r>
    </w:p>
    <w:p w14:paraId="67D8DEA0" w14:textId="478929E1" w:rsidR="00004B17" w:rsidRDefault="00A8072E" w:rsidP="00536583">
      <w:pPr>
        <w:pStyle w:val="NormalWeb"/>
        <w:shd w:val="clear" w:color="auto" w:fill="FFFFFF"/>
        <w:spacing w:before="0" w:beforeAutospacing="0" w:after="150" w:afterAutospacing="0"/>
        <w:rPr>
          <w:rFonts w:asciiTheme="minorHAnsi" w:hAnsiTheme="minorHAnsi" w:cstheme="minorHAnsi"/>
          <w:sz w:val="22"/>
          <w:szCs w:val="22"/>
        </w:rPr>
      </w:pPr>
      <w:r w:rsidRPr="00536583">
        <w:rPr>
          <w:rFonts w:asciiTheme="minorHAnsi" w:hAnsiTheme="minorHAnsi" w:cstheme="minorHAnsi"/>
          <w:sz w:val="22"/>
          <w:szCs w:val="22"/>
        </w:rPr>
        <w:t xml:space="preserve">For questions related to </w:t>
      </w:r>
      <w:r w:rsidR="00536583">
        <w:rPr>
          <w:rFonts w:asciiTheme="minorHAnsi" w:hAnsiTheme="minorHAnsi" w:cstheme="minorHAnsi"/>
          <w:sz w:val="22"/>
          <w:szCs w:val="22"/>
        </w:rPr>
        <w:t xml:space="preserve">NRS </w:t>
      </w:r>
      <w:r w:rsidRPr="00536583">
        <w:rPr>
          <w:rFonts w:asciiTheme="minorHAnsi" w:hAnsiTheme="minorHAnsi" w:cstheme="minorHAnsi"/>
          <w:sz w:val="22"/>
          <w:szCs w:val="22"/>
        </w:rPr>
        <w:t>assessment policies, please contact </w:t>
      </w:r>
      <w:hyperlink r:id="rId10" w:history="1">
        <w:r w:rsidRPr="00536583">
          <w:rPr>
            <w:rStyle w:val="Hyperlink"/>
            <w:rFonts w:asciiTheme="minorHAnsi" w:hAnsiTheme="minorHAnsi" w:cstheme="minorHAnsi"/>
            <w:color w:val="auto"/>
            <w:sz w:val="22"/>
            <w:szCs w:val="22"/>
          </w:rPr>
          <w:t>Dana Varzan-Parker</w:t>
        </w:r>
      </w:hyperlink>
      <w:r w:rsidRPr="00536583">
        <w:rPr>
          <w:rFonts w:asciiTheme="minorHAnsi" w:hAnsiTheme="minorHAnsi" w:cstheme="minorHAnsi"/>
          <w:sz w:val="22"/>
          <w:szCs w:val="22"/>
        </w:rPr>
        <w:t> Curriculum, Instruction, and Assessment Specialis</w:t>
      </w:r>
      <w:r w:rsidR="00536583">
        <w:rPr>
          <w:rFonts w:asciiTheme="minorHAnsi" w:hAnsiTheme="minorHAnsi" w:cstheme="minorHAnsi"/>
          <w:sz w:val="22"/>
          <w:szCs w:val="22"/>
        </w:rPr>
        <w:t>t.</w:t>
      </w:r>
    </w:p>
    <w:p w14:paraId="7418705B" w14:textId="77777777" w:rsidR="00004B17" w:rsidRDefault="00004B17" w:rsidP="00536583">
      <w:pPr>
        <w:pStyle w:val="NormalWeb"/>
        <w:shd w:val="clear" w:color="auto" w:fill="FFFFFF"/>
        <w:spacing w:before="0" w:beforeAutospacing="0" w:after="150" w:afterAutospacing="0"/>
        <w:rPr>
          <w:rFonts w:asciiTheme="minorHAnsi" w:hAnsiTheme="minorHAnsi" w:cstheme="minorHAnsi"/>
          <w:sz w:val="22"/>
          <w:szCs w:val="22"/>
        </w:rPr>
      </w:pPr>
    </w:p>
    <w:tbl>
      <w:tblPr>
        <w:tblStyle w:val="TableGrid"/>
        <w:tblW w:w="14490" w:type="dxa"/>
        <w:tblInd w:w="-725" w:type="dxa"/>
        <w:tblLook w:val="04A0" w:firstRow="1" w:lastRow="0" w:firstColumn="1" w:lastColumn="0" w:noHBand="0" w:noVBand="1"/>
      </w:tblPr>
      <w:tblGrid>
        <w:gridCol w:w="4680"/>
        <w:gridCol w:w="4860"/>
        <w:gridCol w:w="4950"/>
      </w:tblGrid>
      <w:tr w:rsidR="00004B17" w14:paraId="21BE7532" w14:textId="77777777" w:rsidTr="00004B17">
        <w:trPr>
          <w:tblHeader/>
        </w:trPr>
        <w:tc>
          <w:tcPr>
            <w:tcW w:w="4680" w:type="dxa"/>
          </w:tcPr>
          <w:p w14:paraId="726E05EA" w14:textId="77777777" w:rsidR="00004B17" w:rsidRDefault="00004B17" w:rsidP="00CC2E8B">
            <w:pPr>
              <w:jc w:val="center"/>
              <w:rPr>
                <w:b/>
                <w:bCs/>
              </w:rPr>
            </w:pPr>
            <w:r>
              <w:rPr>
                <w:b/>
                <w:bCs/>
              </w:rPr>
              <w:lastRenderedPageBreak/>
              <w:t>Moving Assessments Forward</w:t>
            </w:r>
          </w:p>
          <w:p w14:paraId="01E5E36A" w14:textId="77777777" w:rsidR="00004B17" w:rsidRPr="00345208" w:rsidRDefault="00004B17" w:rsidP="00CC2E8B">
            <w:pPr>
              <w:jc w:val="center"/>
              <w:rPr>
                <w:b/>
                <w:bCs/>
              </w:rPr>
            </w:pPr>
            <w:r w:rsidRPr="002E5D80">
              <w:rPr>
                <w:b/>
                <w:bCs/>
              </w:rPr>
              <w:t>Pre COVID-19 Policy</w:t>
            </w:r>
          </w:p>
        </w:tc>
        <w:tc>
          <w:tcPr>
            <w:tcW w:w="4860" w:type="dxa"/>
          </w:tcPr>
          <w:p w14:paraId="6B52014B" w14:textId="77777777" w:rsidR="00004B17" w:rsidRDefault="00004B17" w:rsidP="00CC2E8B">
            <w:pPr>
              <w:jc w:val="center"/>
              <w:rPr>
                <w:b/>
                <w:bCs/>
              </w:rPr>
            </w:pPr>
            <w:r>
              <w:rPr>
                <w:b/>
                <w:bCs/>
              </w:rPr>
              <w:t>Moving Assessments Forward</w:t>
            </w:r>
          </w:p>
          <w:p w14:paraId="44088565" w14:textId="77777777" w:rsidR="00004B17" w:rsidRPr="00345208" w:rsidRDefault="00004B17" w:rsidP="00CC2E8B">
            <w:pPr>
              <w:jc w:val="center"/>
              <w:rPr>
                <w:b/>
                <w:bCs/>
              </w:rPr>
            </w:pPr>
            <w:r w:rsidRPr="002E5D80">
              <w:rPr>
                <w:b/>
                <w:bCs/>
              </w:rPr>
              <w:t>COVID-19 Policy</w:t>
            </w:r>
            <w:r>
              <w:rPr>
                <w:b/>
                <w:bCs/>
              </w:rPr>
              <w:t>, May 2020</w:t>
            </w:r>
          </w:p>
        </w:tc>
        <w:tc>
          <w:tcPr>
            <w:tcW w:w="4950" w:type="dxa"/>
          </w:tcPr>
          <w:p w14:paraId="15F25ADF" w14:textId="77777777" w:rsidR="00004B17" w:rsidRDefault="00004B17" w:rsidP="00CC2E8B">
            <w:pPr>
              <w:jc w:val="center"/>
              <w:rPr>
                <w:b/>
                <w:bCs/>
              </w:rPr>
            </w:pPr>
            <w:r>
              <w:rPr>
                <w:b/>
                <w:bCs/>
              </w:rPr>
              <w:t>Moving Assessments Forward</w:t>
            </w:r>
          </w:p>
          <w:p w14:paraId="0D94D510" w14:textId="77777777" w:rsidR="00004B17" w:rsidRPr="00345208" w:rsidRDefault="00004B17" w:rsidP="00CC2E8B">
            <w:pPr>
              <w:jc w:val="center"/>
              <w:rPr>
                <w:b/>
                <w:bCs/>
              </w:rPr>
            </w:pPr>
            <w:r w:rsidRPr="002E5D80">
              <w:rPr>
                <w:b/>
                <w:bCs/>
              </w:rPr>
              <w:t>Updated COVID-19 Policy</w:t>
            </w:r>
            <w:r>
              <w:rPr>
                <w:b/>
                <w:bCs/>
              </w:rPr>
              <w:t>, May 2021</w:t>
            </w:r>
          </w:p>
        </w:tc>
      </w:tr>
      <w:tr w:rsidR="00004B17" w14:paraId="731DB42C" w14:textId="77777777" w:rsidTr="00C74A67">
        <w:trPr>
          <w:trHeight w:val="3590"/>
        </w:trPr>
        <w:tc>
          <w:tcPr>
            <w:tcW w:w="4680" w:type="dxa"/>
            <w:vMerge w:val="restart"/>
          </w:tcPr>
          <w:p w14:paraId="22A2C35A" w14:textId="77777777" w:rsidR="00004B17" w:rsidRDefault="00004B17" w:rsidP="00CC2E8B">
            <w:pPr>
              <w:jc w:val="both"/>
            </w:pPr>
            <w:r>
              <w:rPr>
                <w:color w:val="000000"/>
              </w:rPr>
              <w:t>Any assessment administered after April 30 may be moved forward into the next fiscal year and used as a pre-test until December 31 of that calendar year. Any test administered within a fiscal year (July 1-June 30) may be used as a pre-test for students who leave and return during that year.</w:t>
            </w:r>
          </w:p>
          <w:p w14:paraId="592D1269" w14:textId="77777777" w:rsidR="00004B17" w:rsidRDefault="00004B17" w:rsidP="00CC2E8B">
            <w:pPr>
              <w:jc w:val="both"/>
            </w:pPr>
          </w:p>
          <w:p w14:paraId="31282142" w14:textId="77777777" w:rsidR="00004B17" w:rsidRDefault="00004B17" w:rsidP="00CC2E8B">
            <w:r>
              <w:rPr>
                <w:color w:val="000000"/>
              </w:rPr>
              <w:t>For example, a student’s test administered on May 2, 2018 (</w:t>
            </w:r>
            <w:r>
              <w:rPr>
                <w:i/>
                <w:iCs/>
                <w:color w:val="000000"/>
              </w:rPr>
              <w:t>FY 2018)</w:t>
            </w:r>
            <w:r>
              <w:rPr>
                <w:color w:val="000000"/>
              </w:rPr>
              <w:t xml:space="preserve"> can be moved forward and used as a pre-test into the next fiscal year starting July 1, 2018 (</w:t>
            </w:r>
            <w:r>
              <w:rPr>
                <w:i/>
                <w:iCs/>
                <w:color w:val="000000"/>
              </w:rPr>
              <w:t>FY 2019)</w:t>
            </w:r>
            <w:r>
              <w:rPr>
                <w:color w:val="000000"/>
              </w:rPr>
              <w:t xml:space="preserve"> until December 31, 2018. If the student leaves before June 30 and returns after December 31, the student must be pre-tested again. </w:t>
            </w:r>
          </w:p>
          <w:p w14:paraId="6B90B605" w14:textId="77777777" w:rsidR="00004B17" w:rsidRDefault="00004B17" w:rsidP="00CC2E8B"/>
          <w:p w14:paraId="09B80F1F" w14:textId="71C13B15" w:rsidR="00004B17" w:rsidRDefault="00004B17" w:rsidP="00CC2E8B">
            <w:r>
              <w:rPr>
                <w:color w:val="000000"/>
              </w:rPr>
              <w:t xml:space="preserve">However, for a student who was pre-tested any time during the fiscal year (July 1-June 30), leaves the program and returns within the same fiscal year, administering another pre-test upon the student’s return is not necessary as the student’s previous pre-test may be used again. LACES </w:t>
            </w:r>
            <w:r>
              <w:rPr>
                <w:i/>
                <w:iCs/>
                <w:color w:val="000000"/>
              </w:rPr>
              <w:t>Student Alerts</w:t>
            </w:r>
            <w:r>
              <w:rPr>
                <w:color w:val="000000"/>
              </w:rPr>
              <w:t xml:space="preserve"> will identify students who require a new test.</w:t>
            </w:r>
          </w:p>
        </w:tc>
        <w:tc>
          <w:tcPr>
            <w:tcW w:w="4860" w:type="dxa"/>
          </w:tcPr>
          <w:p w14:paraId="7528DC72" w14:textId="77777777" w:rsidR="00004B17" w:rsidRDefault="00004B17" w:rsidP="00CC2E8B">
            <w:pPr>
              <w:rPr>
                <w:color w:val="000000"/>
                <w:shd w:val="clear" w:color="auto" w:fill="FFFFFF"/>
              </w:rPr>
            </w:pPr>
            <w:r>
              <w:rPr>
                <w:color w:val="000000"/>
                <w:shd w:val="clear" w:color="auto" w:fill="FFFFFF"/>
              </w:rPr>
              <w:t>Any assessment administered in FY 2020:</w:t>
            </w:r>
          </w:p>
          <w:p w14:paraId="3B9DE67E" w14:textId="77777777" w:rsidR="00004B17" w:rsidRDefault="00004B17" w:rsidP="00CC2E8B"/>
        </w:tc>
        <w:tc>
          <w:tcPr>
            <w:tcW w:w="4950" w:type="dxa"/>
          </w:tcPr>
          <w:p w14:paraId="33A04AF6" w14:textId="77777777" w:rsidR="00004B17" w:rsidRDefault="00004B17" w:rsidP="00CC2E8B">
            <w:pPr>
              <w:rPr>
                <w:color w:val="000000"/>
                <w:shd w:val="clear" w:color="auto" w:fill="FFFFFF"/>
              </w:rPr>
            </w:pPr>
            <w:r>
              <w:rPr>
                <w:color w:val="000000"/>
                <w:shd w:val="clear" w:color="auto" w:fill="FFFFFF"/>
              </w:rPr>
              <w:t>Any assessment administered after April 1 in FY 2021:</w:t>
            </w:r>
          </w:p>
          <w:p w14:paraId="27689B62" w14:textId="77777777" w:rsidR="00004B17" w:rsidRDefault="00004B17" w:rsidP="00CC2E8B"/>
        </w:tc>
      </w:tr>
      <w:tr w:rsidR="00004B17" w14:paraId="4E06330C" w14:textId="77777777" w:rsidTr="00004B17">
        <w:tc>
          <w:tcPr>
            <w:tcW w:w="4680" w:type="dxa"/>
            <w:vMerge/>
          </w:tcPr>
          <w:p w14:paraId="5595F751" w14:textId="77777777" w:rsidR="00004B17" w:rsidRDefault="00004B17" w:rsidP="00CC2E8B"/>
        </w:tc>
        <w:tc>
          <w:tcPr>
            <w:tcW w:w="4860" w:type="dxa"/>
          </w:tcPr>
          <w:p w14:paraId="753DB7AA" w14:textId="77777777" w:rsidR="00004B17" w:rsidRDefault="00004B17" w:rsidP="00CC2E8B">
            <w:pPr>
              <w:rPr>
                <w:color w:val="000000"/>
                <w:shd w:val="clear" w:color="auto" w:fill="FFFFFF"/>
              </w:rPr>
            </w:pPr>
            <w:r>
              <w:rPr>
                <w:color w:val="000000"/>
                <w:shd w:val="clear" w:color="auto" w:fill="FFFFFF"/>
              </w:rPr>
              <w:t>May be moved forward in FY 2021 and used as a pre-test until December 31, 2020.</w:t>
            </w:r>
          </w:p>
          <w:p w14:paraId="5BBBDB69" w14:textId="77777777" w:rsidR="00004B17" w:rsidRDefault="00004B17" w:rsidP="00CC2E8B"/>
        </w:tc>
        <w:tc>
          <w:tcPr>
            <w:tcW w:w="4950" w:type="dxa"/>
          </w:tcPr>
          <w:p w14:paraId="50DD1F4A" w14:textId="77777777" w:rsidR="00004B17" w:rsidRDefault="00004B17" w:rsidP="00CC2E8B">
            <w:r>
              <w:rPr>
                <w:color w:val="000000"/>
                <w:shd w:val="clear" w:color="auto" w:fill="FFFFFF"/>
              </w:rPr>
              <w:t>May be moved forward in FY 2022 and used as a pre-test until December 31, 2020.</w:t>
            </w:r>
          </w:p>
        </w:tc>
      </w:tr>
      <w:tr w:rsidR="00004B17" w14:paraId="3C3B6495" w14:textId="77777777" w:rsidTr="00004B17">
        <w:trPr>
          <w:trHeight w:val="864"/>
        </w:trPr>
        <w:tc>
          <w:tcPr>
            <w:tcW w:w="4680" w:type="dxa"/>
            <w:vMerge/>
          </w:tcPr>
          <w:p w14:paraId="5EE1330B" w14:textId="77777777" w:rsidR="00004B17" w:rsidRDefault="00004B17" w:rsidP="00CC2E8B"/>
        </w:tc>
        <w:tc>
          <w:tcPr>
            <w:tcW w:w="4860" w:type="dxa"/>
          </w:tcPr>
          <w:p w14:paraId="0070051E" w14:textId="49D173D4" w:rsidR="00004B17" w:rsidRDefault="00004B17" w:rsidP="00CC2E8B">
            <w:r>
              <w:rPr>
                <w:color w:val="000000"/>
                <w:shd w:val="clear" w:color="auto" w:fill="FFFFFF"/>
              </w:rPr>
              <w:t xml:space="preserve">If a student has </w:t>
            </w:r>
            <w:r w:rsidRPr="003C06F6">
              <w:rPr>
                <w:b/>
                <w:bCs/>
                <w:color w:val="000000"/>
                <w:shd w:val="clear" w:color="auto" w:fill="FFFFFF"/>
              </w:rPr>
              <w:t>two previous assessments</w:t>
            </w:r>
            <w:r>
              <w:rPr>
                <w:color w:val="000000"/>
                <w:shd w:val="clear" w:color="auto" w:fill="FFFFFF"/>
              </w:rPr>
              <w:t>, the most recent assessment can be moved forward.</w:t>
            </w:r>
          </w:p>
        </w:tc>
        <w:tc>
          <w:tcPr>
            <w:tcW w:w="4950" w:type="dxa"/>
          </w:tcPr>
          <w:p w14:paraId="6480F463" w14:textId="6D70BE4C" w:rsidR="00004B17" w:rsidRDefault="00004B17" w:rsidP="00CC2E8B">
            <w:pPr>
              <w:jc w:val="both"/>
              <w:rPr>
                <w:shd w:val="clear" w:color="auto" w:fill="FFFFFF"/>
              </w:rPr>
            </w:pPr>
            <w:r>
              <w:rPr>
                <w:color w:val="000000"/>
                <w:shd w:val="clear" w:color="auto" w:fill="FFFFFF"/>
              </w:rPr>
              <w:t xml:space="preserve">If a student has </w:t>
            </w:r>
            <w:r w:rsidRPr="003C06F6">
              <w:rPr>
                <w:b/>
                <w:bCs/>
                <w:color w:val="000000"/>
                <w:shd w:val="clear" w:color="auto" w:fill="FFFFFF"/>
              </w:rPr>
              <w:t>two previous assessments</w:t>
            </w:r>
            <w:r>
              <w:rPr>
                <w:color w:val="000000"/>
                <w:shd w:val="clear" w:color="auto" w:fill="FFFFFF"/>
              </w:rPr>
              <w:t xml:space="preserve">, the most recent assessment can be moved forward. </w:t>
            </w:r>
          </w:p>
          <w:p w14:paraId="422C656A" w14:textId="77777777" w:rsidR="00004B17" w:rsidRDefault="00004B17" w:rsidP="00CC2E8B"/>
        </w:tc>
      </w:tr>
      <w:tr w:rsidR="00004B17" w14:paraId="1643B1C7" w14:textId="77777777" w:rsidTr="00004B17">
        <w:trPr>
          <w:trHeight w:val="2880"/>
        </w:trPr>
        <w:tc>
          <w:tcPr>
            <w:tcW w:w="4680" w:type="dxa"/>
            <w:vMerge/>
          </w:tcPr>
          <w:p w14:paraId="4D8E7022" w14:textId="77777777" w:rsidR="00004B17" w:rsidRDefault="00004B17" w:rsidP="00CC2E8B"/>
        </w:tc>
        <w:tc>
          <w:tcPr>
            <w:tcW w:w="4860" w:type="dxa"/>
          </w:tcPr>
          <w:p w14:paraId="6C70B78B" w14:textId="77777777" w:rsidR="00004B17" w:rsidRPr="00004B17" w:rsidRDefault="00004B17" w:rsidP="00CC2E8B">
            <w:pPr>
              <w:jc w:val="both"/>
              <w:rPr>
                <w:color w:val="000000"/>
                <w:shd w:val="clear" w:color="auto" w:fill="FFFFFF"/>
              </w:rPr>
            </w:pPr>
            <w:r w:rsidRPr="00004B17">
              <w:rPr>
                <w:color w:val="000000"/>
                <w:shd w:val="clear" w:color="auto" w:fill="FFFFFF"/>
              </w:rPr>
              <w:t>Example:</w:t>
            </w:r>
          </w:p>
          <w:p w14:paraId="3B3E3E9E" w14:textId="77777777" w:rsidR="00004B17" w:rsidRPr="00004B17" w:rsidRDefault="00004B17" w:rsidP="00CC2E8B">
            <w:pPr>
              <w:jc w:val="both"/>
              <w:rPr>
                <w:color w:val="000000"/>
                <w:shd w:val="clear" w:color="auto" w:fill="FFFFFF"/>
              </w:rPr>
            </w:pPr>
          </w:p>
          <w:p w14:paraId="5DF4F542" w14:textId="77777777" w:rsidR="00004B17" w:rsidRPr="00004B17" w:rsidRDefault="00004B17" w:rsidP="00CC2E8B">
            <w:pPr>
              <w:jc w:val="both"/>
              <w:rPr>
                <w:shd w:val="clear" w:color="auto" w:fill="FFFFFF"/>
              </w:rPr>
            </w:pPr>
            <w:r w:rsidRPr="00004B17">
              <w:rPr>
                <w:color w:val="000000"/>
                <w:shd w:val="clear" w:color="auto" w:fill="FFFFFF"/>
              </w:rPr>
              <w:t>A student’s test administered in September 2019 (FY 2020) can be moved forward and used as a pre-test into the next fiscal year from July 1, 2020 (FY 2021) until December 31, 2020. If the student has an assessment administered in October 2019 and another assessment administered in January 2020, </w:t>
            </w:r>
            <w:r w:rsidRPr="00004B17">
              <w:rPr>
                <w:b/>
                <w:bCs/>
                <w:color w:val="000000"/>
                <w:shd w:val="clear" w:color="auto" w:fill="FFFFFF"/>
              </w:rPr>
              <w:t>only</w:t>
            </w:r>
            <w:r w:rsidRPr="00004B17">
              <w:rPr>
                <w:color w:val="000000"/>
                <w:shd w:val="clear" w:color="auto" w:fill="FFFFFF"/>
              </w:rPr>
              <w:t> the January 2020 assessment can be moved forward.</w:t>
            </w:r>
          </w:p>
          <w:p w14:paraId="1971D838" w14:textId="77777777" w:rsidR="00004B17" w:rsidRPr="00004B17" w:rsidRDefault="00004B17" w:rsidP="00CC2E8B">
            <w:pPr>
              <w:rPr>
                <w:color w:val="000000"/>
                <w:shd w:val="clear" w:color="auto" w:fill="FFFFFF"/>
              </w:rPr>
            </w:pPr>
          </w:p>
        </w:tc>
        <w:tc>
          <w:tcPr>
            <w:tcW w:w="4950" w:type="dxa"/>
          </w:tcPr>
          <w:p w14:paraId="3F809DC2" w14:textId="77777777" w:rsidR="00004B17" w:rsidRPr="00004B17" w:rsidRDefault="00004B17" w:rsidP="00CC2E8B">
            <w:pPr>
              <w:jc w:val="both"/>
              <w:rPr>
                <w:color w:val="000000"/>
                <w:shd w:val="clear" w:color="auto" w:fill="FFFFFF"/>
              </w:rPr>
            </w:pPr>
            <w:r w:rsidRPr="00004B17">
              <w:rPr>
                <w:color w:val="000000"/>
                <w:shd w:val="clear" w:color="auto" w:fill="FFFFFF"/>
              </w:rPr>
              <w:t>Example:</w:t>
            </w:r>
          </w:p>
          <w:p w14:paraId="4430E4E8" w14:textId="77777777" w:rsidR="00004B17" w:rsidRPr="00004B17" w:rsidRDefault="00004B17" w:rsidP="00CC2E8B">
            <w:pPr>
              <w:jc w:val="both"/>
              <w:rPr>
                <w:color w:val="000000"/>
                <w:shd w:val="clear" w:color="auto" w:fill="FFFFFF"/>
              </w:rPr>
            </w:pPr>
          </w:p>
          <w:p w14:paraId="22CA726C" w14:textId="77777777" w:rsidR="00004B17" w:rsidRPr="00004B17" w:rsidRDefault="00004B17" w:rsidP="00CC2E8B">
            <w:pPr>
              <w:jc w:val="both"/>
              <w:rPr>
                <w:shd w:val="clear" w:color="auto" w:fill="FFFFFF"/>
              </w:rPr>
            </w:pPr>
            <w:r w:rsidRPr="00004B17">
              <w:rPr>
                <w:color w:val="000000"/>
                <w:shd w:val="clear" w:color="auto" w:fill="FFFFFF"/>
              </w:rPr>
              <w:t>A student’s test administered in April 2021 (FY 2021) can be moved forward and used as a pre-test into the next fiscal year from July 1, 2021 (FY 2022) until December 31, 2021. If the student has an assessment administered in April 2021 and another assessment administered in June 2021, </w:t>
            </w:r>
            <w:r w:rsidRPr="00004B17">
              <w:rPr>
                <w:b/>
                <w:bCs/>
                <w:color w:val="000000"/>
                <w:shd w:val="clear" w:color="auto" w:fill="FFFFFF"/>
              </w:rPr>
              <w:t>only</w:t>
            </w:r>
            <w:r w:rsidRPr="00004B17">
              <w:rPr>
                <w:color w:val="000000"/>
                <w:shd w:val="clear" w:color="auto" w:fill="FFFFFF"/>
              </w:rPr>
              <w:t> the June 2021 assessment can be moved forward.</w:t>
            </w:r>
          </w:p>
          <w:p w14:paraId="4B94606A" w14:textId="77777777" w:rsidR="00004B17" w:rsidRPr="00004B17" w:rsidRDefault="00004B17" w:rsidP="00CC2E8B">
            <w:pPr>
              <w:jc w:val="both"/>
              <w:rPr>
                <w:color w:val="000000"/>
                <w:shd w:val="clear" w:color="auto" w:fill="FFFFFF"/>
              </w:rPr>
            </w:pPr>
          </w:p>
        </w:tc>
      </w:tr>
      <w:tr w:rsidR="00004B17" w14:paraId="5434EABA" w14:textId="77777777" w:rsidTr="00004B17">
        <w:trPr>
          <w:trHeight w:val="3888"/>
        </w:trPr>
        <w:tc>
          <w:tcPr>
            <w:tcW w:w="4680" w:type="dxa"/>
            <w:vMerge/>
          </w:tcPr>
          <w:p w14:paraId="3E07EF04" w14:textId="77777777" w:rsidR="00004B17" w:rsidRDefault="00004B17" w:rsidP="00CC2E8B"/>
        </w:tc>
        <w:tc>
          <w:tcPr>
            <w:tcW w:w="4860" w:type="dxa"/>
          </w:tcPr>
          <w:p w14:paraId="5169507B" w14:textId="77777777" w:rsidR="00004B17" w:rsidRDefault="00004B17" w:rsidP="00CC2E8B">
            <w:pPr>
              <w:jc w:val="both"/>
              <w:rPr>
                <w:color w:val="000000"/>
                <w:shd w:val="clear" w:color="auto" w:fill="FFFFFF"/>
              </w:rPr>
            </w:pPr>
          </w:p>
        </w:tc>
        <w:tc>
          <w:tcPr>
            <w:tcW w:w="4950" w:type="dxa"/>
          </w:tcPr>
          <w:p w14:paraId="50416B54" w14:textId="77777777" w:rsidR="00004B17" w:rsidRDefault="00004B17" w:rsidP="00CC2E8B">
            <w:r>
              <w:t>However:</w:t>
            </w:r>
          </w:p>
          <w:p w14:paraId="78BF5DE3" w14:textId="77777777" w:rsidR="00004B17" w:rsidRDefault="00004B17" w:rsidP="00CC2E8B"/>
          <w:p w14:paraId="6081CEA4" w14:textId="77777777" w:rsidR="00004B17" w:rsidRDefault="00004B17" w:rsidP="00CC2E8B">
            <w:r>
              <w:t xml:space="preserve">If the student leaves before June 30, 2021 and returns after December 31, 2021, the student </w:t>
            </w:r>
            <w:r w:rsidRPr="00964BCF">
              <w:rPr>
                <w:b/>
                <w:bCs/>
              </w:rPr>
              <w:t>must</w:t>
            </w:r>
            <w:r>
              <w:t xml:space="preserve"> be pre-tested again. </w:t>
            </w:r>
          </w:p>
          <w:p w14:paraId="6EE1491C" w14:textId="77777777" w:rsidR="00004B17" w:rsidRDefault="00004B17" w:rsidP="00CC2E8B"/>
          <w:p w14:paraId="53BEA7B7" w14:textId="1C1BCE2C" w:rsidR="00C74A67" w:rsidRPr="00C74A67" w:rsidRDefault="00004B17" w:rsidP="00CC2E8B">
            <w:r>
              <w:t xml:space="preserve">For a student who was pre-tested any time during FY 2021 (July 1, 2021-June 30), leaves the program and returns within the same fiscal year, administering another pre-test upon the student’s return is not necessary as the student’s previous pre-test may be used again. LACES </w:t>
            </w:r>
            <w:r>
              <w:rPr>
                <w:i/>
                <w:iCs/>
              </w:rPr>
              <w:t>Student Alerts</w:t>
            </w:r>
            <w:r>
              <w:t xml:space="preserve"> will identify students who require a new test.</w:t>
            </w:r>
          </w:p>
        </w:tc>
      </w:tr>
    </w:tbl>
    <w:p w14:paraId="572CAC19" w14:textId="67D31B96" w:rsidR="00004B17" w:rsidRDefault="00004B17" w:rsidP="00536583">
      <w:pPr>
        <w:pStyle w:val="NormalWeb"/>
        <w:shd w:val="clear" w:color="auto" w:fill="FFFFFF"/>
        <w:spacing w:before="0" w:beforeAutospacing="0" w:after="150" w:afterAutospacing="0"/>
        <w:rPr>
          <w:rFonts w:asciiTheme="minorHAnsi" w:hAnsiTheme="minorHAnsi" w:cstheme="minorHAnsi"/>
          <w:sz w:val="22"/>
          <w:szCs w:val="22"/>
        </w:rPr>
      </w:pPr>
    </w:p>
    <w:p w14:paraId="28D647E6" w14:textId="3F910671" w:rsidR="00004B17" w:rsidRDefault="00004B17" w:rsidP="00536583">
      <w:pPr>
        <w:pStyle w:val="NormalWeb"/>
        <w:shd w:val="clear" w:color="auto" w:fill="FFFFFF"/>
        <w:spacing w:before="0" w:beforeAutospacing="0" w:after="150" w:afterAutospacing="0"/>
        <w:rPr>
          <w:rFonts w:asciiTheme="minorHAnsi" w:hAnsiTheme="minorHAnsi" w:cstheme="minorHAnsi"/>
          <w:sz w:val="22"/>
          <w:szCs w:val="22"/>
        </w:rPr>
      </w:pPr>
    </w:p>
    <w:bookmarkEnd w:id="0"/>
    <w:p w14:paraId="78567654" w14:textId="11E6FC9F" w:rsidR="0098475B" w:rsidRPr="0098475B" w:rsidRDefault="0098475B">
      <w:pPr>
        <w:rPr>
          <w:b/>
          <w:bCs/>
        </w:rPr>
      </w:pPr>
      <w:r w:rsidRPr="0098475B">
        <w:rPr>
          <w:b/>
          <w:bCs/>
        </w:rPr>
        <w:t>Important Reminders</w:t>
      </w:r>
    </w:p>
    <w:p w14:paraId="51092B76" w14:textId="77777777" w:rsidR="0098475B" w:rsidRPr="0098475B" w:rsidRDefault="0098475B" w:rsidP="0098475B">
      <w:pPr>
        <w:jc w:val="both"/>
        <w:rPr>
          <w:rFonts w:cstheme="minorHAnsi"/>
          <w:i/>
          <w:iCs/>
        </w:rPr>
      </w:pPr>
    </w:p>
    <w:p w14:paraId="67D5362A" w14:textId="1AA2E455" w:rsidR="0098475B" w:rsidRPr="0098475B" w:rsidRDefault="0098475B" w:rsidP="0098475B">
      <w:pPr>
        <w:pStyle w:val="ListParagraph"/>
        <w:numPr>
          <w:ilvl w:val="0"/>
          <w:numId w:val="1"/>
        </w:numPr>
        <w:jc w:val="both"/>
        <w:rPr>
          <w:rFonts w:asciiTheme="minorHAnsi" w:hAnsiTheme="minorHAnsi" w:cstheme="minorHAnsi"/>
          <w:sz w:val="22"/>
          <w:szCs w:val="22"/>
        </w:rPr>
      </w:pPr>
      <w:r w:rsidRPr="0098475B">
        <w:rPr>
          <w:rFonts w:asciiTheme="minorHAnsi" w:hAnsiTheme="minorHAnsi" w:cstheme="minorHAnsi"/>
          <w:sz w:val="22"/>
          <w:szCs w:val="22"/>
        </w:rPr>
        <w:t xml:space="preserve">Tests that were moved forward from FY2020 into FY2021 cannot be further moved forward into FY2022. Tests administered in FY2021 and moved forward in FY2022 can be used as pre-tests in FY2022 only until December 31, 2021. </w:t>
      </w:r>
    </w:p>
    <w:p w14:paraId="798BE376" w14:textId="77777777" w:rsidR="0098475B" w:rsidRPr="0098475B" w:rsidRDefault="0098475B" w:rsidP="0098475B">
      <w:pPr>
        <w:jc w:val="both"/>
        <w:rPr>
          <w:rFonts w:cstheme="minorHAnsi"/>
          <w:i/>
          <w:iCs/>
        </w:rPr>
      </w:pPr>
    </w:p>
    <w:p w14:paraId="06A22FE4" w14:textId="637565AD" w:rsidR="0098475B" w:rsidRPr="0098475B" w:rsidRDefault="0098475B" w:rsidP="0098475B">
      <w:pPr>
        <w:pStyle w:val="ListParagraph"/>
        <w:numPr>
          <w:ilvl w:val="0"/>
          <w:numId w:val="1"/>
        </w:numPr>
        <w:jc w:val="both"/>
        <w:rPr>
          <w:rFonts w:asciiTheme="minorHAnsi" w:hAnsiTheme="minorHAnsi" w:cstheme="minorHAnsi"/>
          <w:sz w:val="22"/>
          <w:szCs w:val="22"/>
        </w:rPr>
      </w:pPr>
      <w:r w:rsidRPr="0098475B">
        <w:rPr>
          <w:rFonts w:asciiTheme="minorHAnsi" w:hAnsiTheme="minorHAnsi" w:cstheme="minorHAnsi"/>
          <w:sz w:val="22"/>
          <w:szCs w:val="22"/>
        </w:rPr>
        <w:t xml:space="preserve">ACLS has learned that the LACES dashboard functions differently than we expected. When tests are moved forward from the previous fiscal year, the dashboard student alert identifies students for eligible for posting based on the total instructional hours since the original test date, including hours from the previous year. For example, if a program moves forward a student’s assessment administered January 15, 2021 and records 63 hours of attendance for the student between the test date and end June, the LACES dashboard will show that the student is eligible for a post-test after only two hours of instruction in FY21. This is not the intent of the Massachusetts post-test policy. </w:t>
      </w:r>
    </w:p>
    <w:p w14:paraId="1713E16C" w14:textId="77777777" w:rsidR="0098475B" w:rsidRPr="0098475B" w:rsidRDefault="0098475B" w:rsidP="0098475B">
      <w:pPr>
        <w:pStyle w:val="ListParagraph"/>
        <w:rPr>
          <w:rFonts w:asciiTheme="minorHAnsi" w:hAnsiTheme="minorHAnsi" w:cstheme="minorHAnsi"/>
          <w:i/>
          <w:iCs/>
          <w:sz w:val="22"/>
          <w:szCs w:val="22"/>
        </w:rPr>
      </w:pPr>
    </w:p>
    <w:p w14:paraId="70BBAA6C" w14:textId="77777777" w:rsidR="0098475B" w:rsidRPr="0098475B" w:rsidRDefault="0098475B" w:rsidP="0098475B">
      <w:pPr>
        <w:pStyle w:val="ListParagraph"/>
        <w:jc w:val="both"/>
        <w:rPr>
          <w:rFonts w:asciiTheme="minorHAnsi" w:hAnsiTheme="minorHAnsi" w:cstheme="minorHAnsi"/>
          <w:sz w:val="22"/>
          <w:szCs w:val="22"/>
        </w:rPr>
      </w:pPr>
      <w:r w:rsidRPr="0098475B">
        <w:rPr>
          <w:rFonts w:asciiTheme="minorHAnsi" w:hAnsiTheme="minorHAnsi" w:cstheme="minorHAnsi"/>
          <w:sz w:val="22"/>
          <w:szCs w:val="22"/>
        </w:rPr>
        <w:t>The state assessment policy requires that students be post-tested after they have accumulated 65 instructional hours (for CALC) or 40 hours (for AECI) since the date of the pre-test administered in the current fiscal year.</w:t>
      </w:r>
    </w:p>
    <w:p w14:paraId="6A85E84B" w14:textId="77777777" w:rsidR="0098475B" w:rsidRPr="0098475B" w:rsidRDefault="0098475B" w:rsidP="0098475B">
      <w:pPr>
        <w:pStyle w:val="ListParagraph"/>
        <w:jc w:val="both"/>
        <w:rPr>
          <w:rFonts w:asciiTheme="minorHAnsi" w:hAnsiTheme="minorHAnsi" w:cstheme="minorHAnsi"/>
          <w:sz w:val="22"/>
          <w:szCs w:val="22"/>
        </w:rPr>
      </w:pPr>
    </w:p>
    <w:p w14:paraId="2E2D7737" w14:textId="77777777" w:rsidR="0098475B" w:rsidRPr="0098475B" w:rsidRDefault="0098475B" w:rsidP="0098475B">
      <w:pPr>
        <w:pStyle w:val="ListParagraph"/>
        <w:jc w:val="both"/>
        <w:rPr>
          <w:rFonts w:asciiTheme="minorHAnsi" w:hAnsiTheme="minorHAnsi" w:cstheme="minorHAnsi"/>
          <w:sz w:val="22"/>
          <w:szCs w:val="22"/>
          <w:shd w:val="clear" w:color="auto" w:fill="FFFFFF"/>
        </w:rPr>
      </w:pPr>
      <w:r w:rsidRPr="0098475B">
        <w:rPr>
          <w:rFonts w:asciiTheme="minorHAnsi" w:hAnsiTheme="minorHAnsi" w:cstheme="minorHAnsi"/>
          <w:sz w:val="22"/>
          <w:szCs w:val="22"/>
          <w:shd w:val="clear" w:color="auto" w:fill="FFFFFF"/>
        </w:rPr>
        <w:t>Students whose tests were moved forward from the previous fiscal year must have at least 65 hours (40 for AECI) of instruction in the current year before being eligible for post-tests.</w:t>
      </w:r>
    </w:p>
    <w:p w14:paraId="21433706" w14:textId="77777777" w:rsidR="0098475B" w:rsidRPr="0098475B" w:rsidRDefault="0098475B" w:rsidP="0098475B">
      <w:pPr>
        <w:pStyle w:val="ListParagraph"/>
        <w:jc w:val="both"/>
        <w:rPr>
          <w:rFonts w:asciiTheme="minorHAnsi" w:hAnsiTheme="minorHAnsi" w:cstheme="minorHAnsi"/>
          <w:sz w:val="22"/>
          <w:szCs w:val="22"/>
          <w:shd w:val="clear" w:color="auto" w:fill="FFFFFF"/>
        </w:rPr>
      </w:pPr>
    </w:p>
    <w:p w14:paraId="2AA2A3F1" w14:textId="77777777" w:rsidR="0098475B" w:rsidRPr="0098475B" w:rsidRDefault="0098475B" w:rsidP="0098475B">
      <w:pPr>
        <w:pStyle w:val="ListParagraph"/>
        <w:jc w:val="both"/>
        <w:rPr>
          <w:rFonts w:asciiTheme="minorHAnsi" w:hAnsiTheme="minorHAnsi" w:cstheme="minorHAnsi"/>
          <w:sz w:val="22"/>
          <w:szCs w:val="22"/>
        </w:rPr>
      </w:pPr>
      <w:r w:rsidRPr="0098475B">
        <w:rPr>
          <w:rFonts w:asciiTheme="minorHAnsi" w:hAnsiTheme="minorHAnsi" w:cstheme="minorHAnsi"/>
          <w:sz w:val="22"/>
          <w:szCs w:val="22"/>
        </w:rPr>
        <w:t xml:space="preserve">The easiest way to identify students who are eligible for a post-test as defined by ACLS policy is through the dashboard student alerts. Click on the number of students eligible for post-testing. </w:t>
      </w:r>
    </w:p>
    <w:p w14:paraId="3C782852" w14:textId="77777777" w:rsidR="0098475B" w:rsidRPr="00BF4DB8" w:rsidRDefault="0098475B" w:rsidP="0098475B">
      <w:pPr>
        <w:jc w:val="both"/>
        <w:rPr>
          <w:rFonts w:cstheme="minorHAnsi"/>
        </w:rPr>
      </w:pPr>
    </w:p>
    <w:p w14:paraId="68AFAE79" w14:textId="77777777" w:rsidR="0098475B" w:rsidRDefault="0098475B" w:rsidP="0098475B">
      <w:pPr>
        <w:ind w:left="720"/>
        <w:jc w:val="both"/>
      </w:pPr>
      <w:r>
        <w:rPr>
          <w:noProof/>
        </w:rPr>
        <w:drawing>
          <wp:inline distT="0" distB="0" distL="0" distR="0" wp14:anchorId="11A40381" wp14:editId="5C2720D6">
            <wp:extent cx="4206240" cy="2752344"/>
            <wp:effectExtent l="0" t="0" r="3810" b="0"/>
            <wp:docPr id="6" name="Picture 6" descr="Picture showing how to click on the number of students eligible for post-testing in 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cture showing how to click on the number of students eligible for post-testing in LACES."/>
                    <pic:cNvPicPr/>
                  </pic:nvPicPr>
                  <pic:blipFill>
                    <a:blip r:embed="rId11"/>
                    <a:stretch>
                      <a:fillRect/>
                    </a:stretch>
                  </pic:blipFill>
                  <pic:spPr>
                    <a:xfrm>
                      <a:off x="0" y="0"/>
                      <a:ext cx="4206240" cy="2752344"/>
                    </a:xfrm>
                    <a:prstGeom prst="rect">
                      <a:avLst/>
                    </a:prstGeom>
                  </pic:spPr>
                </pic:pic>
              </a:graphicData>
            </a:graphic>
          </wp:inline>
        </w:drawing>
      </w:r>
    </w:p>
    <w:p w14:paraId="36C54C3F" w14:textId="77777777" w:rsidR="0098475B" w:rsidRPr="0098475B" w:rsidRDefault="0098475B" w:rsidP="0098475B">
      <w:pPr>
        <w:ind w:left="720"/>
        <w:jc w:val="both"/>
        <w:rPr>
          <w:rFonts w:cstheme="minorHAnsi"/>
        </w:rPr>
      </w:pPr>
    </w:p>
    <w:p w14:paraId="4A0AE321" w14:textId="77777777" w:rsidR="0098475B" w:rsidRPr="0098475B" w:rsidRDefault="0098475B" w:rsidP="0098475B">
      <w:pPr>
        <w:ind w:left="720"/>
        <w:jc w:val="both"/>
        <w:rPr>
          <w:rFonts w:cstheme="minorHAnsi"/>
        </w:rPr>
      </w:pPr>
      <w:r w:rsidRPr="0098475B">
        <w:rPr>
          <w:rFonts w:cstheme="minorHAnsi"/>
        </w:rPr>
        <w:t>Then filter by current fiscal year instructional hours (40 for AECI and 65 for CALCs) to determine which students are eligible for a post test.</w:t>
      </w:r>
    </w:p>
    <w:p w14:paraId="1EB84574" w14:textId="77777777" w:rsidR="0098475B" w:rsidRDefault="0098475B" w:rsidP="0098475B">
      <w:pPr>
        <w:ind w:left="720"/>
        <w:jc w:val="both"/>
      </w:pPr>
      <w:r>
        <w:rPr>
          <w:noProof/>
        </w:rPr>
        <w:lastRenderedPageBreak/>
        <w:drawing>
          <wp:inline distT="0" distB="0" distL="0" distR="0" wp14:anchorId="64239BB0" wp14:editId="4518A8FF">
            <wp:extent cx="5193792" cy="2121408"/>
            <wp:effectExtent l="0" t="0" r="6985" b="0"/>
            <wp:docPr id="7" name="Picture 7" descr="Picture showing how to find the number of instructional hours in LACES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icture showing how to find the number of instructional hours in LACES dashboard."/>
                    <pic:cNvPicPr/>
                  </pic:nvPicPr>
                  <pic:blipFill>
                    <a:blip r:embed="rId12"/>
                    <a:stretch>
                      <a:fillRect/>
                    </a:stretch>
                  </pic:blipFill>
                  <pic:spPr>
                    <a:xfrm>
                      <a:off x="0" y="0"/>
                      <a:ext cx="5193792" cy="2121408"/>
                    </a:xfrm>
                    <a:prstGeom prst="rect">
                      <a:avLst/>
                    </a:prstGeom>
                  </pic:spPr>
                </pic:pic>
              </a:graphicData>
            </a:graphic>
          </wp:inline>
        </w:drawing>
      </w:r>
    </w:p>
    <w:p w14:paraId="1E4D2C2A" w14:textId="77777777" w:rsidR="0098475B" w:rsidRDefault="0098475B" w:rsidP="0098475B">
      <w:pPr>
        <w:jc w:val="both"/>
        <w:rPr>
          <w:b/>
          <w:bCs/>
          <w:color w:val="0070C0"/>
        </w:rPr>
      </w:pPr>
    </w:p>
    <w:p w14:paraId="1AA189A1" w14:textId="77777777" w:rsidR="0098475B" w:rsidRDefault="0098475B"/>
    <w:sectPr w:rsidR="0098475B" w:rsidSect="002E5D8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EA04F7"/>
    <w:multiLevelType w:val="hybridMultilevel"/>
    <w:tmpl w:val="A23E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AF7A5B"/>
    <w:multiLevelType w:val="hybridMultilevel"/>
    <w:tmpl w:val="9C9CB06A"/>
    <w:lvl w:ilvl="0" w:tplc="88A460D0">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635A6"/>
    <w:multiLevelType w:val="multilevel"/>
    <w:tmpl w:val="B99E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06DAC"/>
    <w:multiLevelType w:val="multilevel"/>
    <w:tmpl w:val="5936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EF"/>
    <w:rsid w:val="00004B17"/>
    <w:rsid w:val="001F5DF8"/>
    <w:rsid w:val="00244A39"/>
    <w:rsid w:val="002C362B"/>
    <w:rsid w:val="002E5D80"/>
    <w:rsid w:val="00350150"/>
    <w:rsid w:val="003A0491"/>
    <w:rsid w:val="004134BD"/>
    <w:rsid w:val="004B5CFC"/>
    <w:rsid w:val="00536583"/>
    <w:rsid w:val="0057612F"/>
    <w:rsid w:val="00801AEF"/>
    <w:rsid w:val="00900602"/>
    <w:rsid w:val="0090392A"/>
    <w:rsid w:val="00943578"/>
    <w:rsid w:val="0098475B"/>
    <w:rsid w:val="00A8072E"/>
    <w:rsid w:val="00C74A67"/>
    <w:rsid w:val="00CC5603"/>
    <w:rsid w:val="00DC3C02"/>
    <w:rsid w:val="00DD09CA"/>
    <w:rsid w:val="00E04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ECA0"/>
  <w15:chartTrackingRefBased/>
  <w15:docId w15:val="{D10A876D-67CA-407F-922B-9EE6D715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5D80"/>
    <w:pPr>
      <w:keepNext/>
      <w:keepLines/>
      <w:spacing w:before="40" w:after="0" w:line="240" w:lineRule="auto"/>
      <w:outlineLvl w:val="1"/>
    </w:pPr>
    <w:rPr>
      <w:rFonts w:asciiTheme="majorHAnsi" w:eastAsiaTheme="majorEastAsia" w:hAnsiTheme="majorHAnsi" w:cstheme="majorBidi"/>
      <w:b/>
      <w:color w:val="EE801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5D80"/>
    <w:rPr>
      <w:rFonts w:asciiTheme="majorHAnsi" w:eastAsiaTheme="majorEastAsia" w:hAnsiTheme="majorHAnsi" w:cstheme="majorBidi"/>
      <w:b/>
      <w:color w:val="EE8012"/>
      <w:sz w:val="26"/>
      <w:szCs w:val="26"/>
    </w:rPr>
  </w:style>
  <w:style w:type="paragraph" w:styleId="ListParagraph">
    <w:name w:val="List Paragraph"/>
    <w:basedOn w:val="Normal"/>
    <w:uiPriority w:val="34"/>
    <w:qFormat/>
    <w:rsid w:val="002E5D8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A807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072E"/>
    <w:rPr>
      <w:color w:val="0000FF"/>
      <w:u w:val="single"/>
    </w:rPr>
  </w:style>
  <w:style w:type="character" w:styleId="CommentReference">
    <w:name w:val="annotation reference"/>
    <w:basedOn w:val="DefaultParagraphFont"/>
    <w:uiPriority w:val="99"/>
    <w:semiHidden/>
    <w:unhideWhenUsed/>
    <w:rsid w:val="00943578"/>
    <w:rPr>
      <w:sz w:val="16"/>
      <w:szCs w:val="16"/>
    </w:rPr>
  </w:style>
  <w:style w:type="paragraph" w:styleId="CommentText">
    <w:name w:val="annotation text"/>
    <w:basedOn w:val="Normal"/>
    <w:link w:val="CommentTextChar"/>
    <w:uiPriority w:val="99"/>
    <w:semiHidden/>
    <w:unhideWhenUsed/>
    <w:rsid w:val="00943578"/>
    <w:pPr>
      <w:spacing w:line="240" w:lineRule="auto"/>
    </w:pPr>
    <w:rPr>
      <w:sz w:val="20"/>
      <w:szCs w:val="20"/>
    </w:rPr>
  </w:style>
  <w:style w:type="character" w:customStyle="1" w:styleId="CommentTextChar">
    <w:name w:val="Comment Text Char"/>
    <w:basedOn w:val="DefaultParagraphFont"/>
    <w:link w:val="CommentText"/>
    <w:uiPriority w:val="99"/>
    <w:semiHidden/>
    <w:rsid w:val="00943578"/>
    <w:rPr>
      <w:sz w:val="20"/>
      <w:szCs w:val="20"/>
    </w:rPr>
  </w:style>
  <w:style w:type="paragraph" w:styleId="CommentSubject">
    <w:name w:val="annotation subject"/>
    <w:basedOn w:val="CommentText"/>
    <w:next w:val="CommentText"/>
    <w:link w:val="CommentSubjectChar"/>
    <w:uiPriority w:val="99"/>
    <w:semiHidden/>
    <w:unhideWhenUsed/>
    <w:rsid w:val="00943578"/>
    <w:rPr>
      <w:b/>
      <w:bCs/>
    </w:rPr>
  </w:style>
  <w:style w:type="character" w:customStyle="1" w:styleId="CommentSubjectChar">
    <w:name w:val="Comment Subject Char"/>
    <w:basedOn w:val="CommentTextChar"/>
    <w:link w:val="CommentSubject"/>
    <w:uiPriority w:val="99"/>
    <w:semiHidden/>
    <w:rsid w:val="00943578"/>
    <w:rPr>
      <w:b/>
      <w:bCs/>
      <w:sz w:val="20"/>
      <w:szCs w:val="20"/>
    </w:rPr>
  </w:style>
  <w:style w:type="character" w:styleId="FollowedHyperlink">
    <w:name w:val="FollowedHyperlink"/>
    <w:basedOn w:val="DefaultParagraphFont"/>
    <w:uiPriority w:val="99"/>
    <w:semiHidden/>
    <w:unhideWhenUsed/>
    <w:rsid w:val="009435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mailto:dana.varzan-parker@mass.gov" TargetMode="External"/><Relationship Id="rId4" Type="http://schemas.openxmlformats.org/officeDocument/2006/relationships/customXml" Target="../customXml/item4.xml"/><Relationship Id="rId9" Type="http://schemas.openxmlformats.org/officeDocument/2006/relationships/hyperlink" Target="https://www.doe.mass.edu/acls/assess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DESE-231-70791</_dlc_DocId>
    <_dlc_DocIdUrl xmlns="733efe1c-5bbe-4968-87dc-d400e65c879f">
      <Url>https://sharepoint.doemass.org/ese/webteam/cps/_layouts/DocIdRedir.aspx?ID=DESE-231-70791</Url>
      <Description>DESE-231-70791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44AB05-BCFF-4D51-97A8-0B45801BC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BD6ED-464D-42AE-A678-A657DE60377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181A631-D26C-4B1B-9D45-30F17461F1F0}">
  <ds:schemaRefs>
    <ds:schemaRef ds:uri="http://schemas.microsoft.com/sharepoint/v3/contenttype/forms"/>
  </ds:schemaRefs>
</ds:datastoreItem>
</file>

<file path=customXml/itemProps4.xml><?xml version="1.0" encoding="utf-8"?>
<ds:datastoreItem xmlns:ds="http://schemas.openxmlformats.org/officeDocument/2006/customXml" ds:itemID="{FE1C3075-5483-4AD9-AEE6-7F0375289D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Moving Assessments Forward: Assessment Policy Revision due to COVID-19, May 2021</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Assessments Forward: Assessment Policy Revision due to COVID-19, May 2021</dc:title>
  <dc:subject/>
  <dc:creator>DESE</dc:creator>
  <cp:keywords/>
  <dc:description/>
  <cp:lastModifiedBy>Zou, Dong (EOE)</cp:lastModifiedBy>
  <cp:revision>3</cp:revision>
  <dcterms:created xsi:type="dcterms:W3CDTF">2021-05-14T19:46:00Z</dcterms:created>
  <dcterms:modified xsi:type="dcterms:W3CDTF">2021-05-14T21:03:00Z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2021</vt:lpwstr>
  </property>
</Properties>
</file>