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861"/>
        <w:gridCol w:w="6803"/>
      </w:tblGrid>
      <w:tr w:rsidR="00E634D1" w:rsidRPr="00E61B87" w14:paraId="33A51214" w14:textId="77777777" w:rsidTr="00B944E8">
        <w:trPr>
          <w:trHeight w:val="288"/>
        </w:trPr>
        <w:tc>
          <w:tcPr>
            <w:tcW w:w="3861" w:type="dxa"/>
          </w:tcPr>
          <w:p w14:paraId="66B14B53" w14:textId="5E37BE12" w:rsidR="00E634D1" w:rsidRPr="000E239C" w:rsidRDefault="00E634D1">
            <w:pPr>
              <w:rPr>
                <w:rFonts w:asciiTheme="majorHAnsi" w:hAnsiTheme="majorHAnsi" w:cstheme="majorHAnsi"/>
                <w:b/>
              </w:rPr>
            </w:pPr>
            <w:r w:rsidRPr="000E239C">
              <w:rPr>
                <w:rFonts w:asciiTheme="majorHAnsi" w:hAnsiTheme="majorHAnsi" w:cstheme="majorHAnsi"/>
                <w:b/>
              </w:rPr>
              <w:t>Digital Learning Advisory Council</w:t>
            </w:r>
            <w:r w:rsidRPr="000E239C">
              <w:rPr>
                <w:rStyle w:val="FootnoteReference"/>
                <w:rFonts w:asciiTheme="majorHAnsi" w:hAnsiTheme="majorHAnsi" w:cstheme="majorHAnsi"/>
                <w:bCs/>
              </w:rPr>
              <w:footnoteReference w:id="2"/>
            </w:r>
            <w:r w:rsidRPr="000E239C">
              <w:rPr>
                <w:rFonts w:asciiTheme="majorHAnsi" w:hAnsiTheme="majorHAnsi" w:cstheme="majorHAnsi"/>
                <w:b/>
              </w:rPr>
              <w:t>:</w:t>
            </w:r>
          </w:p>
        </w:tc>
        <w:tc>
          <w:tcPr>
            <w:tcW w:w="6803" w:type="dxa"/>
          </w:tcPr>
          <w:p w14:paraId="3AA3A95C" w14:textId="6A003B97" w:rsidR="00E634D1" w:rsidRPr="000E239C" w:rsidRDefault="002C60B4" w:rsidP="00E634D1">
            <w:pPr>
              <w:rPr>
                <w:rFonts w:asciiTheme="majorHAnsi" w:hAnsiTheme="majorHAnsi" w:cstheme="majorHAnsi"/>
                <w:b/>
              </w:rPr>
            </w:pPr>
            <w:r w:rsidRPr="000E239C">
              <w:rPr>
                <w:rFonts w:asciiTheme="majorHAnsi" w:hAnsiTheme="majorHAnsi" w:cstheme="majorHAnsi"/>
              </w:rPr>
              <w:t>May 7, 2025</w:t>
            </w:r>
          </w:p>
        </w:tc>
      </w:tr>
      <w:tr w:rsidR="00E634D1" w:rsidRPr="00E61B87" w14:paraId="6A20C778" w14:textId="77777777" w:rsidTr="00B944E8">
        <w:trPr>
          <w:trHeight w:val="288"/>
        </w:trPr>
        <w:tc>
          <w:tcPr>
            <w:tcW w:w="3861" w:type="dxa"/>
          </w:tcPr>
          <w:p w14:paraId="5EB35312" w14:textId="0A79D70F" w:rsidR="00E634D1" w:rsidRPr="000E239C" w:rsidRDefault="00E634D1">
            <w:pPr>
              <w:rPr>
                <w:rFonts w:asciiTheme="majorHAnsi" w:hAnsiTheme="majorHAnsi" w:cstheme="majorHAnsi"/>
                <w:b/>
              </w:rPr>
            </w:pPr>
            <w:r w:rsidRPr="000E239C">
              <w:rPr>
                <w:rFonts w:asciiTheme="majorHAnsi" w:hAnsiTheme="majorHAnsi" w:cstheme="majorHAnsi"/>
                <w:b/>
              </w:rPr>
              <w:t>Time:</w:t>
            </w:r>
          </w:p>
        </w:tc>
        <w:tc>
          <w:tcPr>
            <w:tcW w:w="6803" w:type="dxa"/>
          </w:tcPr>
          <w:p w14:paraId="2086B029" w14:textId="4AC5E760" w:rsidR="00E634D1" w:rsidRPr="000E239C" w:rsidRDefault="00E634D1">
            <w:pPr>
              <w:rPr>
                <w:rFonts w:asciiTheme="majorHAnsi" w:hAnsiTheme="majorHAnsi" w:cstheme="majorHAnsi"/>
                <w:bCs/>
              </w:rPr>
            </w:pPr>
            <w:r w:rsidRPr="000E239C">
              <w:rPr>
                <w:rFonts w:asciiTheme="majorHAnsi" w:hAnsiTheme="majorHAnsi" w:cstheme="majorHAnsi"/>
                <w:bCs/>
              </w:rPr>
              <w:t>12:30</w:t>
            </w:r>
            <w:r w:rsidR="00E70C84" w:rsidRPr="000E239C">
              <w:rPr>
                <w:rFonts w:asciiTheme="majorHAnsi" w:hAnsiTheme="majorHAnsi" w:cstheme="majorHAnsi"/>
                <w:bCs/>
              </w:rPr>
              <w:t xml:space="preserve"> PM – 2:00 PM</w:t>
            </w:r>
          </w:p>
        </w:tc>
      </w:tr>
      <w:tr w:rsidR="00E634D1" w:rsidRPr="00E61B87" w14:paraId="78149B05" w14:textId="77777777" w:rsidTr="00B944E8">
        <w:trPr>
          <w:trHeight w:val="288"/>
        </w:trPr>
        <w:tc>
          <w:tcPr>
            <w:tcW w:w="3861" w:type="dxa"/>
          </w:tcPr>
          <w:p w14:paraId="069137BD" w14:textId="77777777" w:rsidR="00E634D1" w:rsidRPr="000E239C" w:rsidRDefault="009C577E">
            <w:pPr>
              <w:rPr>
                <w:rFonts w:asciiTheme="majorHAnsi" w:hAnsiTheme="majorHAnsi" w:cstheme="majorHAnsi"/>
                <w:b/>
              </w:rPr>
            </w:pPr>
            <w:bookmarkStart w:id="0" w:name="_Hlk177467779"/>
            <w:r w:rsidRPr="000E239C">
              <w:rPr>
                <w:rFonts w:asciiTheme="majorHAnsi" w:hAnsiTheme="majorHAnsi" w:cstheme="majorHAnsi"/>
                <w:b/>
              </w:rPr>
              <w:t xml:space="preserve">General </w:t>
            </w:r>
            <w:r w:rsidR="00BF0477" w:rsidRPr="000E239C">
              <w:rPr>
                <w:rFonts w:asciiTheme="majorHAnsi" w:hAnsiTheme="majorHAnsi" w:cstheme="majorHAnsi"/>
                <w:b/>
              </w:rPr>
              <w:t>Public Registration Zoom Link</w:t>
            </w:r>
            <w:r w:rsidR="00E84410" w:rsidRPr="000E239C">
              <w:rPr>
                <w:rFonts w:asciiTheme="majorHAnsi" w:hAnsiTheme="majorHAnsi" w:cstheme="majorHAnsi"/>
                <w:b/>
              </w:rPr>
              <w:t>:</w:t>
            </w:r>
          </w:p>
        </w:tc>
        <w:tc>
          <w:tcPr>
            <w:tcW w:w="6803" w:type="dxa"/>
          </w:tcPr>
          <w:p w14:paraId="0C140BC7" w14:textId="7E4A0169" w:rsidR="004B720B" w:rsidRPr="00EE67AF" w:rsidRDefault="002E4487">
            <w:pPr>
              <w:rPr>
                <w:sz w:val="20"/>
                <w:szCs w:val="20"/>
              </w:rPr>
            </w:pPr>
            <w:hyperlink r:id="rId11" w:history="1">
              <w:r w:rsidRPr="0084677E">
                <w:rPr>
                  <w:rStyle w:val="Hyperlink"/>
                  <w:sz w:val="20"/>
                  <w:szCs w:val="20"/>
                </w:rPr>
                <w:t>https://us02web.zoom.us/webinar/register/WN_WLw5xmRUQY2geceFMhcfBg</w:t>
              </w:r>
            </w:hyperlink>
            <w:r w:rsidRPr="0084677E">
              <w:rPr>
                <w:sz w:val="20"/>
                <w:szCs w:val="20"/>
              </w:rPr>
              <w:t xml:space="preserve"> </w:t>
            </w:r>
          </w:p>
        </w:tc>
      </w:tr>
      <w:bookmarkEnd w:id="0"/>
      <w:tr w:rsidR="00E634D1" w:rsidRPr="00E61B87" w14:paraId="3438A78B" w14:textId="77777777" w:rsidTr="00B944E8">
        <w:trPr>
          <w:trHeight w:val="288"/>
        </w:trPr>
        <w:tc>
          <w:tcPr>
            <w:tcW w:w="3861" w:type="dxa"/>
          </w:tcPr>
          <w:p w14:paraId="498C04D4" w14:textId="1DB5E24B" w:rsidR="00E634D1" w:rsidRPr="000E239C" w:rsidRDefault="00E634D1">
            <w:pPr>
              <w:rPr>
                <w:rFonts w:asciiTheme="majorHAnsi" w:hAnsiTheme="majorHAnsi" w:cstheme="majorHAnsi"/>
                <w:b/>
              </w:rPr>
            </w:pPr>
            <w:r w:rsidRPr="000E239C">
              <w:rPr>
                <w:rFonts w:asciiTheme="majorHAnsi" w:hAnsiTheme="majorHAnsi" w:cstheme="majorHAnsi"/>
                <w:b/>
              </w:rPr>
              <w:t xml:space="preserve">Location: </w:t>
            </w:r>
          </w:p>
        </w:tc>
        <w:tc>
          <w:tcPr>
            <w:tcW w:w="6803" w:type="dxa"/>
          </w:tcPr>
          <w:p w14:paraId="1BA21627" w14:textId="054ABCAE" w:rsidR="00E634D1" w:rsidRPr="000E239C" w:rsidRDefault="00F255B5">
            <w:pPr>
              <w:rPr>
                <w:rFonts w:asciiTheme="majorHAnsi" w:hAnsiTheme="majorHAnsi" w:cstheme="majorHAnsi"/>
                <w:bCs/>
              </w:rPr>
            </w:pPr>
            <w:r w:rsidRPr="000E239C">
              <w:rPr>
                <w:rFonts w:asciiTheme="majorHAnsi" w:hAnsiTheme="majorHAnsi" w:cstheme="majorHAnsi"/>
                <w:bCs/>
              </w:rPr>
              <w:t>Remote Participation - Online</w:t>
            </w:r>
          </w:p>
        </w:tc>
      </w:tr>
      <w:tr w:rsidR="00E634D1" w:rsidRPr="00E61B87" w14:paraId="59C0D4BA" w14:textId="77777777" w:rsidTr="00B944E8">
        <w:trPr>
          <w:trHeight w:val="288"/>
        </w:trPr>
        <w:tc>
          <w:tcPr>
            <w:tcW w:w="3861" w:type="dxa"/>
          </w:tcPr>
          <w:p w14:paraId="7C803D02" w14:textId="53956587" w:rsidR="00E634D1" w:rsidRPr="000E239C" w:rsidRDefault="00E634D1">
            <w:pPr>
              <w:rPr>
                <w:rFonts w:asciiTheme="majorHAnsi" w:hAnsiTheme="majorHAnsi" w:cstheme="majorHAnsi"/>
                <w:b/>
              </w:rPr>
            </w:pPr>
            <w:r w:rsidRPr="000E239C">
              <w:rPr>
                <w:rFonts w:asciiTheme="majorHAnsi" w:hAnsiTheme="majorHAnsi" w:cstheme="majorHAnsi"/>
                <w:b/>
              </w:rPr>
              <w:t xml:space="preserve">Attendee Information: </w:t>
            </w:r>
          </w:p>
        </w:tc>
        <w:tc>
          <w:tcPr>
            <w:tcW w:w="6803" w:type="dxa"/>
          </w:tcPr>
          <w:p w14:paraId="5EB17ACC" w14:textId="7DDF6FB7" w:rsidR="00E634D1" w:rsidRPr="000E239C" w:rsidRDefault="00F255B5">
            <w:pPr>
              <w:rPr>
                <w:rFonts w:asciiTheme="majorHAnsi" w:hAnsiTheme="majorHAnsi" w:cstheme="majorHAnsi"/>
                <w:bCs/>
              </w:rPr>
            </w:pPr>
            <w:r w:rsidRPr="000E239C">
              <w:rPr>
                <w:rFonts w:asciiTheme="majorHAnsi" w:hAnsiTheme="majorHAnsi" w:cstheme="majorHAnsi"/>
                <w:bCs/>
              </w:rPr>
              <w:t>Digi</w:t>
            </w:r>
            <w:r w:rsidR="004B720B" w:rsidRPr="000E239C">
              <w:rPr>
                <w:rFonts w:asciiTheme="majorHAnsi" w:hAnsiTheme="majorHAnsi" w:cstheme="majorHAnsi"/>
                <w:bCs/>
              </w:rPr>
              <w:t>tal Learning Advisory Council (DLAC)</w:t>
            </w:r>
          </w:p>
        </w:tc>
      </w:tr>
    </w:tbl>
    <w:p w14:paraId="612CAFA7" w14:textId="19A510FE" w:rsidR="008D3052" w:rsidRPr="000E239C" w:rsidRDefault="00271F80">
      <w:pPr>
        <w:spacing w:after="0" w:line="240" w:lineRule="auto"/>
        <w:rPr>
          <w:rFonts w:asciiTheme="majorHAnsi" w:hAnsiTheme="majorHAnsi" w:cstheme="majorHAnsi"/>
        </w:rPr>
      </w:pPr>
      <w:r w:rsidRPr="000E239C">
        <w:rPr>
          <w:rFonts w:asciiTheme="majorHAnsi" w:hAnsiTheme="majorHAnsi" w:cstheme="majorHAnsi"/>
        </w:rPr>
        <w:t>==============================================================================</w:t>
      </w:r>
    </w:p>
    <w:p w14:paraId="2C452CE3" w14:textId="094405A3" w:rsidR="00C77AEE" w:rsidRPr="000E239C" w:rsidRDefault="00C77AEE" w:rsidP="00463B18">
      <w:pPr>
        <w:numPr>
          <w:ilvl w:val="0"/>
          <w:numId w:val="1"/>
        </w:numPr>
        <w:spacing w:after="0" w:line="240" w:lineRule="auto"/>
        <w:rPr>
          <w:rFonts w:asciiTheme="majorHAnsi" w:hAnsiTheme="majorHAnsi" w:cstheme="majorHAnsi"/>
          <w:b/>
        </w:rPr>
      </w:pPr>
      <w:r w:rsidRPr="000E239C">
        <w:rPr>
          <w:rFonts w:asciiTheme="majorHAnsi" w:hAnsiTheme="majorHAnsi" w:cstheme="majorHAnsi"/>
          <w:b/>
        </w:rPr>
        <w:t xml:space="preserve">Welcome </w:t>
      </w:r>
    </w:p>
    <w:p w14:paraId="1C3F8B2B" w14:textId="459F8183" w:rsidR="00B551F6" w:rsidRPr="000E239C" w:rsidRDefault="00B551F6" w:rsidP="00B551F6">
      <w:pPr>
        <w:spacing w:after="0" w:line="240" w:lineRule="auto"/>
        <w:ind w:left="720"/>
        <w:rPr>
          <w:rFonts w:asciiTheme="majorHAnsi" w:hAnsiTheme="majorHAnsi" w:cstheme="majorHAnsi"/>
          <w:b/>
        </w:rPr>
      </w:pPr>
    </w:p>
    <w:p w14:paraId="50F75E23" w14:textId="79A7CB99" w:rsidR="002023D6" w:rsidRPr="000E239C" w:rsidRDefault="00937EBE" w:rsidP="00B551F6">
      <w:pPr>
        <w:numPr>
          <w:ilvl w:val="0"/>
          <w:numId w:val="1"/>
        </w:numPr>
        <w:spacing w:after="0" w:line="240" w:lineRule="auto"/>
        <w:rPr>
          <w:rFonts w:asciiTheme="majorHAnsi" w:hAnsiTheme="majorHAnsi" w:cstheme="majorHAnsi"/>
          <w:b/>
        </w:rPr>
      </w:pPr>
      <w:r w:rsidRPr="000E239C">
        <w:rPr>
          <w:rFonts w:asciiTheme="majorHAnsi" w:hAnsiTheme="majorHAnsi" w:cstheme="majorHAnsi"/>
          <w:b/>
        </w:rPr>
        <w:t>Introductions</w:t>
      </w:r>
      <w:r w:rsidR="0082170F" w:rsidRPr="000E239C">
        <w:rPr>
          <w:rFonts w:asciiTheme="majorHAnsi" w:hAnsiTheme="majorHAnsi" w:cstheme="majorHAnsi"/>
          <w:b/>
        </w:rPr>
        <w:t xml:space="preserve"> </w:t>
      </w:r>
      <w:r w:rsidR="00E65E41" w:rsidRPr="000E239C">
        <w:rPr>
          <w:rFonts w:asciiTheme="majorHAnsi" w:hAnsiTheme="majorHAnsi" w:cstheme="majorHAnsi"/>
          <w:b/>
        </w:rPr>
        <w:t xml:space="preserve">of Remote Participants </w:t>
      </w:r>
      <w:r w:rsidR="000B11C5" w:rsidRPr="000E239C">
        <w:rPr>
          <w:rFonts w:asciiTheme="majorHAnsi" w:hAnsiTheme="majorHAnsi" w:cstheme="majorHAnsi"/>
          <w:b/>
        </w:rPr>
        <w:t xml:space="preserve">– Welcome New </w:t>
      </w:r>
      <w:r w:rsidR="000B11C5" w:rsidRPr="000E239C">
        <w:rPr>
          <w:rFonts w:asciiTheme="majorHAnsi" w:hAnsiTheme="majorHAnsi" w:cstheme="majorHAnsi"/>
          <w:b/>
          <w:bCs/>
        </w:rPr>
        <w:t>Member</w:t>
      </w:r>
    </w:p>
    <w:p w14:paraId="612CAFA9" w14:textId="77777777" w:rsidR="008D3052" w:rsidRPr="000E239C" w:rsidRDefault="008D3052" w:rsidP="00463B18">
      <w:pPr>
        <w:spacing w:after="0" w:line="240" w:lineRule="auto"/>
        <w:ind w:left="720"/>
        <w:rPr>
          <w:rFonts w:asciiTheme="majorHAnsi" w:hAnsiTheme="majorHAnsi" w:cstheme="majorHAnsi"/>
          <w:b/>
        </w:rPr>
      </w:pPr>
    </w:p>
    <w:p w14:paraId="2AC68106" w14:textId="59B89D39" w:rsidR="006925E8" w:rsidRPr="000E239C" w:rsidRDefault="00937EBE" w:rsidP="00CB1F1C">
      <w:pPr>
        <w:numPr>
          <w:ilvl w:val="0"/>
          <w:numId w:val="1"/>
        </w:numPr>
        <w:spacing w:after="0" w:line="240" w:lineRule="auto"/>
        <w:rPr>
          <w:rFonts w:asciiTheme="majorHAnsi" w:hAnsiTheme="majorHAnsi" w:cstheme="majorHAnsi"/>
          <w:b/>
        </w:rPr>
      </w:pPr>
      <w:r w:rsidRPr="000E239C">
        <w:rPr>
          <w:rFonts w:asciiTheme="majorHAnsi" w:hAnsiTheme="majorHAnsi" w:cstheme="majorHAnsi"/>
          <w:b/>
          <w:color w:val="000000" w:themeColor="text1"/>
        </w:rPr>
        <w:t xml:space="preserve">Review </w:t>
      </w:r>
      <w:r w:rsidR="00201C5C" w:rsidRPr="000E239C">
        <w:rPr>
          <w:rFonts w:asciiTheme="majorHAnsi" w:hAnsiTheme="majorHAnsi" w:cstheme="majorHAnsi"/>
          <w:b/>
          <w:color w:val="000000" w:themeColor="text1"/>
        </w:rPr>
        <w:t xml:space="preserve">and Approve </w:t>
      </w:r>
      <w:r w:rsidRPr="000E239C">
        <w:rPr>
          <w:rFonts w:asciiTheme="majorHAnsi" w:hAnsiTheme="majorHAnsi" w:cstheme="majorHAnsi"/>
          <w:b/>
          <w:color w:val="000000" w:themeColor="text1"/>
        </w:rPr>
        <w:t xml:space="preserve">Minutes from </w:t>
      </w:r>
      <w:r w:rsidR="0079445B" w:rsidRPr="000E239C">
        <w:rPr>
          <w:rFonts w:asciiTheme="majorHAnsi" w:hAnsiTheme="majorHAnsi" w:cstheme="majorHAnsi"/>
          <w:b/>
          <w:color w:val="000000" w:themeColor="text1"/>
        </w:rPr>
        <w:t>F</w:t>
      </w:r>
      <w:r w:rsidR="00672CBE" w:rsidRPr="000E239C">
        <w:rPr>
          <w:rFonts w:asciiTheme="majorHAnsi" w:hAnsiTheme="majorHAnsi" w:cstheme="majorHAnsi"/>
          <w:b/>
          <w:color w:val="000000" w:themeColor="text1"/>
        </w:rPr>
        <w:t>ebruary 5</w:t>
      </w:r>
      <w:r w:rsidR="00B551F6" w:rsidRPr="000E239C">
        <w:rPr>
          <w:rFonts w:asciiTheme="majorHAnsi" w:hAnsiTheme="majorHAnsi" w:cstheme="majorHAnsi"/>
          <w:b/>
          <w:color w:val="000000" w:themeColor="text1"/>
        </w:rPr>
        <w:t>,</w:t>
      </w:r>
      <w:r w:rsidRPr="000E239C">
        <w:rPr>
          <w:rFonts w:asciiTheme="majorHAnsi" w:hAnsiTheme="majorHAnsi" w:cstheme="majorHAnsi"/>
          <w:b/>
        </w:rPr>
        <w:t xml:space="preserve"> </w:t>
      </w:r>
      <w:r w:rsidR="00CD2AC4" w:rsidRPr="000E239C">
        <w:rPr>
          <w:rFonts w:asciiTheme="majorHAnsi" w:hAnsiTheme="majorHAnsi" w:cstheme="majorHAnsi"/>
          <w:b/>
        </w:rPr>
        <w:t>202</w:t>
      </w:r>
      <w:r w:rsidR="00672CBE" w:rsidRPr="000E239C">
        <w:rPr>
          <w:rFonts w:asciiTheme="majorHAnsi" w:hAnsiTheme="majorHAnsi" w:cstheme="majorHAnsi"/>
          <w:b/>
        </w:rPr>
        <w:t>5</w:t>
      </w:r>
      <w:r w:rsidR="00CD2AC4" w:rsidRPr="000E239C">
        <w:rPr>
          <w:rFonts w:asciiTheme="majorHAnsi" w:hAnsiTheme="majorHAnsi" w:cstheme="majorHAnsi"/>
          <w:b/>
        </w:rPr>
        <w:t>,</w:t>
      </w:r>
      <w:r w:rsidRPr="000E239C">
        <w:rPr>
          <w:rFonts w:asciiTheme="majorHAnsi" w:hAnsiTheme="majorHAnsi" w:cstheme="majorHAnsi"/>
          <w:b/>
        </w:rPr>
        <w:t xml:space="preserve"> </w:t>
      </w:r>
      <w:r w:rsidRPr="000E239C">
        <w:rPr>
          <w:rFonts w:asciiTheme="majorHAnsi" w:hAnsiTheme="majorHAnsi" w:cstheme="majorHAnsi"/>
          <w:b/>
          <w:color w:val="000000" w:themeColor="text1"/>
        </w:rPr>
        <w:t>DLAC Meeting</w:t>
      </w:r>
      <w:r w:rsidR="00E65E41" w:rsidRPr="000E239C">
        <w:rPr>
          <w:rFonts w:asciiTheme="majorHAnsi" w:hAnsiTheme="majorHAnsi" w:cstheme="majorHAnsi"/>
          <w:b/>
          <w:color w:val="000000" w:themeColor="text1"/>
        </w:rPr>
        <w:t xml:space="preserve"> </w:t>
      </w:r>
      <w:r w:rsidR="00E65E41" w:rsidRPr="000E239C">
        <w:rPr>
          <w:rFonts w:asciiTheme="majorHAnsi" w:hAnsiTheme="majorHAnsi" w:cstheme="majorHAnsi"/>
          <w:color w:val="000000" w:themeColor="text1"/>
        </w:rPr>
        <w:t>(roll call)</w:t>
      </w:r>
    </w:p>
    <w:p w14:paraId="143DA80D" w14:textId="51AE4C5E" w:rsidR="006925E8" w:rsidRPr="000E239C" w:rsidRDefault="006925E8" w:rsidP="00463B18">
      <w:pPr>
        <w:spacing w:after="0" w:line="240" w:lineRule="auto"/>
        <w:ind w:left="720"/>
        <w:rPr>
          <w:rFonts w:asciiTheme="majorHAnsi" w:hAnsiTheme="majorHAnsi" w:cstheme="majorHAnsi"/>
          <w:b/>
          <w:color w:val="000000"/>
        </w:rPr>
      </w:pPr>
    </w:p>
    <w:p w14:paraId="1E325C2F" w14:textId="71E4DC49" w:rsidR="005F148E" w:rsidRPr="000E239C" w:rsidRDefault="006925E8" w:rsidP="00463B18">
      <w:pPr>
        <w:numPr>
          <w:ilvl w:val="0"/>
          <w:numId w:val="1"/>
        </w:numPr>
        <w:spacing w:after="0" w:line="240" w:lineRule="auto"/>
        <w:rPr>
          <w:rFonts w:asciiTheme="majorHAnsi" w:hAnsiTheme="majorHAnsi" w:cstheme="majorHAnsi"/>
          <w:b/>
          <w:color w:val="000000"/>
        </w:rPr>
      </w:pPr>
      <w:r w:rsidRPr="000E239C">
        <w:rPr>
          <w:rFonts w:asciiTheme="majorHAnsi" w:hAnsiTheme="majorHAnsi" w:cstheme="majorHAnsi"/>
          <w:b/>
        </w:rPr>
        <w:t xml:space="preserve">Advisory Council </w:t>
      </w:r>
      <w:r w:rsidR="003157CE" w:rsidRPr="000E239C">
        <w:rPr>
          <w:rFonts w:asciiTheme="majorHAnsi" w:hAnsiTheme="majorHAnsi" w:cstheme="majorHAnsi"/>
          <w:b/>
        </w:rPr>
        <w:t>Orientation</w:t>
      </w:r>
      <w:r w:rsidR="0071312F" w:rsidRPr="000E239C">
        <w:rPr>
          <w:rFonts w:asciiTheme="majorHAnsi" w:hAnsiTheme="majorHAnsi" w:cstheme="majorHAnsi"/>
          <w:b/>
        </w:rPr>
        <w:t xml:space="preserve"> and Reminders</w:t>
      </w:r>
      <w:r w:rsidR="005F148E" w:rsidRPr="000E239C">
        <w:rPr>
          <w:rFonts w:asciiTheme="majorHAnsi" w:hAnsiTheme="majorHAnsi" w:cstheme="majorHAnsi"/>
          <w:b/>
          <w:color w:val="000000"/>
        </w:rPr>
        <w:tab/>
      </w:r>
    </w:p>
    <w:p w14:paraId="77CE8DF2" w14:textId="679FB19F" w:rsidR="005B4ADB" w:rsidRPr="000E239C" w:rsidRDefault="33040DC6" w:rsidP="000E239C">
      <w:pPr>
        <w:spacing w:after="0" w:line="240" w:lineRule="auto"/>
        <w:ind w:left="720"/>
        <w:rPr>
          <w:rFonts w:asciiTheme="majorHAnsi" w:eastAsia="Times New Roman" w:hAnsiTheme="majorHAnsi" w:cstheme="majorBidi"/>
          <w:b/>
          <w:bCs/>
        </w:rPr>
      </w:pPr>
      <w:r w:rsidRPr="000E239C">
        <w:rPr>
          <w:rFonts w:asciiTheme="majorHAnsi" w:eastAsia="Times New Roman" w:hAnsiTheme="majorHAnsi" w:cstheme="majorBidi"/>
          <w:b/>
          <w:bCs/>
        </w:rPr>
        <w:t xml:space="preserve">FY25 </w:t>
      </w:r>
      <w:r w:rsidR="005B4ADB" w:rsidRPr="000E239C">
        <w:rPr>
          <w:rFonts w:asciiTheme="majorHAnsi" w:eastAsia="Times New Roman" w:hAnsiTheme="majorHAnsi" w:cstheme="majorBidi"/>
          <w:b/>
          <w:bCs/>
        </w:rPr>
        <w:t>DLAC Charge:</w:t>
      </w:r>
      <w:r w:rsidR="005B4ADB" w:rsidRPr="000E239C">
        <w:rPr>
          <w:rFonts w:asciiTheme="majorHAnsi" w:eastAsia="Times New Roman" w:hAnsiTheme="majorHAnsi" w:cstheme="majorBidi"/>
        </w:rPr>
        <w:t xml:space="preserve"> </w:t>
      </w:r>
      <w:r w:rsidR="005B4ADB" w:rsidRPr="000E239C">
        <w:rPr>
          <w:rFonts w:asciiTheme="majorHAnsi" w:eastAsia="Aptos" w:hAnsiTheme="majorHAnsi" w:cstheme="majorBidi"/>
          <w:color w:val="000000" w:themeColor="text1"/>
        </w:rPr>
        <w:t>The Digital Learning Advisory Council advises the Commissioner of Elementary and Secondary Education on matters pertinent to the development of digital learning in the Commonwealth. To accomplish that goal, the Council will:</w:t>
      </w:r>
    </w:p>
    <w:p w14:paraId="4A287F24" w14:textId="77777777" w:rsidR="005B4ADB" w:rsidRPr="00E61B87" w:rsidRDefault="005B4ADB" w:rsidP="000E239C">
      <w:pPr>
        <w:pStyle w:val="ListParagraph"/>
        <w:numPr>
          <w:ilvl w:val="1"/>
          <w:numId w:val="44"/>
        </w:numPr>
        <w:rPr>
          <w:rFonts w:asciiTheme="majorHAnsi" w:eastAsia="Aptos" w:hAnsiTheme="majorHAnsi" w:cstheme="majorHAnsi"/>
          <w:bCs/>
        </w:rPr>
      </w:pPr>
      <w:r w:rsidRPr="00E61B87">
        <w:rPr>
          <w:rFonts w:asciiTheme="majorHAnsi" w:eastAsia="Aptos" w:hAnsiTheme="majorHAnsi" w:cstheme="majorHAnsi"/>
          <w:bCs/>
        </w:rPr>
        <w:t>Look at how digital learning aligns with</w:t>
      </w:r>
      <w:r w:rsidRPr="00E61B87">
        <w:rPr>
          <w:rFonts w:asciiTheme="majorHAnsi" w:eastAsia="Aptos" w:hAnsiTheme="majorHAnsi" w:cstheme="majorHAnsi"/>
          <w:bCs/>
          <w:color w:val="000000" w:themeColor="text1"/>
        </w:rPr>
        <w:t xml:space="preserve"> the Department’s</w:t>
      </w:r>
      <w:r w:rsidRPr="00E61B87">
        <w:rPr>
          <w:rFonts w:asciiTheme="majorHAnsi" w:eastAsia="Aptos" w:hAnsiTheme="majorHAnsi" w:cstheme="majorHAnsi"/>
          <w:bCs/>
        </w:rPr>
        <w:t xml:space="preserve"> educational vision and three strategic objectives.</w:t>
      </w:r>
    </w:p>
    <w:p w14:paraId="0EA2563B" w14:textId="77777777" w:rsidR="005B4ADB" w:rsidRPr="00E61B87" w:rsidRDefault="005B4ADB" w:rsidP="000E239C">
      <w:pPr>
        <w:pStyle w:val="ListParagraph"/>
        <w:numPr>
          <w:ilvl w:val="1"/>
          <w:numId w:val="44"/>
        </w:numPr>
        <w:rPr>
          <w:rFonts w:asciiTheme="majorHAnsi" w:eastAsia="Aptos" w:hAnsiTheme="majorHAnsi" w:cstheme="majorHAnsi"/>
        </w:rPr>
      </w:pPr>
      <w:r w:rsidRPr="00E61B87">
        <w:rPr>
          <w:rFonts w:asciiTheme="majorHAnsi" w:eastAsia="Aptos" w:hAnsiTheme="majorHAnsi" w:cstheme="majorHAnsi"/>
        </w:rPr>
        <w:t>Advise regarding virtual schools, education technology and other matters related to virtual education, including, but not limited to, recommendations for best practices to encourage online education to complement classroom instruction in district schools; and,</w:t>
      </w:r>
    </w:p>
    <w:p w14:paraId="04D2DA39" w14:textId="77777777" w:rsidR="005B4ADB" w:rsidRPr="000E239C" w:rsidRDefault="005B4ADB" w:rsidP="005B4ADB">
      <w:pPr>
        <w:pStyle w:val="ListParagraph"/>
        <w:numPr>
          <w:ilvl w:val="1"/>
          <w:numId w:val="44"/>
        </w:numPr>
        <w:rPr>
          <w:rFonts w:asciiTheme="majorHAnsi" w:eastAsia="Aptos" w:hAnsiTheme="majorHAnsi" w:cstheme="majorHAnsi"/>
        </w:rPr>
      </w:pPr>
      <w:r w:rsidRPr="00E61B87">
        <w:rPr>
          <w:rFonts w:asciiTheme="majorHAnsi" w:eastAsia="Aptos Narrow" w:hAnsiTheme="majorHAnsi" w:cstheme="majorHAnsi"/>
          <w:color w:val="000000" w:themeColor="text1"/>
        </w:rPr>
        <w:t xml:space="preserve">Provide additional programmatic recommendations, </w:t>
      </w:r>
      <w:r w:rsidRPr="00E61B87">
        <w:rPr>
          <w:rFonts w:asciiTheme="majorHAnsi" w:eastAsia="Aptos" w:hAnsiTheme="majorHAnsi" w:cstheme="majorHAnsi"/>
          <w:color w:val="000000" w:themeColor="text1"/>
        </w:rPr>
        <w:t xml:space="preserve">as it deems necessary, to fulfill the goals established by the Board and align with the Department’s </w:t>
      </w:r>
      <w:hyperlink r:id="rId12">
        <w:r w:rsidRPr="00E61B87">
          <w:rPr>
            <w:rStyle w:val="Hyperlink"/>
            <w:rFonts w:asciiTheme="majorHAnsi" w:eastAsia="Aptos" w:hAnsiTheme="majorHAnsi" w:cstheme="majorHAnsi"/>
          </w:rPr>
          <w:t>Educational Vision</w:t>
        </w:r>
      </w:hyperlink>
      <w:r w:rsidRPr="00E61B87">
        <w:rPr>
          <w:rFonts w:asciiTheme="majorHAnsi" w:eastAsia="Aptos" w:hAnsiTheme="majorHAnsi" w:cstheme="majorHAnsi"/>
          <w:color w:val="000000" w:themeColor="text1"/>
        </w:rPr>
        <w:t xml:space="preserve"> and </w:t>
      </w:r>
      <w:hyperlink r:id="rId13">
        <w:r w:rsidRPr="00E61B87">
          <w:rPr>
            <w:rStyle w:val="Hyperlink"/>
            <w:rFonts w:asciiTheme="majorHAnsi" w:eastAsia="Aptos" w:hAnsiTheme="majorHAnsi" w:cstheme="majorHAnsi"/>
          </w:rPr>
          <w:t>Strategic Objectives.</w:t>
        </w:r>
      </w:hyperlink>
    </w:p>
    <w:p w14:paraId="6C3F17DE" w14:textId="77777777" w:rsidR="005B4ADB" w:rsidRPr="00E61B87" w:rsidRDefault="005B4ADB" w:rsidP="000E239C">
      <w:pPr>
        <w:pStyle w:val="ListParagraph"/>
        <w:ind w:left="1800"/>
        <w:rPr>
          <w:rFonts w:asciiTheme="majorHAnsi" w:eastAsia="Aptos" w:hAnsiTheme="majorHAnsi" w:cstheme="majorHAnsi"/>
        </w:rPr>
      </w:pPr>
    </w:p>
    <w:p w14:paraId="66F3F11B" w14:textId="6931790A" w:rsidR="00E50B6B" w:rsidRPr="000E239C" w:rsidRDefault="004333B1" w:rsidP="5F57138A">
      <w:pPr>
        <w:pStyle w:val="ListParagraph"/>
        <w:numPr>
          <w:ilvl w:val="0"/>
          <w:numId w:val="1"/>
        </w:numPr>
        <w:spacing w:after="0" w:line="240" w:lineRule="auto"/>
        <w:rPr>
          <w:rFonts w:asciiTheme="majorHAnsi" w:eastAsia="Times New Roman" w:hAnsiTheme="majorHAnsi" w:cstheme="majorBidi"/>
          <w:b/>
          <w:bCs/>
        </w:rPr>
      </w:pPr>
      <w:r w:rsidRPr="000E239C">
        <w:rPr>
          <w:rFonts w:asciiTheme="majorHAnsi" w:eastAsia="Times New Roman" w:hAnsiTheme="majorHAnsi" w:cstheme="majorBidi"/>
          <w:b/>
          <w:bCs/>
        </w:rPr>
        <w:lastRenderedPageBreak/>
        <w:t xml:space="preserve">DLAC </w:t>
      </w:r>
      <w:r w:rsidR="002B1FFE" w:rsidRPr="000E239C">
        <w:rPr>
          <w:rFonts w:asciiTheme="majorHAnsi" w:eastAsia="Times New Roman" w:hAnsiTheme="majorHAnsi" w:cstheme="majorBidi"/>
          <w:b/>
          <w:bCs/>
        </w:rPr>
        <w:t>D</w:t>
      </w:r>
      <w:r w:rsidRPr="000E239C">
        <w:rPr>
          <w:rFonts w:asciiTheme="majorHAnsi" w:eastAsia="Times New Roman" w:hAnsiTheme="majorHAnsi" w:cstheme="majorBidi"/>
          <w:b/>
          <w:bCs/>
        </w:rPr>
        <w:t>iscussion</w:t>
      </w:r>
      <w:r w:rsidR="00410BD2" w:rsidRPr="000E239C">
        <w:rPr>
          <w:rFonts w:asciiTheme="majorHAnsi" w:eastAsia="Times New Roman" w:hAnsiTheme="majorHAnsi" w:cstheme="majorBidi"/>
          <w:b/>
          <w:bCs/>
        </w:rPr>
        <w:t xml:space="preserve"> – Annual Report </w:t>
      </w:r>
      <w:r w:rsidR="002B1FFE" w:rsidRPr="000E239C">
        <w:rPr>
          <w:rFonts w:asciiTheme="majorHAnsi" w:eastAsia="Times New Roman" w:hAnsiTheme="majorHAnsi" w:cstheme="majorBidi"/>
          <w:b/>
          <w:bCs/>
        </w:rPr>
        <w:t xml:space="preserve">Council </w:t>
      </w:r>
      <w:r w:rsidR="00410BD2" w:rsidRPr="000E239C">
        <w:rPr>
          <w:rFonts w:asciiTheme="majorHAnsi" w:eastAsia="Times New Roman" w:hAnsiTheme="majorHAnsi" w:cstheme="majorBidi"/>
          <w:b/>
          <w:bCs/>
        </w:rPr>
        <w:t>Recommendations</w:t>
      </w:r>
      <w:r w:rsidR="73CBFA9D" w:rsidRPr="000E239C">
        <w:rPr>
          <w:rFonts w:asciiTheme="majorHAnsi" w:eastAsia="Times New Roman" w:hAnsiTheme="majorHAnsi" w:cstheme="majorBidi"/>
          <w:b/>
          <w:bCs/>
        </w:rPr>
        <w:t xml:space="preserve"> </w:t>
      </w:r>
    </w:p>
    <w:p w14:paraId="1611C86B" w14:textId="3B81F755" w:rsidR="00840950" w:rsidRPr="000E239C" w:rsidRDefault="5671B975" w:rsidP="00840950">
      <w:pPr>
        <w:pStyle w:val="ListParagraph"/>
        <w:numPr>
          <w:ilvl w:val="1"/>
          <w:numId w:val="1"/>
        </w:numPr>
        <w:rPr>
          <w:rFonts w:asciiTheme="majorHAnsi" w:eastAsia="Times New Roman" w:hAnsiTheme="majorHAnsi" w:cstheme="majorBidi"/>
        </w:rPr>
      </w:pPr>
      <w:r w:rsidRPr="000E239C">
        <w:rPr>
          <w:rFonts w:asciiTheme="majorHAnsi" w:eastAsia="Times New Roman" w:hAnsiTheme="majorHAnsi" w:cstheme="majorBidi"/>
        </w:rPr>
        <w:t>Each year, the DLAC provides recommendations to the Commissioner and Board of Elementary and Secondary Education. These recommendations are captured in the DLAC’s Annual Report due by June.</w:t>
      </w:r>
      <w:r w:rsidR="00037071" w:rsidRPr="000E239C">
        <w:rPr>
          <w:rFonts w:asciiTheme="majorHAnsi" w:eastAsia="Times New Roman" w:hAnsiTheme="majorHAnsi" w:cstheme="majorBidi"/>
        </w:rPr>
        <w:t xml:space="preserve"> </w:t>
      </w:r>
      <w:r w:rsidR="00840950" w:rsidRPr="000E239C">
        <w:rPr>
          <w:rFonts w:asciiTheme="majorHAnsi" w:eastAsia="Times New Roman" w:hAnsiTheme="majorHAnsi" w:cstheme="majorBidi"/>
        </w:rPr>
        <w:t xml:space="preserve">At our last meeting we explored and unpacked some of the issues related to the FY25 DLAC Charge, and </w:t>
      </w:r>
      <w:r w:rsidR="001343C5" w:rsidRPr="000E239C">
        <w:rPr>
          <w:rFonts w:asciiTheme="majorHAnsi" w:eastAsia="Times New Roman" w:hAnsiTheme="majorHAnsi" w:cstheme="majorBidi"/>
        </w:rPr>
        <w:t>today we will refine these i</w:t>
      </w:r>
      <w:r w:rsidR="00840950" w:rsidRPr="000E239C">
        <w:rPr>
          <w:rFonts w:asciiTheme="majorHAnsi" w:eastAsia="Times New Roman" w:hAnsiTheme="majorHAnsi" w:cstheme="majorBidi"/>
        </w:rPr>
        <w:t xml:space="preserve">deas and potential recommendations for the Department of Elementary and Secondary Education. </w:t>
      </w:r>
    </w:p>
    <w:p w14:paraId="508235D8" w14:textId="77777777" w:rsidR="00417AD3" w:rsidRPr="00E61B87" w:rsidRDefault="00417AD3" w:rsidP="00417AD3">
      <w:pPr>
        <w:pStyle w:val="ListParagraph"/>
        <w:spacing w:after="0"/>
        <w:rPr>
          <w:rFonts w:eastAsia="Aptos"/>
          <w:b/>
        </w:rPr>
      </w:pPr>
    </w:p>
    <w:p w14:paraId="5D49A68F" w14:textId="58DAB87B" w:rsidR="00417AD3" w:rsidRPr="00E61B87" w:rsidRDefault="00417AD3" w:rsidP="5F57138A">
      <w:pPr>
        <w:pStyle w:val="ListParagraph"/>
        <w:numPr>
          <w:ilvl w:val="0"/>
          <w:numId w:val="40"/>
        </w:numPr>
        <w:spacing w:after="0"/>
        <w:rPr>
          <w:rFonts w:eastAsia="Aptos"/>
          <w:b/>
          <w:bCs/>
        </w:rPr>
      </w:pPr>
      <w:r w:rsidRPr="72B19BE2">
        <w:rPr>
          <w:rFonts w:eastAsia="Aptos"/>
          <w:b/>
          <w:bCs/>
        </w:rPr>
        <w:t>Please review the table below to help refine recommendations for DESE</w:t>
      </w:r>
      <w:r w:rsidR="36487E18" w:rsidRPr="72B19BE2">
        <w:rPr>
          <w:rFonts w:eastAsia="Aptos"/>
          <w:b/>
          <w:bCs/>
        </w:rPr>
        <w:t>, the Commissioner, and the Board</w:t>
      </w:r>
      <w:r w:rsidRPr="72B19BE2">
        <w:rPr>
          <w:rFonts w:eastAsia="Aptos"/>
          <w:b/>
          <w:bCs/>
        </w:rPr>
        <w:t xml:space="preserve">. </w:t>
      </w:r>
      <w:r w:rsidR="43B242F5" w:rsidRPr="72B19BE2">
        <w:rPr>
          <w:rFonts w:eastAsia="Aptos"/>
          <w:b/>
          <w:bCs/>
        </w:rPr>
        <w:t xml:space="preserve">The group can also identify if certain suggestions are more appropriate for LEAs or other stakeholders to implement. </w:t>
      </w:r>
    </w:p>
    <w:p w14:paraId="4D6E3DC9" w14:textId="77777777" w:rsidR="002B1FFE" w:rsidRPr="00E61B87" w:rsidRDefault="002B1FFE" w:rsidP="002B1FFE">
      <w:pPr>
        <w:spacing w:after="0"/>
        <w:rPr>
          <w:rFonts w:eastAsia="Aptos"/>
          <w:b/>
        </w:rPr>
      </w:pPr>
    </w:p>
    <w:tbl>
      <w:tblPr>
        <w:tblStyle w:val="TableGrid"/>
        <w:tblW w:w="13135" w:type="dxa"/>
        <w:tblLook w:val="04A0" w:firstRow="1" w:lastRow="0" w:firstColumn="1" w:lastColumn="0" w:noHBand="0" w:noVBand="1"/>
      </w:tblPr>
      <w:tblGrid>
        <w:gridCol w:w="4405"/>
        <w:gridCol w:w="2790"/>
        <w:gridCol w:w="3240"/>
        <w:gridCol w:w="2700"/>
      </w:tblGrid>
      <w:tr w:rsidR="00A82D56" w:rsidRPr="00E61B87" w14:paraId="1BBC36B7" w14:textId="77777777" w:rsidTr="72B19BE2">
        <w:tc>
          <w:tcPr>
            <w:tcW w:w="13135" w:type="dxa"/>
            <w:gridSpan w:val="4"/>
            <w:tcBorders>
              <w:bottom w:val="single" w:sz="4" w:space="0" w:color="auto"/>
            </w:tcBorders>
            <w:shd w:val="clear" w:color="auto" w:fill="E1EBF7"/>
          </w:tcPr>
          <w:p w14:paraId="58A06129" w14:textId="77777777" w:rsidR="00A82D56" w:rsidRPr="00E61B87" w:rsidRDefault="00A82D56" w:rsidP="00CE4290">
            <w:pPr>
              <w:rPr>
                <w:rFonts w:eastAsia="Aptos"/>
                <w:b/>
                <w:bCs/>
                <w:u w:val="single"/>
              </w:rPr>
            </w:pPr>
            <w:bookmarkStart w:id="1" w:name="_Hlk196820919"/>
            <w:r w:rsidRPr="00E61B87">
              <w:rPr>
                <w:rFonts w:eastAsia="Aptos"/>
                <w:b/>
                <w:bCs/>
              </w:rPr>
              <w:t>Strategic Objective #1 Whole Student</w:t>
            </w:r>
          </w:p>
        </w:tc>
      </w:tr>
      <w:tr w:rsidR="00A82D56" w:rsidRPr="00E61B87" w14:paraId="2984AF31" w14:textId="77777777" w:rsidTr="72B19BE2">
        <w:tc>
          <w:tcPr>
            <w:tcW w:w="4405" w:type="dxa"/>
            <w:shd w:val="clear" w:color="auto" w:fill="F2DBDB" w:themeFill="accent2" w:themeFillTint="33"/>
          </w:tcPr>
          <w:p w14:paraId="1E8BD5A3" w14:textId="41A40E6A" w:rsidR="00A82D56" w:rsidRPr="00E61B87" w:rsidRDefault="2949EB28" w:rsidP="00CE4290">
            <w:pPr>
              <w:rPr>
                <w:rFonts w:eastAsia="Aptos"/>
                <w:b/>
                <w:bCs/>
              </w:rPr>
            </w:pPr>
            <w:r w:rsidRPr="72B19BE2">
              <w:rPr>
                <w:rFonts w:eastAsia="Aptos"/>
                <w:b/>
                <w:bCs/>
              </w:rPr>
              <w:t>Ed Tech Integration</w:t>
            </w:r>
            <w:r w:rsidR="37905AD3" w:rsidRPr="72B19BE2">
              <w:rPr>
                <w:rFonts w:eastAsia="Aptos"/>
                <w:b/>
                <w:bCs/>
              </w:rPr>
              <w:t xml:space="preserve"> Suggestions</w:t>
            </w:r>
            <w:r w:rsidRPr="72B19BE2">
              <w:rPr>
                <w:rFonts w:eastAsia="Aptos"/>
                <w:b/>
                <w:bCs/>
              </w:rPr>
              <w:t xml:space="preserve">: </w:t>
            </w:r>
          </w:p>
        </w:tc>
        <w:tc>
          <w:tcPr>
            <w:tcW w:w="2790" w:type="dxa"/>
            <w:shd w:val="clear" w:color="auto" w:fill="F2DBDB" w:themeFill="accent2" w:themeFillTint="33"/>
          </w:tcPr>
          <w:p w14:paraId="758F88CE" w14:textId="5D02AACF" w:rsidR="00A82D56" w:rsidRPr="00E61B87" w:rsidRDefault="2949EB28" w:rsidP="00CE4290">
            <w:pPr>
              <w:rPr>
                <w:rFonts w:eastAsia="Aptos"/>
                <w:b/>
                <w:bCs/>
              </w:rPr>
            </w:pPr>
            <w:r w:rsidRPr="72B19BE2">
              <w:rPr>
                <w:rFonts w:eastAsia="Aptos"/>
                <w:b/>
                <w:bCs/>
              </w:rPr>
              <w:t>Local District Sphere</w:t>
            </w:r>
            <w:r w:rsidR="4DFCD0CE" w:rsidRPr="72B19BE2">
              <w:rPr>
                <w:rFonts w:eastAsia="Aptos"/>
                <w:b/>
                <w:bCs/>
              </w:rPr>
              <w:t xml:space="preserve"> of Influence</w:t>
            </w:r>
            <w:r w:rsidRPr="72B19BE2">
              <w:rPr>
                <w:rFonts w:eastAsia="Aptos"/>
                <w:b/>
                <w:bCs/>
              </w:rPr>
              <w:t>/Actions</w:t>
            </w:r>
          </w:p>
        </w:tc>
        <w:tc>
          <w:tcPr>
            <w:tcW w:w="3240" w:type="dxa"/>
            <w:shd w:val="clear" w:color="auto" w:fill="F2DBDB" w:themeFill="accent2" w:themeFillTint="33"/>
          </w:tcPr>
          <w:p w14:paraId="1E8048B0" w14:textId="2216FAFC" w:rsidR="00A82D56" w:rsidRPr="00E61B87" w:rsidRDefault="2949EB28" w:rsidP="00CE4290">
            <w:pPr>
              <w:rPr>
                <w:rFonts w:eastAsia="Aptos"/>
                <w:b/>
                <w:bCs/>
              </w:rPr>
            </w:pPr>
            <w:r w:rsidRPr="72B19BE2">
              <w:rPr>
                <w:rFonts w:eastAsia="Aptos"/>
                <w:b/>
                <w:bCs/>
              </w:rPr>
              <w:t>DESE Sphere of Influence/</w:t>
            </w:r>
            <w:r w:rsidR="7654029D" w:rsidRPr="72B19BE2">
              <w:rPr>
                <w:rFonts w:eastAsia="Aptos"/>
                <w:b/>
                <w:bCs/>
              </w:rPr>
              <w:t xml:space="preserve">Recommendations </w:t>
            </w:r>
            <w:r w:rsidRPr="72B19BE2">
              <w:rPr>
                <w:rFonts w:eastAsia="Aptos"/>
                <w:b/>
                <w:bCs/>
              </w:rPr>
              <w:t>Actions (guidance, regulations, “bully pulpit”</w:t>
            </w:r>
            <w:r w:rsidR="2CE2CBF2" w:rsidRPr="72B19BE2">
              <w:rPr>
                <w:rFonts w:eastAsia="Aptos"/>
                <w:b/>
                <w:bCs/>
              </w:rPr>
              <w:t>/information sharing</w:t>
            </w:r>
            <w:r w:rsidRPr="72B19BE2">
              <w:rPr>
                <w:rFonts w:eastAsia="Aptos"/>
                <w:b/>
                <w:bCs/>
              </w:rPr>
              <w:t>, grantmaking)</w:t>
            </w:r>
          </w:p>
        </w:tc>
        <w:tc>
          <w:tcPr>
            <w:tcW w:w="2700" w:type="dxa"/>
            <w:shd w:val="clear" w:color="auto" w:fill="F2DBDB" w:themeFill="accent2" w:themeFillTint="33"/>
          </w:tcPr>
          <w:p w14:paraId="3A715989" w14:textId="77777777" w:rsidR="00A82D56" w:rsidRPr="00E61B87" w:rsidRDefault="00A82D56" w:rsidP="00CE4290">
            <w:pPr>
              <w:rPr>
                <w:rFonts w:eastAsia="Aptos"/>
                <w:b/>
                <w:bCs/>
              </w:rPr>
            </w:pPr>
            <w:r w:rsidRPr="00E61B87">
              <w:rPr>
                <w:rFonts w:eastAsia="Aptos"/>
                <w:b/>
                <w:bCs/>
              </w:rPr>
              <w:t>Community/third parties Sphere of influence/Actions</w:t>
            </w:r>
          </w:p>
        </w:tc>
      </w:tr>
      <w:bookmarkEnd w:id="1"/>
      <w:tr w:rsidR="00A82D56" w:rsidRPr="00E61B87" w14:paraId="7DCFB3AF" w14:textId="77777777" w:rsidTr="72B19BE2">
        <w:tc>
          <w:tcPr>
            <w:tcW w:w="4405" w:type="dxa"/>
          </w:tcPr>
          <w:p w14:paraId="6241BD25" w14:textId="0009D19E" w:rsidR="00A82D56" w:rsidRPr="00E61B87" w:rsidRDefault="00A82D56" w:rsidP="00A82D56">
            <w:pPr>
              <w:pStyle w:val="ListParagraph"/>
              <w:numPr>
                <w:ilvl w:val="0"/>
                <w:numId w:val="34"/>
              </w:numPr>
              <w:ind w:left="330" w:hanging="270"/>
              <w:rPr>
                <w:rFonts w:eastAsia="Aptos"/>
              </w:rPr>
            </w:pPr>
            <w:r w:rsidRPr="00E61B87">
              <w:rPr>
                <w:rFonts w:eastAsia="Aptos"/>
              </w:rPr>
              <w:t xml:space="preserve">Leverage familiar </w:t>
            </w:r>
            <w:r w:rsidR="00B07481" w:rsidRPr="00E61B87">
              <w:rPr>
                <w:rFonts w:eastAsia="Aptos"/>
              </w:rPr>
              <w:t xml:space="preserve">software </w:t>
            </w:r>
            <w:r w:rsidRPr="00E61B87">
              <w:rPr>
                <w:rFonts w:eastAsia="Aptos"/>
              </w:rPr>
              <w:t xml:space="preserve">tools </w:t>
            </w:r>
          </w:p>
        </w:tc>
        <w:tc>
          <w:tcPr>
            <w:tcW w:w="2790" w:type="dxa"/>
          </w:tcPr>
          <w:p w14:paraId="0F022630" w14:textId="77777777" w:rsidR="00A82D56" w:rsidRPr="00E61B87" w:rsidRDefault="00A82D56" w:rsidP="00CE4290">
            <w:pPr>
              <w:pStyle w:val="ListParagraph"/>
              <w:rPr>
                <w:rFonts w:eastAsia="Aptos"/>
              </w:rPr>
            </w:pPr>
          </w:p>
        </w:tc>
        <w:tc>
          <w:tcPr>
            <w:tcW w:w="3240" w:type="dxa"/>
          </w:tcPr>
          <w:p w14:paraId="607FA892" w14:textId="77777777" w:rsidR="00A82D56" w:rsidRPr="00E61B87" w:rsidRDefault="00A82D56" w:rsidP="00CE4290">
            <w:pPr>
              <w:pStyle w:val="ListParagraph"/>
              <w:rPr>
                <w:rFonts w:eastAsia="Aptos"/>
              </w:rPr>
            </w:pPr>
          </w:p>
        </w:tc>
        <w:tc>
          <w:tcPr>
            <w:tcW w:w="2700" w:type="dxa"/>
          </w:tcPr>
          <w:p w14:paraId="1C72DE87" w14:textId="77777777" w:rsidR="00A82D56" w:rsidRPr="00E61B87" w:rsidRDefault="00A82D56" w:rsidP="00CE4290">
            <w:pPr>
              <w:pStyle w:val="ListParagraph"/>
              <w:rPr>
                <w:rFonts w:eastAsia="Aptos"/>
              </w:rPr>
            </w:pPr>
          </w:p>
        </w:tc>
      </w:tr>
      <w:tr w:rsidR="00A82D56" w:rsidRPr="00E61B87" w14:paraId="2BCB3970" w14:textId="77777777" w:rsidTr="72B19BE2">
        <w:tc>
          <w:tcPr>
            <w:tcW w:w="4405" w:type="dxa"/>
          </w:tcPr>
          <w:p w14:paraId="242D4E31" w14:textId="58FE6D55" w:rsidR="00A82D56" w:rsidRPr="00E61B87" w:rsidRDefault="00A82D56" w:rsidP="00A82D56">
            <w:pPr>
              <w:pStyle w:val="ListParagraph"/>
              <w:numPr>
                <w:ilvl w:val="0"/>
                <w:numId w:val="34"/>
              </w:numPr>
              <w:ind w:left="330" w:hanging="270"/>
              <w:rPr>
                <w:rFonts w:eastAsia="Aptos"/>
              </w:rPr>
            </w:pPr>
            <w:r w:rsidRPr="00E61B87">
              <w:rPr>
                <w:rFonts w:eastAsia="Aptos"/>
              </w:rPr>
              <w:t>Develop a cohesive, statewide approach to digital citizenship education</w:t>
            </w:r>
          </w:p>
        </w:tc>
        <w:tc>
          <w:tcPr>
            <w:tcW w:w="2790" w:type="dxa"/>
          </w:tcPr>
          <w:p w14:paraId="791D6CF6" w14:textId="77777777" w:rsidR="00A82D56" w:rsidRPr="00E61B87" w:rsidRDefault="00A82D56" w:rsidP="00CE4290">
            <w:pPr>
              <w:pStyle w:val="ListParagraph"/>
              <w:rPr>
                <w:rFonts w:eastAsia="Aptos"/>
              </w:rPr>
            </w:pPr>
          </w:p>
        </w:tc>
        <w:tc>
          <w:tcPr>
            <w:tcW w:w="3240" w:type="dxa"/>
          </w:tcPr>
          <w:p w14:paraId="78EA1E49" w14:textId="43A618A0" w:rsidR="00A82D56" w:rsidRPr="00E61B87" w:rsidRDefault="6A4B3978" w:rsidP="0E14146B">
            <w:pPr>
              <w:pStyle w:val="ListParagraph"/>
              <w:ind w:left="0"/>
              <w:rPr>
                <w:rFonts w:eastAsia="Aptos"/>
              </w:rPr>
            </w:pPr>
            <w:r w:rsidRPr="00E61B87">
              <w:rPr>
                <w:rFonts w:eastAsia="Aptos"/>
              </w:rPr>
              <w:t>CIS team, DLCS standards</w:t>
            </w:r>
          </w:p>
        </w:tc>
        <w:tc>
          <w:tcPr>
            <w:tcW w:w="2700" w:type="dxa"/>
          </w:tcPr>
          <w:p w14:paraId="4898DFB7" w14:textId="77777777" w:rsidR="00A82D56" w:rsidRPr="00E61B87" w:rsidRDefault="00A82D56" w:rsidP="00CE4290">
            <w:pPr>
              <w:pStyle w:val="ListParagraph"/>
              <w:rPr>
                <w:rFonts w:eastAsia="Aptos"/>
              </w:rPr>
            </w:pPr>
          </w:p>
        </w:tc>
      </w:tr>
      <w:tr w:rsidR="00A82D56" w:rsidRPr="00E61B87" w14:paraId="6573A5C0" w14:textId="77777777" w:rsidTr="72B19BE2">
        <w:tc>
          <w:tcPr>
            <w:tcW w:w="4405" w:type="dxa"/>
          </w:tcPr>
          <w:p w14:paraId="2E673BE1" w14:textId="77777777" w:rsidR="00A82D56" w:rsidRPr="00E61B87" w:rsidRDefault="00A82D56" w:rsidP="00A82D56">
            <w:pPr>
              <w:pStyle w:val="ListParagraph"/>
              <w:numPr>
                <w:ilvl w:val="0"/>
                <w:numId w:val="34"/>
              </w:numPr>
              <w:ind w:left="330" w:hanging="270"/>
              <w:rPr>
                <w:rFonts w:eastAsia="Aptos"/>
              </w:rPr>
            </w:pPr>
            <w:r w:rsidRPr="00E61B87">
              <w:rPr>
                <w:rFonts w:eastAsia="Aptos"/>
              </w:rPr>
              <w:t xml:space="preserve">Integrate Ed Tech with blended and virtual learning, not as a separate entity </w:t>
            </w:r>
          </w:p>
        </w:tc>
        <w:tc>
          <w:tcPr>
            <w:tcW w:w="2790" w:type="dxa"/>
          </w:tcPr>
          <w:p w14:paraId="4970F770" w14:textId="77777777" w:rsidR="00A82D56" w:rsidRPr="00E61B87" w:rsidRDefault="00A82D56" w:rsidP="00CE4290">
            <w:pPr>
              <w:pStyle w:val="ListParagraph"/>
              <w:rPr>
                <w:rFonts w:eastAsia="Aptos"/>
              </w:rPr>
            </w:pPr>
          </w:p>
        </w:tc>
        <w:tc>
          <w:tcPr>
            <w:tcW w:w="3240" w:type="dxa"/>
          </w:tcPr>
          <w:p w14:paraId="0DD14F38" w14:textId="77777777" w:rsidR="00A82D56" w:rsidRPr="00E61B87" w:rsidRDefault="00A82D56" w:rsidP="00CE4290">
            <w:pPr>
              <w:pStyle w:val="ListParagraph"/>
              <w:rPr>
                <w:rFonts w:eastAsia="Aptos"/>
              </w:rPr>
            </w:pPr>
          </w:p>
        </w:tc>
        <w:tc>
          <w:tcPr>
            <w:tcW w:w="2700" w:type="dxa"/>
          </w:tcPr>
          <w:p w14:paraId="31D8CE6B" w14:textId="77777777" w:rsidR="00A82D56" w:rsidRPr="00E61B87" w:rsidRDefault="00A82D56" w:rsidP="00CE4290">
            <w:pPr>
              <w:pStyle w:val="ListParagraph"/>
              <w:rPr>
                <w:rFonts w:eastAsia="Aptos"/>
              </w:rPr>
            </w:pPr>
          </w:p>
        </w:tc>
      </w:tr>
      <w:tr w:rsidR="00A82D56" w:rsidRPr="00E61B87" w14:paraId="79C77E2A" w14:textId="77777777" w:rsidTr="72B19BE2">
        <w:tc>
          <w:tcPr>
            <w:tcW w:w="4405" w:type="dxa"/>
          </w:tcPr>
          <w:p w14:paraId="20AAB083" w14:textId="7889C92A" w:rsidR="00A82D56" w:rsidRPr="00E61B87" w:rsidRDefault="05E2EF01" w:rsidP="00A82D56">
            <w:pPr>
              <w:pStyle w:val="ListParagraph"/>
              <w:numPr>
                <w:ilvl w:val="0"/>
                <w:numId w:val="34"/>
              </w:numPr>
              <w:ind w:left="330" w:hanging="270"/>
              <w:rPr>
                <w:rFonts w:eastAsia="Aptos"/>
              </w:rPr>
            </w:pPr>
            <w:r w:rsidRPr="00E61B87">
              <w:rPr>
                <w:rFonts w:eastAsia="Aptos"/>
              </w:rPr>
              <w:t>D</w:t>
            </w:r>
            <w:r w:rsidR="4025E60E" w:rsidRPr="00E61B87">
              <w:rPr>
                <w:rFonts w:eastAsia="Aptos"/>
              </w:rPr>
              <w:t>LCS educator</w:t>
            </w:r>
            <w:r w:rsidR="10621C37" w:rsidRPr="00E61B87">
              <w:rPr>
                <w:rFonts w:eastAsia="Aptos"/>
              </w:rPr>
              <w:t>s</w:t>
            </w:r>
            <w:r w:rsidR="4025E60E" w:rsidRPr="00E61B87">
              <w:rPr>
                <w:rFonts w:eastAsia="Aptos"/>
              </w:rPr>
              <w:t xml:space="preserve"> </w:t>
            </w:r>
          </w:p>
        </w:tc>
        <w:tc>
          <w:tcPr>
            <w:tcW w:w="2790" w:type="dxa"/>
          </w:tcPr>
          <w:p w14:paraId="4F424B6F" w14:textId="77777777" w:rsidR="00A82D56" w:rsidRPr="00E61B87" w:rsidRDefault="00A82D56" w:rsidP="00CE4290">
            <w:pPr>
              <w:pStyle w:val="ListParagraph"/>
              <w:rPr>
                <w:rFonts w:eastAsia="Aptos"/>
              </w:rPr>
            </w:pPr>
          </w:p>
        </w:tc>
        <w:tc>
          <w:tcPr>
            <w:tcW w:w="3240" w:type="dxa"/>
          </w:tcPr>
          <w:p w14:paraId="016538C3" w14:textId="43A618A0" w:rsidR="00A82D56" w:rsidRPr="00E61B87" w:rsidRDefault="06F645E3" w:rsidP="0E14146B">
            <w:pPr>
              <w:pStyle w:val="ListParagraph"/>
              <w:ind w:left="0"/>
              <w:rPr>
                <w:rFonts w:eastAsia="Aptos"/>
              </w:rPr>
            </w:pPr>
            <w:r w:rsidRPr="00E61B87">
              <w:rPr>
                <w:rFonts w:eastAsia="Aptos"/>
              </w:rPr>
              <w:t>CIS team, DLCS standards</w:t>
            </w:r>
          </w:p>
          <w:p w14:paraId="3D54C3DB" w14:textId="7AADF37F" w:rsidR="00A82D56" w:rsidRPr="00E61B87" w:rsidRDefault="00A82D56" w:rsidP="00CE4290">
            <w:pPr>
              <w:pStyle w:val="ListParagraph"/>
              <w:rPr>
                <w:rFonts w:eastAsia="Aptos"/>
              </w:rPr>
            </w:pPr>
          </w:p>
        </w:tc>
        <w:tc>
          <w:tcPr>
            <w:tcW w:w="2700" w:type="dxa"/>
          </w:tcPr>
          <w:p w14:paraId="77EA7CED" w14:textId="77777777" w:rsidR="00A82D56" w:rsidRPr="00E61B87" w:rsidRDefault="00A82D56" w:rsidP="00CE4290">
            <w:pPr>
              <w:pStyle w:val="ListParagraph"/>
              <w:rPr>
                <w:rFonts w:eastAsia="Aptos"/>
              </w:rPr>
            </w:pPr>
          </w:p>
        </w:tc>
      </w:tr>
      <w:tr w:rsidR="00A82D56" w:rsidRPr="00E61B87" w14:paraId="51F36A65" w14:textId="77777777" w:rsidTr="72B19BE2">
        <w:tc>
          <w:tcPr>
            <w:tcW w:w="4405" w:type="dxa"/>
          </w:tcPr>
          <w:p w14:paraId="75400B03" w14:textId="77777777" w:rsidR="00A82D56" w:rsidRPr="00E61B87" w:rsidRDefault="00A82D56" w:rsidP="00A82D56">
            <w:pPr>
              <w:pStyle w:val="ListParagraph"/>
              <w:numPr>
                <w:ilvl w:val="0"/>
                <w:numId w:val="34"/>
              </w:numPr>
              <w:ind w:left="330" w:hanging="270"/>
              <w:rPr>
                <w:rFonts w:eastAsia="Aptos"/>
              </w:rPr>
            </w:pPr>
            <w:r w:rsidRPr="00E61B87">
              <w:rPr>
                <w:rFonts w:eastAsia="Aptos"/>
              </w:rPr>
              <w:t>Identify and promote the best resources for ensuring student online safety and cybersecurity.</w:t>
            </w:r>
          </w:p>
        </w:tc>
        <w:tc>
          <w:tcPr>
            <w:tcW w:w="2790" w:type="dxa"/>
          </w:tcPr>
          <w:p w14:paraId="34F378BD" w14:textId="77777777" w:rsidR="00A82D56" w:rsidRPr="00E61B87" w:rsidRDefault="00A82D56" w:rsidP="00CE4290">
            <w:pPr>
              <w:pStyle w:val="ListParagraph"/>
              <w:rPr>
                <w:rFonts w:eastAsia="Aptos"/>
              </w:rPr>
            </w:pPr>
          </w:p>
        </w:tc>
        <w:tc>
          <w:tcPr>
            <w:tcW w:w="3240" w:type="dxa"/>
          </w:tcPr>
          <w:p w14:paraId="7B6BADDE" w14:textId="738768D4" w:rsidR="00A82D56" w:rsidRPr="00E61B87" w:rsidRDefault="3869B292" w:rsidP="00CE4290">
            <w:pPr>
              <w:rPr>
                <w:rFonts w:eastAsia="Aptos"/>
              </w:rPr>
            </w:pPr>
            <w:r w:rsidRPr="00E61B87">
              <w:rPr>
                <w:rFonts w:eastAsia="Aptos"/>
              </w:rPr>
              <w:t>Office of Municipal and School Technology out of EOTSS</w:t>
            </w:r>
          </w:p>
        </w:tc>
        <w:tc>
          <w:tcPr>
            <w:tcW w:w="2700" w:type="dxa"/>
          </w:tcPr>
          <w:p w14:paraId="6CFA1B3A" w14:textId="77777777" w:rsidR="00A82D56" w:rsidRPr="00E61B87" w:rsidRDefault="00A82D56" w:rsidP="00CE4290">
            <w:pPr>
              <w:pStyle w:val="ListParagraph"/>
              <w:rPr>
                <w:rFonts w:eastAsia="Aptos"/>
              </w:rPr>
            </w:pPr>
          </w:p>
        </w:tc>
      </w:tr>
      <w:tr w:rsidR="00A82D56" w:rsidRPr="00E61B87" w14:paraId="79001CCB" w14:textId="77777777" w:rsidTr="72B19BE2">
        <w:tc>
          <w:tcPr>
            <w:tcW w:w="4405" w:type="dxa"/>
          </w:tcPr>
          <w:p w14:paraId="024574F2" w14:textId="77777777" w:rsidR="00A82D56" w:rsidRPr="00E61B87" w:rsidRDefault="00A82D56" w:rsidP="00A82D56">
            <w:pPr>
              <w:pStyle w:val="ListParagraph"/>
              <w:numPr>
                <w:ilvl w:val="0"/>
                <w:numId w:val="34"/>
              </w:numPr>
              <w:ind w:left="330" w:hanging="270"/>
              <w:rPr>
                <w:rFonts w:eastAsia="Aptos"/>
              </w:rPr>
            </w:pPr>
            <w:r w:rsidRPr="00E61B87">
              <w:rPr>
                <w:rFonts w:eastAsia="Aptos"/>
              </w:rPr>
              <w:t>Connect digital citizenship and cybersecurity initiatives with existing BSEL and MTSS frameworks</w:t>
            </w:r>
          </w:p>
        </w:tc>
        <w:tc>
          <w:tcPr>
            <w:tcW w:w="2790" w:type="dxa"/>
          </w:tcPr>
          <w:p w14:paraId="3DA409A2" w14:textId="77777777" w:rsidR="00A82D56" w:rsidRPr="00E61B87" w:rsidRDefault="00A82D56" w:rsidP="00CE4290">
            <w:pPr>
              <w:pStyle w:val="ListParagraph"/>
              <w:rPr>
                <w:rFonts w:eastAsia="Aptos"/>
              </w:rPr>
            </w:pPr>
          </w:p>
        </w:tc>
        <w:tc>
          <w:tcPr>
            <w:tcW w:w="3240" w:type="dxa"/>
          </w:tcPr>
          <w:p w14:paraId="59125BA7" w14:textId="77777777" w:rsidR="00A82D56" w:rsidRPr="00E61B87" w:rsidRDefault="00A82D56" w:rsidP="00CE4290">
            <w:pPr>
              <w:pStyle w:val="ListParagraph"/>
              <w:rPr>
                <w:rFonts w:eastAsia="Aptos"/>
              </w:rPr>
            </w:pPr>
          </w:p>
        </w:tc>
        <w:tc>
          <w:tcPr>
            <w:tcW w:w="2700" w:type="dxa"/>
          </w:tcPr>
          <w:p w14:paraId="3052F14E" w14:textId="77777777" w:rsidR="00A82D56" w:rsidRPr="00E61B87" w:rsidRDefault="00A82D56" w:rsidP="00CE4290">
            <w:pPr>
              <w:pStyle w:val="ListParagraph"/>
              <w:rPr>
                <w:rFonts w:eastAsia="Aptos"/>
              </w:rPr>
            </w:pPr>
          </w:p>
        </w:tc>
      </w:tr>
      <w:tr w:rsidR="00A82D56" w:rsidRPr="00E61B87" w14:paraId="5A4E5FED" w14:textId="77777777" w:rsidTr="72B19BE2">
        <w:tc>
          <w:tcPr>
            <w:tcW w:w="4405" w:type="dxa"/>
            <w:tcBorders>
              <w:bottom w:val="single" w:sz="4" w:space="0" w:color="auto"/>
            </w:tcBorders>
          </w:tcPr>
          <w:p w14:paraId="145D8153" w14:textId="77777777" w:rsidR="00A82D56" w:rsidRPr="00E61B87" w:rsidRDefault="00A82D56" w:rsidP="00A82D56">
            <w:pPr>
              <w:pStyle w:val="ListParagraph"/>
              <w:numPr>
                <w:ilvl w:val="0"/>
                <w:numId w:val="34"/>
              </w:numPr>
              <w:ind w:left="330" w:hanging="270"/>
              <w:rPr>
                <w:rFonts w:eastAsia="Aptos"/>
              </w:rPr>
            </w:pPr>
            <w:r w:rsidRPr="00E61B87">
              <w:rPr>
                <w:rFonts w:eastAsia="Aptos"/>
              </w:rPr>
              <w:t xml:space="preserve">Provide tech support for infrastructure and curriculum best practices sharing between districts. </w:t>
            </w:r>
          </w:p>
        </w:tc>
        <w:tc>
          <w:tcPr>
            <w:tcW w:w="2790" w:type="dxa"/>
            <w:tcBorders>
              <w:bottom w:val="single" w:sz="4" w:space="0" w:color="auto"/>
            </w:tcBorders>
          </w:tcPr>
          <w:p w14:paraId="6236FE14" w14:textId="77777777" w:rsidR="00A82D56" w:rsidRPr="00E61B87" w:rsidRDefault="00A82D56" w:rsidP="00CE4290">
            <w:pPr>
              <w:pStyle w:val="ListParagraph"/>
              <w:rPr>
                <w:rFonts w:eastAsia="Aptos"/>
              </w:rPr>
            </w:pPr>
          </w:p>
        </w:tc>
        <w:tc>
          <w:tcPr>
            <w:tcW w:w="3240" w:type="dxa"/>
            <w:tcBorders>
              <w:bottom w:val="single" w:sz="4" w:space="0" w:color="auto"/>
            </w:tcBorders>
          </w:tcPr>
          <w:p w14:paraId="72BE368E" w14:textId="62B585DA" w:rsidR="00A82D56" w:rsidRPr="00E61B87" w:rsidRDefault="00F252AA" w:rsidP="00CE4290">
            <w:pPr>
              <w:rPr>
                <w:rFonts w:eastAsia="Aptos"/>
              </w:rPr>
            </w:pPr>
            <w:r w:rsidRPr="00E61B87">
              <w:rPr>
                <w:rFonts w:eastAsia="Aptos"/>
              </w:rPr>
              <w:t xml:space="preserve">Ed Tech Team </w:t>
            </w:r>
            <w:r w:rsidR="2B2C7268" w:rsidRPr="00E61B87">
              <w:rPr>
                <w:rFonts w:eastAsia="Aptos"/>
              </w:rPr>
              <w:t>Strategic Planning Guide</w:t>
            </w:r>
          </w:p>
        </w:tc>
        <w:tc>
          <w:tcPr>
            <w:tcW w:w="2700" w:type="dxa"/>
            <w:tcBorders>
              <w:bottom w:val="single" w:sz="4" w:space="0" w:color="auto"/>
            </w:tcBorders>
          </w:tcPr>
          <w:p w14:paraId="063FD801" w14:textId="77777777" w:rsidR="00A82D56" w:rsidRPr="00E61B87" w:rsidRDefault="00A82D56" w:rsidP="00CE4290">
            <w:pPr>
              <w:pStyle w:val="ListParagraph"/>
              <w:rPr>
                <w:rFonts w:eastAsia="Aptos"/>
              </w:rPr>
            </w:pPr>
          </w:p>
        </w:tc>
      </w:tr>
      <w:tr w:rsidR="00A82D56" w:rsidRPr="00E61B87" w14:paraId="5E32BF75" w14:textId="77777777" w:rsidTr="72B19BE2">
        <w:tc>
          <w:tcPr>
            <w:tcW w:w="4405" w:type="dxa"/>
            <w:shd w:val="clear" w:color="auto" w:fill="F2DBDB" w:themeFill="accent2" w:themeFillTint="33"/>
          </w:tcPr>
          <w:p w14:paraId="0BC2DE78" w14:textId="53201F7E" w:rsidR="00A82D56" w:rsidRPr="00E61B87" w:rsidRDefault="2949EB28" w:rsidP="00CE4290">
            <w:pPr>
              <w:ind w:left="330" w:hanging="270"/>
              <w:rPr>
                <w:rFonts w:eastAsia="Aptos"/>
                <w:b/>
                <w:bCs/>
              </w:rPr>
            </w:pPr>
            <w:r w:rsidRPr="72B19BE2">
              <w:rPr>
                <w:rFonts w:eastAsia="Aptos"/>
                <w:b/>
                <w:bCs/>
              </w:rPr>
              <w:t>Virtual Learning</w:t>
            </w:r>
            <w:r w:rsidR="48B86053" w:rsidRPr="72B19BE2">
              <w:rPr>
                <w:rFonts w:eastAsia="Aptos"/>
                <w:b/>
                <w:bCs/>
              </w:rPr>
              <w:t xml:space="preserve"> Suggestions</w:t>
            </w:r>
            <w:r w:rsidRPr="72B19BE2">
              <w:rPr>
                <w:rFonts w:eastAsia="Aptos"/>
                <w:b/>
                <w:bCs/>
              </w:rPr>
              <w:t>:</w:t>
            </w:r>
          </w:p>
        </w:tc>
        <w:tc>
          <w:tcPr>
            <w:tcW w:w="2790" w:type="dxa"/>
            <w:shd w:val="clear" w:color="auto" w:fill="F2DBDB" w:themeFill="accent2" w:themeFillTint="33"/>
          </w:tcPr>
          <w:p w14:paraId="4DDD4D20" w14:textId="77777777" w:rsidR="00A82D56" w:rsidRPr="00E61B87" w:rsidRDefault="00A82D56" w:rsidP="00CE4290">
            <w:pPr>
              <w:rPr>
                <w:rFonts w:eastAsia="Aptos"/>
              </w:rPr>
            </w:pPr>
          </w:p>
        </w:tc>
        <w:tc>
          <w:tcPr>
            <w:tcW w:w="3240" w:type="dxa"/>
            <w:shd w:val="clear" w:color="auto" w:fill="F2DBDB" w:themeFill="accent2" w:themeFillTint="33"/>
          </w:tcPr>
          <w:p w14:paraId="3DE4B2EB" w14:textId="77777777" w:rsidR="00A82D56" w:rsidRPr="00E61B87" w:rsidRDefault="00A82D56" w:rsidP="00CE4290">
            <w:pPr>
              <w:rPr>
                <w:rFonts w:eastAsia="Aptos"/>
              </w:rPr>
            </w:pPr>
          </w:p>
        </w:tc>
        <w:tc>
          <w:tcPr>
            <w:tcW w:w="2700" w:type="dxa"/>
            <w:shd w:val="clear" w:color="auto" w:fill="F2DBDB" w:themeFill="accent2" w:themeFillTint="33"/>
          </w:tcPr>
          <w:p w14:paraId="09B0C99A" w14:textId="77777777" w:rsidR="00A82D56" w:rsidRPr="00E61B87" w:rsidRDefault="00A82D56" w:rsidP="00CE4290">
            <w:pPr>
              <w:rPr>
                <w:rFonts w:eastAsia="Aptos"/>
              </w:rPr>
            </w:pPr>
          </w:p>
        </w:tc>
      </w:tr>
      <w:tr w:rsidR="00A82D56" w:rsidRPr="00E61B87" w14:paraId="50CF4E2D" w14:textId="77777777" w:rsidTr="72B19BE2">
        <w:tc>
          <w:tcPr>
            <w:tcW w:w="4405" w:type="dxa"/>
          </w:tcPr>
          <w:p w14:paraId="5BE7D347" w14:textId="77777777" w:rsidR="00A82D56" w:rsidRPr="00E61B87" w:rsidRDefault="00A82D56" w:rsidP="00A82D56">
            <w:pPr>
              <w:pStyle w:val="ListParagraph"/>
              <w:numPr>
                <w:ilvl w:val="0"/>
                <w:numId w:val="36"/>
              </w:numPr>
              <w:ind w:left="330" w:hanging="270"/>
              <w:rPr>
                <w:rFonts w:eastAsia="Aptos"/>
              </w:rPr>
            </w:pPr>
            <w:r w:rsidRPr="00E61B87">
              <w:rPr>
                <w:rFonts w:eastAsia="Aptos"/>
              </w:rPr>
              <w:lastRenderedPageBreak/>
              <w:t>Acknowledge that virtual environments may lower participation anxiety for some students and may promote more equitable engagement through tools like idea boards and shared documents.</w:t>
            </w:r>
          </w:p>
        </w:tc>
        <w:tc>
          <w:tcPr>
            <w:tcW w:w="2790" w:type="dxa"/>
          </w:tcPr>
          <w:p w14:paraId="67A13A95" w14:textId="77777777" w:rsidR="00A82D56" w:rsidRPr="00E61B87" w:rsidRDefault="00A82D56" w:rsidP="00CE4290">
            <w:pPr>
              <w:pStyle w:val="ListParagraph"/>
              <w:rPr>
                <w:rFonts w:eastAsia="Aptos"/>
              </w:rPr>
            </w:pPr>
          </w:p>
        </w:tc>
        <w:tc>
          <w:tcPr>
            <w:tcW w:w="3240" w:type="dxa"/>
          </w:tcPr>
          <w:p w14:paraId="2F5166A2" w14:textId="3AFF7D54" w:rsidR="00A82D56" w:rsidRPr="00E61B87" w:rsidRDefault="00B04123" w:rsidP="00CE4290">
            <w:pPr>
              <w:rPr>
                <w:rFonts w:eastAsia="Aptos"/>
              </w:rPr>
            </w:pPr>
            <w:r w:rsidRPr="00E61B87">
              <w:rPr>
                <w:rFonts w:eastAsia="Aptos"/>
              </w:rPr>
              <w:t xml:space="preserve">OCSSR </w:t>
            </w:r>
            <w:r w:rsidR="00A82D56" w:rsidRPr="00E61B87">
              <w:rPr>
                <w:rFonts w:eastAsia="Aptos"/>
              </w:rPr>
              <w:t>continue</w:t>
            </w:r>
            <w:r w:rsidRPr="00E61B87">
              <w:rPr>
                <w:rFonts w:eastAsia="Aptos"/>
              </w:rPr>
              <w:t>s</w:t>
            </w:r>
            <w:r w:rsidR="00A82D56" w:rsidRPr="00E61B87">
              <w:rPr>
                <w:rFonts w:eastAsia="Aptos"/>
              </w:rPr>
              <w:t xml:space="preserve"> to acknowledge</w:t>
            </w:r>
            <w:r w:rsidR="00251C61" w:rsidRPr="00E61B87">
              <w:rPr>
                <w:rFonts w:eastAsia="Aptos"/>
              </w:rPr>
              <w:t xml:space="preserve"> and encourage</w:t>
            </w:r>
            <w:r w:rsidR="00A82D56" w:rsidRPr="00E61B87">
              <w:rPr>
                <w:rFonts w:eastAsia="Aptos"/>
              </w:rPr>
              <w:t xml:space="preserve"> </w:t>
            </w:r>
            <w:r w:rsidR="00AC1D04" w:rsidRPr="00E61B87">
              <w:rPr>
                <w:rFonts w:eastAsia="Aptos"/>
              </w:rPr>
              <w:t xml:space="preserve">virtual environment </w:t>
            </w:r>
            <w:r w:rsidR="00A82D56" w:rsidRPr="00E61B87">
              <w:rPr>
                <w:rFonts w:eastAsia="Aptos"/>
              </w:rPr>
              <w:t>options and choices to meet a variety of student needs</w:t>
            </w:r>
          </w:p>
        </w:tc>
        <w:tc>
          <w:tcPr>
            <w:tcW w:w="2700" w:type="dxa"/>
          </w:tcPr>
          <w:p w14:paraId="60DB1C08" w14:textId="77777777" w:rsidR="00A82D56" w:rsidRPr="00E61B87" w:rsidRDefault="00A82D56" w:rsidP="00CE4290">
            <w:pPr>
              <w:pStyle w:val="ListParagraph"/>
              <w:rPr>
                <w:rFonts w:eastAsia="Aptos"/>
              </w:rPr>
            </w:pPr>
          </w:p>
        </w:tc>
      </w:tr>
      <w:tr w:rsidR="00A82D56" w:rsidRPr="00E61B87" w14:paraId="4DF08112" w14:textId="77777777" w:rsidTr="72B19BE2">
        <w:tc>
          <w:tcPr>
            <w:tcW w:w="4405" w:type="dxa"/>
          </w:tcPr>
          <w:p w14:paraId="3BF6E412" w14:textId="77777777" w:rsidR="00A82D56" w:rsidRPr="00E61B87" w:rsidRDefault="00A82D56" w:rsidP="00A82D56">
            <w:pPr>
              <w:pStyle w:val="ListParagraph"/>
              <w:numPr>
                <w:ilvl w:val="0"/>
                <w:numId w:val="36"/>
              </w:numPr>
              <w:ind w:left="330" w:hanging="270"/>
              <w:rPr>
                <w:rFonts w:eastAsia="Aptos"/>
              </w:rPr>
            </w:pPr>
            <w:r w:rsidRPr="00E61B87">
              <w:rPr>
                <w:rFonts w:eastAsia="Aptos"/>
              </w:rPr>
              <w:t>Encourage educators to utilize built-in wait time in virtual settings to enhance student participation.</w:t>
            </w:r>
          </w:p>
        </w:tc>
        <w:tc>
          <w:tcPr>
            <w:tcW w:w="2790" w:type="dxa"/>
          </w:tcPr>
          <w:p w14:paraId="09986A92" w14:textId="77777777" w:rsidR="00A82D56" w:rsidRPr="00E61B87" w:rsidRDefault="00A82D56" w:rsidP="00CE4290">
            <w:pPr>
              <w:pStyle w:val="ListParagraph"/>
              <w:rPr>
                <w:rFonts w:eastAsia="Aptos"/>
              </w:rPr>
            </w:pPr>
          </w:p>
        </w:tc>
        <w:tc>
          <w:tcPr>
            <w:tcW w:w="3240" w:type="dxa"/>
          </w:tcPr>
          <w:p w14:paraId="373D2953" w14:textId="77777777" w:rsidR="00A82D56" w:rsidRPr="00E61B87" w:rsidRDefault="00A82D56" w:rsidP="00CE4290">
            <w:pPr>
              <w:pStyle w:val="ListParagraph"/>
              <w:rPr>
                <w:rFonts w:eastAsia="Aptos"/>
              </w:rPr>
            </w:pPr>
          </w:p>
        </w:tc>
        <w:tc>
          <w:tcPr>
            <w:tcW w:w="2700" w:type="dxa"/>
          </w:tcPr>
          <w:p w14:paraId="4067172A" w14:textId="77777777" w:rsidR="00A82D56" w:rsidRPr="00E61B87" w:rsidRDefault="00A82D56" w:rsidP="00CE4290">
            <w:pPr>
              <w:pStyle w:val="ListParagraph"/>
              <w:rPr>
                <w:rFonts w:eastAsia="Aptos"/>
              </w:rPr>
            </w:pPr>
          </w:p>
        </w:tc>
      </w:tr>
      <w:tr w:rsidR="00A82D56" w:rsidRPr="00E61B87" w14:paraId="3A444DEF" w14:textId="77777777" w:rsidTr="72B19BE2">
        <w:tc>
          <w:tcPr>
            <w:tcW w:w="4405" w:type="dxa"/>
          </w:tcPr>
          <w:p w14:paraId="1E946F13" w14:textId="77777777" w:rsidR="00A82D56" w:rsidRPr="00E61B87" w:rsidRDefault="00A82D56" w:rsidP="00A82D56">
            <w:pPr>
              <w:pStyle w:val="ListParagraph"/>
              <w:numPr>
                <w:ilvl w:val="0"/>
                <w:numId w:val="36"/>
              </w:numPr>
              <w:ind w:left="330" w:hanging="270"/>
              <w:rPr>
                <w:rFonts w:eastAsia="Aptos"/>
              </w:rPr>
            </w:pPr>
            <w:r w:rsidRPr="00E61B87">
              <w:rPr>
                <w:rFonts w:eastAsia="Aptos"/>
              </w:rPr>
              <w:t xml:space="preserve">Foster collaboration and flexibility within virtual learning models. </w:t>
            </w:r>
          </w:p>
        </w:tc>
        <w:tc>
          <w:tcPr>
            <w:tcW w:w="2790" w:type="dxa"/>
          </w:tcPr>
          <w:p w14:paraId="3F75F615" w14:textId="77777777" w:rsidR="00A82D56" w:rsidRPr="00E61B87" w:rsidRDefault="00A82D56" w:rsidP="00CE4290">
            <w:pPr>
              <w:pStyle w:val="ListParagraph"/>
              <w:rPr>
                <w:rFonts w:eastAsia="Aptos"/>
              </w:rPr>
            </w:pPr>
          </w:p>
        </w:tc>
        <w:tc>
          <w:tcPr>
            <w:tcW w:w="3240" w:type="dxa"/>
          </w:tcPr>
          <w:p w14:paraId="2B6E56BA" w14:textId="545FA8EA" w:rsidR="00A82D56" w:rsidRPr="00E61B87" w:rsidRDefault="0086413D" w:rsidP="00CE4290">
            <w:pPr>
              <w:rPr>
                <w:rFonts w:eastAsia="Aptos"/>
              </w:rPr>
            </w:pPr>
            <w:r w:rsidRPr="00E61B87">
              <w:rPr>
                <w:rFonts w:eastAsia="Aptos"/>
              </w:rPr>
              <w:t xml:space="preserve">OCSSR </w:t>
            </w:r>
            <w:r w:rsidR="00C17A1A" w:rsidRPr="00E61B87">
              <w:rPr>
                <w:rFonts w:eastAsia="Aptos"/>
              </w:rPr>
              <w:t xml:space="preserve">hosts </w:t>
            </w:r>
            <w:r w:rsidR="00B13428" w:rsidRPr="00E61B87">
              <w:rPr>
                <w:rFonts w:eastAsia="Aptos"/>
              </w:rPr>
              <w:t xml:space="preserve">a </w:t>
            </w:r>
            <w:r w:rsidR="00C17A1A" w:rsidRPr="00E61B87">
              <w:rPr>
                <w:rFonts w:eastAsia="Aptos"/>
              </w:rPr>
              <w:t>community of practice for SDVS and meets with CMVS</w:t>
            </w:r>
            <w:r w:rsidR="004536AF" w:rsidRPr="00E61B87">
              <w:rPr>
                <w:rFonts w:eastAsia="Aptos"/>
              </w:rPr>
              <w:t xml:space="preserve"> – occasionally provides joint PD and collaboration among these models</w:t>
            </w:r>
          </w:p>
        </w:tc>
        <w:tc>
          <w:tcPr>
            <w:tcW w:w="2700" w:type="dxa"/>
          </w:tcPr>
          <w:p w14:paraId="4301E1E8" w14:textId="77777777" w:rsidR="00A82D56" w:rsidRPr="00E61B87" w:rsidRDefault="00A82D56" w:rsidP="00CE4290">
            <w:pPr>
              <w:pStyle w:val="ListParagraph"/>
              <w:rPr>
                <w:rFonts w:eastAsia="Aptos"/>
              </w:rPr>
            </w:pPr>
          </w:p>
        </w:tc>
      </w:tr>
      <w:tr w:rsidR="00A82D56" w:rsidRPr="00E61B87" w14:paraId="0953152D" w14:textId="77777777" w:rsidTr="72B19BE2">
        <w:tc>
          <w:tcPr>
            <w:tcW w:w="4405" w:type="dxa"/>
          </w:tcPr>
          <w:p w14:paraId="696E9CB1" w14:textId="77777777" w:rsidR="00A82D56" w:rsidRPr="00E61B87" w:rsidRDefault="00A82D56" w:rsidP="00A82D56">
            <w:pPr>
              <w:pStyle w:val="ListParagraph"/>
              <w:numPr>
                <w:ilvl w:val="0"/>
                <w:numId w:val="36"/>
              </w:numPr>
              <w:ind w:left="330" w:hanging="270"/>
              <w:rPr>
                <w:rFonts w:eastAsia="Aptos"/>
              </w:rPr>
            </w:pPr>
            <w:r w:rsidRPr="00E61B87">
              <w:rPr>
                <w:rFonts w:eastAsia="Aptos"/>
              </w:rPr>
              <w:t>Strive for consistency and coherence in platform usage to avoid overwhelming users and address student data privacy concerns.</w:t>
            </w:r>
          </w:p>
        </w:tc>
        <w:tc>
          <w:tcPr>
            <w:tcW w:w="2790" w:type="dxa"/>
          </w:tcPr>
          <w:p w14:paraId="537E2E75" w14:textId="77777777" w:rsidR="00A82D56" w:rsidRPr="00E61B87" w:rsidRDefault="00A82D56" w:rsidP="00CE4290">
            <w:pPr>
              <w:pStyle w:val="ListParagraph"/>
              <w:rPr>
                <w:rFonts w:eastAsia="Aptos"/>
              </w:rPr>
            </w:pPr>
          </w:p>
        </w:tc>
        <w:tc>
          <w:tcPr>
            <w:tcW w:w="3240" w:type="dxa"/>
          </w:tcPr>
          <w:p w14:paraId="2AC91785" w14:textId="68DCD8F4" w:rsidR="00A82D56" w:rsidRPr="000E239C" w:rsidRDefault="001B3802" w:rsidP="000E239C">
            <w:pPr>
              <w:rPr>
                <w:rFonts w:eastAsia="Aptos"/>
              </w:rPr>
            </w:pPr>
            <w:r w:rsidRPr="000E239C">
              <w:rPr>
                <w:rFonts w:eastAsia="Aptos"/>
              </w:rPr>
              <w:t xml:space="preserve">Ed Tech Team </w:t>
            </w:r>
            <w:r w:rsidR="1E75BFA3" w:rsidRPr="00E61B87">
              <w:rPr>
                <w:rFonts w:eastAsia="Aptos"/>
              </w:rPr>
              <w:t>promotes districts joining the SDPC for data privacy</w:t>
            </w:r>
          </w:p>
        </w:tc>
        <w:tc>
          <w:tcPr>
            <w:tcW w:w="2700" w:type="dxa"/>
          </w:tcPr>
          <w:p w14:paraId="7F981B0F" w14:textId="77777777" w:rsidR="00A82D56" w:rsidRPr="00E61B87" w:rsidRDefault="00A82D56" w:rsidP="00CE4290">
            <w:pPr>
              <w:pStyle w:val="ListParagraph"/>
              <w:rPr>
                <w:rFonts w:eastAsia="Aptos"/>
              </w:rPr>
            </w:pPr>
          </w:p>
        </w:tc>
      </w:tr>
      <w:tr w:rsidR="00A82D56" w:rsidRPr="00E61B87" w14:paraId="02879536" w14:textId="77777777" w:rsidTr="72B19BE2">
        <w:tc>
          <w:tcPr>
            <w:tcW w:w="4405" w:type="dxa"/>
          </w:tcPr>
          <w:p w14:paraId="5360033D" w14:textId="77777777" w:rsidR="00A82D56" w:rsidRPr="00E61B87" w:rsidRDefault="00A82D56" w:rsidP="00A82D56">
            <w:pPr>
              <w:pStyle w:val="ListParagraph"/>
              <w:numPr>
                <w:ilvl w:val="0"/>
                <w:numId w:val="36"/>
              </w:numPr>
              <w:ind w:left="330" w:hanging="270"/>
              <w:rPr>
                <w:rFonts w:eastAsia="Aptos"/>
              </w:rPr>
            </w:pPr>
            <w:r w:rsidRPr="00E61B87">
              <w:rPr>
                <w:rFonts w:eastAsia="Aptos"/>
              </w:rPr>
              <w:t xml:space="preserve">Provide resources supporting multiple learning modalities. </w:t>
            </w:r>
          </w:p>
        </w:tc>
        <w:tc>
          <w:tcPr>
            <w:tcW w:w="2790" w:type="dxa"/>
          </w:tcPr>
          <w:p w14:paraId="2569153A" w14:textId="77777777" w:rsidR="00A82D56" w:rsidRPr="00E61B87" w:rsidRDefault="00A82D56" w:rsidP="00CE4290">
            <w:pPr>
              <w:pStyle w:val="ListParagraph"/>
              <w:rPr>
                <w:rFonts w:eastAsia="Aptos"/>
              </w:rPr>
            </w:pPr>
          </w:p>
        </w:tc>
        <w:tc>
          <w:tcPr>
            <w:tcW w:w="3240" w:type="dxa"/>
          </w:tcPr>
          <w:p w14:paraId="4B601249" w14:textId="77777777" w:rsidR="00A82D56" w:rsidRPr="000E239C" w:rsidRDefault="00A82D56" w:rsidP="000E239C">
            <w:pPr>
              <w:rPr>
                <w:rFonts w:eastAsia="Aptos"/>
              </w:rPr>
            </w:pPr>
          </w:p>
        </w:tc>
        <w:tc>
          <w:tcPr>
            <w:tcW w:w="2700" w:type="dxa"/>
          </w:tcPr>
          <w:p w14:paraId="3FAA478C" w14:textId="77777777" w:rsidR="00A82D56" w:rsidRPr="00E61B87" w:rsidRDefault="00A82D56" w:rsidP="00CE4290">
            <w:pPr>
              <w:pStyle w:val="ListParagraph"/>
              <w:rPr>
                <w:rFonts w:eastAsia="Aptos"/>
              </w:rPr>
            </w:pPr>
          </w:p>
        </w:tc>
      </w:tr>
      <w:tr w:rsidR="00A82D56" w:rsidRPr="00E61B87" w14:paraId="7360A740" w14:textId="77777777" w:rsidTr="72B19BE2">
        <w:tc>
          <w:tcPr>
            <w:tcW w:w="4405" w:type="dxa"/>
          </w:tcPr>
          <w:p w14:paraId="2673F9CF" w14:textId="77777777" w:rsidR="00A82D56" w:rsidRPr="00E61B87" w:rsidRDefault="00A82D56" w:rsidP="00A82D56">
            <w:pPr>
              <w:pStyle w:val="ListParagraph"/>
              <w:numPr>
                <w:ilvl w:val="0"/>
                <w:numId w:val="36"/>
              </w:numPr>
              <w:ind w:left="330" w:hanging="270"/>
              <w:rPr>
                <w:rFonts w:eastAsia="Aptos"/>
              </w:rPr>
            </w:pPr>
            <w:r w:rsidRPr="00E61B87">
              <w:rPr>
                <w:rFonts w:eastAsia="Aptos"/>
              </w:rPr>
              <w:t xml:space="preserve">Encourage integration of existing district tools/work rather than introducing numerous new, separate applications. </w:t>
            </w:r>
          </w:p>
        </w:tc>
        <w:tc>
          <w:tcPr>
            <w:tcW w:w="2790" w:type="dxa"/>
          </w:tcPr>
          <w:p w14:paraId="4A432EBA" w14:textId="77777777" w:rsidR="00A82D56" w:rsidRPr="00E61B87" w:rsidRDefault="00A82D56" w:rsidP="00CE4290">
            <w:pPr>
              <w:pStyle w:val="ListParagraph"/>
              <w:rPr>
                <w:rFonts w:eastAsia="Aptos"/>
              </w:rPr>
            </w:pPr>
          </w:p>
        </w:tc>
        <w:tc>
          <w:tcPr>
            <w:tcW w:w="3240" w:type="dxa"/>
          </w:tcPr>
          <w:p w14:paraId="0E646CB7" w14:textId="7B7C03E5" w:rsidR="00A82D56" w:rsidRPr="000E239C" w:rsidRDefault="001B3802">
            <w:pPr>
              <w:rPr>
                <w:rFonts w:eastAsia="Aptos"/>
              </w:rPr>
            </w:pPr>
            <w:r w:rsidRPr="00E61B87">
              <w:rPr>
                <w:rFonts w:eastAsia="Aptos"/>
              </w:rPr>
              <w:t xml:space="preserve">Ed Tech Team – </w:t>
            </w:r>
            <w:r w:rsidR="5DB92039" w:rsidRPr="00E61B87">
              <w:rPr>
                <w:rFonts w:eastAsia="Aptos"/>
              </w:rPr>
              <w:t>EdTech Systems Guide</w:t>
            </w:r>
          </w:p>
        </w:tc>
        <w:tc>
          <w:tcPr>
            <w:tcW w:w="2700" w:type="dxa"/>
          </w:tcPr>
          <w:p w14:paraId="3DAB6579" w14:textId="77777777" w:rsidR="00A82D56" w:rsidRPr="00E61B87" w:rsidRDefault="00A82D56" w:rsidP="00CE4290">
            <w:pPr>
              <w:pStyle w:val="ListParagraph"/>
              <w:rPr>
                <w:rFonts w:eastAsia="Aptos"/>
              </w:rPr>
            </w:pPr>
          </w:p>
        </w:tc>
      </w:tr>
      <w:tr w:rsidR="00A82D56" w:rsidRPr="00E61B87" w14:paraId="7DDA66C9" w14:textId="77777777" w:rsidTr="72B19BE2">
        <w:tc>
          <w:tcPr>
            <w:tcW w:w="4405" w:type="dxa"/>
            <w:tcBorders>
              <w:bottom w:val="single" w:sz="4" w:space="0" w:color="auto"/>
            </w:tcBorders>
          </w:tcPr>
          <w:p w14:paraId="5DFD295A" w14:textId="77777777" w:rsidR="00A82D56" w:rsidRPr="00E61B87" w:rsidRDefault="00A82D56" w:rsidP="00A82D56">
            <w:pPr>
              <w:pStyle w:val="ListParagraph"/>
              <w:numPr>
                <w:ilvl w:val="0"/>
                <w:numId w:val="36"/>
              </w:numPr>
              <w:ind w:left="330" w:hanging="270"/>
              <w:rPr>
                <w:rFonts w:eastAsia="Aptos"/>
              </w:rPr>
            </w:pPr>
            <w:r w:rsidRPr="00E61B87">
              <w:rPr>
                <w:rFonts w:eastAsia="Aptos"/>
              </w:rPr>
              <w:t>Identify effective practices by evaluating what works across districts, acknowledging varying capabilities.</w:t>
            </w:r>
          </w:p>
        </w:tc>
        <w:tc>
          <w:tcPr>
            <w:tcW w:w="2790" w:type="dxa"/>
            <w:tcBorders>
              <w:bottom w:val="single" w:sz="4" w:space="0" w:color="auto"/>
            </w:tcBorders>
          </w:tcPr>
          <w:p w14:paraId="54283923" w14:textId="77777777" w:rsidR="00A82D56" w:rsidRPr="00E61B87" w:rsidRDefault="00A82D56" w:rsidP="00CE4290">
            <w:pPr>
              <w:pStyle w:val="ListParagraph"/>
              <w:rPr>
                <w:rFonts w:eastAsia="Aptos"/>
              </w:rPr>
            </w:pPr>
          </w:p>
        </w:tc>
        <w:tc>
          <w:tcPr>
            <w:tcW w:w="3240" w:type="dxa"/>
            <w:tcBorders>
              <w:bottom w:val="single" w:sz="4" w:space="0" w:color="auto"/>
            </w:tcBorders>
          </w:tcPr>
          <w:p w14:paraId="02294B74" w14:textId="54CD1D95" w:rsidR="00A82D56" w:rsidRPr="00E61B87" w:rsidRDefault="09C80AFD" w:rsidP="0E14146B">
            <w:pPr>
              <w:rPr>
                <w:rFonts w:eastAsia="Aptos"/>
              </w:rPr>
            </w:pPr>
            <w:r w:rsidRPr="00E61B87">
              <w:rPr>
                <w:rFonts w:eastAsia="Aptos"/>
              </w:rPr>
              <w:t>Ed Tech Team – EdTech Systems Guide</w:t>
            </w:r>
          </w:p>
          <w:p w14:paraId="15E2E228" w14:textId="77777777" w:rsidR="00BB5142" w:rsidRPr="00E61B87" w:rsidRDefault="00BB5142" w:rsidP="0E14146B">
            <w:pPr>
              <w:rPr>
                <w:rFonts w:eastAsia="Aptos"/>
              </w:rPr>
            </w:pPr>
          </w:p>
          <w:p w14:paraId="5510AFD1" w14:textId="57C79317" w:rsidR="00BB5142" w:rsidRPr="000E239C" w:rsidRDefault="00BB5142" w:rsidP="0E14146B">
            <w:pPr>
              <w:rPr>
                <w:rFonts w:eastAsia="Aptos"/>
              </w:rPr>
            </w:pPr>
            <w:r w:rsidRPr="00E61B87">
              <w:rPr>
                <w:rFonts w:eastAsia="Aptos"/>
              </w:rPr>
              <w:t xml:space="preserve">OCSSR – develop </w:t>
            </w:r>
            <w:r w:rsidR="00554B34" w:rsidRPr="00E61B87">
              <w:rPr>
                <w:rFonts w:eastAsia="Aptos"/>
              </w:rPr>
              <w:t>criteria and standards for CMVS and SLT-waiver</w:t>
            </w:r>
            <w:r w:rsidR="00DF5C84" w:rsidRPr="00E61B87">
              <w:rPr>
                <w:rFonts w:eastAsia="Aptos"/>
              </w:rPr>
              <w:t>, and support</w:t>
            </w:r>
            <w:r w:rsidR="0067786E" w:rsidRPr="00E61B87">
              <w:rPr>
                <w:rFonts w:eastAsia="Aptos"/>
              </w:rPr>
              <w:t xml:space="preserve"> applicants as they move through the </w:t>
            </w:r>
            <w:r w:rsidR="00BB08D6" w:rsidRPr="00E61B87">
              <w:rPr>
                <w:rFonts w:eastAsia="Aptos"/>
              </w:rPr>
              <w:t xml:space="preserve">various </w:t>
            </w:r>
            <w:r w:rsidR="00901F10" w:rsidRPr="00E61B87">
              <w:rPr>
                <w:rFonts w:eastAsia="Aptos"/>
              </w:rPr>
              <w:t xml:space="preserve">approval </w:t>
            </w:r>
            <w:r w:rsidR="0067786E" w:rsidRPr="00E61B87">
              <w:rPr>
                <w:rFonts w:eastAsia="Aptos"/>
              </w:rPr>
              <w:t>processes</w:t>
            </w:r>
          </w:p>
          <w:p w14:paraId="2624CC95" w14:textId="26656904" w:rsidR="00A82D56" w:rsidRPr="00E61B87" w:rsidRDefault="00A82D56" w:rsidP="00CE4290">
            <w:pPr>
              <w:pStyle w:val="ListParagraph"/>
              <w:rPr>
                <w:rFonts w:eastAsia="Aptos"/>
              </w:rPr>
            </w:pPr>
          </w:p>
        </w:tc>
        <w:tc>
          <w:tcPr>
            <w:tcW w:w="2700" w:type="dxa"/>
            <w:tcBorders>
              <w:bottom w:val="single" w:sz="4" w:space="0" w:color="auto"/>
            </w:tcBorders>
          </w:tcPr>
          <w:p w14:paraId="6CC933F0" w14:textId="77777777" w:rsidR="00A82D56" w:rsidRPr="00E61B87" w:rsidRDefault="00A82D56" w:rsidP="00CE4290">
            <w:pPr>
              <w:pStyle w:val="ListParagraph"/>
              <w:rPr>
                <w:rFonts w:eastAsia="Aptos"/>
              </w:rPr>
            </w:pPr>
          </w:p>
        </w:tc>
      </w:tr>
      <w:tr w:rsidR="00A82D56" w:rsidRPr="00E61B87" w14:paraId="0EE46443" w14:textId="77777777" w:rsidTr="72B19BE2">
        <w:tc>
          <w:tcPr>
            <w:tcW w:w="4405" w:type="dxa"/>
            <w:shd w:val="clear" w:color="auto" w:fill="F2DBDB" w:themeFill="accent2" w:themeFillTint="33"/>
          </w:tcPr>
          <w:p w14:paraId="3EA61CBD" w14:textId="69BB6115" w:rsidR="00A82D56" w:rsidRPr="00E61B87" w:rsidRDefault="2949EB28" w:rsidP="00CE4290">
            <w:pPr>
              <w:ind w:left="330" w:hanging="270"/>
              <w:rPr>
                <w:rFonts w:eastAsia="Aptos"/>
                <w:b/>
                <w:bCs/>
              </w:rPr>
            </w:pPr>
            <w:r w:rsidRPr="72B19BE2">
              <w:rPr>
                <w:rFonts w:eastAsia="Aptos"/>
                <w:b/>
                <w:bCs/>
              </w:rPr>
              <w:t>Blended Learning</w:t>
            </w:r>
            <w:r w:rsidR="3FD0A203" w:rsidRPr="72B19BE2">
              <w:rPr>
                <w:rFonts w:eastAsia="Aptos"/>
                <w:b/>
                <w:bCs/>
              </w:rPr>
              <w:t xml:space="preserve"> Suggestions</w:t>
            </w:r>
            <w:r w:rsidRPr="72B19BE2">
              <w:rPr>
                <w:rFonts w:eastAsia="Aptos"/>
                <w:b/>
                <w:bCs/>
              </w:rPr>
              <w:t>:</w:t>
            </w:r>
          </w:p>
        </w:tc>
        <w:tc>
          <w:tcPr>
            <w:tcW w:w="2790" w:type="dxa"/>
            <w:shd w:val="clear" w:color="auto" w:fill="F2DBDB" w:themeFill="accent2" w:themeFillTint="33"/>
          </w:tcPr>
          <w:p w14:paraId="05A951E9" w14:textId="77777777" w:rsidR="00A82D56" w:rsidRPr="00E61B87" w:rsidRDefault="00A82D56" w:rsidP="00CE4290">
            <w:pPr>
              <w:rPr>
                <w:rFonts w:eastAsia="Aptos"/>
              </w:rPr>
            </w:pPr>
          </w:p>
        </w:tc>
        <w:tc>
          <w:tcPr>
            <w:tcW w:w="3240" w:type="dxa"/>
            <w:shd w:val="clear" w:color="auto" w:fill="F2DBDB" w:themeFill="accent2" w:themeFillTint="33"/>
          </w:tcPr>
          <w:p w14:paraId="4BB8038D" w14:textId="77777777" w:rsidR="00A82D56" w:rsidRPr="00E61B87" w:rsidRDefault="00A82D56" w:rsidP="00CE4290">
            <w:pPr>
              <w:rPr>
                <w:rFonts w:eastAsia="Aptos"/>
              </w:rPr>
            </w:pPr>
          </w:p>
        </w:tc>
        <w:tc>
          <w:tcPr>
            <w:tcW w:w="2700" w:type="dxa"/>
            <w:shd w:val="clear" w:color="auto" w:fill="F2DBDB" w:themeFill="accent2" w:themeFillTint="33"/>
          </w:tcPr>
          <w:p w14:paraId="6D6D22FE" w14:textId="77777777" w:rsidR="00A82D56" w:rsidRPr="00E61B87" w:rsidRDefault="00A82D56" w:rsidP="00CE4290">
            <w:pPr>
              <w:rPr>
                <w:rFonts w:eastAsia="Aptos"/>
              </w:rPr>
            </w:pPr>
          </w:p>
        </w:tc>
      </w:tr>
      <w:tr w:rsidR="00A82D56" w:rsidRPr="00E61B87" w14:paraId="215542A6" w14:textId="77777777" w:rsidTr="72B19BE2">
        <w:tc>
          <w:tcPr>
            <w:tcW w:w="4405" w:type="dxa"/>
          </w:tcPr>
          <w:p w14:paraId="6AE706B9" w14:textId="77777777" w:rsidR="00A82D56" w:rsidRPr="00E61B87" w:rsidRDefault="00A82D56" w:rsidP="00A82D56">
            <w:pPr>
              <w:pStyle w:val="ListParagraph"/>
              <w:numPr>
                <w:ilvl w:val="0"/>
                <w:numId w:val="37"/>
              </w:numPr>
              <w:ind w:left="330" w:hanging="270"/>
              <w:rPr>
                <w:rFonts w:eastAsia="Aptos"/>
              </w:rPr>
            </w:pPr>
            <w:r w:rsidRPr="00E61B87">
              <w:rPr>
                <w:rFonts w:eastAsia="Aptos"/>
              </w:rPr>
              <w:lastRenderedPageBreak/>
              <w:t xml:space="preserve">Establish a consistent, statewide vision for high quality blended learning (using examples like MAPLE. </w:t>
            </w:r>
          </w:p>
        </w:tc>
        <w:tc>
          <w:tcPr>
            <w:tcW w:w="2790" w:type="dxa"/>
          </w:tcPr>
          <w:p w14:paraId="3BF9E3BD" w14:textId="77777777" w:rsidR="00A82D56" w:rsidRPr="00E61B87" w:rsidRDefault="00A82D56" w:rsidP="00CE4290">
            <w:pPr>
              <w:pStyle w:val="ListParagraph"/>
              <w:rPr>
                <w:rFonts w:eastAsia="Aptos"/>
              </w:rPr>
            </w:pPr>
          </w:p>
        </w:tc>
        <w:tc>
          <w:tcPr>
            <w:tcW w:w="3240" w:type="dxa"/>
          </w:tcPr>
          <w:p w14:paraId="7CA29F4D" w14:textId="77777777" w:rsidR="00A82D56" w:rsidRPr="00E61B87" w:rsidRDefault="00A82D56" w:rsidP="00CE4290">
            <w:pPr>
              <w:pStyle w:val="ListParagraph"/>
              <w:rPr>
                <w:rFonts w:eastAsia="Aptos"/>
              </w:rPr>
            </w:pPr>
          </w:p>
        </w:tc>
        <w:tc>
          <w:tcPr>
            <w:tcW w:w="2700" w:type="dxa"/>
          </w:tcPr>
          <w:p w14:paraId="05C63E6B" w14:textId="77777777" w:rsidR="00A82D56" w:rsidRPr="00E61B87" w:rsidRDefault="00A82D56" w:rsidP="00CE4290">
            <w:pPr>
              <w:pStyle w:val="ListParagraph"/>
              <w:rPr>
                <w:rFonts w:eastAsia="Aptos"/>
              </w:rPr>
            </w:pPr>
          </w:p>
        </w:tc>
      </w:tr>
      <w:tr w:rsidR="00A82D56" w:rsidRPr="00E61B87" w14:paraId="291AC907" w14:textId="77777777" w:rsidTr="72B19BE2">
        <w:tc>
          <w:tcPr>
            <w:tcW w:w="4405" w:type="dxa"/>
          </w:tcPr>
          <w:p w14:paraId="5EEAA17C" w14:textId="77777777" w:rsidR="00A82D56" w:rsidRPr="00E61B87" w:rsidRDefault="00A82D56" w:rsidP="00A82D56">
            <w:pPr>
              <w:pStyle w:val="ListParagraph"/>
              <w:numPr>
                <w:ilvl w:val="0"/>
                <w:numId w:val="37"/>
              </w:numPr>
              <w:ind w:left="330" w:hanging="270"/>
              <w:rPr>
                <w:rFonts w:eastAsia="Aptos"/>
              </w:rPr>
            </w:pPr>
            <w:r w:rsidRPr="00E61B87">
              <w:rPr>
                <w:rFonts w:eastAsia="Aptos"/>
              </w:rPr>
              <w:t xml:space="preserve">Emphasize and acknowledge that blended learning offers student choice (pace, place, path) and encourages self-investment in learning. </w:t>
            </w:r>
          </w:p>
        </w:tc>
        <w:tc>
          <w:tcPr>
            <w:tcW w:w="2790" w:type="dxa"/>
          </w:tcPr>
          <w:p w14:paraId="6A420150" w14:textId="77777777" w:rsidR="00A82D56" w:rsidRPr="00E61B87" w:rsidRDefault="00A82D56" w:rsidP="00CE4290">
            <w:pPr>
              <w:pStyle w:val="ListParagraph"/>
              <w:rPr>
                <w:rFonts w:eastAsia="Aptos"/>
              </w:rPr>
            </w:pPr>
          </w:p>
        </w:tc>
        <w:tc>
          <w:tcPr>
            <w:tcW w:w="3240" w:type="dxa"/>
          </w:tcPr>
          <w:p w14:paraId="01395027" w14:textId="77777777" w:rsidR="00A82D56" w:rsidRPr="00E61B87" w:rsidRDefault="00A82D56" w:rsidP="00CE4290">
            <w:pPr>
              <w:pStyle w:val="ListParagraph"/>
              <w:rPr>
                <w:rFonts w:eastAsia="Aptos"/>
              </w:rPr>
            </w:pPr>
          </w:p>
        </w:tc>
        <w:tc>
          <w:tcPr>
            <w:tcW w:w="2700" w:type="dxa"/>
          </w:tcPr>
          <w:p w14:paraId="0EC4A5D6" w14:textId="77777777" w:rsidR="00A82D56" w:rsidRPr="00E61B87" w:rsidRDefault="00A82D56" w:rsidP="00CE4290">
            <w:pPr>
              <w:pStyle w:val="ListParagraph"/>
              <w:rPr>
                <w:rFonts w:eastAsia="Aptos"/>
              </w:rPr>
            </w:pPr>
          </w:p>
        </w:tc>
      </w:tr>
      <w:tr w:rsidR="00A82D56" w:rsidRPr="00E61B87" w14:paraId="10AC8F03" w14:textId="77777777" w:rsidTr="72B19BE2">
        <w:tc>
          <w:tcPr>
            <w:tcW w:w="4405" w:type="dxa"/>
          </w:tcPr>
          <w:p w14:paraId="039EDF0F" w14:textId="77777777" w:rsidR="00A82D56" w:rsidRPr="00E61B87" w:rsidRDefault="00A82D56" w:rsidP="00A82D56">
            <w:pPr>
              <w:pStyle w:val="ListParagraph"/>
              <w:numPr>
                <w:ilvl w:val="0"/>
                <w:numId w:val="37"/>
              </w:numPr>
              <w:ind w:left="330" w:hanging="270"/>
              <w:rPr>
                <w:rFonts w:eastAsia="Aptos"/>
              </w:rPr>
            </w:pPr>
            <w:r w:rsidRPr="00E61B87">
              <w:rPr>
                <w:rFonts w:eastAsia="Aptos"/>
              </w:rPr>
              <w:t xml:space="preserve">Connect blended learning environments to student health and wellness by providing opportunities for student voice and choice. </w:t>
            </w:r>
          </w:p>
        </w:tc>
        <w:tc>
          <w:tcPr>
            <w:tcW w:w="2790" w:type="dxa"/>
          </w:tcPr>
          <w:p w14:paraId="00E0058D" w14:textId="77777777" w:rsidR="00A82D56" w:rsidRPr="00E61B87" w:rsidRDefault="00A82D56" w:rsidP="00CE4290">
            <w:pPr>
              <w:pStyle w:val="ListParagraph"/>
              <w:rPr>
                <w:rFonts w:eastAsia="Aptos"/>
              </w:rPr>
            </w:pPr>
          </w:p>
        </w:tc>
        <w:tc>
          <w:tcPr>
            <w:tcW w:w="3240" w:type="dxa"/>
          </w:tcPr>
          <w:p w14:paraId="2D41ABCE" w14:textId="77777777" w:rsidR="00A82D56" w:rsidRPr="00E61B87" w:rsidRDefault="00A82D56" w:rsidP="00CE4290">
            <w:pPr>
              <w:pStyle w:val="ListParagraph"/>
              <w:rPr>
                <w:rFonts w:eastAsia="Aptos"/>
              </w:rPr>
            </w:pPr>
          </w:p>
        </w:tc>
        <w:tc>
          <w:tcPr>
            <w:tcW w:w="2700" w:type="dxa"/>
          </w:tcPr>
          <w:p w14:paraId="4B68DB29" w14:textId="77777777" w:rsidR="00A82D56" w:rsidRPr="00E61B87" w:rsidRDefault="00A82D56" w:rsidP="00CE4290">
            <w:pPr>
              <w:pStyle w:val="ListParagraph"/>
              <w:rPr>
                <w:rFonts w:eastAsia="Aptos"/>
              </w:rPr>
            </w:pPr>
          </w:p>
        </w:tc>
      </w:tr>
      <w:tr w:rsidR="00A82D56" w:rsidRPr="00E61B87" w14:paraId="65C3AD76" w14:textId="77777777" w:rsidTr="72B19BE2">
        <w:tc>
          <w:tcPr>
            <w:tcW w:w="4405" w:type="dxa"/>
          </w:tcPr>
          <w:p w14:paraId="46F714C5" w14:textId="77777777" w:rsidR="00A82D56" w:rsidRPr="00E61B87" w:rsidRDefault="00A82D56" w:rsidP="00A82D56">
            <w:pPr>
              <w:pStyle w:val="ListParagraph"/>
              <w:numPr>
                <w:ilvl w:val="0"/>
                <w:numId w:val="37"/>
              </w:numPr>
              <w:ind w:left="330" w:hanging="270"/>
            </w:pPr>
            <w:r w:rsidRPr="00E61B87">
              <w:rPr>
                <w:rFonts w:eastAsia="Aptos"/>
              </w:rPr>
              <w:t xml:space="preserve">Explore “Campus Without Walls” model where schools collaborate to offer shared courses or services (e.g. wellness groups) across districts, potentially facilitated by DESE. </w:t>
            </w:r>
          </w:p>
        </w:tc>
        <w:tc>
          <w:tcPr>
            <w:tcW w:w="2790" w:type="dxa"/>
          </w:tcPr>
          <w:p w14:paraId="0FE4A9A1" w14:textId="77777777" w:rsidR="00A82D56" w:rsidRPr="00E61B87" w:rsidRDefault="00A82D56" w:rsidP="00CE4290">
            <w:pPr>
              <w:pStyle w:val="ListParagraph"/>
              <w:rPr>
                <w:rFonts w:eastAsia="Aptos"/>
              </w:rPr>
            </w:pPr>
          </w:p>
        </w:tc>
        <w:tc>
          <w:tcPr>
            <w:tcW w:w="3240" w:type="dxa"/>
          </w:tcPr>
          <w:p w14:paraId="524C33B8" w14:textId="77777777" w:rsidR="00A82D56" w:rsidRPr="00E61B87" w:rsidRDefault="00A82D56" w:rsidP="00CE4290">
            <w:pPr>
              <w:pStyle w:val="ListParagraph"/>
              <w:rPr>
                <w:rFonts w:eastAsia="Aptos"/>
              </w:rPr>
            </w:pPr>
          </w:p>
        </w:tc>
        <w:tc>
          <w:tcPr>
            <w:tcW w:w="2700" w:type="dxa"/>
          </w:tcPr>
          <w:p w14:paraId="5068F674" w14:textId="77777777" w:rsidR="00A82D56" w:rsidRPr="00E61B87" w:rsidRDefault="00A82D56" w:rsidP="00CE4290">
            <w:pPr>
              <w:pStyle w:val="ListParagraph"/>
              <w:rPr>
                <w:rFonts w:eastAsia="Aptos"/>
              </w:rPr>
            </w:pPr>
          </w:p>
        </w:tc>
      </w:tr>
      <w:tr w:rsidR="00A82D56" w:rsidRPr="00E61B87" w14:paraId="23FBCA0D" w14:textId="77777777" w:rsidTr="72B19BE2">
        <w:tc>
          <w:tcPr>
            <w:tcW w:w="4405" w:type="dxa"/>
          </w:tcPr>
          <w:p w14:paraId="1EE2623C" w14:textId="77777777" w:rsidR="00A82D56" w:rsidRPr="00E61B87" w:rsidRDefault="00A82D56" w:rsidP="00A82D56">
            <w:pPr>
              <w:pStyle w:val="ListParagraph"/>
              <w:numPr>
                <w:ilvl w:val="0"/>
                <w:numId w:val="37"/>
              </w:numPr>
              <w:ind w:left="330" w:hanging="270"/>
            </w:pPr>
            <w:r w:rsidRPr="00E61B87">
              <w:t xml:space="preserve">Investigate leveraging state purchasing power or initiatives to help manage technology vendor costs for districts. </w:t>
            </w:r>
          </w:p>
        </w:tc>
        <w:tc>
          <w:tcPr>
            <w:tcW w:w="2790" w:type="dxa"/>
          </w:tcPr>
          <w:p w14:paraId="6DDF4D85" w14:textId="77777777" w:rsidR="00A82D56" w:rsidRPr="00E61B87" w:rsidRDefault="00A82D56" w:rsidP="00CE4290">
            <w:pPr>
              <w:pStyle w:val="ListParagraph"/>
            </w:pPr>
          </w:p>
        </w:tc>
        <w:tc>
          <w:tcPr>
            <w:tcW w:w="3240" w:type="dxa"/>
          </w:tcPr>
          <w:p w14:paraId="2AADCA39" w14:textId="77777777" w:rsidR="00A82D56" w:rsidRPr="00E61B87" w:rsidRDefault="00A82D56" w:rsidP="00CE4290">
            <w:pPr>
              <w:pStyle w:val="ListParagraph"/>
            </w:pPr>
          </w:p>
        </w:tc>
        <w:tc>
          <w:tcPr>
            <w:tcW w:w="2700" w:type="dxa"/>
          </w:tcPr>
          <w:p w14:paraId="6833BD8D" w14:textId="77777777" w:rsidR="00A82D56" w:rsidRPr="00E61B87" w:rsidRDefault="00A82D56" w:rsidP="00CE4290">
            <w:pPr>
              <w:pStyle w:val="ListParagraph"/>
            </w:pPr>
          </w:p>
        </w:tc>
      </w:tr>
      <w:tr w:rsidR="00A82D56" w:rsidRPr="00E61B87" w14:paraId="6F37F940" w14:textId="77777777" w:rsidTr="72B19BE2">
        <w:tc>
          <w:tcPr>
            <w:tcW w:w="4405" w:type="dxa"/>
            <w:tcBorders>
              <w:bottom w:val="single" w:sz="4" w:space="0" w:color="auto"/>
            </w:tcBorders>
          </w:tcPr>
          <w:p w14:paraId="0D8329EB" w14:textId="77777777" w:rsidR="00A82D56" w:rsidRPr="00E61B87" w:rsidRDefault="00A82D56" w:rsidP="00CE4290">
            <w:pPr>
              <w:ind w:left="330" w:hanging="270"/>
            </w:pPr>
          </w:p>
        </w:tc>
        <w:tc>
          <w:tcPr>
            <w:tcW w:w="2790" w:type="dxa"/>
            <w:tcBorders>
              <w:bottom w:val="single" w:sz="4" w:space="0" w:color="auto"/>
            </w:tcBorders>
          </w:tcPr>
          <w:p w14:paraId="7BEBE400" w14:textId="77777777" w:rsidR="00A82D56" w:rsidRPr="00E61B87" w:rsidRDefault="00A82D56" w:rsidP="00CE4290"/>
        </w:tc>
        <w:tc>
          <w:tcPr>
            <w:tcW w:w="3240" w:type="dxa"/>
            <w:tcBorders>
              <w:bottom w:val="single" w:sz="4" w:space="0" w:color="auto"/>
            </w:tcBorders>
          </w:tcPr>
          <w:p w14:paraId="2396C6B8" w14:textId="77777777" w:rsidR="00A82D56" w:rsidRPr="00E61B87" w:rsidRDefault="00A82D56" w:rsidP="00CE4290"/>
        </w:tc>
        <w:tc>
          <w:tcPr>
            <w:tcW w:w="2700" w:type="dxa"/>
            <w:tcBorders>
              <w:bottom w:val="single" w:sz="4" w:space="0" w:color="auto"/>
            </w:tcBorders>
          </w:tcPr>
          <w:p w14:paraId="6A5237EA" w14:textId="77777777" w:rsidR="00A82D56" w:rsidRPr="00E61B87" w:rsidRDefault="00A82D56" w:rsidP="00CE4290"/>
        </w:tc>
      </w:tr>
      <w:tr w:rsidR="00A82D56" w:rsidRPr="00E61B87" w14:paraId="388D5B03" w14:textId="77777777" w:rsidTr="72B19BE2">
        <w:tc>
          <w:tcPr>
            <w:tcW w:w="13135" w:type="dxa"/>
            <w:gridSpan w:val="4"/>
            <w:tcBorders>
              <w:bottom w:val="single" w:sz="4" w:space="0" w:color="auto"/>
            </w:tcBorders>
            <w:shd w:val="clear" w:color="auto" w:fill="E1EBF7"/>
          </w:tcPr>
          <w:p w14:paraId="51620602" w14:textId="77777777" w:rsidR="00A82D56" w:rsidRPr="00E61B87" w:rsidRDefault="00A82D56" w:rsidP="00CE4290">
            <w:pPr>
              <w:ind w:left="330" w:hanging="270"/>
              <w:rPr>
                <w:b/>
                <w:bCs/>
                <w:u w:val="single"/>
              </w:rPr>
            </w:pPr>
            <w:r w:rsidRPr="00E61B87">
              <w:rPr>
                <w:b/>
                <w:bCs/>
              </w:rPr>
              <w:t>Strategic Objective #2 Deeper Learning</w:t>
            </w:r>
          </w:p>
        </w:tc>
      </w:tr>
      <w:tr w:rsidR="00A82D56" w:rsidRPr="00E61B87" w14:paraId="20363546" w14:textId="77777777" w:rsidTr="72B19BE2">
        <w:tc>
          <w:tcPr>
            <w:tcW w:w="4405" w:type="dxa"/>
            <w:shd w:val="clear" w:color="auto" w:fill="F2DBDB" w:themeFill="accent2" w:themeFillTint="33"/>
          </w:tcPr>
          <w:p w14:paraId="21E9453A" w14:textId="237BC580" w:rsidR="00A82D56" w:rsidRPr="00E61B87" w:rsidRDefault="2949EB28" w:rsidP="00CE4290">
            <w:pPr>
              <w:ind w:left="330" w:hanging="270"/>
              <w:rPr>
                <w:b/>
                <w:bCs/>
              </w:rPr>
            </w:pPr>
            <w:r w:rsidRPr="72B19BE2">
              <w:rPr>
                <w:b/>
                <w:bCs/>
              </w:rPr>
              <w:t>Ed Tech Integration</w:t>
            </w:r>
            <w:r w:rsidR="29910118" w:rsidRPr="72B19BE2">
              <w:rPr>
                <w:b/>
                <w:bCs/>
              </w:rPr>
              <w:t xml:space="preserve"> Suggestions</w:t>
            </w:r>
            <w:r w:rsidRPr="72B19BE2">
              <w:rPr>
                <w:b/>
                <w:bCs/>
              </w:rPr>
              <w:t xml:space="preserve">: </w:t>
            </w:r>
          </w:p>
        </w:tc>
        <w:tc>
          <w:tcPr>
            <w:tcW w:w="2790" w:type="dxa"/>
            <w:shd w:val="clear" w:color="auto" w:fill="F2DBDB" w:themeFill="accent2" w:themeFillTint="33"/>
          </w:tcPr>
          <w:p w14:paraId="0D119252" w14:textId="77777777" w:rsidR="00A82D56" w:rsidRPr="00E61B87" w:rsidRDefault="00A82D56" w:rsidP="00CE4290"/>
        </w:tc>
        <w:tc>
          <w:tcPr>
            <w:tcW w:w="3240" w:type="dxa"/>
            <w:shd w:val="clear" w:color="auto" w:fill="F2DBDB" w:themeFill="accent2" w:themeFillTint="33"/>
          </w:tcPr>
          <w:p w14:paraId="76271BDE" w14:textId="77777777" w:rsidR="00A82D56" w:rsidRPr="00E61B87" w:rsidRDefault="00A82D56" w:rsidP="00CE4290"/>
        </w:tc>
        <w:tc>
          <w:tcPr>
            <w:tcW w:w="2700" w:type="dxa"/>
            <w:shd w:val="clear" w:color="auto" w:fill="F2DBDB" w:themeFill="accent2" w:themeFillTint="33"/>
          </w:tcPr>
          <w:p w14:paraId="556509CF" w14:textId="77777777" w:rsidR="00A82D56" w:rsidRPr="00E61B87" w:rsidRDefault="00A82D56" w:rsidP="00CE4290"/>
        </w:tc>
      </w:tr>
      <w:tr w:rsidR="00A82D56" w:rsidRPr="00E61B87" w14:paraId="069EC6BF" w14:textId="77777777" w:rsidTr="72B19BE2">
        <w:tc>
          <w:tcPr>
            <w:tcW w:w="4405" w:type="dxa"/>
          </w:tcPr>
          <w:p w14:paraId="5AA6878F" w14:textId="77777777" w:rsidR="00A82D56" w:rsidRPr="00E61B87" w:rsidRDefault="00A82D56" w:rsidP="00A82D56">
            <w:pPr>
              <w:pStyle w:val="ListParagraph"/>
              <w:numPr>
                <w:ilvl w:val="0"/>
                <w:numId w:val="34"/>
              </w:numPr>
              <w:ind w:left="330" w:hanging="270"/>
              <w:rPr>
                <w:rFonts w:eastAsia="Aptos"/>
              </w:rPr>
            </w:pPr>
            <w:r w:rsidRPr="00E61B87">
              <w:rPr>
                <w:rFonts w:eastAsia="Aptos"/>
              </w:rPr>
              <w:t xml:space="preserve">Revise Digital Literacy and Computer Science (DLCS) standards to better support the integration of EdTech for deeper learning within educator preparation programs. </w:t>
            </w:r>
          </w:p>
        </w:tc>
        <w:tc>
          <w:tcPr>
            <w:tcW w:w="2790" w:type="dxa"/>
          </w:tcPr>
          <w:p w14:paraId="41AB5D94" w14:textId="2073C1F5" w:rsidR="00A82D56" w:rsidRPr="00E61B87" w:rsidRDefault="00A82D56" w:rsidP="00F90AB6">
            <w:pPr>
              <w:pStyle w:val="ListParagraph"/>
              <w:rPr>
                <w:rFonts w:eastAsia="Aptos"/>
              </w:rPr>
            </w:pPr>
          </w:p>
        </w:tc>
        <w:tc>
          <w:tcPr>
            <w:tcW w:w="3240" w:type="dxa"/>
          </w:tcPr>
          <w:p w14:paraId="6631CE6E" w14:textId="41F42F4A" w:rsidR="00A82D56" w:rsidRPr="00E61B87" w:rsidRDefault="23C0289C" w:rsidP="00CE4290">
            <w:pPr>
              <w:pStyle w:val="ListParagraph"/>
              <w:rPr>
                <w:rFonts w:eastAsia="Aptos"/>
              </w:rPr>
            </w:pPr>
            <w:r w:rsidRPr="72B19BE2">
              <w:rPr>
                <w:rFonts w:eastAsia="Aptos"/>
              </w:rPr>
              <w:t>CIS team; DLCS standards</w:t>
            </w:r>
          </w:p>
        </w:tc>
        <w:tc>
          <w:tcPr>
            <w:tcW w:w="2700" w:type="dxa"/>
          </w:tcPr>
          <w:p w14:paraId="1FC93FBC" w14:textId="77777777" w:rsidR="00A82D56" w:rsidRPr="00E61B87" w:rsidRDefault="00A82D56" w:rsidP="00CE4290">
            <w:pPr>
              <w:pStyle w:val="ListParagraph"/>
              <w:rPr>
                <w:rFonts w:eastAsia="Aptos"/>
              </w:rPr>
            </w:pPr>
          </w:p>
        </w:tc>
      </w:tr>
      <w:tr w:rsidR="00A82D56" w:rsidRPr="00E61B87" w14:paraId="3B1F885A" w14:textId="77777777" w:rsidTr="72B19BE2">
        <w:tc>
          <w:tcPr>
            <w:tcW w:w="4405" w:type="dxa"/>
          </w:tcPr>
          <w:p w14:paraId="143B50C0" w14:textId="77777777" w:rsidR="00A82D56" w:rsidRPr="00E61B87" w:rsidRDefault="00A82D56" w:rsidP="00A82D56">
            <w:pPr>
              <w:pStyle w:val="ListParagraph"/>
              <w:numPr>
                <w:ilvl w:val="0"/>
                <w:numId w:val="34"/>
              </w:numPr>
              <w:ind w:left="330" w:hanging="270"/>
              <w:rPr>
                <w:rFonts w:eastAsia="Aptos"/>
              </w:rPr>
            </w:pPr>
            <w:r w:rsidRPr="00E61B87">
              <w:rPr>
                <w:rFonts w:eastAsia="Aptos"/>
              </w:rPr>
              <w:t xml:space="preserve">Ensure pre-service educators are prepared to use current and future technology platforms effectively to make students career-ready. </w:t>
            </w:r>
          </w:p>
        </w:tc>
        <w:tc>
          <w:tcPr>
            <w:tcW w:w="2790" w:type="dxa"/>
          </w:tcPr>
          <w:p w14:paraId="4295948A" w14:textId="77777777" w:rsidR="00A82D56" w:rsidRPr="00E61B87" w:rsidRDefault="00A82D56" w:rsidP="00CE4290">
            <w:pPr>
              <w:pStyle w:val="ListParagraph"/>
              <w:rPr>
                <w:rFonts w:eastAsia="Aptos"/>
              </w:rPr>
            </w:pPr>
          </w:p>
        </w:tc>
        <w:tc>
          <w:tcPr>
            <w:tcW w:w="3240" w:type="dxa"/>
          </w:tcPr>
          <w:p w14:paraId="7F705436" w14:textId="2BC5F643" w:rsidR="00A82D56" w:rsidRPr="00E61B87" w:rsidRDefault="5DB0EF4A" w:rsidP="00CE4290">
            <w:pPr>
              <w:pStyle w:val="ListParagraph"/>
              <w:rPr>
                <w:rFonts w:eastAsia="Aptos"/>
              </w:rPr>
            </w:pPr>
            <w:r w:rsidRPr="72B19BE2">
              <w:rPr>
                <w:rFonts w:eastAsia="Aptos"/>
              </w:rPr>
              <w:t>Ed Prep team/Licensure office</w:t>
            </w:r>
          </w:p>
        </w:tc>
        <w:tc>
          <w:tcPr>
            <w:tcW w:w="2700" w:type="dxa"/>
          </w:tcPr>
          <w:p w14:paraId="135B92E8" w14:textId="77777777" w:rsidR="00A82D56" w:rsidRPr="00E61B87" w:rsidRDefault="00A82D56" w:rsidP="00CE4290">
            <w:pPr>
              <w:pStyle w:val="ListParagraph"/>
              <w:rPr>
                <w:rFonts w:eastAsia="Aptos"/>
              </w:rPr>
            </w:pPr>
          </w:p>
        </w:tc>
      </w:tr>
      <w:tr w:rsidR="00A82D56" w:rsidRPr="00E61B87" w14:paraId="13D48D60" w14:textId="77777777" w:rsidTr="72B19BE2">
        <w:tc>
          <w:tcPr>
            <w:tcW w:w="4405" w:type="dxa"/>
          </w:tcPr>
          <w:p w14:paraId="43BEB5C5" w14:textId="77777777" w:rsidR="00A82D56" w:rsidRPr="00E61B87" w:rsidRDefault="00A82D56" w:rsidP="00A82D56">
            <w:pPr>
              <w:pStyle w:val="ListParagraph"/>
              <w:numPr>
                <w:ilvl w:val="0"/>
                <w:numId w:val="34"/>
              </w:numPr>
              <w:ind w:left="330" w:hanging="270"/>
              <w:rPr>
                <w:rFonts w:eastAsia="Aptos"/>
              </w:rPr>
            </w:pPr>
            <w:r w:rsidRPr="00E61B87">
              <w:rPr>
                <w:rFonts w:eastAsia="Aptos"/>
              </w:rPr>
              <w:t xml:space="preserve">Address the gap between the EdTech skills taught in pre-service programs (e.g. university IT preference like Canvas) and the platforms actually used in K-12 districts (e.g. Google). </w:t>
            </w:r>
          </w:p>
        </w:tc>
        <w:tc>
          <w:tcPr>
            <w:tcW w:w="2790" w:type="dxa"/>
          </w:tcPr>
          <w:p w14:paraId="06500E94" w14:textId="77777777" w:rsidR="00A82D56" w:rsidRPr="00E61B87" w:rsidRDefault="00A82D56" w:rsidP="00CE4290">
            <w:pPr>
              <w:pStyle w:val="ListParagraph"/>
              <w:rPr>
                <w:rFonts w:eastAsia="Aptos"/>
              </w:rPr>
            </w:pPr>
          </w:p>
        </w:tc>
        <w:tc>
          <w:tcPr>
            <w:tcW w:w="3240" w:type="dxa"/>
          </w:tcPr>
          <w:p w14:paraId="484BE63C" w14:textId="5A129F37" w:rsidR="00A82D56" w:rsidRPr="00E61B87" w:rsidRDefault="16F2A5E3" w:rsidP="00CE4290">
            <w:pPr>
              <w:pStyle w:val="ListParagraph"/>
              <w:rPr>
                <w:rFonts w:eastAsia="Aptos"/>
              </w:rPr>
            </w:pPr>
            <w:r w:rsidRPr="72B19BE2">
              <w:rPr>
                <w:rFonts w:eastAsia="Aptos"/>
              </w:rPr>
              <w:t>Ed Prep team</w:t>
            </w:r>
          </w:p>
        </w:tc>
        <w:tc>
          <w:tcPr>
            <w:tcW w:w="2700" w:type="dxa"/>
          </w:tcPr>
          <w:p w14:paraId="22CC548E" w14:textId="77777777" w:rsidR="00A82D56" w:rsidRPr="00E61B87" w:rsidRDefault="00A82D56" w:rsidP="00CE4290">
            <w:pPr>
              <w:pStyle w:val="ListParagraph"/>
              <w:rPr>
                <w:rFonts w:eastAsia="Aptos"/>
              </w:rPr>
            </w:pPr>
          </w:p>
        </w:tc>
      </w:tr>
      <w:tr w:rsidR="00A82D56" w:rsidRPr="00E61B87" w14:paraId="379141F3" w14:textId="77777777" w:rsidTr="72B19BE2">
        <w:tc>
          <w:tcPr>
            <w:tcW w:w="4405" w:type="dxa"/>
          </w:tcPr>
          <w:p w14:paraId="5C4061C8" w14:textId="77777777" w:rsidR="00A82D56" w:rsidRPr="00E61B87" w:rsidRDefault="00A82D56" w:rsidP="00A82D56">
            <w:pPr>
              <w:pStyle w:val="ListParagraph"/>
              <w:numPr>
                <w:ilvl w:val="0"/>
                <w:numId w:val="34"/>
              </w:numPr>
              <w:ind w:left="330" w:hanging="270"/>
              <w:rPr>
                <w:rFonts w:eastAsia="Aptos"/>
              </w:rPr>
            </w:pPr>
            <w:r w:rsidRPr="00E61B87">
              <w:rPr>
                <w:rFonts w:eastAsia="Aptos"/>
              </w:rPr>
              <w:t>Encourage and promote more applicable EdTech skills training within educator preparation programs.</w:t>
            </w:r>
          </w:p>
        </w:tc>
        <w:tc>
          <w:tcPr>
            <w:tcW w:w="2790" w:type="dxa"/>
          </w:tcPr>
          <w:p w14:paraId="2CF4218E" w14:textId="77777777" w:rsidR="00A82D56" w:rsidRPr="00E61B87" w:rsidRDefault="00A82D56" w:rsidP="00CE4290">
            <w:pPr>
              <w:pStyle w:val="ListParagraph"/>
              <w:rPr>
                <w:rFonts w:eastAsia="Aptos"/>
              </w:rPr>
            </w:pPr>
          </w:p>
        </w:tc>
        <w:tc>
          <w:tcPr>
            <w:tcW w:w="3240" w:type="dxa"/>
          </w:tcPr>
          <w:p w14:paraId="2CB80DA4" w14:textId="404EED54" w:rsidR="00A82D56" w:rsidRPr="00E61B87" w:rsidRDefault="0188B414" w:rsidP="00CE4290">
            <w:pPr>
              <w:pStyle w:val="ListParagraph"/>
              <w:rPr>
                <w:rFonts w:eastAsia="Aptos"/>
              </w:rPr>
            </w:pPr>
            <w:r w:rsidRPr="72B19BE2">
              <w:rPr>
                <w:rFonts w:eastAsia="Aptos"/>
              </w:rPr>
              <w:t>Ed Prep team</w:t>
            </w:r>
          </w:p>
        </w:tc>
        <w:tc>
          <w:tcPr>
            <w:tcW w:w="2700" w:type="dxa"/>
          </w:tcPr>
          <w:p w14:paraId="2BF02A3D" w14:textId="77777777" w:rsidR="00A82D56" w:rsidRPr="00E61B87" w:rsidRDefault="00A82D56" w:rsidP="00CE4290">
            <w:pPr>
              <w:pStyle w:val="ListParagraph"/>
              <w:rPr>
                <w:rFonts w:eastAsia="Aptos"/>
              </w:rPr>
            </w:pPr>
          </w:p>
        </w:tc>
      </w:tr>
      <w:tr w:rsidR="00A82D56" w:rsidRPr="00E61B87" w14:paraId="543700A5" w14:textId="77777777" w:rsidTr="72B19BE2">
        <w:tc>
          <w:tcPr>
            <w:tcW w:w="4405" w:type="dxa"/>
          </w:tcPr>
          <w:p w14:paraId="5A9BCE4F" w14:textId="77777777" w:rsidR="00A82D56" w:rsidRPr="00E61B87" w:rsidRDefault="00A82D56" w:rsidP="00A82D56">
            <w:pPr>
              <w:pStyle w:val="ListParagraph"/>
              <w:numPr>
                <w:ilvl w:val="0"/>
                <w:numId w:val="34"/>
              </w:numPr>
              <w:ind w:left="330" w:hanging="270"/>
              <w:rPr>
                <w:rFonts w:eastAsia="Aptos"/>
              </w:rPr>
            </w:pPr>
            <w:r w:rsidRPr="00E61B87">
              <w:rPr>
                <w:rFonts w:eastAsia="Aptos"/>
              </w:rPr>
              <w:t xml:space="preserve">Increase resources available for EdTech teachers. </w:t>
            </w:r>
          </w:p>
        </w:tc>
        <w:tc>
          <w:tcPr>
            <w:tcW w:w="2790" w:type="dxa"/>
          </w:tcPr>
          <w:p w14:paraId="26468E08" w14:textId="77777777" w:rsidR="00A82D56" w:rsidRPr="00E61B87" w:rsidRDefault="00A82D56" w:rsidP="00CE4290">
            <w:pPr>
              <w:pStyle w:val="ListParagraph"/>
              <w:rPr>
                <w:rFonts w:eastAsia="Aptos"/>
              </w:rPr>
            </w:pPr>
          </w:p>
        </w:tc>
        <w:tc>
          <w:tcPr>
            <w:tcW w:w="3240" w:type="dxa"/>
          </w:tcPr>
          <w:p w14:paraId="7BC3A0DE" w14:textId="77777777" w:rsidR="00A82D56" w:rsidRPr="00E61B87" w:rsidRDefault="00A82D56" w:rsidP="00CE4290">
            <w:pPr>
              <w:pStyle w:val="ListParagraph"/>
              <w:rPr>
                <w:rFonts w:eastAsia="Aptos"/>
              </w:rPr>
            </w:pPr>
          </w:p>
        </w:tc>
        <w:tc>
          <w:tcPr>
            <w:tcW w:w="2700" w:type="dxa"/>
          </w:tcPr>
          <w:p w14:paraId="1AFF6E4B" w14:textId="77777777" w:rsidR="00A82D56" w:rsidRPr="00E61B87" w:rsidRDefault="00A82D56" w:rsidP="00CE4290">
            <w:pPr>
              <w:pStyle w:val="ListParagraph"/>
              <w:rPr>
                <w:rFonts w:eastAsia="Aptos"/>
              </w:rPr>
            </w:pPr>
          </w:p>
        </w:tc>
      </w:tr>
      <w:tr w:rsidR="00A82D56" w:rsidRPr="00E61B87" w14:paraId="4A93D7E7" w14:textId="77777777" w:rsidTr="72B19BE2">
        <w:tc>
          <w:tcPr>
            <w:tcW w:w="4405" w:type="dxa"/>
          </w:tcPr>
          <w:p w14:paraId="5D20AC21" w14:textId="77777777" w:rsidR="00A82D56" w:rsidRPr="00E61B87" w:rsidRDefault="00A82D56" w:rsidP="00A82D56">
            <w:pPr>
              <w:pStyle w:val="ListParagraph"/>
              <w:numPr>
                <w:ilvl w:val="0"/>
                <w:numId w:val="34"/>
              </w:numPr>
              <w:ind w:left="330" w:hanging="270"/>
              <w:rPr>
                <w:rFonts w:eastAsia="Aptos"/>
              </w:rPr>
            </w:pPr>
            <w:r w:rsidRPr="00E61B87">
              <w:rPr>
                <w:rFonts w:eastAsia="Aptos"/>
              </w:rPr>
              <w:t xml:space="preserve">Address the disparity between the demand for and availability of instructional technology licenses, potentially recommending less strictive pathways for program approval. </w:t>
            </w:r>
          </w:p>
        </w:tc>
        <w:tc>
          <w:tcPr>
            <w:tcW w:w="2790" w:type="dxa"/>
          </w:tcPr>
          <w:p w14:paraId="4978674C" w14:textId="77777777" w:rsidR="00A82D56" w:rsidRPr="00E61B87" w:rsidRDefault="00A82D56" w:rsidP="00CE4290">
            <w:pPr>
              <w:pStyle w:val="ListParagraph"/>
              <w:rPr>
                <w:rFonts w:eastAsia="Aptos"/>
              </w:rPr>
            </w:pPr>
          </w:p>
        </w:tc>
        <w:tc>
          <w:tcPr>
            <w:tcW w:w="3240" w:type="dxa"/>
          </w:tcPr>
          <w:p w14:paraId="2B1FAB5F" w14:textId="1D37472A" w:rsidR="00A82D56" w:rsidRPr="00E61B87" w:rsidRDefault="19312504" w:rsidP="00CE4290">
            <w:pPr>
              <w:pStyle w:val="ListParagraph"/>
              <w:rPr>
                <w:rFonts w:eastAsia="Aptos"/>
              </w:rPr>
            </w:pPr>
            <w:r w:rsidRPr="72B19BE2">
              <w:rPr>
                <w:rFonts w:eastAsia="Aptos"/>
              </w:rPr>
              <w:t>Licensure</w:t>
            </w:r>
          </w:p>
        </w:tc>
        <w:tc>
          <w:tcPr>
            <w:tcW w:w="2700" w:type="dxa"/>
          </w:tcPr>
          <w:p w14:paraId="78FE3067" w14:textId="77777777" w:rsidR="00A82D56" w:rsidRPr="00E61B87" w:rsidRDefault="00A82D56" w:rsidP="00CE4290">
            <w:pPr>
              <w:pStyle w:val="ListParagraph"/>
              <w:rPr>
                <w:rFonts w:eastAsia="Aptos"/>
              </w:rPr>
            </w:pPr>
          </w:p>
        </w:tc>
      </w:tr>
      <w:tr w:rsidR="00A82D56" w:rsidRPr="00E61B87" w14:paraId="3C67D3D7" w14:textId="77777777" w:rsidTr="72B19BE2">
        <w:tc>
          <w:tcPr>
            <w:tcW w:w="4405" w:type="dxa"/>
          </w:tcPr>
          <w:p w14:paraId="24CE95C2" w14:textId="77777777" w:rsidR="00A82D56" w:rsidRPr="00E61B87" w:rsidRDefault="00A82D56" w:rsidP="00A82D56">
            <w:pPr>
              <w:pStyle w:val="ListParagraph"/>
              <w:numPr>
                <w:ilvl w:val="0"/>
                <w:numId w:val="34"/>
              </w:numPr>
              <w:ind w:left="330" w:hanging="270"/>
              <w:rPr>
                <w:rFonts w:eastAsia="Aptos"/>
              </w:rPr>
            </w:pPr>
            <w:r w:rsidRPr="00E61B87">
              <w:rPr>
                <w:rFonts w:eastAsia="Aptos"/>
              </w:rPr>
              <w:t xml:space="preserve">Focus on key themes: licensure, Professional development (PD), data, curriculum, resources, and learning environments, priorities the best available resources. </w:t>
            </w:r>
          </w:p>
        </w:tc>
        <w:tc>
          <w:tcPr>
            <w:tcW w:w="2790" w:type="dxa"/>
          </w:tcPr>
          <w:p w14:paraId="2453E8FA" w14:textId="77777777" w:rsidR="00A82D56" w:rsidRPr="00E61B87" w:rsidRDefault="00A82D56" w:rsidP="00CE4290">
            <w:pPr>
              <w:pStyle w:val="ListParagraph"/>
              <w:rPr>
                <w:rFonts w:eastAsia="Aptos"/>
              </w:rPr>
            </w:pPr>
          </w:p>
        </w:tc>
        <w:tc>
          <w:tcPr>
            <w:tcW w:w="3240" w:type="dxa"/>
          </w:tcPr>
          <w:p w14:paraId="421D8CD2" w14:textId="2B64DD7B" w:rsidR="00A82D56" w:rsidRPr="00E61B87" w:rsidRDefault="458F7472" w:rsidP="00CE4290">
            <w:pPr>
              <w:pStyle w:val="ListParagraph"/>
              <w:rPr>
                <w:rFonts w:eastAsia="Aptos"/>
              </w:rPr>
            </w:pPr>
            <w:r w:rsidRPr="72B19BE2">
              <w:rPr>
                <w:rFonts w:eastAsia="Aptos"/>
              </w:rPr>
              <w:t>Many DESE offices</w:t>
            </w:r>
          </w:p>
        </w:tc>
        <w:tc>
          <w:tcPr>
            <w:tcW w:w="2700" w:type="dxa"/>
          </w:tcPr>
          <w:p w14:paraId="02B03181" w14:textId="77777777" w:rsidR="00A82D56" w:rsidRPr="00E61B87" w:rsidRDefault="00A82D56" w:rsidP="00CE4290">
            <w:pPr>
              <w:pStyle w:val="ListParagraph"/>
              <w:rPr>
                <w:rFonts w:eastAsia="Aptos"/>
              </w:rPr>
            </w:pPr>
          </w:p>
        </w:tc>
      </w:tr>
      <w:tr w:rsidR="00A82D56" w:rsidRPr="00E61B87" w14:paraId="6ED14EAA" w14:textId="77777777" w:rsidTr="72B19BE2">
        <w:tc>
          <w:tcPr>
            <w:tcW w:w="4405" w:type="dxa"/>
            <w:tcBorders>
              <w:bottom w:val="single" w:sz="4" w:space="0" w:color="auto"/>
            </w:tcBorders>
          </w:tcPr>
          <w:p w14:paraId="7636BEDD" w14:textId="77777777" w:rsidR="00A82D56" w:rsidRPr="00E61B87" w:rsidRDefault="00A82D56" w:rsidP="00CE4290">
            <w:pPr>
              <w:ind w:left="330" w:hanging="270"/>
              <w:rPr>
                <w:rFonts w:eastAsia="Aptos"/>
              </w:rPr>
            </w:pPr>
          </w:p>
        </w:tc>
        <w:tc>
          <w:tcPr>
            <w:tcW w:w="2790" w:type="dxa"/>
            <w:tcBorders>
              <w:bottom w:val="single" w:sz="4" w:space="0" w:color="auto"/>
            </w:tcBorders>
          </w:tcPr>
          <w:p w14:paraId="2D451A60" w14:textId="77777777" w:rsidR="00A82D56" w:rsidRPr="00E61B87" w:rsidRDefault="00A82D56" w:rsidP="00CE4290">
            <w:pPr>
              <w:rPr>
                <w:rFonts w:eastAsia="Aptos"/>
              </w:rPr>
            </w:pPr>
          </w:p>
        </w:tc>
        <w:tc>
          <w:tcPr>
            <w:tcW w:w="3240" w:type="dxa"/>
            <w:tcBorders>
              <w:bottom w:val="single" w:sz="4" w:space="0" w:color="auto"/>
            </w:tcBorders>
          </w:tcPr>
          <w:p w14:paraId="4F11928A" w14:textId="77777777" w:rsidR="00A82D56" w:rsidRPr="00E61B87" w:rsidRDefault="00A82D56" w:rsidP="00CE4290">
            <w:pPr>
              <w:rPr>
                <w:rFonts w:eastAsia="Aptos"/>
              </w:rPr>
            </w:pPr>
          </w:p>
        </w:tc>
        <w:tc>
          <w:tcPr>
            <w:tcW w:w="2700" w:type="dxa"/>
            <w:tcBorders>
              <w:bottom w:val="single" w:sz="4" w:space="0" w:color="auto"/>
            </w:tcBorders>
          </w:tcPr>
          <w:p w14:paraId="702FA4C7" w14:textId="77777777" w:rsidR="00A82D56" w:rsidRPr="00E61B87" w:rsidRDefault="00A82D56" w:rsidP="00CE4290">
            <w:pPr>
              <w:rPr>
                <w:rFonts w:eastAsia="Aptos"/>
              </w:rPr>
            </w:pPr>
          </w:p>
        </w:tc>
      </w:tr>
      <w:tr w:rsidR="00A82D56" w:rsidRPr="00E61B87" w14:paraId="2EFB91CB" w14:textId="77777777" w:rsidTr="72B19BE2">
        <w:tc>
          <w:tcPr>
            <w:tcW w:w="4405" w:type="dxa"/>
            <w:shd w:val="clear" w:color="auto" w:fill="F2DBDB" w:themeFill="accent2" w:themeFillTint="33"/>
          </w:tcPr>
          <w:p w14:paraId="6EC3D102" w14:textId="67A07B73" w:rsidR="00A82D56" w:rsidRPr="00E61B87" w:rsidRDefault="2949EB28" w:rsidP="00CE4290">
            <w:pPr>
              <w:ind w:left="330" w:hanging="270"/>
              <w:rPr>
                <w:b/>
                <w:bCs/>
              </w:rPr>
            </w:pPr>
            <w:r w:rsidRPr="72B19BE2">
              <w:rPr>
                <w:b/>
                <w:bCs/>
              </w:rPr>
              <w:t>Virtual Learning</w:t>
            </w:r>
            <w:r w:rsidR="55E4E8AD" w:rsidRPr="72B19BE2">
              <w:rPr>
                <w:b/>
                <w:bCs/>
              </w:rPr>
              <w:t xml:space="preserve"> Suggestions</w:t>
            </w:r>
            <w:r w:rsidRPr="72B19BE2">
              <w:rPr>
                <w:b/>
                <w:bCs/>
              </w:rPr>
              <w:t xml:space="preserve">: </w:t>
            </w:r>
          </w:p>
        </w:tc>
        <w:tc>
          <w:tcPr>
            <w:tcW w:w="2790" w:type="dxa"/>
            <w:shd w:val="clear" w:color="auto" w:fill="F2DBDB" w:themeFill="accent2" w:themeFillTint="33"/>
          </w:tcPr>
          <w:p w14:paraId="6936204D" w14:textId="77777777" w:rsidR="00A82D56" w:rsidRPr="00E61B87" w:rsidRDefault="00A82D56" w:rsidP="00CE4290"/>
        </w:tc>
        <w:tc>
          <w:tcPr>
            <w:tcW w:w="3240" w:type="dxa"/>
            <w:shd w:val="clear" w:color="auto" w:fill="F2DBDB" w:themeFill="accent2" w:themeFillTint="33"/>
          </w:tcPr>
          <w:p w14:paraId="5C821D70" w14:textId="77777777" w:rsidR="00A82D56" w:rsidRPr="00E61B87" w:rsidRDefault="00A82D56" w:rsidP="00CE4290"/>
        </w:tc>
        <w:tc>
          <w:tcPr>
            <w:tcW w:w="2700" w:type="dxa"/>
            <w:shd w:val="clear" w:color="auto" w:fill="F2DBDB" w:themeFill="accent2" w:themeFillTint="33"/>
          </w:tcPr>
          <w:p w14:paraId="06B02802" w14:textId="77777777" w:rsidR="00A82D56" w:rsidRPr="00E61B87" w:rsidRDefault="00A82D56" w:rsidP="00CE4290"/>
        </w:tc>
      </w:tr>
      <w:tr w:rsidR="00A82D56" w:rsidRPr="00E61B87" w14:paraId="0EB8B12C" w14:textId="77777777" w:rsidTr="72B19BE2">
        <w:tc>
          <w:tcPr>
            <w:tcW w:w="4405" w:type="dxa"/>
          </w:tcPr>
          <w:p w14:paraId="0414F403" w14:textId="77777777" w:rsidR="00A82D56" w:rsidRPr="00E61B87" w:rsidRDefault="00A82D56" w:rsidP="00A82D56">
            <w:pPr>
              <w:pStyle w:val="ListParagraph"/>
              <w:numPr>
                <w:ilvl w:val="0"/>
                <w:numId w:val="38"/>
              </w:numPr>
              <w:ind w:left="330" w:hanging="270"/>
            </w:pPr>
            <w:r w:rsidRPr="00E61B87">
              <w:t xml:space="preserve">Leverage virtual environments to connect students with real-world applications and career professionals overcoming geographic limitations. </w:t>
            </w:r>
          </w:p>
        </w:tc>
        <w:tc>
          <w:tcPr>
            <w:tcW w:w="2790" w:type="dxa"/>
          </w:tcPr>
          <w:p w14:paraId="32E1D3B5" w14:textId="77777777" w:rsidR="00A82D56" w:rsidRPr="00E61B87" w:rsidRDefault="00A82D56" w:rsidP="00CE4290">
            <w:pPr>
              <w:pStyle w:val="ListParagraph"/>
            </w:pPr>
          </w:p>
        </w:tc>
        <w:tc>
          <w:tcPr>
            <w:tcW w:w="3240" w:type="dxa"/>
          </w:tcPr>
          <w:p w14:paraId="1C839E93" w14:textId="77777777" w:rsidR="00A82D56" w:rsidRPr="00E61B87" w:rsidRDefault="00A82D56" w:rsidP="00CE4290">
            <w:pPr>
              <w:pStyle w:val="ListParagraph"/>
            </w:pPr>
          </w:p>
        </w:tc>
        <w:tc>
          <w:tcPr>
            <w:tcW w:w="2700" w:type="dxa"/>
          </w:tcPr>
          <w:p w14:paraId="00671C63" w14:textId="77777777" w:rsidR="00A82D56" w:rsidRPr="00E61B87" w:rsidRDefault="00A82D56" w:rsidP="00CE4290">
            <w:pPr>
              <w:pStyle w:val="ListParagraph"/>
            </w:pPr>
          </w:p>
        </w:tc>
      </w:tr>
      <w:tr w:rsidR="00A82D56" w:rsidRPr="00E61B87" w14:paraId="7C9EB24D" w14:textId="77777777" w:rsidTr="72B19BE2">
        <w:tc>
          <w:tcPr>
            <w:tcW w:w="4405" w:type="dxa"/>
          </w:tcPr>
          <w:p w14:paraId="5E71A918" w14:textId="77777777" w:rsidR="00A82D56" w:rsidRPr="00E61B87" w:rsidRDefault="00A82D56" w:rsidP="00A82D56">
            <w:pPr>
              <w:pStyle w:val="ListParagraph"/>
              <w:numPr>
                <w:ilvl w:val="0"/>
                <w:numId w:val="38"/>
              </w:numPr>
              <w:ind w:left="330" w:hanging="270"/>
            </w:pPr>
            <w:r w:rsidRPr="00E61B87">
              <w:t>Facilitate on-going mentorship relationships between students and career professionals.</w:t>
            </w:r>
          </w:p>
        </w:tc>
        <w:tc>
          <w:tcPr>
            <w:tcW w:w="2790" w:type="dxa"/>
          </w:tcPr>
          <w:p w14:paraId="4970EA32" w14:textId="77777777" w:rsidR="00A82D56" w:rsidRPr="00E61B87" w:rsidRDefault="00A82D56" w:rsidP="00CE4290">
            <w:pPr>
              <w:pStyle w:val="ListParagraph"/>
            </w:pPr>
          </w:p>
        </w:tc>
        <w:tc>
          <w:tcPr>
            <w:tcW w:w="3240" w:type="dxa"/>
          </w:tcPr>
          <w:p w14:paraId="0BD56279" w14:textId="77777777" w:rsidR="00A82D56" w:rsidRPr="00E61B87" w:rsidRDefault="00A82D56" w:rsidP="00CE4290">
            <w:pPr>
              <w:pStyle w:val="ListParagraph"/>
            </w:pPr>
          </w:p>
        </w:tc>
        <w:tc>
          <w:tcPr>
            <w:tcW w:w="2700" w:type="dxa"/>
          </w:tcPr>
          <w:p w14:paraId="142F7B6D" w14:textId="77777777" w:rsidR="00A82D56" w:rsidRPr="00E61B87" w:rsidRDefault="00A82D56" w:rsidP="00CE4290">
            <w:pPr>
              <w:pStyle w:val="ListParagraph"/>
            </w:pPr>
          </w:p>
        </w:tc>
      </w:tr>
      <w:tr w:rsidR="00A82D56" w:rsidRPr="00E61B87" w14:paraId="6634ECE4" w14:textId="77777777" w:rsidTr="72B19BE2">
        <w:tc>
          <w:tcPr>
            <w:tcW w:w="4405" w:type="dxa"/>
          </w:tcPr>
          <w:p w14:paraId="6F2B2C88" w14:textId="77777777" w:rsidR="00A82D56" w:rsidRPr="00E61B87" w:rsidRDefault="00A82D56" w:rsidP="00A82D56">
            <w:pPr>
              <w:pStyle w:val="ListParagraph"/>
              <w:numPr>
                <w:ilvl w:val="0"/>
                <w:numId w:val="38"/>
              </w:numPr>
              <w:ind w:left="330" w:hanging="270"/>
            </w:pPr>
            <w:r w:rsidRPr="00E61B87">
              <w:t xml:space="preserve">Re-examine high school graduation requirements, to support districts and ensure that they serve all students and consider incorporating relevant technology/vocational pathways (like Computer integrated manufacturing). </w:t>
            </w:r>
          </w:p>
        </w:tc>
        <w:tc>
          <w:tcPr>
            <w:tcW w:w="2790" w:type="dxa"/>
          </w:tcPr>
          <w:p w14:paraId="66584149" w14:textId="77777777" w:rsidR="00A82D56" w:rsidRPr="00E61B87" w:rsidRDefault="00A82D56" w:rsidP="00CE4290">
            <w:pPr>
              <w:pStyle w:val="ListParagraph"/>
            </w:pPr>
          </w:p>
        </w:tc>
        <w:tc>
          <w:tcPr>
            <w:tcW w:w="3240" w:type="dxa"/>
          </w:tcPr>
          <w:p w14:paraId="62CD6C4D" w14:textId="77777777" w:rsidR="00A82D56" w:rsidRPr="00E61B87" w:rsidRDefault="00A82D56" w:rsidP="00CE4290">
            <w:pPr>
              <w:pStyle w:val="ListParagraph"/>
            </w:pPr>
          </w:p>
        </w:tc>
        <w:tc>
          <w:tcPr>
            <w:tcW w:w="2700" w:type="dxa"/>
          </w:tcPr>
          <w:p w14:paraId="7DC0BD8E" w14:textId="77777777" w:rsidR="00A82D56" w:rsidRPr="00E61B87" w:rsidRDefault="00A82D56" w:rsidP="00CE4290"/>
        </w:tc>
      </w:tr>
      <w:tr w:rsidR="00A82D56" w:rsidRPr="00E61B87" w14:paraId="225A7840" w14:textId="77777777" w:rsidTr="72B19BE2">
        <w:tc>
          <w:tcPr>
            <w:tcW w:w="4405" w:type="dxa"/>
          </w:tcPr>
          <w:p w14:paraId="1770CDDB" w14:textId="77777777" w:rsidR="00A82D56" w:rsidRPr="00E61B87" w:rsidRDefault="00A82D56" w:rsidP="00A82D56">
            <w:pPr>
              <w:pStyle w:val="ListParagraph"/>
              <w:numPr>
                <w:ilvl w:val="0"/>
                <w:numId w:val="38"/>
              </w:numPr>
              <w:ind w:left="330" w:hanging="270"/>
            </w:pPr>
            <w:r w:rsidRPr="00E61B87">
              <w:t xml:space="preserve">Address the need for adequate funding for technology focused pathways. </w:t>
            </w:r>
          </w:p>
        </w:tc>
        <w:tc>
          <w:tcPr>
            <w:tcW w:w="2790" w:type="dxa"/>
          </w:tcPr>
          <w:p w14:paraId="5D961B08" w14:textId="77777777" w:rsidR="00A82D56" w:rsidRPr="00E61B87" w:rsidRDefault="00A82D56" w:rsidP="00CE4290">
            <w:pPr>
              <w:pStyle w:val="ListParagraph"/>
            </w:pPr>
          </w:p>
        </w:tc>
        <w:tc>
          <w:tcPr>
            <w:tcW w:w="3240" w:type="dxa"/>
          </w:tcPr>
          <w:p w14:paraId="6297DEE4" w14:textId="77777777" w:rsidR="00A82D56" w:rsidRPr="00E61B87" w:rsidRDefault="00A82D56" w:rsidP="00CE4290">
            <w:pPr>
              <w:pStyle w:val="ListParagraph"/>
            </w:pPr>
          </w:p>
        </w:tc>
        <w:tc>
          <w:tcPr>
            <w:tcW w:w="2700" w:type="dxa"/>
          </w:tcPr>
          <w:p w14:paraId="774EBAA0" w14:textId="77777777" w:rsidR="00A82D56" w:rsidRPr="00E61B87" w:rsidRDefault="00A82D56" w:rsidP="00CE4290">
            <w:pPr>
              <w:pStyle w:val="ListParagraph"/>
            </w:pPr>
          </w:p>
        </w:tc>
      </w:tr>
      <w:tr w:rsidR="00A82D56" w:rsidRPr="00E61B87" w14:paraId="1AE85B37" w14:textId="77777777" w:rsidTr="72B19BE2">
        <w:tc>
          <w:tcPr>
            <w:tcW w:w="4405" w:type="dxa"/>
            <w:tcBorders>
              <w:bottom w:val="single" w:sz="4" w:space="0" w:color="auto"/>
            </w:tcBorders>
          </w:tcPr>
          <w:p w14:paraId="03C3E6ED" w14:textId="77777777" w:rsidR="00A82D56" w:rsidRPr="00E61B87" w:rsidRDefault="00A82D56" w:rsidP="00CE4290">
            <w:pPr>
              <w:ind w:left="330" w:hanging="270"/>
            </w:pPr>
          </w:p>
        </w:tc>
        <w:tc>
          <w:tcPr>
            <w:tcW w:w="2790" w:type="dxa"/>
            <w:tcBorders>
              <w:bottom w:val="single" w:sz="4" w:space="0" w:color="auto"/>
            </w:tcBorders>
          </w:tcPr>
          <w:p w14:paraId="0D7EC401" w14:textId="77777777" w:rsidR="00A82D56" w:rsidRPr="00E61B87" w:rsidRDefault="00A82D56" w:rsidP="00CE4290"/>
        </w:tc>
        <w:tc>
          <w:tcPr>
            <w:tcW w:w="3240" w:type="dxa"/>
            <w:tcBorders>
              <w:bottom w:val="single" w:sz="4" w:space="0" w:color="auto"/>
            </w:tcBorders>
          </w:tcPr>
          <w:p w14:paraId="53320CCA" w14:textId="77777777" w:rsidR="00A82D56" w:rsidRPr="00E61B87" w:rsidRDefault="00A82D56" w:rsidP="00CE4290"/>
        </w:tc>
        <w:tc>
          <w:tcPr>
            <w:tcW w:w="2700" w:type="dxa"/>
            <w:tcBorders>
              <w:bottom w:val="single" w:sz="4" w:space="0" w:color="auto"/>
            </w:tcBorders>
          </w:tcPr>
          <w:p w14:paraId="42218497" w14:textId="77777777" w:rsidR="00A82D56" w:rsidRPr="00E61B87" w:rsidRDefault="00A82D56" w:rsidP="00CE4290"/>
        </w:tc>
      </w:tr>
      <w:tr w:rsidR="00A82D56" w:rsidRPr="00E61B87" w14:paraId="5EF5341E" w14:textId="77777777" w:rsidTr="72B19BE2">
        <w:tc>
          <w:tcPr>
            <w:tcW w:w="4405" w:type="dxa"/>
            <w:shd w:val="clear" w:color="auto" w:fill="F2DBDB" w:themeFill="accent2" w:themeFillTint="33"/>
          </w:tcPr>
          <w:p w14:paraId="5F0015F6" w14:textId="7AE11D13" w:rsidR="00A82D56" w:rsidRPr="00E61B87" w:rsidRDefault="2949EB28" w:rsidP="00CE4290">
            <w:pPr>
              <w:ind w:left="330" w:hanging="270"/>
            </w:pPr>
            <w:r w:rsidRPr="00F90AB6">
              <w:rPr>
                <w:b/>
                <w:bCs/>
              </w:rPr>
              <w:t>Blended Learning</w:t>
            </w:r>
            <w:r w:rsidR="67186963" w:rsidRPr="00F90AB6">
              <w:rPr>
                <w:b/>
                <w:bCs/>
              </w:rPr>
              <w:t xml:space="preserve"> Suggestions</w:t>
            </w:r>
            <w:r>
              <w:t xml:space="preserve">: </w:t>
            </w:r>
          </w:p>
        </w:tc>
        <w:tc>
          <w:tcPr>
            <w:tcW w:w="2790" w:type="dxa"/>
            <w:shd w:val="clear" w:color="auto" w:fill="F2DBDB" w:themeFill="accent2" w:themeFillTint="33"/>
          </w:tcPr>
          <w:p w14:paraId="21575510" w14:textId="77777777" w:rsidR="00A82D56" w:rsidRPr="00E61B87" w:rsidRDefault="00A82D56" w:rsidP="00CE4290"/>
        </w:tc>
        <w:tc>
          <w:tcPr>
            <w:tcW w:w="3240" w:type="dxa"/>
            <w:shd w:val="clear" w:color="auto" w:fill="F2DBDB" w:themeFill="accent2" w:themeFillTint="33"/>
          </w:tcPr>
          <w:p w14:paraId="2E67005C" w14:textId="77777777" w:rsidR="00A82D56" w:rsidRPr="00E61B87" w:rsidRDefault="00A82D56" w:rsidP="00CE4290"/>
        </w:tc>
        <w:tc>
          <w:tcPr>
            <w:tcW w:w="2700" w:type="dxa"/>
            <w:shd w:val="clear" w:color="auto" w:fill="F2DBDB" w:themeFill="accent2" w:themeFillTint="33"/>
          </w:tcPr>
          <w:p w14:paraId="40859014" w14:textId="77777777" w:rsidR="00A82D56" w:rsidRPr="00E61B87" w:rsidRDefault="00A82D56" w:rsidP="00CE4290"/>
        </w:tc>
      </w:tr>
      <w:tr w:rsidR="00A82D56" w:rsidRPr="00E61B87" w14:paraId="2E954240" w14:textId="77777777" w:rsidTr="72B19BE2">
        <w:tc>
          <w:tcPr>
            <w:tcW w:w="4405" w:type="dxa"/>
          </w:tcPr>
          <w:p w14:paraId="7FDD4F77" w14:textId="77777777" w:rsidR="00A82D56" w:rsidRPr="00E61B87" w:rsidRDefault="00A82D56" w:rsidP="00A82D56">
            <w:pPr>
              <w:pStyle w:val="ListParagraph"/>
              <w:numPr>
                <w:ilvl w:val="0"/>
                <w:numId w:val="39"/>
              </w:numPr>
              <w:ind w:left="330" w:hanging="270"/>
            </w:pPr>
            <w:r w:rsidRPr="00E61B87">
              <w:t>No specific points raised (could be a time limit issue).</w:t>
            </w:r>
          </w:p>
        </w:tc>
        <w:tc>
          <w:tcPr>
            <w:tcW w:w="2790" w:type="dxa"/>
          </w:tcPr>
          <w:p w14:paraId="683E9000" w14:textId="77777777" w:rsidR="00A82D56" w:rsidRPr="00E61B87" w:rsidRDefault="00A82D56" w:rsidP="00CE4290">
            <w:pPr>
              <w:pStyle w:val="ListParagraph"/>
            </w:pPr>
          </w:p>
        </w:tc>
        <w:tc>
          <w:tcPr>
            <w:tcW w:w="3240" w:type="dxa"/>
          </w:tcPr>
          <w:p w14:paraId="43272EEF" w14:textId="77777777" w:rsidR="00A82D56" w:rsidRPr="00E61B87" w:rsidRDefault="00A82D56" w:rsidP="00CE4290">
            <w:pPr>
              <w:pStyle w:val="ListParagraph"/>
            </w:pPr>
          </w:p>
        </w:tc>
        <w:tc>
          <w:tcPr>
            <w:tcW w:w="2700" w:type="dxa"/>
          </w:tcPr>
          <w:p w14:paraId="514065FB" w14:textId="77777777" w:rsidR="00A82D56" w:rsidRPr="00E61B87" w:rsidRDefault="00A82D56" w:rsidP="00CE4290">
            <w:pPr>
              <w:pStyle w:val="ListParagraph"/>
            </w:pPr>
          </w:p>
        </w:tc>
      </w:tr>
    </w:tbl>
    <w:p w14:paraId="2F1B5297" w14:textId="77777777" w:rsidR="00A82D56" w:rsidRPr="00E61B87" w:rsidRDefault="00A82D56" w:rsidP="00A82D56"/>
    <w:p w14:paraId="6D87A30C" w14:textId="77777777" w:rsidR="00417AD3" w:rsidRPr="00E61B87" w:rsidRDefault="00417AD3" w:rsidP="5F57138A">
      <w:pPr>
        <w:pStyle w:val="ListParagraph"/>
        <w:numPr>
          <w:ilvl w:val="0"/>
          <w:numId w:val="40"/>
        </w:numPr>
        <w:spacing w:after="0"/>
        <w:rPr>
          <w:rFonts w:eastAsia="Aptos"/>
          <w:b/>
          <w:bCs/>
        </w:rPr>
      </w:pPr>
      <w:r w:rsidRPr="00E61B87">
        <w:rPr>
          <w:rFonts w:eastAsia="Aptos"/>
          <w:b/>
          <w:bCs/>
        </w:rPr>
        <w:t>Once we have finished reviewing the table, please take a moment as a group to do a lightening round in response to the question: How does digital learning align with</w:t>
      </w:r>
      <w:r w:rsidRPr="00E61B87">
        <w:rPr>
          <w:rFonts w:eastAsia="Aptos"/>
          <w:b/>
          <w:bCs/>
          <w:color w:val="000000" w:themeColor="text1"/>
        </w:rPr>
        <w:t xml:space="preserve"> the </w:t>
      </w:r>
      <w:hyperlink r:id="rId14" w:history="1">
        <w:r w:rsidRPr="00E61B87">
          <w:rPr>
            <w:rFonts w:eastAsia="Aptos"/>
            <w:b/>
            <w:bCs/>
            <w:color w:val="000000" w:themeColor="text1"/>
          </w:rPr>
          <w:t>Department’s</w:t>
        </w:r>
        <w:r w:rsidRPr="00E61B87">
          <w:rPr>
            <w:rStyle w:val="Hyperlink"/>
            <w:rFonts w:eastAsia="Aptos"/>
            <w:b/>
            <w:bCs/>
          </w:rPr>
          <w:t xml:space="preserve"> educational vision</w:t>
        </w:r>
      </w:hyperlink>
      <w:r w:rsidRPr="00E61B87">
        <w:rPr>
          <w:rFonts w:eastAsia="Aptos"/>
          <w:b/>
          <w:bCs/>
        </w:rPr>
        <w:t xml:space="preserve"> and three strategic objectives? </w:t>
      </w:r>
    </w:p>
    <w:p w14:paraId="25E6998E" w14:textId="77777777" w:rsidR="00A20EF3" w:rsidRPr="000E239C" w:rsidRDefault="00A20EF3" w:rsidP="000E239C">
      <w:pPr>
        <w:pStyle w:val="ListParagraph"/>
        <w:rPr>
          <w:rFonts w:eastAsia="Aptos"/>
          <w:b/>
        </w:rPr>
      </w:pPr>
    </w:p>
    <w:p w14:paraId="0787012B" w14:textId="50EA52A7" w:rsidR="00417AD3" w:rsidRPr="00E61B87" w:rsidRDefault="00417AD3" w:rsidP="00417AD3">
      <w:pPr>
        <w:pStyle w:val="ListParagraph"/>
        <w:numPr>
          <w:ilvl w:val="0"/>
          <w:numId w:val="40"/>
        </w:numPr>
        <w:spacing w:after="0"/>
        <w:rPr>
          <w:rFonts w:eastAsia="Aptos"/>
          <w:b/>
        </w:rPr>
      </w:pPr>
      <w:r w:rsidRPr="00E61B87">
        <w:rPr>
          <w:rFonts w:eastAsia="Aptos"/>
          <w:b/>
        </w:rPr>
        <w:t xml:space="preserve">Considering virtual education (virtual and blended learning) and technology (ed tech integrations) what best practices would you </w:t>
      </w:r>
      <w:r w:rsidR="003B7505" w:rsidRPr="00E61B87">
        <w:rPr>
          <w:rFonts w:eastAsia="Aptos"/>
          <w:b/>
        </w:rPr>
        <w:t xml:space="preserve">suggest that DESE </w:t>
      </w:r>
      <w:r w:rsidRPr="00E61B87">
        <w:rPr>
          <w:rFonts w:eastAsia="Aptos"/>
          <w:b/>
        </w:rPr>
        <w:t xml:space="preserve">recommend </w:t>
      </w:r>
      <w:r w:rsidR="009A3DED" w:rsidRPr="00E61B87">
        <w:rPr>
          <w:rFonts w:eastAsia="Aptos"/>
          <w:b/>
        </w:rPr>
        <w:t xml:space="preserve">districts </w:t>
      </w:r>
      <w:r w:rsidR="00A20EF3" w:rsidRPr="00E61B87">
        <w:rPr>
          <w:rFonts w:eastAsia="Aptos"/>
          <w:b/>
        </w:rPr>
        <w:t xml:space="preserve">implement to </w:t>
      </w:r>
      <w:r w:rsidR="009A3DED" w:rsidRPr="00E61B87">
        <w:rPr>
          <w:rFonts w:eastAsia="Aptos"/>
          <w:b/>
        </w:rPr>
        <w:t>complement</w:t>
      </w:r>
      <w:r w:rsidRPr="00E61B87">
        <w:rPr>
          <w:rFonts w:eastAsia="Aptos"/>
          <w:b/>
        </w:rPr>
        <w:t xml:space="preserve"> classroom instruction?</w:t>
      </w:r>
    </w:p>
    <w:p w14:paraId="61448132" w14:textId="77777777" w:rsidR="00417AD3" w:rsidRPr="00E61B87" w:rsidRDefault="00417AD3" w:rsidP="00417AD3">
      <w:pPr>
        <w:rPr>
          <w:rFonts w:eastAsia="Aptos"/>
          <w:b/>
          <w:bCs/>
        </w:rPr>
      </w:pPr>
    </w:p>
    <w:p w14:paraId="13498AF5" w14:textId="77777777" w:rsidR="00711B28" w:rsidRPr="000E239C" w:rsidRDefault="00711B28" w:rsidP="00711B28">
      <w:pPr>
        <w:numPr>
          <w:ilvl w:val="0"/>
          <w:numId w:val="1"/>
        </w:numPr>
        <w:spacing w:after="0" w:line="240" w:lineRule="auto"/>
        <w:rPr>
          <w:rFonts w:asciiTheme="majorHAnsi" w:hAnsiTheme="majorHAnsi" w:cstheme="majorHAnsi"/>
          <w:b/>
        </w:rPr>
      </w:pPr>
      <w:r w:rsidRPr="000E239C">
        <w:rPr>
          <w:rFonts w:asciiTheme="majorHAnsi" w:hAnsiTheme="majorHAnsi" w:cstheme="majorHAnsi"/>
          <w:b/>
        </w:rPr>
        <w:t>Education Technology Team Update (A.J. Cote &amp; Jacqulyn Gantzer)</w:t>
      </w:r>
    </w:p>
    <w:p w14:paraId="4C777C65" w14:textId="77777777" w:rsidR="00711B28" w:rsidRPr="000E239C" w:rsidRDefault="00711B28" w:rsidP="000E239C">
      <w:pPr>
        <w:spacing w:after="0" w:line="240" w:lineRule="auto"/>
        <w:ind w:left="720"/>
        <w:rPr>
          <w:rFonts w:asciiTheme="majorHAnsi" w:hAnsiTheme="majorHAnsi" w:cstheme="majorHAnsi"/>
          <w:b/>
        </w:rPr>
      </w:pPr>
    </w:p>
    <w:p w14:paraId="578E98BB" w14:textId="77777777" w:rsidR="00711B28" w:rsidRPr="000E239C" w:rsidRDefault="00711B28" w:rsidP="00711B28">
      <w:pPr>
        <w:numPr>
          <w:ilvl w:val="0"/>
          <w:numId w:val="1"/>
        </w:numPr>
        <w:spacing w:after="0" w:line="240" w:lineRule="auto"/>
        <w:rPr>
          <w:rFonts w:asciiTheme="majorHAnsi" w:hAnsiTheme="majorHAnsi" w:cstheme="majorHAnsi"/>
          <w:b/>
          <w:bCs/>
          <w:color w:val="000000"/>
        </w:rPr>
      </w:pPr>
      <w:r w:rsidRPr="000E239C">
        <w:rPr>
          <w:rFonts w:asciiTheme="majorHAnsi" w:hAnsiTheme="majorHAnsi" w:cstheme="majorHAnsi"/>
          <w:b/>
          <w:bCs/>
          <w:color w:val="000000" w:themeColor="text1"/>
        </w:rPr>
        <w:t xml:space="preserve">DESE’s Updates on CMVS/SDVS (Alison Bagg &amp; Ruth Hersh) </w:t>
      </w:r>
    </w:p>
    <w:p w14:paraId="76B55F53" w14:textId="77777777" w:rsidR="00711B28" w:rsidRPr="000E239C" w:rsidRDefault="00711B28" w:rsidP="00711B28">
      <w:pPr>
        <w:spacing w:after="0" w:line="240" w:lineRule="auto"/>
        <w:ind w:left="1440"/>
        <w:rPr>
          <w:rFonts w:asciiTheme="majorHAnsi" w:hAnsiTheme="majorHAnsi" w:cstheme="majorHAnsi"/>
          <w:b/>
          <w:bCs/>
          <w:color w:val="000000" w:themeColor="text1"/>
        </w:rPr>
      </w:pPr>
    </w:p>
    <w:p w14:paraId="3DB11806" w14:textId="7EB20600" w:rsidR="008D3052" w:rsidRPr="000E239C" w:rsidRDefault="0F3B09ED" w:rsidP="5F57138A">
      <w:pPr>
        <w:numPr>
          <w:ilvl w:val="0"/>
          <w:numId w:val="1"/>
        </w:numPr>
        <w:spacing w:after="0" w:line="240" w:lineRule="auto"/>
        <w:rPr>
          <w:rFonts w:asciiTheme="majorHAnsi" w:hAnsiTheme="majorHAnsi" w:cstheme="majorBidi"/>
          <w:b/>
          <w:bCs/>
        </w:rPr>
      </w:pPr>
      <w:r w:rsidRPr="000E239C">
        <w:rPr>
          <w:rFonts w:asciiTheme="majorHAnsi" w:hAnsiTheme="majorHAnsi" w:cstheme="majorBidi"/>
          <w:b/>
          <w:bCs/>
          <w:color w:val="000000" w:themeColor="text1"/>
        </w:rPr>
        <w:t>Establish the 2025-26 Meeting Schedule</w:t>
      </w:r>
    </w:p>
    <w:p w14:paraId="1AB752FD" w14:textId="3C57147E" w:rsidR="008D3052" w:rsidRPr="000E239C" w:rsidRDefault="008D3052" w:rsidP="72B19BE2">
      <w:pPr>
        <w:spacing w:after="0" w:line="240" w:lineRule="auto"/>
        <w:ind w:left="720"/>
        <w:rPr>
          <w:rFonts w:asciiTheme="majorHAnsi" w:hAnsiTheme="majorHAnsi" w:cstheme="majorBidi"/>
          <w:b/>
          <w:bCs/>
        </w:rPr>
      </w:pPr>
    </w:p>
    <w:p w14:paraId="612CAFB1" w14:textId="430A4E40" w:rsidR="008D3052" w:rsidRPr="000E239C" w:rsidRDefault="00483198" w:rsidP="5F57138A">
      <w:pPr>
        <w:numPr>
          <w:ilvl w:val="0"/>
          <w:numId w:val="1"/>
        </w:numPr>
        <w:spacing w:after="0" w:line="240" w:lineRule="auto"/>
        <w:rPr>
          <w:rFonts w:asciiTheme="majorHAnsi" w:hAnsiTheme="majorHAnsi" w:cstheme="majorBidi"/>
          <w:b/>
          <w:bCs/>
        </w:rPr>
      </w:pPr>
      <w:r w:rsidRPr="000E239C">
        <w:rPr>
          <w:rFonts w:asciiTheme="majorHAnsi" w:hAnsiTheme="majorHAnsi" w:cstheme="majorBidi"/>
          <w:b/>
          <w:bCs/>
          <w:color w:val="000000" w:themeColor="text1"/>
        </w:rPr>
        <w:t>202</w:t>
      </w:r>
      <w:r w:rsidR="009A5A4F" w:rsidRPr="000E239C">
        <w:rPr>
          <w:rFonts w:asciiTheme="majorHAnsi" w:hAnsiTheme="majorHAnsi" w:cstheme="majorBidi"/>
          <w:b/>
          <w:bCs/>
          <w:color w:val="000000" w:themeColor="text1"/>
        </w:rPr>
        <w:t>4</w:t>
      </w:r>
      <w:r w:rsidRPr="000E239C">
        <w:rPr>
          <w:rFonts w:asciiTheme="majorHAnsi" w:hAnsiTheme="majorHAnsi" w:cstheme="majorBidi"/>
          <w:b/>
          <w:bCs/>
          <w:color w:val="000000" w:themeColor="text1"/>
        </w:rPr>
        <w:t>-2</w:t>
      </w:r>
      <w:r w:rsidR="009A5A4F" w:rsidRPr="000E239C">
        <w:rPr>
          <w:rFonts w:asciiTheme="majorHAnsi" w:hAnsiTheme="majorHAnsi" w:cstheme="majorBidi"/>
          <w:b/>
          <w:bCs/>
          <w:color w:val="000000" w:themeColor="text1"/>
        </w:rPr>
        <w:t>5</w:t>
      </w:r>
      <w:r w:rsidRPr="000E239C">
        <w:rPr>
          <w:rFonts w:asciiTheme="majorHAnsi" w:hAnsiTheme="majorHAnsi" w:cstheme="majorBidi"/>
          <w:b/>
          <w:bCs/>
          <w:color w:val="000000" w:themeColor="text1"/>
        </w:rPr>
        <w:t xml:space="preserve"> </w:t>
      </w:r>
      <w:r w:rsidR="00E040AB" w:rsidRPr="000E239C">
        <w:rPr>
          <w:rFonts w:asciiTheme="majorHAnsi" w:hAnsiTheme="majorHAnsi" w:cstheme="majorBidi"/>
          <w:b/>
          <w:bCs/>
          <w:color w:val="000000" w:themeColor="text1"/>
        </w:rPr>
        <w:t xml:space="preserve">Meeting Schedule </w:t>
      </w:r>
    </w:p>
    <w:p w14:paraId="1B6493A2" w14:textId="06BB95FA" w:rsidR="00731D08" w:rsidRPr="000E239C" w:rsidRDefault="00731D08" w:rsidP="00731D08">
      <w:pPr>
        <w:pStyle w:val="ListParagraph"/>
        <w:numPr>
          <w:ilvl w:val="1"/>
          <w:numId w:val="1"/>
        </w:numPr>
        <w:spacing w:after="0" w:line="240" w:lineRule="auto"/>
        <w:contextualSpacing w:val="0"/>
        <w:rPr>
          <w:rFonts w:asciiTheme="majorHAnsi" w:eastAsia="Times New Roman" w:hAnsiTheme="majorHAnsi" w:cstheme="majorHAnsi"/>
        </w:rPr>
      </w:pPr>
      <w:r w:rsidRPr="000E239C">
        <w:rPr>
          <w:rFonts w:asciiTheme="majorHAnsi" w:eastAsia="Times New Roman" w:hAnsiTheme="majorHAnsi" w:cstheme="majorHAnsi"/>
        </w:rPr>
        <w:t>Wednesday, September 2</w:t>
      </w:r>
      <w:r w:rsidR="009A5A4F" w:rsidRPr="000E239C">
        <w:rPr>
          <w:rFonts w:asciiTheme="majorHAnsi" w:eastAsia="Times New Roman" w:hAnsiTheme="majorHAnsi" w:cstheme="majorHAnsi"/>
        </w:rPr>
        <w:t>5</w:t>
      </w:r>
      <w:r w:rsidRPr="000E239C">
        <w:rPr>
          <w:rFonts w:asciiTheme="majorHAnsi" w:eastAsia="Times New Roman" w:hAnsiTheme="majorHAnsi" w:cstheme="majorHAnsi"/>
          <w:vertAlign w:val="superscript"/>
        </w:rPr>
        <w:t>th</w:t>
      </w:r>
    </w:p>
    <w:p w14:paraId="7C8080F2" w14:textId="4206135E" w:rsidR="00731D08" w:rsidRPr="000E239C" w:rsidRDefault="00731D08" w:rsidP="00731D08">
      <w:pPr>
        <w:pStyle w:val="ListParagraph"/>
        <w:numPr>
          <w:ilvl w:val="1"/>
          <w:numId w:val="1"/>
        </w:numPr>
        <w:spacing w:after="0" w:line="240" w:lineRule="auto"/>
        <w:contextualSpacing w:val="0"/>
        <w:rPr>
          <w:rFonts w:asciiTheme="majorHAnsi" w:eastAsia="Times New Roman" w:hAnsiTheme="majorHAnsi" w:cstheme="majorHAnsi"/>
        </w:rPr>
      </w:pPr>
      <w:r w:rsidRPr="000E239C">
        <w:rPr>
          <w:rFonts w:asciiTheme="majorHAnsi" w:eastAsia="Times New Roman" w:hAnsiTheme="majorHAnsi" w:cstheme="majorHAnsi"/>
        </w:rPr>
        <w:t xml:space="preserve">Wednesday, December </w:t>
      </w:r>
      <w:r w:rsidR="005C7AB3" w:rsidRPr="000E239C">
        <w:rPr>
          <w:rFonts w:asciiTheme="majorHAnsi" w:eastAsia="Times New Roman" w:hAnsiTheme="majorHAnsi" w:cstheme="majorHAnsi"/>
        </w:rPr>
        <w:t>4</w:t>
      </w:r>
      <w:r w:rsidRPr="000E239C">
        <w:rPr>
          <w:rFonts w:asciiTheme="majorHAnsi" w:eastAsia="Times New Roman" w:hAnsiTheme="majorHAnsi" w:cstheme="majorHAnsi"/>
          <w:vertAlign w:val="superscript"/>
        </w:rPr>
        <w:t>th</w:t>
      </w:r>
    </w:p>
    <w:p w14:paraId="43B5D5FE" w14:textId="43B32B4B" w:rsidR="009B1AFD" w:rsidRPr="000E239C" w:rsidRDefault="009B1AFD" w:rsidP="00731D08">
      <w:pPr>
        <w:pStyle w:val="ListParagraph"/>
        <w:numPr>
          <w:ilvl w:val="1"/>
          <w:numId w:val="1"/>
        </w:numPr>
        <w:spacing w:after="0" w:line="240" w:lineRule="auto"/>
        <w:contextualSpacing w:val="0"/>
        <w:rPr>
          <w:rFonts w:asciiTheme="majorHAnsi" w:eastAsia="Times New Roman" w:hAnsiTheme="majorHAnsi" w:cstheme="majorHAnsi"/>
        </w:rPr>
      </w:pPr>
      <w:r w:rsidRPr="000E239C">
        <w:rPr>
          <w:rFonts w:asciiTheme="majorHAnsi" w:eastAsia="Times New Roman" w:hAnsiTheme="majorHAnsi" w:cstheme="majorHAnsi"/>
        </w:rPr>
        <w:t>Wednesday, February 5</w:t>
      </w:r>
      <w:r w:rsidRPr="000E239C">
        <w:rPr>
          <w:rFonts w:asciiTheme="majorHAnsi" w:eastAsia="Times New Roman" w:hAnsiTheme="majorHAnsi" w:cstheme="majorHAnsi"/>
          <w:vertAlign w:val="superscript"/>
        </w:rPr>
        <w:t>th</w:t>
      </w:r>
      <w:r w:rsidRPr="000E239C">
        <w:rPr>
          <w:rFonts w:asciiTheme="majorHAnsi" w:eastAsia="Times New Roman" w:hAnsiTheme="majorHAnsi" w:cstheme="majorHAnsi"/>
        </w:rPr>
        <w:t xml:space="preserve"> </w:t>
      </w:r>
    </w:p>
    <w:p w14:paraId="68DFAE9C" w14:textId="5EE8D042" w:rsidR="00731D08" w:rsidRPr="000E239C" w:rsidRDefault="00731D08" w:rsidP="00731D08">
      <w:pPr>
        <w:pStyle w:val="ListParagraph"/>
        <w:numPr>
          <w:ilvl w:val="1"/>
          <w:numId w:val="1"/>
        </w:numPr>
        <w:spacing w:after="0" w:line="240" w:lineRule="auto"/>
        <w:contextualSpacing w:val="0"/>
        <w:rPr>
          <w:rFonts w:asciiTheme="majorHAnsi" w:eastAsia="Times New Roman" w:hAnsiTheme="majorHAnsi" w:cstheme="majorHAnsi"/>
        </w:rPr>
      </w:pPr>
      <w:r w:rsidRPr="000E239C">
        <w:rPr>
          <w:rFonts w:asciiTheme="majorHAnsi" w:eastAsia="Times New Roman" w:hAnsiTheme="majorHAnsi" w:cstheme="majorHAnsi"/>
        </w:rPr>
        <w:t>Wednesday, M</w:t>
      </w:r>
      <w:r w:rsidR="0024658E" w:rsidRPr="000E239C">
        <w:rPr>
          <w:rFonts w:asciiTheme="majorHAnsi" w:eastAsia="Times New Roman" w:hAnsiTheme="majorHAnsi" w:cstheme="majorHAnsi"/>
        </w:rPr>
        <w:t>ay 7</w:t>
      </w:r>
      <w:r w:rsidRPr="000E239C">
        <w:rPr>
          <w:rFonts w:asciiTheme="majorHAnsi" w:eastAsia="Times New Roman" w:hAnsiTheme="majorHAnsi" w:cstheme="majorHAnsi"/>
          <w:vertAlign w:val="superscript"/>
        </w:rPr>
        <w:t>th</w:t>
      </w:r>
      <w:r w:rsidRPr="000E239C">
        <w:rPr>
          <w:rFonts w:asciiTheme="majorHAnsi" w:eastAsia="Times New Roman" w:hAnsiTheme="majorHAnsi" w:cstheme="majorHAnsi"/>
        </w:rPr>
        <w:t xml:space="preserve"> </w:t>
      </w:r>
    </w:p>
    <w:p w14:paraId="7283845C" w14:textId="77777777" w:rsidR="00106CB7" w:rsidRPr="000E239C" w:rsidRDefault="00106CB7" w:rsidP="00106CB7">
      <w:pPr>
        <w:spacing w:after="0" w:line="240" w:lineRule="auto"/>
        <w:ind w:left="720"/>
        <w:rPr>
          <w:rFonts w:asciiTheme="majorHAnsi" w:hAnsiTheme="majorHAnsi" w:cstheme="majorHAnsi"/>
          <w:b/>
          <w:color w:val="000000"/>
        </w:rPr>
      </w:pPr>
    </w:p>
    <w:p w14:paraId="612CAFB2" w14:textId="7BF24B10" w:rsidR="008D3052" w:rsidRPr="000E239C" w:rsidRDefault="00937EBE" w:rsidP="00D27CA0">
      <w:pPr>
        <w:numPr>
          <w:ilvl w:val="0"/>
          <w:numId w:val="1"/>
        </w:numPr>
        <w:spacing w:after="0" w:line="240" w:lineRule="auto"/>
        <w:rPr>
          <w:rFonts w:asciiTheme="majorHAnsi" w:hAnsiTheme="majorHAnsi" w:cstheme="majorHAnsi"/>
          <w:b/>
          <w:color w:val="000000"/>
        </w:rPr>
      </w:pPr>
      <w:r w:rsidRPr="000E239C">
        <w:rPr>
          <w:rFonts w:asciiTheme="majorHAnsi" w:hAnsiTheme="majorHAnsi" w:cstheme="majorHAnsi"/>
          <w:b/>
          <w:color w:val="000000" w:themeColor="text1"/>
        </w:rPr>
        <w:t>Adjourn</w:t>
      </w:r>
      <w:r w:rsidR="587D47C4" w:rsidRPr="000E239C">
        <w:rPr>
          <w:rFonts w:asciiTheme="majorHAnsi" w:hAnsiTheme="majorHAnsi" w:cstheme="majorHAnsi"/>
          <w:b/>
          <w:bCs/>
          <w:color w:val="000000" w:themeColor="text1"/>
        </w:rPr>
        <w:t xml:space="preserve"> </w:t>
      </w:r>
      <w:r w:rsidR="587D47C4" w:rsidRPr="000E239C">
        <w:rPr>
          <w:rFonts w:asciiTheme="majorHAnsi" w:hAnsiTheme="majorHAnsi" w:cstheme="majorHAnsi"/>
          <w:color w:val="000000" w:themeColor="text1"/>
        </w:rPr>
        <w:t>(roll call)</w:t>
      </w:r>
    </w:p>
    <w:p w14:paraId="230A5D24" w14:textId="77777777" w:rsidR="00CD6B0D" w:rsidRPr="000E239C" w:rsidRDefault="00CD6B0D" w:rsidP="00CD6B0D">
      <w:pPr>
        <w:spacing w:after="0" w:line="240" w:lineRule="auto"/>
        <w:rPr>
          <w:rFonts w:asciiTheme="majorHAnsi" w:hAnsiTheme="majorHAnsi" w:cstheme="majorHAnsi"/>
          <w:b/>
          <w:color w:val="000000"/>
        </w:rPr>
      </w:pPr>
    </w:p>
    <w:p w14:paraId="2D69F240" w14:textId="77777777" w:rsidR="00CD6B0D" w:rsidRPr="000E239C" w:rsidRDefault="00CD6B0D" w:rsidP="00CD6B0D">
      <w:pPr>
        <w:spacing w:after="0" w:line="240" w:lineRule="auto"/>
        <w:rPr>
          <w:rFonts w:asciiTheme="majorHAnsi" w:hAnsiTheme="majorHAnsi" w:cstheme="majorHAnsi"/>
          <w:b/>
          <w:color w:val="000000"/>
        </w:rPr>
      </w:pPr>
    </w:p>
    <w:p w14:paraId="32DF49A9" w14:textId="77777777" w:rsidR="00CD6B0D" w:rsidRPr="000E239C" w:rsidRDefault="00CD6B0D" w:rsidP="00CD6B0D">
      <w:pPr>
        <w:spacing w:after="0" w:line="240" w:lineRule="auto"/>
        <w:rPr>
          <w:rFonts w:asciiTheme="majorHAnsi" w:hAnsiTheme="majorHAnsi" w:cstheme="majorHAnsi"/>
          <w:b/>
          <w:color w:val="000000"/>
        </w:rPr>
      </w:pPr>
    </w:p>
    <w:p w14:paraId="629E2790" w14:textId="77777777" w:rsidR="00CD6B0D" w:rsidRPr="000E239C" w:rsidRDefault="00CD6B0D" w:rsidP="00CD6B0D">
      <w:pPr>
        <w:spacing w:after="0" w:line="240" w:lineRule="auto"/>
        <w:rPr>
          <w:rFonts w:asciiTheme="majorHAnsi" w:hAnsiTheme="majorHAnsi" w:cstheme="majorHAnsi"/>
          <w:b/>
          <w:color w:val="000000"/>
        </w:rPr>
      </w:pPr>
    </w:p>
    <w:sectPr w:rsidR="00CD6B0D" w:rsidRPr="000E239C" w:rsidSect="000E239C">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E12F1" w14:textId="77777777" w:rsidR="00935EA6" w:rsidRDefault="00935EA6">
      <w:pPr>
        <w:spacing w:after="0" w:line="240" w:lineRule="auto"/>
      </w:pPr>
      <w:r>
        <w:separator/>
      </w:r>
    </w:p>
  </w:endnote>
  <w:endnote w:type="continuationSeparator" w:id="0">
    <w:p w14:paraId="3F5BF186" w14:textId="77777777" w:rsidR="00935EA6" w:rsidRDefault="00935EA6">
      <w:pPr>
        <w:spacing w:after="0" w:line="240" w:lineRule="auto"/>
      </w:pPr>
      <w:r>
        <w:continuationSeparator/>
      </w:r>
    </w:p>
  </w:endnote>
  <w:endnote w:type="continuationNotice" w:id="1">
    <w:p w14:paraId="47889A80" w14:textId="77777777" w:rsidR="00935EA6" w:rsidRDefault="00935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AFBB" w14:textId="77777777" w:rsidR="008D3052" w:rsidRDefault="008D305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AFBC" w14:textId="77777777" w:rsidR="008D3052" w:rsidRDefault="008D305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AFBE" w14:textId="77777777" w:rsidR="008D3052" w:rsidRDefault="008D30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4AFDF" w14:textId="77777777" w:rsidR="00935EA6" w:rsidRDefault="00935EA6">
      <w:pPr>
        <w:spacing w:after="0" w:line="240" w:lineRule="auto"/>
      </w:pPr>
      <w:r>
        <w:separator/>
      </w:r>
    </w:p>
  </w:footnote>
  <w:footnote w:type="continuationSeparator" w:id="0">
    <w:p w14:paraId="3661A772" w14:textId="77777777" w:rsidR="00935EA6" w:rsidRDefault="00935EA6">
      <w:pPr>
        <w:spacing w:after="0" w:line="240" w:lineRule="auto"/>
      </w:pPr>
      <w:r>
        <w:continuationSeparator/>
      </w:r>
    </w:p>
  </w:footnote>
  <w:footnote w:type="continuationNotice" w:id="1">
    <w:p w14:paraId="46A48C9C" w14:textId="77777777" w:rsidR="00935EA6" w:rsidRDefault="00935EA6">
      <w:pPr>
        <w:spacing w:after="0" w:line="240" w:lineRule="auto"/>
      </w:pPr>
    </w:p>
  </w:footnote>
  <w:footnote w:id="2">
    <w:p w14:paraId="1B839B4C" w14:textId="77777777" w:rsidR="00E634D1" w:rsidRPr="00677B8D" w:rsidRDefault="00E634D1" w:rsidP="00E634D1">
      <w:pPr>
        <w:pStyle w:val="NormalWeb"/>
        <w:shd w:val="clear" w:color="auto" w:fill="FFFFFF"/>
        <w:spacing w:before="0" w:beforeAutospacing="0"/>
        <w:rPr>
          <w:rFonts w:ascii="Segoe UI" w:hAnsi="Segoe UI" w:cs="Segoe UI"/>
          <w:i/>
          <w:iCs/>
          <w:color w:val="222222"/>
          <w:sz w:val="16"/>
          <w:szCs w:val="16"/>
        </w:rPr>
      </w:pPr>
      <w:r w:rsidRPr="00677B8D">
        <w:rPr>
          <w:rStyle w:val="FootnoteReference"/>
          <w:i/>
          <w:iCs/>
          <w:sz w:val="16"/>
          <w:szCs w:val="16"/>
        </w:rPr>
        <w:footnoteRef/>
      </w:r>
      <w:r w:rsidRPr="00677B8D">
        <w:rPr>
          <w:i/>
          <w:iCs/>
          <w:sz w:val="16"/>
          <w:szCs w:val="16"/>
        </w:rPr>
        <w:t xml:space="preserve"> </w:t>
      </w:r>
      <w:r w:rsidRPr="00677B8D">
        <w:rPr>
          <w:rFonts w:ascii="Segoe UI" w:hAnsi="Segoe UI" w:cs="Segoe UI"/>
          <w:i/>
          <w:iCs/>
          <w:color w:val="222222"/>
          <w:sz w:val="16"/>
          <w:szCs w:val="16"/>
        </w:rPr>
        <w:t>The 2013 virtual schools legislation (</w:t>
      </w:r>
      <w:hyperlink r:id="rId1" w:tgtFrame="_blank" w:tooltip="External Link, Opens in New Window" w:history="1">
        <w:r w:rsidRPr="00677B8D">
          <w:rPr>
            <w:rStyle w:val="Hyperlink"/>
            <w:rFonts w:ascii="Segoe UI" w:hAnsi="Segoe UI" w:cs="Segoe UI"/>
            <w:i/>
            <w:iCs/>
            <w:color w:val="0060C7"/>
            <w:sz w:val="16"/>
            <w:szCs w:val="16"/>
          </w:rPr>
          <w:t>Chapter 379 of the Acts of 2012, An Act Establishing Commonwealth Virtual Schools</w:t>
        </w:r>
      </w:hyperlink>
      <w:r w:rsidRPr="00677B8D">
        <w:rPr>
          <w:rFonts w:ascii="Segoe UI" w:hAnsi="Segoe UI" w:cs="Segoe UI"/>
          <w:i/>
          <w:iCs/>
          <w:color w:val="222222"/>
          <w:sz w:val="16"/>
          <w:szCs w:val="16"/>
        </w:rPr>
        <w:t>) created a Digital Learning Advisory Council to advise the Board and the Commissioner on:</w:t>
      </w:r>
    </w:p>
    <w:p w14:paraId="22E97586" w14:textId="77777777" w:rsidR="00E634D1" w:rsidRPr="00677B8D" w:rsidRDefault="00E634D1" w:rsidP="00E634D1">
      <w:pPr>
        <w:numPr>
          <w:ilvl w:val="0"/>
          <w:numId w:val="3"/>
        </w:numPr>
        <w:shd w:val="clear" w:color="auto" w:fill="FFFFFF"/>
        <w:spacing w:before="100" w:beforeAutospacing="1" w:after="100" w:afterAutospacing="1" w:line="240" w:lineRule="auto"/>
        <w:rPr>
          <w:rFonts w:ascii="Segoe UI" w:hAnsi="Segoe UI" w:cs="Segoe UI"/>
          <w:i/>
          <w:iCs/>
          <w:color w:val="212529"/>
          <w:sz w:val="16"/>
          <w:szCs w:val="16"/>
        </w:rPr>
      </w:pPr>
      <w:r w:rsidRPr="00677B8D">
        <w:rPr>
          <w:rFonts w:ascii="Segoe UI" w:hAnsi="Segoe UI" w:cs="Segoe UI"/>
          <w:i/>
          <w:iCs/>
          <w:color w:val="212529"/>
          <w:sz w:val="16"/>
          <w:szCs w:val="16"/>
        </w:rPr>
        <w:t>The development of policies guiding virtual schools, supplemental online courses, education technology, and other matters related to virtual education.</w:t>
      </w:r>
    </w:p>
    <w:p w14:paraId="714E5105" w14:textId="77777777" w:rsidR="00E634D1" w:rsidRPr="00677B8D" w:rsidRDefault="00E634D1" w:rsidP="00E634D1">
      <w:pPr>
        <w:numPr>
          <w:ilvl w:val="0"/>
          <w:numId w:val="3"/>
        </w:numPr>
        <w:shd w:val="clear" w:color="auto" w:fill="FFFFFF"/>
        <w:spacing w:before="100" w:beforeAutospacing="1" w:after="100" w:afterAutospacing="1" w:line="240" w:lineRule="auto"/>
        <w:rPr>
          <w:rFonts w:ascii="Segoe UI" w:hAnsi="Segoe UI" w:cs="Segoe UI"/>
          <w:i/>
          <w:iCs/>
          <w:color w:val="212529"/>
          <w:sz w:val="16"/>
          <w:szCs w:val="16"/>
        </w:rPr>
      </w:pPr>
      <w:r w:rsidRPr="00677B8D">
        <w:rPr>
          <w:rFonts w:ascii="Segoe UI" w:hAnsi="Segoe UI" w:cs="Segoe UI"/>
          <w:i/>
          <w:iCs/>
          <w:color w:val="212529"/>
          <w:sz w:val="16"/>
          <w:szCs w:val="16"/>
        </w:rPr>
        <w:t>The identification of best practices to encourage online education to complement classroom instruction in district schools.</w:t>
      </w:r>
    </w:p>
    <w:p w14:paraId="6487279F" w14:textId="77777777" w:rsidR="00E634D1" w:rsidRPr="00677B8D" w:rsidRDefault="00E634D1" w:rsidP="00E634D1">
      <w:pPr>
        <w:numPr>
          <w:ilvl w:val="0"/>
          <w:numId w:val="3"/>
        </w:numPr>
        <w:shd w:val="clear" w:color="auto" w:fill="FFFFFF"/>
        <w:spacing w:before="100" w:beforeAutospacing="1" w:after="100" w:afterAutospacing="1" w:line="240" w:lineRule="auto"/>
        <w:rPr>
          <w:rFonts w:ascii="Segoe UI" w:hAnsi="Segoe UI" w:cs="Segoe UI"/>
          <w:i/>
          <w:iCs/>
          <w:color w:val="212529"/>
          <w:sz w:val="16"/>
          <w:szCs w:val="16"/>
        </w:rPr>
      </w:pPr>
      <w:r w:rsidRPr="00677B8D">
        <w:rPr>
          <w:rFonts w:ascii="Segoe UI" w:hAnsi="Segoe UI" w:cs="Segoe UI"/>
          <w:i/>
          <w:iCs/>
          <w:color w:val="212529"/>
          <w:sz w:val="16"/>
          <w:szCs w:val="16"/>
        </w:rPr>
        <w:t>The assessment of the appropriateness of the fee that the Department may retain for the administration of the virtual school program.</w:t>
      </w:r>
    </w:p>
    <w:p w14:paraId="3007F3E0" w14:textId="77777777" w:rsidR="00E634D1" w:rsidRDefault="00E634D1" w:rsidP="00E634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AFB9" w14:textId="78E1DCF8" w:rsidR="008D3052" w:rsidRDefault="008D305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AFBA" w14:textId="0BE704EB" w:rsidR="008D3052" w:rsidRPr="00475CF8" w:rsidRDefault="00B66EA1" w:rsidP="00475CF8">
    <w:pPr>
      <w:pBdr>
        <w:top w:val="nil"/>
        <w:left w:val="nil"/>
        <w:bottom w:val="nil"/>
        <w:right w:val="nil"/>
        <w:between w:val="nil"/>
      </w:pBdr>
      <w:tabs>
        <w:tab w:val="center" w:pos="4680"/>
        <w:tab w:val="right" w:pos="9360"/>
      </w:tabs>
      <w:spacing w:after="0" w:line="240" w:lineRule="auto"/>
      <w:jc w:val="center"/>
      <w:rPr>
        <w:b/>
        <w:bCs/>
        <w:color w:val="000000"/>
        <w:sz w:val="24"/>
        <w:szCs w:val="24"/>
      </w:rPr>
    </w:pPr>
    <w:r w:rsidRPr="00475CF8">
      <w:rPr>
        <w:b/>
        <w:bCs/>
        <w:color w:val="000000"/>
        <w:sz w:val="24"/>
        <w:szCs w:val="24"/>
      </w:rPr>
      <w:t>AGENDA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AFBD" w14:textId="124B96B8" w:rsidR="008D3052" w:rsidRDefault="008D305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66D6"/>
    <w:multiLevelType w:val="hybridMultilevel"/>
    <w:tmpl w:val="BE2C18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B2ED6"/>
    <w:multiLevelType w:val="multilevel"/>
    <w:tmpl w:val="021C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67C7A"/>
    <w:multiLevelType w:val="hybridMultilevel"/>
    <w:tmpl w:val="6108E8E4"/>
    <w:lvl w:ilvl="0" w:tplc="03D09166">
      <w:start w:val="1"/>
      <w:numFmt w:val="decimal"/>
      <w:lvlText w:val="%1."/>
      <w:lvlJc w:val="left"/>
      <w:pPr>
        <w:ind w:left="1440" w:hanging="360"/>
      </w:pPr>
    </w:lvl>
    <w:lvl w:ilvl="1" w:tplc="8690A4BE">
      <w:start w:val="1"/>
      <w:numFmt w:val="decimal"/>
      <w:lvlText w:val="%2."/>
      <w:lvlJc w:val="left"/>
      <w:pPr>
        <w:ind w:left="1440" w:hanging="360"/>
      </w:pPr>
    </w:lvl>
    <w:lvl w:ilvl="2" w:tplc="BED6B9D0">
      <w:start w:val="1"/>
      <w:numFmt w:val="decimal"/>
      <w:lvlText w:val="%3."/>
      <w:lvlJc w:val="left"/>
      <w:pPr>
        <w:ind w:left="1440" w:hanging="360"/>
      </w:pPr>
    </w:lvl>
    <w:lvl w:ilvl="3" w:tplc="E7122DB0">
      <w:start w:val="1"/>
      <w:numFmt w:val="decimal"/>
      <w:lvlText w:val="%4."/>
      <w:lvlJc w:val="left"/>
      <w:pPr>
        <w:ind w:left="1440" w:hanging="360"/>
      </w:pPr>
    </w:lvl>
    <w:lvl w:ilvl="4" w:tplc="0D3878CC">
      <w:start w:val="1"/>
      <w:numFmt w:val="decimal"/>
      <w:lvlText w:val="%5."/>
      <w:lvlJc w:val="left"/>
      <w:pPr>
        <w:ind w:left="1440" w:hanging="360"/>
      </w:pPr>
    </w:lvl>
    <w:lvl w:ilvl="5" w:tplc="99F27EAA">
      <w:start w:val="1"/>
      <w:numFmt w:val="decimal"/>
      <w:lvlText w:val="%6."/>
      <w:lvlJc w:val="left"/>
      <w:pPr>
        <w:ind w:left="1440" w:hanging="360"/>
      </w:pPr>
    </w:lvl>
    <w:lvl w:ilvl="6" w:tplc="D56E6A6E">
      <w:start w:val="1"/>
      <w:numFmt w:val="decimal"/>
      <w:lvlText w:val="%7."/>
      <w:lvlJc w:val="left"/>
      <w:pPr>
        <w:ind w:left="1440" w:hanging="360"/>
      </w:pPr>
    </w:lvl>
    <w:lvl w:ilvl="7" w:tplc="5E02CE4E">
      <w:start w:val="1"/>
      <w:numFmt w:val="decimal"/>
      <w:lvlText w:val="%8."/>
      <w:lvlJc w:val="left"/>
      <w:pPr>
        <w:ind w:left="1440" w:hanging="360"/>
      </w:pPr>
    </w:lvl>
    <w:lvl w:ilvl="8" w:tplc="3B161A76">
      <w:start w:val="1"/>
      <w:numFmt w:val="decimal"/>
      <w:lvlText w:val="%9."/>
      <w:lvlJc w:val="left"/>
      <w:pPr>
        <w:ind w:left="1440" w:hanging="360"/>
      </w:pPr>
    </w:lvl>
  </w:abstractNum>
  <w:abstractNum w:abstractNumId="3" w15:restartNumberingAfterBreak="0">
    <w:nsid w:val="0ECB29FD"/>
    <w:multiLevelType w:val="hybridMultilevel"/>
    <w:tmpl w:val="5156C786"/>
    <w:lvl w:ilvl="0" w:tplc="E78EF256">
      <w:start w:val="1"/>
      <w:numFmt w:val="decimal"/>
      <w:lvlText w:val="%1."/>
      <w:lvlJc w:val="left"/>
      <w:pPr>
        <w:ind w:left="720" w:hanging="360"/>
      </w:pPr>
      <w:rPr>
        <w:rFonts w:ascii="Calibri" w:eastAsia="Aptos"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701"/>
    <w:multiLevelType w:val="multilevel"/>
    <w:tmpl w:val="74C40E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E0D0A"/>
    <w:multiLevelType w:val="hybridMultilevel"/>
    <w:tmpl w:val="C3CE4164"/>
    <w:lvl w:ilvl="0" w:tplc="FAF6713A">
      <w:start w:val="1"/>
      <w:numFmt w:val="bullet"/>
      <w:lvlText w:val=""/>
      <w:lvlJc w:val="left"/>
      <w:pPr>
        <w:ind w:left="1440" w:hanging="360"/>
      </w:pPr>
      <w:rPr>
        <w:rFonts w:ascii="Symbol" w:hAnsi="Symbol"/>
      </w:rPr>
    </w:lvl>
    <w:lvl w:ilvl="1" w:tplc="1876B726">
      <w:start w:val="1"/>
      <w:numFmt w:val="bullet"/>
      <w:lvlText w:val=""/>
      <w:lvlJc w:val="left"/>
      <w:pPr>
        <w:ind w:left="1440" w:hanging="360"/>
      </w:pPr>
      <w:rPr>
        <w:rFonts w:ascii="Symbol" w:hAnsi="Symbol"/>
      </w:rPr>
    </w:lvl>
    <w:lvl w:ilvl="2" w:tplc="9E68856C">
      <w:start w:val="1"/>
      <w:numFmt w:val="bullet"/>
      <w:lvlText w:val=""/>
      <w:lvlJc w:val="left"/>
      <w:pPr>
        <w:ind w:left="1440" w:hanging="360"/>
      </w:pPr>
      <w:rPr>
        <w:rFonts w:ascii="Symbol" w:hAnsi="Symbol"/>
      </w:rPr>
    </w:lvl>
    <w:lvl w:ilvl="3" w:tplc="1A50D8A0">
      <w:start w:val="1"/>
      <w:numFmt w:val="bullet"/>
      <w:lvlText w:val=""/>
      <w:lvlJc w:val="left"/>
      <w:pPr>
        <w:ind w:left="1440" w:hanging="360"/>
      </w:pPr>
      <w:rPr>
        <w:rFonts w:ascii="Symbol" w:hAnsi="Symbol"/>
      </w:rPr>
    </w:lvl>
    <w:lvl w:ilvl="4" w:tplc="131A1214">
      <w:start w:val="1"/>
      <w:numFmt w:val="bullet"/>
      <w:lvlText w:val=""/>
      <w:lvlJc w:val="left"/>
      <w:pPr>
        <w:ind w:left="1440" w:hanging="360"/>
      </w:pPr>
      <w:rPr>
        <w:rFonts w:ascii="Symbol" w:hAnsi="Symbol"/>
      </w:rPr>
    </w:lvl>
    <w:lvl w:ilvl="5" w:tplc="043E1DA6">
      <w:start w:val="1"/>
      <w:numFmt w:val="bullet"/>
      <w:lvlText w:val=""/>
      <w:lvlJc w:val="left"/>
      <w:pPr>
        <w:ind w:left="1440" w:hanging="360"/>
      </w:pPr>
      <w:rPr>
        <w:rFonts w:ascii="Symbol" w:hAnsi="Symbol"/>
      </w:rPr>
    </w:lvl>
    <w:lvl w:ilvl="6" w:tplc="D45A3AC6">
      <w:start w:val="1"/>
      <w:numFmt w:val="bullet"/>
      <w:lvlText w:val=""/>
      <w:lvlJc w:val="left"/>
      <w:pPr>
        <w:ind w:left="1440" w:hanging="360"/>
      </w:pPr>
      <w:rPr>
        <w:rFonts w:ascii="Symbol" w:hAnsi="Symbol"/>
      </w:rPr>
    </w:lvl>
    <w:lvl w:ilvl="7" w:tplc="3086FEE8">
      <w:start w:val="1"/>
      <w:numFmt w:val="bullet"/>
      <w:lvlText w:val=""/>
      <w:lvlJc w:val="left"/>
      <w:pPr>
        <w:ind w:left="1440" w:hanging="360"/>
      </w:pPr>
      <w:rPr>
        <w:rFonts w:ascii="Symbol" w:hAnsi="Symbol"/>
      </w:rPr>
    </w:lvl>
    <w:lvl w:ilvl="8" w:tplc="C2AE402C">
      <w:start w:val="1"/>
      <w:numFmt w:val="bullet"/>
      <w:lvlText w:val=""/>
      <w:lvlJc w:val="left"/>
      <w:pPr>
        <w:ind w:left="1440" w:hanging="360"/>
      </w:pPr>
      <w:rPr>
        <w:rFonts w:ascii="Symbol" w:hAnsi="Symbol"/>
      </w:rPr>
    </w:lvl>
  </w:abstractNum>
  <w:abstractNum w:abstractNumId="6" w15:restartNumberingAfterBreak="0">
    <w:nsid w:val="12D536EF"/>
    <w:multiLevelType w:val="multilevel"/>
    <w:tmpl w:val="4AFE43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D71AFC"/>
    <w:multiLevelType w:val="multilevel"/>
    <w:tmpl w:val="DEF86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1C6D00"/>
    <w:multiLevelType w:val="hybridMultilevel"/>
    <w:tmpl w:val="DF9A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30AAC"/>
    <w:multiLevelType w:val="multilevel"/>
    <w:tmpl w:val="4A96D5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7A5C2C"/>
    <w:multiLevelType w:val="hybridMultilevel"/>
    <w:tmpl w:val="C0145B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850313"/>
    <w:multiLevelType w:val="hybridMultilevel"/>
    <w:tmpl w:val="2368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C2792"/>
    <w:multiLevelType w:val="hybridMultilevel"/>
    <w:tmpl w:val="400A4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825A1E"/>
    <w:multiLevelType w:val="hybridMultilevel"/>
    <w:tmpl w:val="E2603F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BA30B7"/>
    <w:multiLevelType w:val="multilevel"/>
    <w:tmpl w:val="4D02A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3669CB"/>
    <w:multiLevelType w:val="hybridMultilevel"/>
    <w:tmpl w:val="BD70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07225"/>
    <w:multiLevelType w:val="multilevel"/>
    <w:tmpl w:val="7CB81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892046"/>
    <w:multiLevelType w:val="multilevel"/>
    <w:tmpl w:val="021C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994F9F"/>
    <w:multiLevelType w:val="hybridMultilevel"/>
    <w:tmpl w:val="82C2B2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670B62"/>
    <w:multiLevelType w:val="multilevel"/>
    <w:tmpl w:val="D96CBE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5BA5D2F"/>
    <w:multiLevelType w:val="multilevel"/>
    <w:tmpl w:val="3F4A8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1A0D86"/>
    <w:multiLevelType w:val="hybridMultilevel"/>
    <w:tmpl w:val="02B42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0714E"/>
    <w:multiLevelType w:val="hybridMultilevel"/>
    <w:tmpl w:val="20E2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0258E"/>
    <w:multiLevelType w:val="multilevel"/>
    <w:tmpl w:val="FBEC26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BF02748"/>
    <w:multiLevelType w:val="multilevel"/>
    <w:tmpl w:val="84065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541DCA"/>
    <w:multiLevelType w:val="hybridMultilevel"/>
    <w:tmpl w:val="0B9CB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3467D8"/>
    <w:multiLevelType w:val="multilevel"/>
    <w:tmpl w:val="3A24099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C510D40"/>
    <w:multiLevelType w:val="hybridMultilevel"/>
    <w:tmpl w:val="0E92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25348"/>
    <w:multiLevelType w:val="hybridMultilevel"/>
    <w:tmpl w:val="8368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D4C4C"/>
    <w:multiLevelType w:val="hybridMultilevel"/>
    <w:tmpl w:val="64BAA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E65544"/>
    <w:multiLevelType w:val="hybridMultilevel"/>
    <w:tmpl w:val="BC1040B2"/>
    <w:lvl w:ilvl="0" w:tplc="3E5CE1E8">
      <w:numFmt w:val="bullet"/>
      <w:lvlText w:val="•"/>
      <w:lvlJc w:val="left"/>
      <w:pPr>
        <w:ind w:left="2160" w:hanging="360"/>
      </w:pPr>
      <w:rPr>
        <w:rFonts w:ascii="Aptos" w:eastAsia="Aptos" w:hAnsi="Aptos" w:cs="Apto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E0A6E36"/>
    <w:multiLevelType w:val="hybridMultilevel"/>
    <w:tmpl w:val="C4FEE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6B4DC5"/>
    <w:multiLevelType w:val="hybridMultilevel"/>
    <w:tmpl w:val="E8C8D4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D423AC"/>
    <w:multiLevelType w:val="multilevel"/>
    <w:tmpl w:val="CF38136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64141CD2"/>
    <w:multiLevelType w:val="multilevel"/>
    <w:tmpl w:val="AD0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3074E"/>
    <w:multiLevelType w:val="multilevel"/>
    <w:tmpl w:val="F77838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6A71CE"/>
    <w:multiLevelType w:val="multilevel"/>
    <w:tmpl w:val="021C6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2B5FE1"/>
    <w:multiLevelType w:val="multilevel"/>
    <w:tmpl w:val="24D0A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0787471"/>
    <w:multiLevelType w:val="hybridMultilevel"/>
    <w:tmpl w:val="D60C3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A2A64"/>
    <w:multiLevelType w:val="hybridMultilevel"/>
    <w:tmpl w:val="E0721E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25D210C"/>
    <w:multiLevelType w:val="multilevel"/>
    <w:tmpl w:val="0124FA9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8830B05"/>
    <w:multiLevelType w:val="hybridMultilevel"/>
    <w:tmpl w:val="CBB0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764D3"/>
    <w:multiLevelType w:val="multilevel"/>
    <w:tmpl w:val="6E844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D66ED6"/>
    <w:multiLevelType w:val="multilevel"/>
    <w:tmpl w:val="A51C8E7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42075">
    <w:abstractNumId w:val="1"/>
  </w:num>
  <w:num w:numId="2" w16cid:durableId="1282035205">
    <w:abstractNumId w:val="1"/>
  </w:num>
  <w:num w:numId="3" w16cid:durableId="975841839">
    <w:abstractNumId w:val="34"/>
  </w:num>
  <w:num w:numId="4" w16cid:durableId="577397908">
    <w:abstractNumId w:val="31"/>
  </w:num>
  <w:num w:numId="5" w16cid:durableId="386879030">
    <w:abstractNumId w:val="12"/>
  </w:num>
  <w:num w:numId="6" w16cid:durableId="828979317">
    <w:abstractNumId w:val="13"/>
  </w:num>
  <w:num w:numId="7" w16cid:durableId="971210453">
    <w:abstractNumId w:val="0"/>
  </w:num>
  <w:num w:numId="8" w16cid:durableId="1156722901">
    <w:abstractNumId w:val="10"/>
  </w:num>
  <w:num w:numId="9" w16cid:durableId="566845116">
    <w:abstractNumId w:val="18"/>
  </w:num>
  <w:num w:numId="10" w16cid:durableId="1218323322">
    <w:abstractNumId w:val="11"/>
  </w:num>
  <w:num w:numId="11" w16cid:durableId="1238054874">
    <w:abstractNumId w:val="39"/>
  </w:num>
  <w:num w:numId="12" w16cid:durableId="1117721334">
    <w:abstractNumId w:val="30"/>
  </w:num>
  <w:num w:numId="13" w16cid:durableId="2096089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8303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348657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3986610">
    <w:abstractNumId w:val="4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42125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2284033">
    <w:abstractNumId w:val="3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75220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7959434">
    <w:abstractNumId w:val="4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29137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5985756">
    <w:abstractNumId w:val="26"/>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728738">
    <w:abstractNumId w:val="20"/>
  </w:num>
  <w:num w:numId="24" w16cid:durableId="960263423">
    <w:abstractNumId w:val="4"/>
  </w:num>
  <w:num w:numId="25" w16cid:durableId="548300004">
    <w:abstractNumId w:val="14"/>
  </w:num>
  <w:num w:numId="26" w16cid:durableId="600261290">
    <w:abstractNumId w:val="42"/>
  </w:num>
  <w:num w:numId="27" w16cid:durableId="1572235677">
    <w:abstractNumId w:val="16"/>
  </w:num>
  <w:num w:numId="28" w16cid:durableId="888227718">
    <w:abstractNumId w:val="24"/>
  </w:num>
  <w:num w:numId="29" w16cid:durableId="72707661">
    <w:abstractNumId w:val="36"/>
  </w:num>
  <w:num w:numId="30" w16cid:durableId="436340443">
    <w:abstractNumId w:val="21"/>
  </w:num>
  <w:num w:numId="31" w16cid:durableId="1310595618">
    <w:abstractNumId w:val="22"/>
  </w:num>
  <w:num w:numId="32" w16cid:durableId="378475213">
    <w:abstractNumId w:val="5"/>
  </w:num>
  <w:num w:numId="33" w16cid:durableId="1419516979">
    <w:abstractNumId w:val="2"/>
  </w:num>
  <w:num w:numId="34" w16cid:durableId="646855841">
    <w:abstractNumId w:val="8"/>
  </w:num>
  <w:num w:numId="35" w16cid:durableId="886064527">
    <w:abstractNumId w:val="17"/>
  </w:num>
  <w:num w:numId="36" w16cid:durableId="1312059178">
    <w:abstractNumId w:val="41"/>
  </w:num>
  <w:num w:numId="37" w16cid:durableId="537401657">
    <w:abstractNumId w:val="27"/>
  </w:num>
  <w:num w:numId="38" w16cid:durableId="226571455">
    <w:abstractNumId w:val="28"/>
  </w:num>
  <w:num w:numId="39" w16cid:durableId="2016224679">
    <w:abstractNumId w:val="15"/>
  </w:num>
  <w:num w:numId="40" w16cid:durableId="34159880">
    <w:abstractNumId w:val="3"/>
  </w:num>
  <w:num w:numId="41" w16cid:durableId="804156345">
    <w:abstractNumId w:val="32"/>
  </w:num>
  <w:num w:numId="42" w16cid:durableId="1781946119">
    <w:abstractNumId w:val="38"/>
  </w:num>
  <w:num w:numId="43" w16cid:durableId="893588669">
    <w:abstractNumId w:val="25"/>
  </w:num>
  <w:num w:numId="44" w16cid:durableId="1070007782">
    <w:abstractNumId w:val="33"/>
  </w:num>
  <w:num w:numId="45" w16cid:durableId="9625429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52"/>
    <w:rsid w:val="00002399"/>
    <w:rsid w:val="00002EDF"/>
    <w:rsid w:val="000050A2"/>
    <w:rsid w:val="000104B8"/>
    <w:rsid w:val="00030B4C"/>
    <w:rsid w:val="000358AA"/>
    <w:rsid w:val="00037071"/>
    <w:rsid w:val="0004051E"/>
    <w:rsid w:val="00042FC6"/>
    <w:rsid w:val="00043505"/>
    <w:rsid w:val="00043AC7"/>
    <w:rsid w:val="00046312"/>
    <w:rsid w:val="00046EBB"/>
    <w:rsid w:val="00050B5E"/>
    <w:rsid w:val="00053C58"/>
    <w:rsid w:val="00060244"/>
    <w:rsid w:val="00070013"/>
    <w:rsid w:val="00075605"/>
    <w:rsid w:val="00081984"/>
    <w:rsid w:val="00084395"/>
    <w:rsid w:val="000903DF"/>
    <w:rsid w:val="000912AC"/>
    <w:rsid w:val="00094D38"/>
    <w:rsid w:val="000A29AD"/>
    <w:rsid w:val="000A2B7E"/>
    <w:rsid w:val="000A7EBE"/>
    <w:rsid w:val="000B11C5"/>
    <w:rsid w:val="000C3572"/>
    <w:rsid w:val="000C6803"/>
    <w:rsid w:val="000D28F9"/>
    <w:rsid w:val="000D3DE2"/>
    <w:rsid w:val="000D777F"/>
    <w:rsid w:val="000E09F9"/>
    <w:rsid w:val="000E239C"/>
    <w:rsid w:val="000E2FA9"/>
    <w:rsid w:val="000F0892"/>
    <w:rsid w:val="000F5D47"/>
    <w:rsid w:val="000F6036"/>
    <w:rsid w:val="001005BC"/>
    <w:rsid w:val="00100E2B"/>
    <w:rsid w:val="0010342B"/>
    <w:rsid w:val="00103C5C"/>
    <w:rsid w:val="00106CB7"/>
    <w:rsid w:val="00106D81"/>
    <w:rsid w:val="00111F05"/>
    <w:rsid w:val="00122A43"/>
    <w:rsid w:val="00124D44"/>
    <w:rsid w:val="00125D35"/>
    <w:rsid w:val="0012701E"/>
    <w:rsid w:val="001343C5"/>
    <w:rsid w:val="001439B1"/>
    <w:rsid w:val="0015328F"/>
    <w:rsid w:val="00154A01"/>
    <w:rsid w:val="00177C23"/>
    <w:rsid w:val="00180273"/>
    <w:rsid w:val="0018147C"/>
    <w:rsid w:val="0018507B"/>
    <w:rsid w:val="0019285F"/>
    <w:rsid w:val="00194832"/>
    <w:rsid w:val="001A5586"/>
    <w:rsid w:val="001B0E13"/>
    <w:rsid w:val="001B13D3"/>
    <w:rsid w:val="001B1D16"/>
    <w:rsid w:val="001B1E46"/>
    <w:rsid w:val="001B3802"/>
    <w:rsid w:val="001D551E"/>
    <w:rsid w:val="001F35D0"/>
    <w:rsid w:val="002014CD"/>
    <w:rsid w:val="00201C5C"/>
    <w:rsid w:val="002023D6"/>
    <w:rsid w:val="00207FB1"/>
    <w:rsid w:val="00212791"/>
    <w:rsid w:val="00216A27"/>
    <w:rsid w:val="002175B1"/>
    <w:rsid w:val="00220557"/>
    <w:rsid w:val="00226B23"/>
    <w:rsid w:val="00236657"/>
    <w:rsid w:val="0024658E"/>
    <w:rsid w:val="00250E80"/>
    <w:rsid w:val="00251C61"/>
    <w:rsid w:val="00257E89"/>
    <w:rsid w:val="0026667A"/>
    <w:rsid w:val="00267268"/>
    <w:rsid w:val="00267F37"/>
    <w:rsid w:val="00271F80"/>
    <w:rsid w:val="00273A5F"/>
    <w:rsid w:val="00275861"/>
    <w:rsid w:val="002833B8"/>
    <w:rsid w:val="00283A30"/>
    <w:rsid w:val="00284A7B"/>
    <w:rsid w:val="002857CF"/>
    <w:rsid w:val="00286B41"/>
    <w:rsid w:val="002914C0"/>
    <w:rsid w:val="00292983"/>
    <w:rsid w:val="002930EE"/>
    <w:rsid w:val="00293930"/>
    <w:rsid w:val="00294BE7"/>
    <w:rsid w:val="00295355"/>
    <w:rsid w:val="002A2681"/>
    <w:rsid w:val="002A4BFE"/>
    <w:rsid w:val="002A7356"/>
    <w:rsid w:val="002B03C8"/>
    <w:rsid w:val="002B1FFE"/>
    <w:rsid w:val="002B2F7B"/>
    <w:rsid w:val="002B6CDB"/>
    <w:rsid w:val="002C08CF"/>
    <w:rsid w:val="002C60B4"/>
    <w:rsid w:val="002C75AA"/>
    <w:rsid w:val="002D7F57"/>
    <w:rsid w:val="002E4487"/>
    <w:rsid w:val="002F2853"/>
    <w:rsid w:val="002F6EFA"/>
    <w:rsid w:val="0030561D"/>
    <w:rsid w:val="00310796"/>
    <w:rsid w:val="003157CE"/>
    <w:rsid w:val="00315EB9"/>
    <w:rsid w:val="00316243"/>
    <w:rsid w:val="00317C32"/>
    <w:rsid w:val="00321895"/>
    <w:rsid w:val="0032412C"/>
    <w:rsid w:val="0032743A"/>
    <w:rsid w:val="003311D5"/>
    <w:rsid w:val="00331D81"/>
    <w:rsid w:val="00333EB3"/>
    <w:rsid w:val="00340708"/>
    <w:rsid w:val="00341EFB"/>
    <w:rsid w:val="00343524"/>
    <w:rsid w:val="00351A78"/>
    <w:rsid w:val="003523E3"/>
    <w:rsid w:val="00353147"/>
    <w:rsid w:val="00355F7F"/>
    <w:rsid w:val="00356695"/>
    <w:rsid w:val="0036599B"/>
    <w:rsid w:val="00373EF6"/>
    <w:rsid w:val="00380E2D"/>
    <w:rsid w:val="00382D34"/>
    <w:rsid w:val="00383034"/>
    <w:rsid w:val="003859B7"/>
    <w:rsid w:val="00394A96"/>
    <w:rsid w:val="00395A25"/>
    <w:rsid w:val="00395DB2"/>
    <w:rsid w:val="00396A19"/>
    <w:rsid w:val="003B0B86"/>
    <w:rsid w:val="003B4EC9"/>
    <w:rsid w:val="003B5832"/>
    <w:rsid w:val="003B7505"/>
    <w:rsid w:val="003B7ACB"/>
    <w:rsid w:val="003C0F6E"/>
    <w:rsid w:val="003D5075"/>
    <w:rsid w:val="003D7C11"/>
    <w:rsid w:val="003E0F98"/>
    <w:rsid w:val="003E6D68"/>
    <w:rsid w:val="003F2760"/>
    <w:rsid w:val="003F2F50"/>
    <w:rsid w:val="003F783B"/>
    <w:rsid w:val="00400782"/>
    <w:rsid w:val="00404CF1"/>
    <w:rsid w:val="00410BD2"/>
    <w:rsid w:val="00414599"/>
    <w:rsid w:val="004152AF"/>
    <w:rsid w:val="00415EBA"/>
    <w:rsid w:val="004160AB"/>
    <w:rsid w:val="00417164"/>
    <w:rsid w:val="00417AD3"/>
    <w:rsid w:val="00424950"/>
    <w:rsid w:val="004255F1"/>
    <w:rsid w:val="004333B1"/>
    <w:rsid w:val="004343D5"/>
    <w:rsid w:val="004344F6"/>
    <w:rsid w:val="004414BD"/>
    <w:rsid w:val="0044301E"/>
    <w:rsid w:val="0044730D"/>
    <w:rsid w:val="0045297E"/>
    <w:rsid w:val="004536AF"/>
    <w:rsid w:val="00463B18"/>
    <w:rsid w:val="00475CF8"/>
    <w:rsid w:val="00481998"/>
    <w:rsid w:val="00481ED3"/>
    <w:rsid w:val="00483198"/>
    <w:rsid w:val="00487AE5"/>
    <w:rsid w:val="00490167"/>
    <w:rsid w:val="0049142D"/>
    <w:rsid w:val="00491F5A"/>
    <w:rsid w:val="004953D7"/>
    <w:rsid w:val="00497589"/>
    <w:rsid w:val="004A1021"/>
    <w:rsid w:val="004A7F39"/>
    <w:rsid w:val="004B2C8D"/>
    <w:rsid w:val="004B323D"/>
    <w:rsid w:val="004B53D9"/>
    <w:rsid w:val="004B720B"/>
    <w:rsid w:val="004C1E04"/>
    <w:rsid w:val="004C4398"/>
    <w:rsid w:val="004D3501"/>
    <w:rsid w:val="004D470E"/>
    <w:rsid w:val="004E5EEF"/>
    <w:rsid w:val="00505290"/>
    <w:rsid w:val="00507D76"/>
    <w:rsid w:val="00512FBD"/>
    <w:rsid w:val="00514AB3"/>
    <w:rsid w:val="0051534E"/>
    <w:rsid w:val="00517497"/>
    <w:rsid w:val="00517EBB"/>
    <w:rsid w:val="00533073"/>
    <w:rsid w:val="00535DB9"/>
    <w:rsid w:val="005425C8"/>
    <w:rsid w:val="00543548"/>
    <w:rsid w:val="00543B47"/>
    <w:rsid w:val="00543DB4"/>
    <w:rsid w:val="005456A5"/>
    <w:rsid w:val="00545B4F"/>
    <w:rsid w:val="00545EE7"/>
    <w:rsid w:val="005508DF"/>
    <w:rsid w:val="00550E35"/>
    <w:rsid w:val="00552DEA"/>
    <w:rsid w:val="00553670"/>
    <w:rsid w:val="00554B34"/>
    <w:rsid w:val="0056405B"/>
    <w:rsid w:val="0056436B"/>
    <w:rsid w:val="00566245"/>
    <w:rsid w:val="00566C67"/>
    <w:rsid w:val="005670CA"/>
    <w:rsid w:val="00567CA4"/>
    <w:rsid w:val="0057112B"/>
    <w:rsid w:val="00572C12"/>
    <w:rsid w:val="00582BBF"/>
    <w:rsid w:val="005848C6"/>
    <w:rsid w:val="00585301"/>
    <w:rsid w:val="00591F7D"/>
    <w:rsid w:val="00595D92"/>
    <w:rsid w:val="00597E38"/>
    <w:rsid w:val="005A28D9"/>
    <w:rsid w:val="005A6A12"/>
    <w:rsid w:val="005B1AB5"/>
    <w:rsid w:val="005B21F3"/>
    <w:rsid w:val="005B3ED8"/>
    <w:rsid w:val="005B4ADB"/>
    <w:rsid w:val="005C420E"/>
    <w:rsid w:val="005C465D"/>
    <w:rsid w:val="005C7AB3"/>
    <w:rsid w:val="005D24E5"/>
    <w:rsid w:val="005E1CEF"/>
    <w:rsid w:val="005E4E12"/>
    <w:rsid w:val="005F148E"/>
    <w:rsid w:val="005F2FAD"/>
    <w:rsid w:val="005F30DA"/>
    <w:rsid w:val="005F3BA4"/>
    <w:rsid w:val="005F5959"/>
    <w:rsid w:val="00600531"/>
    <w:rsid w:val="00615642"/>
    <w:rsid w:val="00625269"/>
    <w:rsid w:val="006349BD"/>
    <w:rsid w:val="00634A20"/>
    <w:rsid w:val="00637B79"/>
    <w:rsid w:val="00640B79"/>
    <w:rsid w:val="00641906"/>
    <w:rsid w:val="00646C9F"/>
    <w:rsid w:val="00646FA8"/>
    <w:rsid w:val="006528A3"/>
    <w:rsid w:val="00654BE2"/>
    <w:rsid w:val="00655458"/>
    <w:rsid w:val="00665BA3"/>
    <w:rsid w:val="00665E25"/>
    <w:rsid w:val="00672CBE"/>
    <w:rsid w:val="0067786E"/>
    <w:rsid w:val="00677B8D"/>
    <w:rsid w:val="00680A63"/>
    <w:rsid w:val="006834BA"/>
    <w:rsid w:val="0068378D"/>
    <w:rsid w:val="00690FEE"/>
    <w:rsid w:val="006925E8"/>
    <w:rsid w:val="00693105"/>
    <w:rsid w:val="006A1B5D"/>
    <w:rsid w:val="006A20B4"/>
    <w:rsid w:val="006A2F77"/>
    <w:rsid w:val="006A518A"/>
    <w:rsid w:val="006A760C"/>
    <w:rsid w:val="006B7948"/>
    <w:rsid w:val="006C4DC0"/>
    <w:rsid w:val="006C4F9A"/>
    <w:rsid w:val="006C7292"/>
    <w:rsid w:val="006C7419"/>
    <w:rsid w:val="006D5D0A"/>
    <w:rsid w:val="006E1EFC"/>
    <w:rsid w:val="006E5334"/>
    <w:rsid w:val="006F3241"/>
    <w:rsid w:val="00700550"/>
    <w:rsid w:val="007030C5"/>
    <w:rsid w:val="0070634E"/>
    <w:rsid w:val="00711273"/>
    <w:rsid w:val="00711B28"/>
    <w:rsid w:val="0071312F"/>
    <w:rsid w:val="007136C7"/>
    <w:rsid w:val="007146E7"/>
    <w:rsid w:val="00715C77"/>
    <w:rsid w:val="007255B9"/>
    <w:rsid w:val="00726636"/>
    <w:rsid w:val="00731B6E"/>
    <w:rsid w:val="00731D08"/>
    <w:rsid w:val="0074087B"/>
    <w:rsid w:val="00742EC2"/>
    <w:rsid w:val="007538B5"/>
    <w:rsid w:val="007542ED"/>
    <w:rsid w:val="00754723"/>
    <w:rsid w:val="00755B50"/>
    <w:rsid w:val="00755CC6"/>
    <w:rsid w:val="00761707"/>
    <w:rsid w:val="00764530"/>
    <w:rsid w:val="00771DF0"/>
    <w:rsid w:val="00775382"/>
    <w:rsid w:val="00781632"/>
    <w:rsid w:val="00782859"/>
    <w:rsid w:val="0078344F"/>
    <w:rsid w:val="0078437A"/>
    <w:rsid w:val="00787A6B"/>
    <w:rsid w:val="007939ED"/>
    <w:rsid w:val="0079445B"/>
    <w:rsid w:val="007A1F8E"/>
    <w:rsid w:val="007A213E"/>
    <w:rsid w:val="007A58C7"/>
    <w:rsid w:val="007A7513"/>
    <w:rsid w:val="007B047D"/>
    <w:rsid w:val="007B3BD8"/>
    <w:rsid w:val="007B63F1"/>
    <w:rsid w:val="007C79A5"/>
    <w:rsid w:val="007D0ACA"/>
    <w:rsid w:val="007D557F"/>
    <w:rsid w:val="007D5605"/>
    <w:rsid w:val="007E006C"/>
    <w:rsid w:val="007F0010"/>
    <w:rsid w:val="008018E5"/>
    <w:rsid w:val="008021BD"/>
    <w:rsid w:val="008071EB"/>
    <w:rsid w:val="0082170F"/>
    <w:rsid w:val="00823773"/>
    <w:rsid w:val="00826C28"/>
    <w:rsid w:val="008319DF"/>
    <w:rsid w:val="00834A9F"/>
    <w:rsid w:val="00840950"/>
    <w:rsid w:val="008444C3"/>
    <w:rsid w:val="00844725"/>
    <w:rsid w:val="0084677E"/>
    <w:rsid w:val="00853D9A"/>
    <w:rsid w:val="0085538A"/>
    <w:rsid w:val="00862B63"/>
    <w:rsid w:val="0086413D"/>
    <w:rsid w:val="00873F7A"/>
    <w:rsid w:val="0088045A"/>
    <w:rsid w:val="0088306A"/>
    <w:rsid w:val="00885C4B"/>
    <w:rsid w:val="008914E4"/>
    <w:rsid w:val="008A14F0"/>
    <w:rsid w:val="008B41F5"/>
    <w:rsid w:val="008B5631"/>
    <w:rsid w:val="008B77D2"/>
    <w:rsid w:val="008D0A6C"/>
    <w:rsid w:val="008D3052"/>
    <w:rsid w:val="008D4D1E"/>
    <w:rsid w:val="008E7684"/>
    <w:rsid w:val="008F0B50"/>
    <w:rsid w:val="008F5BC7"/>
    <w:rsid w:val="008F6F69"/>
    <w:rsid w:val="0090115A"/>
    <w:rsid w:val="00901F10"/>
    <w:rsid w:val="00906F15"/>
    <w:rsid w:val="009119E8"/>
    <w:rsid w:val="00912035"/>
    <w:rsid w:val="00920B4C"/>
    <w:rsid w:val="00921254"/>
    <w:rsid w:val="0092681D"/>
    <w:rsid w:val="009358F4"/>
    <w:rsid w:val="00935EA6"/>
    <w:rsid w:val="00937EBE"/>
    <w:rsid w:val="0094259F"/>
    <w:rsid w:val="00943E71"/>
    <w:rsid w:val="0094718E"/>
    <w:rsid w:val="009511CF"/>
    <w:rsid w:val="00952712"/>
    <w:rsid w:val="0096046F"/>
    <w:rsid w:val="0096119F"/>
    <w:rsid w:val="00971ADC"/>
    <w:rsid w:val="00977D1E"/>
    <w:rsid w:val="00984A31"/>
    <w:rsid w:val="00986C1C"/>
    <w:rsid w:val="0099013E"/>
    <w:rsid w:val="00992DB3"/>
    <w:rsid w:val="00994861"/>
    <w:rsid w:val="009953C7"/>
    <w:rsid w:val="009A3DED"/>
    <w:rsid w:val="009A47A1"/>
    <w:rsid w:val="009A49E4"/>
    <w:rsid w:val="009A5A4F"/>
    <w:rsid w:val="009A7D81"/>
    <w:rsid w:val="009B1AFD"/>
    <w:rsid w:val="009B5648"/>
    <w:rsid w:val="009C577E"/>
    <w:rsid w:val="009E10B8"/>
    <w:rsid w:val="009E200B"/>
    <w:rsid w:val="009E59A8"/>
    <w:rsid w:val="009E67D9"/>
    <w:rsid w:val="009E687A"/>
    <w:rsid w:val="009E6CA7"/>
    <w:rsid w:val="009F1D5D"/>
    <w:rsid w:val="009F4209"/>
    <w:rsid w:val="009F68F4"/>
    <w:rsid w:val="009F6B59"/>
    <w:rsid w:val="00A03EA3"/>
    <w:rsid w:val="00A10622"/>
    <w:rsid w:val="00A1348D"/>
    <w:rsid w:val="00A15759"/>
    <w:rsid w:val="00A174B4"/>
    <w:rsid w:val="00A2087B"/>
    <w:rsid w:val="00A20EF3"/>
    <w:rsid w:val="00A22024"/>
    <w:rsid w:val="00A233AD"/>
    <w:rsid w:val="00A277C9"/>
    <w:rsid w:val="00A323D9"/>
    <w:rsid w:val="00A35103"/>
    <w:rsid w:val="00A41B9C"/>
    <w:rsid w:val="00A434A8"/>
    <w:rsid w:val="00A44CF2"/>
    <w:rsid w:val="00A47206"/>
    <w:rsid w:val="00A6070E"/>
    <w:rsid w:val="00A659A9"/>
    <w:rsid w:val="00A70BAE"/>
    <w:rsid w:val="00A750B8"/>
    <w:rsid w:val="00A752B6"/>
    <w:rsid w:val="00A81477"/>
    <w:rsid w:val="00A81CC9"/>
    <w:rsid w:val="00A82D56"/>
    <w:rsid w:val="00A953C4"/>
    <w:rsid w:val="00A96BD7"/>
    <w:rsid w:val="00AA0F56"/>
    <w:rsid w:val="00AA5F25"/>
    <w:rsid w:val="00AB4293"/>
    <w:rsid w:val="00AB600C"/>
    <w:rsid w:val="00AB7432"/>
    <w:rsid w:val="00AC1D04"/>
    <w:rsid w:val="00AC5600"/>
    <w:rsid w:val="00AC5821"/>
    <w:rsid w:val="00AC7D49"/>
    <w:rsid w:val="00AD3138"/>
    <w:rsid w:val="00AD5ABC"/>
    <w:rsid w:val="00AD6AAA"/>
    <w:rsid w:val="00AD70B3"/>
    <w:rsid w:val="00AE06A5"/>
    <w:rsid w:val="00B04123"/>
    <w:rsid w:val="00B05478"/>
    <w:rsid w:val="00B07481"/>
    <w:rsid w:val="00B13428"/>
    <w:rsid w:val="00B226C3"/>
    <w:rsid w:val="00B23945"/>
    <w:rsid w:val="00B247BD"/>
    <w:rsid w:val="00B2733C"/>
    <w:rsid w:val="00B41A1C"/>
    <w:rsid w:val="00B4799A"/>
    <w:rsid w:val="00B551F6"/>
    <w:rsid w:val="00B57A23"/>
    <w:rsid w:val="00B57F2E"/>
    <w:rsid w:val="00B66EA1"/>
    <w:rsid w:val="00B9366F"/>
    <w:rsid w:val="00B944E8"/>
    <w:rsid w:val="00B94A1D"/>
    <w:rsid w:val="00BA077D"/>
    <w:rsid w:val="00BA36DE"/>
    <w:rsid w:val="00BA3938"/>
    <w:rsid w:val="00BA5ED7"/>
    <w:rsid w:val="00BA74DF"/>
    <w:rsid w:val="00BB08D6"/>
    <w:rsid w:val="00BB4F96"/>
    <w:rsid w:val="00BB5142"/>
    <w:rsid w:val="00BB63FE"/>
    <w:rsid w:val="00BB68E2"/>
    <w:rsid w:val="00BC0948"/>
    <w:rsid w:val="00BC35FE"/>
    <w:rsid w:val="00BD2308"/>
    <w:rsid w:val="00BD6BF7"/>
    <w:rsid w:val="00BE03B6"/>
    <w:rsid w:val="00BE071D"/>
    <w:rsid w:val="00BE5622"/>
    <w:rsid w:val="00BF0477"/>
    <w:rsid w:val="00BF2A2D"/>
    <w:rsid w:val="00BF6265"/>
    <w:rsid w:val="00C02C31"/>
    <w:rsid w:val="00C0554B"/>
    <w:rsid w:val="00C07A84"/>
    <w:rsid w:val="00C17A1A"/>
    <w:rsid w:val="00C22F7B"/>
    <w:rsid w:val="00C31411"/>
    <w:rsid w:val="00C4302E"/>
    <w:rsid w:val="00C436A4"/>
    <w:rsid w:val="00C470C1"/>
    <w:rsid w:val="00C47BDB"/>
    <w:rsid w:val="00C52A64"/>
    <w:rsid w:val="00C55459"/>
    <w:rsid w:val="00C614B9"/>
    <w:rsid w:val="00C66ABC"/>
    <w:rsid w:val="00C67E05"/>
    <w:rsid w:val="00C731C5"/>
    <w:rsid w:val="00C77AEE"/>
    <w:rsid w:val="00C9291B"/>
    <w:rsid w:val="00C92930"/>
    <w:rsid w:val="00C933B1"/>
    <w:rsid w:val="00C96582"/>
    <w:rsid w:val="00CA0BA7"/>
    <w:rsid w:val="00CA11F2"/>
    <w:rsid w:val="00CA2506"/>
    <w:rsid w:val="00CA74B1"/>
    <w:rsid w:val="00CB14E7"/>
    <w:rsid w:val="00CB1F1C"/>
    <w:rsid w:val="00CB2F27"/>
    <w:rsid w:val="00CB584D"/>
    <w:rsid w:val="00CB6260"/>
    <w:rsid w:val="00CB6C2B"/>
    <w:rsid w:val="00CB7FC1"/>
    <w:rsid w:val="00CC1B6B"/>
    <w:rsid w:val="00CC257B"/>
    <w:rsid w:val="00CC3857"/>
    <w:rsid w:val="00CC3A39"/>
    <w:rsid w:val="00CD0DAD"/>
    <w:rsid w:val="00CD2A4A"/>
    <w:rsid w:val="00CD2AC4"/>
    <w:rsid w:val="00CD5E70"/>
    <w:rsid w:val="00CD6B0D"/>
    <w:rsid w:val="00CE2400"/>
    <w:rsid w:val="00CE4290"/>
    <w:rsid w:val="00CE5496"/>
    <w:rsid w:val="00CE5E3E"/>
    <w:rsid w:val="00CF0997"/>
    <w:rsid w:val="00CF57B5"/>
    <w:rsid w:val="00D0457D"/>
    <w:rsid w:val="00D1270A"/>
    <w:rsid w:val="00D2690A"/>
    <w:rsid w:val="00D27CA0"/>
    <w:rsid w:val="00D34211"/>
    <w:rsid w:val="00D401C2"/>
    <w:rsid w:val="00D40DA2"/>
    <w:rsid w:val="00D4238A"/>
    <w:rsid w:val="00D56177"/>
    <w:rsid w:val="00D622A6"/>
    <w:rsid w:val="00D6350D"/>
    <w:rsid w:val="00D6454F"/>
    <w:rsid w:val="00D71C51"/>
    <w:rsid w:val="00D8542A"/>
    <w:rsid w:val="00D92110"/>
    <w:rsid w:val="00D92AC8"/>
    <w:rsid w:val="00D935BB"/>
    <w:rsid w:val="00D94B58"/>
    <w:rsid w:val="00D9608D"/>
    <w:rsid w:val="00D97966"/>
    <w:rsid w:val="00DA3223"/>
    <w:rsid w:val="00DA3390"/>
    <w:rsid w:val="00DA7E2C"/>
    <w:rsid w:val="00DB3380"/>
    <w:rsid w:val="00DB5801"/>
    <w:rsid w:val="00DB60B2"/>
    <w:rsid w:val="00DB7E5A"/>
    <w:rsid w:val="00DC1E7F"/>
    <w:rsid w:val="00DC4313"/>
    <w:rsid w:val="00DD10E9"/>
    <w:rsid w:val="00DD16BA"/>
    <w:rsid w:val="00DD68BA"/>
    <w:rsid w:val="00DE7459"/>
    <w:rsid w:val="00DF29E1"/>
    <w:rsid w:val="00DF5C84"/>
    <w:rsid w:val="00DF6BAF"/>
    <w:rsid w:val="00E003ED"/>
    <w:rsid w:val="00E02102"/>
    <w:rsid w:val="00E040AB"/>
    <w:rsid w:val="00E07564"/>
    <w:rsid w:val="00E12A14"/>
    <w:rsid w:val="00E35545"/>
    <w:rsid w:val="00E40C3D"/>
    <w:rsid w:val="00E50B6B"/>
    <w:rsid w:val="00E527C8"/>
    <w:rsid w:val="00E57D8F"/>
    <w:rsid w:val="00E605A4"/>
    <w:rsid w:val="00E61B87"/>
    <w:rsid w:val="00E634D1"/>
    <w:rsid w:val="00E65E41"/>
    <w:rsid w:val="00E70C84"/>
    <w:rsid w:val="00E7122C"/>
    <w:rsid w:val="00E767A4"/>
    <w:rsid w:val="00E84410"/>
    <w:rsid w:val="00E934F1"/>
    <w:rsid w:val="00E9372A"/>
    <w:rsid w:val="00EA0FC0"/>
    <w:rsid w:val="00EB2D68"/>
    <w:rsid w:val="00EB4AA4"/>
    <w:rsid w:val="00EB7DF0"/>
    <w:rsid w:val="00EE4778"/>
    <w:rsid w:val="00EE506B"/>
    <w:rsid w:val="00EE5D2A"/>
    <w:rsid w:val="00EE67AF"/>
    <w:rsid w:val="00EE68CC"/>
    <w:rsid w:val="00EF3E3C"/>
    <w:rsid w:val="00EF73C3"/>
    <w:rsid w:val="00F0488E"/>
    <w:rsid w:val="00F072C4"/>
    <w:rsid w:val="00F106E8"/>
    <w:rsid w:val="00F13247"/>
    <w:rsid w:val="00F14690"/>
    <w:rsid w:val="00F21646"/>
    <w:rsid w:val="00F252AA"/>
    <w:rsid w:val="00F255B5"/>
    <w:rsid w:val="00F2757C"/>
    <w:rsid w:val="00F3049C"/>
    <w:rsid w:val="00F36563"/>
    <w:rsid w:val="00F43E2D"/>
    <w:rsid w:val="00F52957"/>
    <w:rsid w:val="00F65B45"/>
    <w:rsid w:val="00F80CFC"/>
    <w:rsid w:val="00F815ED"/>
    <w:rsid w:val="00F8324D"/>
    <w:rsid w:val="00F90AB6"/>
    <w:rsid w:val="00F9154D"/>
    <w:rsid w:val="00F92A20"/>
    <w:rsid w:val="00F961DD"/>
    <w:rsid w:val="00FA0AAC"/>
    <w:rsid w:val="00FB6393"/>
    <w:rsid w:val="00FB7138"/>
    <w:rsid w:val="00FB7F51"/>
    <w:rsid w:val="00FD77DB"/>
    <w:rsid w:val="00FE36D4"/>
    <w:rsid w:val="00FE7ACA"/>
    <w:rsid w:val="00FF550C"/>
    <w:rsid w:val="00FF6B6B"/>
    <w:rsid w:val="0188B414"/>
    <w:rsid w:val="05E2EF01"/>
    <w:rsid w:val="06F645E3"/>
    <w:rsid w:val="09C80AFD"/>
    <w:rsid w:val="0B664781"/>
    <w:rsid w:val="0E14146B"/>
    <w:rsid w:val="0F3B09ED"/>
    <w:rsid w:val="10621C37"/>
    <w:rsid w:val="16F2A5E3"/>
    <w:rsid w:val="19312504"/>
    <w:rsid w:val="1A49A0AC"/>
    <w:rsid w:val="1E75BFA3"/>
    <w:rsid w:val="22363466"/>
    <w:rsid w:val="23C0289C"/>
    <w:rsid w:val="2524B940"/>
    <w:rsid w:val="254F1D8E"/>
    <w:rsid w:val="2949EB28"/>
    <w:rsid w:val="295B1135"/>
    <w:rsid w:val="29910118"/>
    <w:rsid w:val="2B2C7268"/>
    <w:rsid w:val="2CE2CBF2"/>
    <w:rsid w:val="2D17F498"/>
    <w:rsid w:val="2DC0C3EF"/>
    <w:rsid w:val="31B92078"/>
    <w:rsid w:val="33040DC6"/>
    <w:rsid w:val="3406901F"/>
    <w:rsid w:val="34628E63"/>
    <w:rsid w:val="34E956DF"/>
    <w:rsid w:val="3544E963"/>
    <w:rsid w:val="36487E18"/>
    <w:rsid w:val="37905AD3"/>
    <w:rsid w:val="3869B292"/>
    <w:rsid w:val="397C9DA5"/>
    <w:rsid w:val="3DB4297D"/>
    <w:rsid w:val="3FD0A203"/>
    <w:rsid w:val="4025E60E"/>
    <w:rsid w:val="41BF1D76"/>
    <w:rsid w:val="425B91D1"/>
    <w:rsid w:val="43B242F5"/>
    <w:rsid w:val="43BE6613"/>
    <w:rsid w:val="458F7472"/>
    <w:rsid w:val="46AA05AA"/>
    <w:rsid w:val="48B86053"/>
    <w:rsid w:val="4DFCD0CE"/>
    <w:rsid w:val="5468823D"/>
    <w:rsid w:val="55C68759"/>
    <w:rsid w:val="55E4E8AD"/>
    <w:rsid w:val="566DD606"/>
    <w:rsid w:val="5671B975"/>
    <w:rsid w:val="587D47C4"/>
    <w:rsid w:val="5A7226F3"/>
    <w:rsid w:val="5AE714FB"/>
    <w:rsid w:val="5DB0EF4A"/>
    <w:rsid w:val="5DB92039"/>
    <w:rsid w:val="5F57138A"/>
    <w:rsid w:val="5F840F52"/>
    <w:rsid w:val="613AEAF9"/>
    <w:rsid w:val="61988CC6"/>
    <w:rsid w:val="63EDA221"/>
    <w:rsid w:val="67186963"/>
    <w:rsid w:val="67924E47"/>
    <w:rsid w:val="68DCCAD6"/>
    <w:rsid w:val="6A4B3978"/>
    <w:rsid w:val="6A9AC25F"/>
    <w:rsid w:val="6C1CD9B4"/>
    <w:rsid w:val="6DF2CED3"/>
    <w:rsid w:val="6F66A8ED"/>
    <w:rsid w:val="701F0589"/>
    <w:rsid w:val="72B19BE2"/>
    <w:rsid w:val="73CBFA9D"/>
    <w:rsid w:val="7654029D"/>
    <w:rsid w:val="77AD5F2B"/>
    <w:rsid w:val="789F5580"/>
    <w:rsid w:val="7C542C8F"/>
    <w:rsid w:val="7D558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CAFA2"/>
  <w15:docId w15:val="{6573C072-C830-4A84-85AD-21BB3CE5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7EBE"/>
    <w:pPr>
      <w:ind w:left="720"/>
      <w:contextualSpacing/>
    </w:pPr>
  </w:style>
  <w:style w:type="character" w:styleId="CommentReference">
    <w:name w:val="annotation reference"/>
    <w:basedOn w:val="DefaultParagraphFont"/>
    <w:uiPriority w:val="99"/>
    <w:semiHidden/>
    <w:unhideWhenUsed/>
    <w:rsid w:val="00826C28"/>
    <w:rPr>
      <w:sz w:val="16"/>
      <w:szCs w:val="16"/>
    </w:rPr>
  </w:style>
  <w:style w:type="paragraph" w:styleId="CommentText">
    <w:name w:val="annotation text"/>
    <w:basedOn w:val="Normal"/>
    <w:link w:val="CommentTextChar"/>
    <w:uiPriority w:val="99"/>
    <w:unhideWhenUsed/>
    <w:rsid w:val="00826C28"/>
    <w:pPr>
      <w:spacing w:line="240" w:lineRule="auto"/>
    </w:pPr>
    <w:rPr>
      <w:sz w:val="20"/>
      <w:szCs w:val="20"/>
    </w:rPr>
  </w:style>
  <w:style w:type="character" w:customStyle="1" w:styleId="CommentTextChar">
    <w:name w:val="Comment Text Char"/>
    <w:basedOn w:val="DefaultParagraphFont"/>
    <w:link w:val="CommentText"/>
    <w:uiPriority w:val="99"/>
    <w:rsid w:val="00826C28"/>
    <w:rPr>
      <w:sz w:val="20"/>
      <w:szCs w:val="20"/>
    </w:rPr>
  </w:style>
  <w:style w:type="paragraph" w:styleId="CommentSubject">
    <w:name w:val="annotation subject"/>
    <w:basedOn w:val="CommentText"/>
    <w:next w:val="CommentText"/>
    <w:link w:val="CommentSubjectChar"/>
    <w:uiPriority w:val="99"/>
    <w:semiHidden/>
    <w:unhideWhenUsed/>
    <w:rsid w:val="00826C28"/>
    <w:rPr>
      <w:b/>
      <w:bCs/>
    </w:rPr>
  </w:style>
  <w:style w:type="character" w:customStyle="1" w:styleId="CommentSubjectChar">
    <w:name w:val="Comment Subject Char"/>
    <w:basedOn w:val="CommentTextChar"/>
    <w:link w:val="CommentSubject"/>
    <w:uiPriority w:val="99"/>
    <w:semiHidden/>
    <w:rsid w:val="00826C28"/>
    <w:rPr>
      <w:b/>
      <w:bCs/>
      <w:sz w:val="20"/>
      <w:szCs w:val="20"/>
    </w:rPr>
  </w:style>
  <w:style w:type="paragraph" w:styleId="BalloonText">
    <w:name w:val="Balloon Text"/>
    <w:basedOn w:val="Normal"/>
    <w:link w:val="BalloonTextChar"/>
    <w:uiPriority w:val="99"/>
    <w:semiHidden/>
    <w:unhideWhenUsed/>
    <w:rsid w:val="00826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C28"/>
    <w:rPr>
      <w:rFonts w:ascii="Segoe UI" w:hAnsi="Segoe UI" w:cs="Segoe UI"/>
      <w:sz w:val="18"/>
      <w:szCs w:val="18"/>
    </w:rPr>
  </w:style>
  <w:style w:type="character" w:styleId="Hyperlink">
    <w:name w:val="Hyperlink"/>
    <w:basedOn w:val="DefaultParagraphFont"/>
    <w:uiPriority w:val="99"/>
    <w:unhideWhenUsed/>
    <w:rsid w:val="007146E7"/>
    <w:rPr>
      <w:color w:val="0000FF"/>
      <w:u w:val="single"/>
    </w:rPr>
  </w:style>
  <w:style w:type="paragraph" w:styleId="FootnoteText">
    <w:name w:val="footnote text"/>
    <w:basedOn w:val="Normal"/>
    <w:link w:val="FootnoteTextChar"/>
    <w:uiPriority w:val="99"/>
    <w:semiHidden/>
    <w:unhideWhenUsed/>
    <w:rsid w:val="00BC35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5FE"/>
    <w:rPr>
      <w:sz w:val="20"/>
      <w:szCs w:val="20"/>
    </w:rPr>
  </w:style>
  <w:style w:type="character" w:styleId="FootnoteReference">
    <w:name w:val="footnote reference"/>
    <w:basedOn w:val="DefaultParagraphFont"/>
    <w:uiPriority w:val="99"/>
    <w:semiHidden/>
    <w:unhideWhenUsed/>
    <w:rsid w:val="00BC35FE"/>
    <w:rPr>
      <w:vertAlign w:val="superscript"/>
    </w:rPr>
  </w:style>
  <w:style w:type="paragraph" w:styleId="NormalWeb">
    <w:name w:val="Normal (Web)"/>
    <w:basedOn w:val="Normal"/>
    <w:uiPriority w:val="99"/>
    <w:semiHidden/>
    <w:unhideWhenUsed/>
    <w:rsid w:val="004B53D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5459"/>
    <w:rPr>
      <w:color w:val="605E5C"/>
      <w:shd w:val="clear" w:color="auto" w:fill="E1DFDD"/>
    </w:rPr>
  </w:style>
  <w:style w:type="table" w:styleId="TableGrid">
    <w:name w:val="Table Grid"/>
    <w:basedOn w:val="TableNormal"/>
    <w:uiPriority w:val="39"/>
    <w:rsid w:val="00E6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075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7564"/>
  </w:style>
  <w:style w:type="paragraph" w:styleId="Footer">
    <w:name w:val="footer"/>
    <w:basedOn w:val="Normal"/>
    <w:link w:val="FooterChar"/>
    <w:uiPriority w:val="99"/>
    <w:unhideWhenUsed/>
    <w:rsid w:val="00E07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64"/>
  </w:style>
  <w:style w:type="character" w:styleId="FollowedHyperlink">
    <w:name w:val="FollowedHyperlink"/>
    <w:basedOn w:val="DefaultParagraphFont"/>
    <w:uiPriority w:val="99"/>
    <w:semiHidden/>
    <w:unhideWhenUsed/>
    <w:rsid w:val="00DA3223"/>
    <w:rPr>
      <w:color w:val="800080" w:themeColor="followedHyperlink"/>
      <w:u w:val="single"/>
    </w:rPr>
  </w:style>
  <w:style w:type="paragraph" w:styleId="Revision">
    <w:name w:val="Revision"/>
    <w:hidden/>
    <w:uiPriority w:val="99"/>
    <w:semiHidden/>
    <w:rsid w:val="00075605"/>
    <w:pPr>
      <w:spacing w:after="0" w:line="240" w:lineRule="auto"/>
    </w:pPr>
  </w:style>
  <w:style w:type="character" w:styleId="Strong">
    <w:name w:val="Strong"/>
    <w:basedOn w:val="DefaultParagraphFont"/>
    <w:uiPriority w:val="22"/>
    <w:qFormat/>
    <w:rsid w:val="00CD6B0D"/>
    <w:rPr>
      <w:b/>
      <w:bCs/>
    </w:rPr>
  </w:style>
  <w:style w:type="character" w:styleId="Mention">
    <w:name w:val="Mention"/>
    <w:basedOn w:val="DefaultParagraphFont"/>
    <w:uiPriority w:val="99"/>
    <w:unhideWhenUsed/>
    <w:rsid w:val="00625269"/>
    <w:rPr>
      <w:color w:val="2B579A"/>
      <w:shd w:val="clear" w:color="auto" w:fill="E1DFDD"/>
    </w:rPr>
  </w:style>
  <w:style w:type="paragraph" w:customStyle="1" w:styleId="paragraph">
    <w:name w:val="paragraph"/>
    <w:basedOn w:val="Normal"/>
    <w:rsid w:val="00711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1B28"/>
  </w:style>
  <w:style w:type="character" w:customStyle="1" w:styleId="eop">
    <w:name w:val="eop"/>
    <w:basedOn w:val="DefaultParagraphFont"/>
    <w:rsid w:val="00711B28"/>
  </w:style>
  <w:style w:type="character" w:customStyle="1" w:styleId="tabchar">
    <w:name w:val="tabchar"/>
    <w:basedOn w:val="DefaultParagraphFont"/>
    <w:rsid w:val="00711B28"/>
  </w:style>
  <w:style w:type="table" w:styleId="GridTable1Light-Accent5">
    <w:name w:val="Grid Table 1 Light Accent 5"/>
    <w:basedOn w:val="TableNormal"/>
    <w:uiPriority w:val="46"/>
    <w:rsid w:val="00257E8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1440">
      <w:bodyDiv w:val="1"/>
      <w:marLeft w:val="0"/>
      <w:marRight w:val="0"/>
      <w:marTop w:val="0"/>
      <w:marBottom w:val="0"/>
      <w:divBdr>
        <w:top w:val="none" w:sz="0" w:space="0" w:color="auto"/>
        <w:left w:val="none" w:sz="0" w:space="0" w:color="auto"/>
        <w:bottom w:val="none" w:sz="0" w:space="0" w:color="auto"/>
        <w:right w:val="none" w:sz="0" w:space="0" w:color="auto"/>
      </w:divBdr>
    </w:div>
    <w:div w:id="360711896">
      <w:bodyDiv w:val="1"/>
      <w:marLeft w:val="0"/>
      <w:marRight w:val="0"/>
      <w:marTop w:val="0"/>
      <w:marBottom w:val="0"/>
      <w:divBdr>
        <w:top w:val="none" w:sz="0" w:space="0" w:color="auto"/>
        <w:left w:val="none" w:sz="0" w:space="0" w:color="auto"/>
        <w:bottom w:val="none" w:sz="0" w:space="0" w:color="auto"/>
        <w:right w:val="none" w:sz="0" w:space="0" w:color="auto"/>
      </w:divBdr>
    </w:div>
    <w:div w:id="386882372">
      <w:bodyDiv w:val="1"/>
      <w:marLeft w:val="0"/>
      <w:marRight w:val="0"/>
      <w:marTop w:val="0"/>
      <w:marBottom w:val="0"/>
      <w:divBdr>
        <w:top w:val="none" w:sz="0" w:space="0" w:color="auto"/>
        <w:left w:val="none" w:sz="0" w:space="0" w:color="auto"/>
        <w:bottom w:val="none" w:sz="0" w:space="0" w:color="auto"/>
        <w:right w:val="none" w:sz="0" w:space="0" w:color="auto"/>
      </w:divBdr>
      <w:divsChild>
        <w:div w:id="137691156">
          <w:marLeft w:val="0"/>
          <w:marRight w:val="0"/>
          <w:marTop w:val="0"/>
          <w:marBottom w:val="0"/>
          <w:divBdr>
            <w:top w:val="none" w:sz="0" w:space="0" w:color="auto"/>
            <w:left w:val="none" w:sz="0" w:space="0" w:color="auto"/>
            <w:bottom w:val="none" w:sz="0" w:space="0" w:color="auto"/>
            <w:right w:val="none" w:sz="0" w:space="0" w:color="auto"/>
          </w:divBdr>
        </w:div>
        <w:div w:id="240413094">
          <w:marLeft w:val="0"/>
          <w:marRight w:val="0"/>
          <w:marTop w:val="0"/>
          <w:marBottom w:val="0"/>
          <w:divBdr>
            <w:top w:val="none" w:sz="0" w:space="0" w:color="auto"/>
            <w:left w:val="none" w:sz="0" w:space="0" w:color="auto"/>
            <w:bottom w:val="none" w:sz="0" w:space="0" w:color="auto"/>
            <w:right w:val="none" w:sz="0" w:space="0" w:color="auto"/>
          </w:divBdr>
        </w:div>
        <w:div w:id="905342079">
          <w:marLeft w:val="0"/>
          <w:marRight w:val="0"/>
          <w:marTop w:val="0"/>
          <w:marBottom w:val="0"/>
          <w:divBdr>
            <w:top w:val="none" w:sz="0" w:space="0" w:color="auto"/>
            <w:left w:val="none" w:sz="0" w:space="0" w:color="auto"/>
            <w:bottom w:val="none" w:sz="0" w:space="0" w:color="auto"/>
            <w:right w:val="none" w:sz="0" w:space="0" w:color="auto"/>
          </w:divBdr>
        </w:div>
        <w:div w:id="1080056148">
          <w:marLeft w:val="0"/>
          <w:marRight w:val="0"/>
          <w:marTop w:val="0"/>
          <w:marBottom w:val="0"/>
          <w:divBdr>
            <w:top w:val="none" w:sz="0" w:space="0" w:color="auto"/>
            <w:left w:val="none" w:sz="0" w:space="0" w:color="auto"/>
            <w:bottom w:val="none" w:sz="0" w:space="0" w:color="auto"/>
            <w:right w:val="none" w:sz="0" w:space="0" w:color="auto"/>
          </w:divBdr>
        </w:div>
        <w:div w:id="1391687655">
          <w:marLeft w:val="0"/>
          <w:marRight w:val="0"/>
          <w:marTop w:val="0"/>
          <w:marBottom w:val="0"/>
          <w:divBdr>
            <w:top w:val="none" w:sz="0" w:space="0" w:color="auto"/>
            <w:left w:val="none" w:sz="0" w:space="0" w:color="auto"/>
            <w:bottom w:val="none" w:sz="0" w:space="0" w:color="auto"/>
            <w:right w:val="none" w:sz="0" w:space="0" w:color="auto"/>
          </w:divBdr>
        </w:div>
        <w:div w:id="1892766921">
          <w:marLeft w:val="0"/>
          <w:marRight w:val="0"/>
          <w:marTop w:val="0"/>
          <w:marBottom w:val="0"/>
          <w:divBdr>
            <w:top w:val="none" w:sz="0" w:space="0" w:color="auto"/>
            <w:left w:val="none" w:sz="0" w:space="0" w:color="auto"/>
            <w:bottom w:val="none" w:sz="0" w:space="0" w:color="auto"/>
            <w:right w:val="none" w:sz="0" w:space="0" w:color="auto"/>
          </w:divBdr>
        </w:div>
      </w:divsChild>
    </w:div>
    <w:div w:id="428090396">
      <w:bodyDiv w:val="1"/>
      <w:marLeft w:val="0"/>
      <w:marRight w:val="0"/>
      <w:marTop w:val="0"/>
      <w:marBottom w:val="0"/>
      <w:divBdr>
        <w:top w:val="none" w:sz="0" w:space="0" w:color="auto"/>
        <w:left w:val="none" w:sz="0" w:space="0" w:color="auto"/>
        <w:bottom w:val="none" w:sz="0" w:space="0" w:color="auto"/>
        <w:right w:val="none" w:sz="0" w:space="0" w:color="auto"/>
      </w:divBdr>
    </w:div>
    <w:div w:id="667754286">
      <w:bodyDiv w:val="1"/>
      <w:marLeft w:val="0"/>
      <w:marRight w:val="0"/>
      <w:marTop w:val="0"/>
      <w:marBottom w:val="0"/>
      <w:divBdr>
        <w:top w:val="none" w:sz="0" w:space="0" w:color="auto"/>
        <w:left w:val="none" w:sz="0" w:space="0" w:color="auto"/>
        <w:bottom w:val="none" w:sz="0" w:space="0" w:color="auto"/>
        <w:right w:val="none" w:sz="0" w:space="0" w:color="auto"/>
      </w:divBdr>
    </w:div>
    <w:div w:id="705956538">
      <w:bodyDiv w:val="1"/>
      <w:marLeft w:val="0"/>
      <w:marRight w:val="0"/>
      <w:marTop w:val="0"/>
      <w:marBottom w:val="0"/>
      <w:divBdr>
        <w:top w:val="none" w:sz="0" w:space="0" w:color="auto"/>
        <w:left w:val="none" w:sz="0" w:space="0" w:color="auto"/>
        <w:bottom w:val="none" w:sz="0" w:space="0" w:color="auto"/>
        <w:right w:val="none" w:sz="0" w:space="0" w:color="auto"/>
      </w:divBdr>
    </w:div>
    <w:div w:id="721944890">
      <w:bodyDiv w:val="1"/>
      <w:marLeft w:val="0"/>
      <w:marRight w:val="0"/>
      <w:marTop w:val="0"/>
      <w:marBottom w:val="0"/>
      <w:divBdr>
        <w:top w:val="none" w:sz="0" w:space="0" w:color="auto"/>
        <w:left w:val="none" w:sz="0" w:space="0" w:color="auto"/>
        <w:bottom w:val="none" w:sz="0" w:space="0" w:color="auto"/>
        <w:right w:val="none" w:sz="0" w:space="0" w:color="auto"/>
      </w:divBdr>
    </w:div>
    <w:div w:id="883634971">
      <w:bodyDiv w:val="1"/>
      <w:marLeft w:val="0"/>
      <w:marRight w:val="0"/>
      <w:marTop w:val="0"/>
      <w:marBottom w:val="0"/>
      <w:divBdr>
        <w:top w:val="none" w:sz="0" w:space="0" w:color="auto"/>
        <w:left w:val="none" w:sz="0" w:space="0" w:color="auto"/>
        <w:bottom w:val="none" w:sz="0" w:space="0" w:color="auto"/>
        <w:right w:val="none" w:sz="0" w:space="0" w:color="auto"/>
      </w:divBdr>
    </w:div>
    <w:div w:id="1057169544">
      <w:bodyDiv w:val="1"/>
      <w:marLeft w:val="0"/>
      <w:marRight w:val="0"/>
      <w:marTop w:val="0"/>
      <w:marBottom w:val="0"/>
      <w:divBdr>
        <w:top w:val="none" w:sz="0" w:space="0" w:color="auto"/>
        <w:left w:val="none" w:sz="0" w:space="0" w:color="auto"/>
        <w:bottom w:val="none" w:sz="0" w:space="0" w:color="auto"/>
        <w:right w:val="none" w:sz="0" w:space="0" w:color="auto"/>
      </w:divBdr>
    </w:div>
    <w:div w:id="1171944404">
      <w:bodyDiv w:val="1"/>
      <w:marLeft w:val="0"/>
      <w:marRight w:val="0"/>
      <w:marTop w:val="0"/>
      <w:marBottom w:val="0"/>
      <w:divBdr>
        <w:top w:val="none" w:sz="0" w:space="0" w:color="auto"/>
        <w:left w:val="none" w:sz="0" w:space="0" w:color="auto"/>
        <w:bottom w:val="none" w:sz="0" w:space="0" w:color="auto"/>
        <w:right w:val="none" w:sz="0" w:space="0" w:color="auto"/>
      </w:divBdr>
    </w:div>
    <w:div w:id="1210874342">
      <w:bodyDiv w:val="1"/>
      <w:marLeft w:val="0"/>
      <w:marRight w:val="0"/>
      <w:marTop w:val="0"/>
      <w:marBottom w:val="0"/>
      <w:divBdr>
        <w:top w:val="none" w:sz="0" w:space="0" w:color="auto"/>
        <w:left w:val="none" w:sz="0" w:space="0" w:color="auto"/>
        <w:bottom w:val="none" w:sz="0" w:space="0" w:color="auto"/>
        <w:right w:val="none" w:sz="0" w:space="0" w:color="auto"/>
      </w:divBdr>
    </w:div>
    <w:div w:id="1259369918">
      <w:bodyDiv w:val="1"/>
      <w:marLeft w:val="0"/>
      <w:marRight w:val="0"/>
      <w:marTop w:val="0"/>
      <w:marBottom w:val="0"/>
      <w:divBdr>
        <w:top w:val="none" w:sz="0" w:space="0" w:color="auto"/>
        <w:left w:val="none" w:sz="0" w:space="0" w:color="auto"/>
        <w:bottom w:val="none" w:sz="0" w:space="0" w:color="auto"/>
        <w:right w:val="none" w:sz="0" w:space="0" w:color="auto"/>
      </w:divBdr>
    </w:div>
    <w:div w:id="1267541827">
      <w:bodyDiv w:val="1"/>
      <w:marLeft w:val="0"/>
      <w:marRight w:val="0"/>
      <w:marTop w:val="0"/>
      <w:marBottom w:val="0"/>
      <w:divBdr>
        <w:top w:val="none" w:sz="0" w:space="0" w:color="auto"/>
        <w:left w:val="none" w:sz="0" w:space="0" w:color="auto"/>
        <w:bottom w:val="none" w:sz="0" w:space="0" w:color="auto"/>
        <w:right w:val="none" w:sz="0" w:space="0" w:color="auto"/>
      </w:divBdr>
    </w:div>
    <w:div w:id="1427002246">
      <w:bodyDiv w:val="1"/>
      <w:marLeft w:val="0"/>
      <w:marRight w:val="0"/>
      <w:marTop w:val="0"/>
      <w:marBottom w:val="0"/>
      <w:divBdr>
        <w:top w:val="none" w:sz="0" w:space="0" w:color="auto"/>
        <w:left w:val="none" w:sz="0" w:space="0" w:color="auto"/>
        <w:bottom w:val="none" w:sz="0" w:space="0" w:color="auto"/>
        <w:right w:val="none" w:sz="0" w:space="0" w:color="auto"/>
      </w:divBdr>
    </w:div>
    <w:div w:id="1502503751">
      <w:bodyDiv w:val="1"/>
      <w:marLeft w:val="0"/>
      <w:marRight w:val="0"/>
      <w:marTop w:val="0"/>
      <w:marBottom w:val="0"/>
      <w:divBdr>
        <w:top w:val="none" w:sz="0" w:space="0" w:color="auto"/>
        <w:left w:val="none" w:sz="0" w:space="0" w:color="auto"/>
        <w:bottom w:val="none" w:sz="0" w:space="0" w:color="auto"/>
        <w:right w:val="none" w:sz="0" w:space="0" w:color="auto"/>
      </w:divBdr>
    </w:div>
    <w:div w:id="1556047482">
      <w:bodyDiv w:val="1"/>
      <w:marLeft w:val="0"/>
      <w:marRight w:val="0"/>
      <w:marTop w:val="0"/>
      <w:marBottom w:val="0"/>
      <w:divBdr>
        <w:top w:val="none" w:sz="0" w:space="0" w:color="auto"/>
        <w:left w:val="none" w:sz="0" w:space="0" w:color="auto"/>
        <w:bottom w:val="none" w:sz="0" w:space="0" w:color="auto"/>
        <w:right w:val="none" w:sz="0" w:space="0" w:color="auto"/>
      </w:divBdr>
    </w:div>
    <w:div w:id="1607079106">
      <w:bodyDiv w:val="1"/>
      <w:marLeft w:val="0"/>
      <w:marRight w:val="0"/>
      <w:marTop w:val="0"/>
      <w:marBottom w:val="0"/>
      <w:divBdr>
        <w:top w:val="none" w:sz="0" w:space="0" w:color="auto"/>
        <w:left w:val="none" w:sz="0" w:space="0" w:color="auto"/>
        <w:bottom w:val="none" w:sz="0" w:space="0" w:color="auto"/>
        <w:right w:val="none" w:sz="0" w:space="0" w:color="auto"/>
      </w:divBdr>
    </w:div>
    <w:div w:id="1639257627">
      <w:bodyDiv w:val="1"/>
      <w:marLeft w:val="0"/>
      <w:marRight w:val="0"/>
      <w:marTop w:val="0"/>
      <w:marBottom w:val="0"/>
      <w:divBdr>
        <w:top w:val="none" w:sz="0" w:space="0" w:color="auto"/>
        <w:left w:val="none" w:sz="0" w:space="0" w:color="auto"/>
        <w:bottom w:val="none" w:sz="0" w:space="0" w:color="auto"/>
        <w:right w:val="none" w:sz="0" w:space="0" w:color="auto"/>
      </w:divBdr>
    </w:div>
    <w:div w:id="1655835801">
      <w:bodyDiv w:val="1"/>
      <w:marLeft w:val="0"/>
      <w:marRight w:val="0"/>
      <w:marTop w:val="0"/>
      <w:marBottom w:val="0"/>
      <w:divBdr>
        <w:top w:val="none" w:sz="0" w:space="0" w:color="auto"/>
        <w:left w:val="none" w:sz="0" w:space="0" w:color="auto"/>
        <w:bottom w:val="none" w:sz="0" w:space="0" w:color="auto"/>
        <w:right w:val="none" w:sz="0" w:space="0" w:color="auto"/>
      </w:divBdr>
    </w:div>
    <w:div w:id="172059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ommissioner/vision/vision-support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e.mass.edu/bese/docs/fy2023/2023-05/item7.1-educational-visio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webinar/register/WN_WLw5xmRUQY2geceFMhcfB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23/2023-05/item7.1-educational-vision.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Bagg, Alison (DESE)</DisplayName>
        <AccountId>122</AccountId>
        <AccountType/>
      </UserInfo>
      <UserInfo>
        <DisplayName>Monterroso, Jacqueline G. (DESE)</DisplayName>
        <AccountId>322</AccountId>
        <AccountType/>
      </UserInfo>
      <UserInfo>
        <DisplayName>Jeong, Esther (DESE)</DisplayName>
        <AccountId>103</AccountId>
        <AccountType/>
      </UserInfo>
      <UserInfo>
        <DisplayName>Cote, Andrea (DESE)</DisplayName>
        <AccountId>181</AccountId>
        <AccountType/>
      </UserInfo>
      <UserInfo>
        <DisplayName>Gantzer, Jacqulyn (DESE)</DisplayName>
        <AccountId>605</AccountId>
        <AccountType/>
      </UserInfo>
      <UserInfo>
        <DisplayName>Belastock, Eileen (DESE)</DisplayName>
        <AccountId>8024</AccountId>
        <AccountType/>
      </UserInfo>
      <UserInfo>
        <DisplayName>Hersh, Ruth (DESE)</DisplayName>
        <AccountId>110</AccountId>
        <AccountType/>
      </UserInfo>
      <UserInfo>
        <DisplayName>Moore, Paula B. (DESE)</DisplayName>
        <AccountId>443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D9BC-8253-43D7-8D6D-3DC6841ED39A}">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2.xml><?xml version="1.0" encoding="utf-8"?>
<ds:datastoreItem xmlns:ds="http://schemas.openxmlformats.org/officeDocument/2006/customXml" ds:itemID="{51D18FC9-1A0F-494F-ABC4-527ECE629BC2}">
  <ds:schemaRefs>
    <ds:schemaRef ds:uri="http://schemas.microsoft.com/sharepoint/v3/contenttype/forms"/>
  </ds:schemaRefs>
</ds:datastoreItem>
</file>

<file path=customXml/itemProps3.xml><?xml version="1.0" encoding="utf-8"?>
<ds:datastoreItem xmlns:ds="http://schemas.openxmlformats.org/officeDocument/2006/customXml" ds:itemID="{87CFE147-5A3D-4143-82AE-3328ED5F8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7AFB3-18EE-4092-9FAE-FB2736E636A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4</Pages>
  <Words>1079</Words>
  <Characters>6972</Characters>
  <Application>Microsoft Office Word</Application>
  <DocSecurity>0</DocSecurity>
  <Lines>348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2025 Digital Learning Advisory Council Meeting Agenda</dc:title>
  <dc:subject/>
  <dc:creator>DESE</dc:creator>
  <cp:keywords/>
  <cp:lastModifiedBy>Zou, Dong (EOE)</cp:lastModifiedBy>
  <cp:revision>4</cp:revision>
  <dcterms:created xsi:type="dcterms:W3CDTF">2025-05-02T15:38:00Z</dcterms:created>
  <dcterms:modified xsi:type="dcterms:W3CDTF">2025-05-02T19:59:00Z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 2025 12:00AM</vt:lpwstr>
  </property>
</Properties>
</file>