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52637" w14:textId="1DCA90E1" w:rsidR="00E2162E" w:rsidRPr="00434720" w:rsidRDefault="00E2162E" w:rsidP="00434720">
      <w:pPr>
        <w:pStyle w:val="Heading1"/>
      </w:pPr>
      <w:r w:rsidRPr="00434720">
        <w:t>202</w:t>
      </w:r>
      <w:r w:rsidR="00636E0F" w:rsidRPr="00434720">
        <w:t>5</w:t>
      </w:r>
      <w:r w:rsidRPr="00434720">
        <w:t>-2</w:t>
      </w:r>
      <w:r w:rsidR="00636E0F" w:rsidRPr="00434720">
        <w:t>6</w:t>
      </w:r>
      <w:r w:rsidRPr="00434720">
        <w:t xml:space="preserve"> Educational Personnel Advisory Council</w:t>
      </w:r>
    </w:p>
    <w:p w14:paraId="2867ED77" w14:textId="642D1842" w:rsidR="00E2162E" w:rsidRPr="00E2162E" w:rsidRDefault="00636E0F" w:rsidP="00E2162E">
      <w:pPr>
        <w:jc w:val="center"/>
      </w:pPr>
      <w:r>
        <w:t>January 8, 2026</w:t>
      </w:r>
      <w:r w:rsidR="00E2162E" w:rsidRPr="00E2162E">
        <w:t>:  3:</w:t>
      </w:r>
      <w:r>
        <w:t>0</w:t>
      </w:r>
      <w:r w:rsidR="00E2162E" w:rsidRPr="00E2162E">
        <w:t>0p – 5:00p</w:t>
      </w:r>
    </w:p>
    <w:p w14:paraId="360DADC5" w14:textId="5CAF815D" w:rsidR="00E2162E" w:rsidRDefault="00636E0F" w:rsidP="00E2162E">
      <w:pPr>
        <w:jc w:val="center"/>
      </w:pPr>
      <w:r>
        <w:t>Virtual</w:t>
      </w:r>
      <w:r w:rsidR="00836CA0">
        <w:t xml:space="preserve"> Meeting: </w:t>
      </w:r>
      <w:hyperlink r:id="rId8" w:tgtFrame="_blank" w:history="1">
        <w:r w:rsidR="00E2162E" w:rsidRPr="00E2162E">
          <w:rPr>
            <w:rStyle w:val="Hyperlink"/>
          </w:rPr>
          <w:t>Zoom Link</w:t>
        </w:r>
      </w:hyperlink>
      <w:r w:rsidR="00E2162E" w:rsidRPr="00E2162E">
        <w:t> and Meeting ID: 379 917 7895</w:t>
      </w:r>
      <w:r w:rsidR="00D621B8">
        <w:t xml:space="preserve"> </w:t>
      </w:r>
    </w:p>
    <w:p w14:paraId="7F025754" w14:textId="77777777" w:rsidR="00836CA0" w:rsidRDefault="00836CA0" w:rsidP="00E2162E"/>
    <w:p w14:paraId="603EBD62" w14:textId="4000EFF5" w:rsidR="00E2162E" w:rsidRPr="00E2162E" w:rsidRDefault="00E2162E" w:rsidP="00E2162E">
      <w:r w:rsidRPr="00E2162E">
        <w:t xml:space="preserve">The </w:t>
      </w:r>
      <w:hyperlink r:id="rId9" w:tgtFrame="_blank" w:history="1">
        <w:r w:rsidRPr="00E2162E">
          <w:rPr>
            <w:rStyle w:val="Hyperlink"/>
          </w:rPr>
          <w:t>Educator Personnel Advisory Committee</w:t>
        </w:r>
      </w:hyperlink>
      <w:r w:rsidRPr="00E2162E">
        <w:t xml:space="preserve"> (EPAC) is charged with advising the Commissioner of Elementary and Secondary Education on policy and programming pertaining to the educator workforce. </w:t>
      </w:r>
    </w:p>
    <w:p w14:paraId="71CC98DF" w14:textId="662190DA" w:rsidR="00E2162E" w:rsidRPr="00434720" w:rsidRDefault="00E2162E" w:rsidP="00434720">
      <w:pPr>
        <w:pStyle w:val="Heading2"/>
      </w:pPr>
      <w:r w:rsidRPr="00434720">
        <w:t> Agenda:</w:t>
      </w:r>
    </w:p>
    <w:p w14:paraId="274F85CB" w14:textId="6DF97E34" w:rsidR="00E2162E" w:rsidRDefault="00E2162E" w:rsidP="00E2162E">
      <w:pPr>
        <w:pStyle w:val="ListParagraph"/>
        <w:numPr>
          <w:ilvl w:val="0"/>
          <w:numId w:val="2"/>
        </w:numPr>
      </w:pPr>
      <w:r>
        <w:t>Welcome</w:t>
      </w:r>
      <w:r w:rsidR="00AE34D1">
        <w:t xml:space="preserve"> &amp; Introductions</w:t>
      </w:r>
    </w:p>
    <w:p w14:paraId="55A371A6" w14:textId="77777777" w:rsidR="00AE34D1" w:rsidRDefault="00AE34D1" w:rsidP="00AE34D1">
      <w:pPr>
        <w:pStyle w:val="ListParagraph"/>
      </w:pPr>
    </w:p>
    <w:p w14:paraId="113D5EFD" w14:textId="45C94687" w:rsidR="00AE34D1" w:rsidRDefault="00AE34D1" w:rsidP="00E2162E">
      <w:pPr>
        <w:pStyle w:val="ListParagraph"/>
        <w:numPr>
          <w:ilvl w:val="0"/>
          <w:numId w:val="2"/>
        </w:numPr>
      </w:pPr>
      <w:r>
        <w:t>Overview about EPAC</w:t>
      </w:r>
    </w:p>
    <w:p w14:paraId="6250D4C5" w14:textId="77777777" w:rsidR="00944BE3" w:rsidRDefault="00944BE3" w:rsidP="00944BE3">
      <w:pPr>
        <w:pStyle w:val="ListParagraph"/>
      </w:pPr>
    </w:p>
    <w:p w14:paraId="0996DAD9" w14:textId="50AB4383" w:rsidR="00E2162E" w:rsidRDefault="00B47F56" w:rsidP="00E2162E">
      <w:pPr>
        <w:pStyle w:val="ListParagraph"/>
        <w:numPr>
          <w:ilvl w:val="0"/>
          <w:numId w:val="2"/>
        </w:numPr>
      </w:pPr>
      <w:r>
        <w:t xml:space="preserve">Discussion: </w:t>
      </w:r>
      <w:r w:rsidR="00E2162E">
        <w:t>Alternative Licensure Pathways</w:t>
      </w:r>
      <w:r w:rsidR="003C1839">
        <w:t xml:space="preserve"> </w:t>
      </w:r>
    </w:p>
    <w:p w14:paraId="4DEB9A93" w14:textId="575902BA" w:rsidR="00944BE3" w:rsidRDefault="00E2162E" w:rsidP="004D3677">
      <w:pPr>
        <w:pStyle w:val="ListParagraph"/>
        <w:numPr>
          <w:ilvl w:val="1"/>
          <w:numId w:val="2"/>
        </w:numPr>
      </w:pPr>
      <w:r w:rsidRPr="00E2162E">
        <w:t xml:space="preserve">The </w:t>
      </w:r>
      <w:hyperlink r:id="rId10" w:tgtFrame="_blank" w:history="1">
        <w:r w:rsidRPr="00E2162E">
          <w:rPr>
            <w:rStyle w:val="Hyperlink"/>
          </w:rPr>
          <w:t>Mass Leads Act</w:t>
        </w:r>
      </w:hyperlink>
      <w:r w:rsidRPr="00E2162E">
        <w:t xml:space="preserve"> that passed in November of 2024 included new language related to diversifying the educator workforce and authorize</w:t>
      </w:r>
      <w:r w:rsidR="00BF18D4">
        <w:t>d</w:t>
      </w:r>
      <w:r w:rsidRPr="00E2162E">
        <w:t xml:space="preserve"> DESE to create alternative licensure pathways that may waive </w:t>
      </w:r>
      <w:r w:rsidRPr="00BF18D4">
        <w:rPr>
          <w:b/>
          <w:bCs/>
        </w:rPr>
        <w:t>one</w:t>
      </w:r>
      <w:r w:rsidRPr="00E2162E">
        <w:t> MTEL requirement per individual educator seeking licensure. With the flexibility of the L</w:t>
      </w:r>
      <w:r w:rsidR="00A14DDD">
        <w:t>eads</w:t>
      </w:r>
      <w:r w:rsidRPr="00E2162E">
        <w:t xml:space="preserve"> Act, DESE </w:t>
      </w:r>
      <w:r w:rsidR="00335E6E">
        <w:t xml:space="preserve">proposed </w:t>
      </w:r>
      <w:r w:rsidR="00C101EF">
        <w:t>amended regulations</w:t>
      </w:r>
      <w:r w:rsidR="00072C3C">
        <w:t xml:space="preserve"> </w:t>
      </w:r>
      <w:r w:rsidR="00BF18D4">
        <w:t xml:space="preserve">and received approval </w:t>
      </w:r>
      <w:r w:rsidR="0064719E">
        <w:t>from the Board of Elementary and Secondary Education to solicit public comment</w:t>
      </w:r>
      <w:r w:rsidR="00335E6E">
        <w:t xml:space="preserve">, see the link </w:t>
      </w:r>
      <w:hyperlink r:id="rId11" w:history="1">
        <w:r w:rsidR="008D0A30" w:rsidRPr="008D0A30">
          <w:rPr>
            <w:rStyle w:val="Hyperlink"/>
          </w:rPr>
          <w:t>here</w:t>
        </w:r>
      </w:hyperlink>
      <w:r w:rsidR="008D0A30">
        <w:t xml:space="preserve"> </w:t>
      </w:r>
      <w:r w:rsidR="000D4602">
        <w:t>for information about</w:t>
      </w:r>
      <w:r w:rsidR="00335E6E">
        <w:t xml:space="preserve"> the proposed changes</w:t>
      </w:r>
      <w:r w:rsidR="008D0A30">
        <w:t>.</w:t>
      </w:r>
    </w:p>
    <w:p w14:paraId="1F15678E" w14:textId="120348A6" w:rsidR="00D4162F" w:rsidRDefault="00D4162F" w:rsidP="00D4162F">
      <w:pPr>
        <w:pStyle w:val="ListParagraph"/>
      </w:pPr>
    </w:p>
    <w:p w14:paraId="271C4121" w14:textId="36A6583D" w:rsidR="00B47F56" w:rsidRDefault="00B47F56" w:rsidP="00E2162E">
      <w:pPr>
        <w:pStyle w:val="ListParagraph"/>
        <w:numPr>
          <w:ilvl w:val="0"/>
          <w:numId w:val="2"/>
        </w:numPr>
      </w:pPr>
      <w:r>
        <w:t xml:space="preserve">Discussion: </w:t>
      </w:r>
      <w:r w:rsidR="00D4162F">
        <w:t>DESE Strategic</w:t>
      </w:r>
      <w:r>
        <w:t xml:space="preserve"> Pri</w:t>
      </w:r>
      <w:r w:rsidR="00D4162F">
        <w:t>ority:</w:t>
      </w:r>
      <w:r w:rsidR="00C20273">
        <w:t xml:space="preserve"> </w:t>
      </w:r>
      <w:r w:rsidR="00D4162F">
        <w:t>Teach Tomorrow</w:t>
      </w:r>
      <w:r w:rsidR="00C20273">
        <w:t xml:space="preserve"> - Building a robust teacher pipeline </w:t>
      </w:r>
    </w:p>
    <w:p w14:paraId="277CD2B7" w14:textId="77777777" w:rsidR="00944BE3" w:rsidRDefault="00944BE3" w:rsidP="00944BE3">
      <w:pPr>
        <w:pStyle w:val="ListParagraph"/>
      </w:pPr>
    </w:p>
    <w:p w14:paraId="3CE7C62E" w14:textId="20071DEA" w:rsidR="00E2162E" w:rsidRPr="00E2162E" w:rsidRDefault="00E2162E" w:rsidP="00E2162E">
      <w:pPr>
        <w:pStyle w:val="ListParagraph"/>
        <w:numPr>
          <w:ilvl w:val="0"/>
          <w:numId w:val="2"/>
        </w:numPr>
      </w:pPr>
      <w:r w:rsidRPr="00E2162E">
        <w:t>DESE Update</w:t>
      </w:r>
      <w:r w:rsidR="00A02540">
        <w:t>s</w:t>
      </w:r>
      <w:r w:rsidRPr="00E2162E">
        <w:t xml:space="preserve"> &amp; Closing </w:t>
      </w:r>
    </w:p>
    <w:p w14:paraId="1CDFFEFC" w14:textId="77777777" w:rsidR="00EB34D0" w:rsidRDefault="00EB34D0"/>
    <w:sectPr w:rsidR="00EB3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553FB"/>
    <w:multiLevelType w:val="hybridMultilevel"/>
    <w:tmpl w:val="0D5CC254"/>
    <w:lvl w:ilvl="0" w:tplc="60CA86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05EF1"/>
    <w:multiLevelType w:val="multilevel"/>
    <w:tmpl w:val="1E98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66F6B21"/>
    <w:multiLevelType w:val="multilevel"/>
    <w:tmpl w:val="1FD69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53082123">
    <w:abstractNumId w:val="2"/>
  </w:num>
  <w:num w:numId="2" w16cid:durableId="19086731">
    <w:abstractNumId w:val="0"/>
  </w:num>
  <w:num w:numId="3" w16cid:durableId="177738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62E"/>
    <w:rsid w:val="00072C3C"/>
    <w:rsid w:val="000D4602"/>
    <w:rsid w:val="001B75DD"/>
    <w:rsid w:val="001D7C4B"/>
    <w:rsid w:val="001F3F86"/>
    <w:rsid w:val="002904BD"/>
    <w:rsid w:val="002A50B8"/>
    <w:rsid w:val="00322192"/>
    <w:rsid w:val="00335E6E"/>
    <w:rsid w:val="003C1839"/>
    <w:rsid w:val="003F3766"/>
    <w:rsid w:val="00434720"/>
    <w:rsid w:val="00634231"/>
    <w:rsid w:val="00636E0F"/>
    <w:rsid w:val="00641CD8"/>
    <w:rsid w:val="0064719E"/>
    <w:rsid w:val="00751429"/>
    <w:rsid w:val="007A342B"/>
    <w:rsid w:val="007B541A"/>
    <w:rsid w:val="00800778"/>
    <w:rsid w:val="00836CA0"/>
    <w:rsid w:val="00870A6B"/>
    <w:rsid w:val="008D0A30"/>
    <w:rsid w:val="008F7A55"/>
    <w:rsid w:val="00944BE3"/>
    <w:rsid w:val="00A02540"/>
    <w:rsid w:val="00A14DDD"/>
    <w:rsid w:val="00AE34D1"/>
    <w:rsid w:val="00B21984"/>
    <w:rsid w:val="00B47F56"/>
    <w:rsid w:val="00BD1D9D"/>
    <w:rsid w:val="00BF18D4"/>
    <w:rsid w:val="00C101EF"/>
    <w:rsid w:val="00C20273"/>
    <w:rsid w:val="00C226D5"/>
    <w:rsid w:val="00C66F31"/>
    <w:rsid w:val="00D4162F"/>
    <w:rsid w:val="00D621B8"/>
    <w:rsid w:val="00DA62FA"/>
    <w:rsid w:val="00E2162E"/>
    <w:rsid w:val="00E37CB2"/>
    <w:rsid w:val="00E7542A"/>
    <w:rsid w:val="00EB34D0"/>
    <w:rsid w:val="00F6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13520"/>
  <w15:chartTrackingRefBased/>
  <w15:docId w15:val="{A8BD2921-B57D-4127-8533-88420675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720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4720"/>
    <w:pPr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6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6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72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434720"/>
    <w:rPr>
      <w:b/>
      <w:bCs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6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6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6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6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6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6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6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6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6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6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6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6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62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16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162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51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51429"/>
  </w:style>
  <w:style w:type="character" w:customStyle="1" w:styleId="eop">
    <w:name w:val="eop"/>
    <w:basedOn w:val="DefaultParagraphFont"/>
    <w:rsid w:val="00751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7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374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95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8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5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0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81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8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89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4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3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2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44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4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46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7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9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9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2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8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6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89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6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00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3799177895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oe.mass.edu/bese/docs/fy2026/2025-11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mass.gov/economic-development-bil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doe.mass.edu/bese/councils/epa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B69D44-279F-4095-B370-3A1EA9763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81B23A-7A80-4B0C-A06E-CE3C4F9B03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3C3C09-0DFF-46E1-A26F-EADAB5DEB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3-20-25 EPAC Agenda</vt:lpstr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8, 2026 EPAC Agenda</dc:title>
  <dc:subject/>
  <dc:creator>DESE</dc:creator>
  <cp:keywords/>
  <dc:description/>
  <cp:lastModifiedBy>Zou, Dong (EOE)</cp:lastModifiedBy>
  <cp:revision>4</cp:revision>
  <dcterms:created xsi:type="dcterms:W3CDTF">2025-12-24T18:00:00Z</dcterms:created>
  <dcterms:modified xsi:type="dcterms:W3CDTF">2025-12-24T23:12:00Z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Dec 24 2025 12:00AM</vt:lpwstr>
  </property>
</Properties>
</file>