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A0C6" w14:textId="77777777"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16DA205" wp14:editId="69B4D997">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616DA0C7" w14:textId="77777777" w:rsidR="00A20194" w:rsidRDefault="00C974A6">
      <w:pPr>
        <w:outlineLvl w:val="0"/>
        <w:rPr>
          <w:rFonts w:ascii="Arial" w:hAnsi="Arial"/>
          <w:b/>
          <w:i/>
          <w:sz w:val="50"/>
        </w:rPr>
      </w:pPr>
      <w:r>
        <w:rPr>
          <w:rFonts w:ascii="Arial" w:hAnsi="Arial"/>
          <w:b/>
          <w:i/>
          <w:sz w:val="40"/>
        </w:rPr>
        <w:t>Elementary and Secondary Education</w:t>
      </w:r>
    </w:p>
    <w:p w14:paraId="616DA0C8" w14:textId="74D5A00C" w:rsidR="00A20194" w:rsidRDefault="00626A5C">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16DA207" wp14:editId="5A4A2686">
                <wp:simplePos x="0" y="0"/>
                <wp:positionH relativeFrom="column">
                  <wp:posOffset>824865</wp:posOffset>
                </wp:positionH>
                <wp:positionV relativeFrom="paragraph">
                  <wp:posOffset>64135</wp:posOffset>
                </wp:positionV>
                <wp:extent cx="5066030" cy="0"/>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4D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5.05pt" to="46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" o:allowincell="f" strokeweight="1pt"/>
            </w:pict>
          </mc:Fallback>
        </mc:AlternateContent>
      </w:r>
    </w:p>
    <w:p w14:paraId="616DA0C9"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616DA0CA"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616DA0CB" w14:textId="77777777" w:rsidR="00A20194" w:rsidRPr="00C974A6" w:rsidRDefault="00A20194">
      <w:pPr>
        <w:ind w:left="720"/>
        <w:rPr>
          <w:rFonts w:ascii="Arial" w:hAnsi="Arial"/>
          <w:i/>
          <w:sz w:val="16"/>
          <w:szCs w:val="16"/>
        </w:rPr>
      </w:pPr>
    </w:p>
    <w:p w14:paraId="616DA0CC"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616DA0CD"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974A6" w:rsidRPr="009C084A" w14:paraId="616DA0D1" w14:textId="77777777" w:rsidTr="009C084A">
        <w:tc>
          <w:tcPr>
            <w:tcW w:w="2988" w:type="dxa"/>
          </w:tcPr>
          <w:p w14:paraId="616DA0CE"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616DA0CF"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616DA0D0" w14:textId="77777777" w:rsidR="00C974A6" w:rsidRPr="009C084A" w:rsidRDefault="00C974A6" w:rsidP="009C084A">
            <w:pPr>
              <w:jc w:val="center"/>
              <w:rPr>
                <w:rFonts w:ascii="Arial" w:hAnsi="Arial"/>
                <w:i/>
                <w:sz w:val="16"/>
                <w:szCs w:val="16"/>
              </w:rPr>
            </w:pPr>
          </w:p>
        </w:tc>
      </w:tr>
    </w:tbl>
    <w:p w14:paraId="616DA0D2" w14:textId="77777777" w:rsidR="00A20194" w:rsidRDefault="00A20194">
      <w:pPr>
        <w:rPr>
          <w:rFonts w:ascii="Arial" w:hAnsi="Arial"/>
          <w:i/>
          <w:sz w:val="18"/>
        </w:rPr>
      </w:pPr>
    </w:p>
    <w:p w14:paraId="616DA0D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16DA0D4" w14:textId="77777777" w:rsidR="00711B22" w:rsidRDefault="006407CE">
      <w:pPr>
        <w:pStyle w:val="Heading1"/>
        <w:widowControl/>
        <w:tabs>
          <w:tab w:val="clear" w:pos="4680"/>
        </w:tabs>
      </w:pPr>
      <w:r>
        <w:t>MEMORANDUM</w:t>
      </w:r>
    </w:p>
    <w:p w14:paraId="616DA0D5" w14:textId="77777777" w:rsidR="006407CE" w:rsidRDefault="006407CE" w:rsidP="00C56D08">
      <w:pPr>
        <w:widowControl/>
        <w:rPr>
          <w:b/>
        </w:rPr>
      </w:pPr>
    </w:p>
    <w:tbl>
      <w:tblPr>
        <w:tblW w:w="0" w:type="auto"/>
        <w:tblLook w:val="01E0" w:firstRow="1" w:lastRow="1" w:firstColumn="1" w:lastColumn="1" w:noHBand="0" w:noVBand="0"/>
      </w:tblPr>
      <w:tblGrid>
        <w:gridCol w:w="1184"/>
        <w:gridCol w:w="8176"/>
      </w:tblGrid>
      <w:tr w:rsidR="006407CE" w:rsidRPr="00CE1FCB" w14:paraId="616DA0D8" w14:textId="77777777" w:rsidTr="009917DD">
        <w:tc>
          <w:tcPr>
            <w:tcW w:w="1188" w:type="dxa"/>
          </w:tcPr>
          <w:p w14:paraId="616DA0D6" w14:textId="77777777" w:rsidR="00711B22" w:rsidRDefault="006407CE">
            <w:pPr>
              <w:widowControl/>
              <w:rPr>
                <w:b/>
              </w:rPr>
            </w:pPr>
            <w:r w:rsidRPr="00CE1FCB">
              <w:rPr>
                <w:b/>
              </w:rPr>
              <w:t>To:</w:t>
            </w:r>
          </w:p>
        </w:tc>
        <w:tc>
          <w:tcPr>
            <w:tcW w:w="8388" w:type="dxa"/>
          </w:tcPr>
          <w:p w14:paraId="616DA0D7" w14:textId="77777777" w:rsidR="00711B22" w:rsidRDefault="006407CE">
            <w:pPr>
              <w:widowControl/>
              <w:rPr>
                <w:b/>
              </w:rPr>
            </w:pPr>
            <w:r>
              <w:t>Members of the Board of Elementary and Secondary Education</w:t>
            </w:r>
          </w:p>
        </w:tc>
      </w:tr>
      <w:tr w:rsidR="006407CE" w:rsidRPr="00CE1FCB" w14:paraId="616DA0DB" w14:textId="77777777" w:rsidTr="009917DD">
        <w:tc>
          <w:tcPr>
            <w:tcW w:w="1188" w:type="dxa"/>
          </w:tcPr>
          <w:p w14:paraId="616DA0D9" w14:textId="77777777" w:rsidR="00711B22" w:rsidRDefault="006407CE">
            <w:pPr>
              <w:widowControl/>
              <w:rPr>
                <w:b/>
              </w:rPr>
            </w:pPr>
            <w:r w:rsidRPr="00CE1FCB">
              <w:rPr>
                <w:b/>
              </w:rPr>
              <w:t>From:</w:t>
            </w:r>
            <w:r>
              <w:tab/>
            </w:r>
          </w:p>
        </w:tc>
        <w:tc>
          <w:tcPr>
            <w:tcW w:w="8388" w:type="dxa"/>
          </w:tcPr>
          <w:p w14:paraId="616DA0DA" w14:textId="77777777" w:rsidR="00711B22" w:rsidRDefault="006407CE">
            <w:pPr>
              <w:widowControl/>
              <w:rPr>
                <w:b/>
              </w:rPr>
            </w:pPr>
            <w:r>
              <w:t>Mitchell D. Chester, Ed.D., Commissioner</w:t>
            </w:r>
          </w:p>
        </w:tc>
      </w:tr>
      <w:tr w:rsidR="006407CE" w:rsidRPr="00CE1FCB" w14:paraId="616DA0DE" w14:textId="77777777" w:rsidTr="009917DD">
        <w:tc>
          <w:tcPr>
            <w:tcW w:w="1188" w:type="dxa"/>
          </w:tcPr>
          <w:p w14:paraId="616DA0DC" w14:textId="77777777" w:rsidR="00711B22" w:rsidRDefault="006407CE">
            <w:pPr>
              <w:widowControl/>
              <w:rPr>
                <w:b/>
              </w:rPr>
            </w:pPr>
            <w:r w:rsidRPr="00CE1FCB">
              <w:rPr>
                <w:b/>
              </w:rPr>
              <w:t>Date:</w:t>
            </w:r>
            <w:r>
              <w:tab/>
            </w:r>
          </w:p>
        </w:tc>
        <w:tc>
          <w:tcPr>
            <w:tcW w:w="8388" w:type="dxa"/>
          </w:tcPr>
          <w:p w14:paraId="616DA0DD" w14:textId="77777777" w:rsidR="00711B22" w:rsidRDefault="00DE2B6C">
            <w:pPr>
              <w:widowControl/>
            </w:pPr>
            <w:r>
              <w:t>January 13, 2017</w:t>
            </w:r>
          </w:p>
        </w:tc>
      </w:tr>
      <w:tr w:rsidR="006407CE" w:rsidRPr="00CE1FCB" w14:paraId="616DA0E1" w14:textId="77777777" w:rsidTr="009917DD">
        <w:tc>
          <w:tcPr>
            <w:tcW w:w="1188" w:type="dxa"/>
          </w:tcPr>
          <w:p w14:paraId="616DA0DF" w14:textId="77777777" w:rsidR="00711B22" w:rsidRDefault="006407CE">
            <w:pPr>
              <w:widowControl/>
              <w:rPr>
                <w:b/>
              </w:rPr>
            </w:pPr>
            <w:r w:rsidRPr="00CE1FCB">
              <w:rPr>
                <w:b/>
              </w:rPr>
              <w:t>Subject:</w:t>
            </w:r>
          </w:p>
        </w:tc>
        <w:tc>
          <w:tcPr>
            <w:tcW w:w="8388" w:type="dxa"/>
          </w:tcPr>
          <w:p w14:paraId="616DA0E0" w14:textId="77777777" w:rsidR="006407CE" w:rsidRPr="00CE1FCB" w:rsidRDefault="009575F9" w:rsidP="006221BE">
            <w:pPr>
              <w:widowControl/>
              <w:rPr>
                <w:b/>
              </w:rPr>
            </w:pPr>
            <w:r>
              <w:t xml:space="preserve">Charter Schools – </w:t>
            </w:r>
            <w:r w:rsidR="006221BE">
              <w:t>Extension of</w:t>
            </w:r>
            <w:r>
              <w:t xml:space="preserve"> Probation for Boston Green Academy Horace Mann Charter School</w:t>
            </w:r>
          </w:p>
        </w:tc>
      </w:tr>
    </w:tbl>
    <w:p w14:paraId="616DA0E2" w14:textId="77777777" w:rsidR="00711B22" w:rsidRDefault="00711B22">
      <w:pPr>
        <w:widowControl/>
        <w:pBdr>
          <w:bottom w:val="single" w:sz="12" w:space="1" w:color="auto"/>
        </w:pBdr>
      </w:pPr>
      <w:bookmarkStart w:id="0" w:name="TO"/>
      <w:bookmarkStart w:id="1" w:name="FROM"/>
      <w:bookmarkStart w:id="2" w:name="DATE"/>
      <w:bookmarkStart w:id="3" w:name="RE"/>
      <w:bookmarkEnd w:id="0"/>
      <w:bookmarkEnd w:id="1"/>
      <w:bookmarkEnd w:id="2"/>
      <w:bookmarkEnd w:id="3"/>
    </w:p>
    <w:p w14:paraId="616DA0E3" w14:textId="77777777" w:rsidR="00711B22" w:rsidRDefault="00711B22">
      <w:pPr>
        <w:widowControl/>
      </w:pPr>
    </w:p>
    <w:p w14:paraId="616DA0E4" w14:textId="77777777" w:rsidR="00077DD3" w:rsidRDefault="009575F9" w:rsidP="00E31061">
      <w:pPr>
        <w:widowControl/>
        <w:tabs>
          <w:tab w:val="left" w:pos="-1440"/>
        </w:tabs>
        <w:rPr>
          <w:szCs w:val="24"/>
        </w:rPr>
      </w:pPr>
      <w:r>
        <w:rPr>
          <w:szCs w:val="24"/>
        </w:rPr>
        <w:t xml:space="preserve">In October 2014, the Board of Elementary and Secondary Education (Board) placed Boston Green Academy Horace Mann Charter School (BGA) on probation and imposed eight conditions related to compliance, finance, governance, and academics. At its meeting on February 23, 2016, the Board voted to renew the charter of BGA and to extend probation with four conditions related to governance and academic achievement. This memorandum provides a report on the progress of BGA in meeting these conditions. </w:t>
      </w:r>
    </w:p>
    <w:p w14:paraId="616DA0E5" w14:textId="77777777" w:rsidR="00077DD3" w:rsidRDefault="00077DD3" w:rsidP="00E31061">
      <w:pPr>
        <w:widowControl/>
        <w:rPr>
          <w:szCs w:val="24"/>
        </w:rPr>
      </w:pPr>
    </w:p>
    <w:p w14:paraId="616DA0E6" w14:textId="77777777" w:rsidR="00077DD3" w:rsidRDefault="0078495F" w:rsidP="00E31061">
      <w:pPr>
        <w:widowControl/>
        <w:rPr>
          <w:szCs w:val="24"/>
        </w:rPr>
      </w:pPr>
      <w:r>
        <w:rPr>
          <w:szCs w:val="24"/>
        </w:rPr>
        <w:t xml:space="preserve">BGA has met two of the four conditions imposed; </w:t>
      </w:r>
      <w:r w:rsidR="00601185">
        <w:rPr>
          <w:szCs w:val="24"/>
        </w:rPr>
        <w:t>the school has partially</w:t>
      </w:r>
      <w:r w:rsidR="009934FA">
        <w:rPr>
          <w:szCs w:val="24"/>
        </w:rPr>
        <w:t xml:space="preserve"> met the third condition to demonstrate significant and sustained academic improvement; </w:t>
      </w:r>
      <w:r w:rsidR="008B0DEF">
        <w:rPr>
          <w:szCs w:val="24"/>
        </w:rPr>
        <w:t>the</w:t>
      </w:r>
      <w:r w:rsidR="008B0DEF" w:rsidRPr="0010469D">
        <w:rPr>
          <w:szCs w:val="24"/>
        </w:rPr>
        <w:t xml:space="preserve"> deadline for the fourth condition is December 31, 2017.</w:t>
      </w:r>
      <w:r w:rsidR="008B0DEF">
        <w:rPr>
          <w:szCs w:val="24"/>
        </w:rPr>
        <w:t xml:space="preserve"> </w:t>
      </w:r>
      <w:r w:rsidR="009934FA">
        <w:rPr>
          <w:szCs w:val="24"/>
        </w:rPr>
        <w:t xml:space="preserve">I am recommending </w:t>
      </w:r>
      <w:r w:rsidR="000675C3">
        <w:rPr>
          <w:szCs w:val="24"/>
        </w:rPr>
        <w:t>that the Board extend probation and impose a new set of conditions on the school’s charter</w:t>
      </w:r>
      <w:r w:rsidR="009934FA">
        <w:rPr>
          <w:szCs w:val="24"/>
        </w:rPr>
        <w:t xml:space="preserve">. The rationale for my recommendation </w:t>
      </w:r>
      <w:r w:rsidR="00052F6F">
        <w:rPr>
          <w:szCs w:val="24"/>
        </w:rPr>
        <w:t>follows</w:t>
      </w:r>
      <w:r w:rsidR="009934FA">
        <w:rPr>
          <w:szCs w:val="24"/>
        </w:rPr>
        <w:t xml:space="preserve">. </w:t>
      </w:r>
    </w:p>
    <w:p w14:paraId="616DA0E7" w14:textId="77777777" w:rsidR="00077DD3" w:rsidRDefault="00077DD3" w:rsidP="00E31061">
      <w:pPr>
        <w:pStyle w:val="Default"/>
        <w:rPr>
          <w:b/>
          <w:bCs/>
        </w:rPr>
      </w:pPr>
    </w:p>
    <w:tbl>
      <w:tblPr>
        <w:tblStyle w:val="TableGrid"/>
        <w:tblW w:w="0" w:type="auto"/>
        <w:jc w:val="center"/>
        <w:tblLook w:val="04A0" w:firstRow="1" w:lastRow="0" w:firstColumn="1" w:lastColumn="0" w:noHBand="0" w:noVBand="1"/>
      </w:tblPr>
      <w:tblGrid>
        <w:gridCol w:w="2344"/>
        <w:gridCol w:w="2334"/>
        <w:gridCol w:w="2343"/>
        <w:gridCol w:w="2329"/>
      </w:tblGrid>
      <w:tr w:rsidR="008B0DEF" w:rsidRPr="008B0DEF" w14:paraId="616DA0E9" w14:textId="77777777" w:rsidTr="008B0DEF">
        <w:trPr>
          <w:jc w:val="center"/>
        </w:trPr>
        <w:tc>
          <w:tcPr>
            <w:tcW w:w="9576" w:type="dxa"/>
            <w:gridSpan w:val="4"/>
            <w:shd w:val="clear" w:color="auto" w:fill="BFBFBF" w:themeFill="background1" w:themeFillShade="BF"/>
          </w:tcPr>
          <w:p w14:paraId="616DA0E8" w14:textId="77777777" w:rsidR="001D55D4" w:rsidRDefault="008B0DEF">
            <w:pPr>
              <w:pStyle w:val="Table"/>
              <w:rPr>
                <w:rFonts w:ascii="Times New Roman" w:hAnsi="Times New Roman" w:cs="Times New Roman"/>
                <w:b/>
                <w:sz w:val="22"/>
                <w:szCs w:val="22"/>
              </w:rPr>
            </w:pPr>
            <w:r w:rsidRPr="008B0DEF">
              <w:rPr>
                <w:rFonts w:ascii="Times New Roman" w:hAnsi="Times New Roman" w:cs="Times New Roman"/>
                <w:b/>
                <w:sz w:val="22"/>
                <w:szCs w:val="22"/>
              </w:rPr>
              <w:t xml:space="preserve">Boston Green Academy Horace Mann Charter School </w:t>
            </w:r>
          </w:p>
        </w:tc>
      </w:tr>
      <w:tr w:rsidR="008B0DEF" w:rsidRPr="008B0DEF" w14:paraId="616DA0EE" w14:textId="77777777" w:rsidTr="008B0DEF">
        <w:trPr>
          <w:jc w:val="center"/>
        </w:trPr>
        <w:tc>
          <w:tcPr>
            <w:tcW w:w="2394" w:type="dxa"/>
            <w:shd w:val="clear" w:color="auto" w:fill="F2F2F2" w:themeFill="background1" w:themeFillShade="F2"/>
          </w:tcPr>
          <w:p w14:paraId="616DA0EA"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Type of Charter</w:t>
            </w:r>
          </w:p>
        </w:tc>
        <w:tc>
          <w:tcPr>
            <w:tcW w:w="2394" w:type="dxa"/>
          </w:tcPr>
          <w:p w14:paraId="616DA0EB"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Horace Mann III</w:t>
            </w:r>
          </w:p>
        </w:tc>
        <w:tc>
          <w:tcPr>
            <w:tcW w:w="2394" w:type="dxa"/>
            <w:shd w:val="clear" w:color="auto" w:fill="F2F2F2" w:themeFill="background1" w:themeFillShade="F2"/>
          </w:tcPr>
          <w:p w14:paraId="616DA0EC" w14:textId="77777777" w:rsidR="001D55D4" w:rsidRDefault="008B0DEF">
            <w:pPr>
              <w:pStyle w:val="Table"/>
              <w:rPr>
                <w:rFonts w:ascii="Times New Roman" w:hAnsi="Times New Roman" w:cs="Times New Roman"/>
                <w:b/>
              </w:rPr>
            </w:pPr>
            <w:r w:rsidRPr="008B0DEF">
              <w:rPr>
                <w:rFonts w:ascii="Times New Roman" w:hAnsi="Times New Roman" w:cs="Times New Roman"/>
                <w:b/>
              </w:rPr>
              <w:t>Location</w:t>
            </w:r>
          </w:p>
        </w:tc>
        <w:tc>
          <w:tcPr>
            <w:tcW w:w="2394" w:type="dxa"/>
          </w:tcPr>
          <w:p w14:paraId="616DA0ED" w14:textId="77777777" w:rsidR="001D55D4" w:rsidRDefault="008B0DEF">
            <w:pPr>
              <w:pStyle w:val="Table"/>
              <w:rPr>
                <w:rFonts w:ascii="Times New Roman" w:hAnsi="Times New Roman" w:cs="Times New Roman"/>
              </w:rPr>
            </w:pPr>
            <w:r w:rsidRPr="008B0DEF">
              <w:rPr>
                <w:rFonts w:ascii="Times New Roman" w:hAnsi="Times New Roman" w:cs="Times New Roman"/>
              </w:rPr>
              <w:t>Boston</w:t>
            </w:r>
          </w:p>
        </w:tc>
      </w:tr>
      <w:tr w:rsidR="008B0DEF" w:rsidRPr="008B0DEF" w14:paraId="616DA0F3" w14:textId="77777777" w:rsidTr="008B0DEF">
        <w:trPr>
          <w:jc w:val="center"/>
        </w:trPr>
        <w:tc>
          <w:tcPr>
            <w:tcW w:w="2394" w:type="dxa"/>
            <w:shd w:val="clear" w:color="auto" w:fill="F2F2F2" w:themeFill="background1" w:themeFillShade="F2"/>
          </w:tcPr>
          <w:p w14:paraId="616DA0EF"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Regional or Non-Regional</w:t>
            </w:r>
          </w:p>
        </w:tc>
        <w:tc>
          <w:tcPr>
            <w:tcW w:w="2394" w:type="dxa"/>
          </w:tcPr>
          <w:p w14:paraId="616DA0F0"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Non-Regional</w:t>
            </w:r>
          </w:p>
        </w:tc>
        <w:tc>
          <w:tcPr>
            <w:tcW w:w="2394" w:type="dxa"/>
            <w:shd w:val="clear" w:color="auto" w:fill="F2F2F2" w:themeFill="background1" w:themeFillShade="F2"/>
          </w:tcPr>
          <w:p w14:paraId="616DA0F1" w14:textId="77777777" w:rsidR="001D55D4" w:rsidRDefault="008B0DEF">
            <w:pPr>
              <w:pStyle w:val="Table"/>
              <w:rPr>
                <w:rFonts w:ascii="Times New Roman" w:hAnsi="Times New Roman" w:cs="Times New Roman"/>
                <w:b/>
              </w:rPr>
            </w:pPr>
            <w:r w:rsidRPr="008B0DEF">
              <w:rPr>
                <w:rFonts w:ascii="Times New Roman" w:hAnsi="Times New Roman" w:cs="Times New Roman"/>
                <w:b/>
              </w:rPr>
              <w:t>Districts in Region</w:t>
            </w:r>
          </w:p>
        </w:tc>
        <w:tc>
          <w:tcPr>
            <w:tcW w:w="2394" w:type="dxa"/>
          </w:tcPr>
          <w:p w14:paraId="616DA0F2" w14:textId="77777777" w:rsidR="001D55D4" w:rsidRDefault="008B0DEF">
            <w:pPr>
              <w:pStyle w:val="Table"/>
              <w:rPr>
                <w:rFonts w:ascii="Times New Roman" w:hAnsi="Times New Roman" w:cs="Times New Roman"/>
              </w:rPr>
            </w:pPr>
            <w:r w:rsidRPr="008B0DEF">
              <w:rPr>
                <w:rFonts w:ascii="Times New Roman" w:hAnsi="Times New Roman" w:cs="Times New Roman"/>
              </w:rPr>
              <w:t>N</w:t>
            </w:r>
            <w:r w:rsidR="000330BC">
              <w:rPr>
                <w:rFonts w:ascii="Times New Roman" w:hAnsi="Times New Roman" w:cs="Times New Roman"/>
              </w:rPr>
              <w:t>/</w:t>
            </w:r>
            <w:r w:rsidRPr="008B0DEF">
              <w:rPr>
                <w:rFonts w:ascii="Times New Roman" w:hAnsi="Times New Roman" w:cs="Times New Roman"/>
              </w:rPr>
              <w:t>A</w:t>
            </w:r>
          </w:p>
        </w:tc>
      </w:tr>
      <w:tr w:rsidR="008B0DEF" w:rsidRPr="008B0DEF" w14:paraId="616DA0F8" w14:textId="77777777" w:rsidTr="008B0DEF">
        <w:trPr>
          <w:jc w:val="center"/>
        </w:trPr>
        <w:tc>
          <w:tcPr>
            <w:tcW w:w="2394" w:type="dxa"/>
            <w:shd w:val="clear" w:color="auto" w:fill="F2F2F2" w:themeFill="background1" w:themeFillShade="F2"/>
          </w:tcPr>
          <w:p w14:paraId="616DA0F4"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Year Opened</w:t>
            </w:r>
          </w:p>
        </w:tc>
        <w:tc>
          <w:tcPr>
            <w:tcW w:w="2394" w:type="dxa"/>
          </w:tcPr>
          <w:p w14:paraId="616DA0F5"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2011</w:t>
            </w:r>
          </w:p>
        </w:tc>
        <w:tc>
          <w:tcPr>
            <w:tcW w:w="2394" w:type="dxa"/>
            <w:shd w:val="clear" w:color="auto" w:fill="F2F2F2" w:themeFill="background1" w:themeFillShade="F2"/>
          </w:tcPr>
          <w:p w14:paraId="616DA0F6" w14:textId="77777777" w:rsidR="001D55D4" w:rsidRDefault="008B0DEF">
            <w:pPr>
              <w:pStyle w:val="Table"/>
              <w:rPr>
                <w:rFonts w:ascii="Times New Roman" w:hAnsi="Times New Roman" w:cs="Times New Roman"/>
                <w:b/>
              </w:rPr>
            </w:pPr>
            <w:r w:rsidRPr="008B0DEF">
              <w:rPr>
                <w:rFonts w:ascii="Times New Roman" w:hAnsi="Times New Roman" w:cs="Times New Roman"/>
                <w:b/>
              </w:rPr>
              <w:t>Year(s) Renewed</w:t>
            </w:r>
          </w:p>
        </w:tc>
        <w:tc>
          <w:tcPr>
            <w:tcW w:w="2394" w:type="dxa"/>
          </w:tcPr>
          <w:p w14:paraId="616DA0F7" w14:textId="77777777" w:rsidR="001D55D4" w:rsidRDefault="008B0DEF">
            <w:pPr>
              <w:pStyle w:val="Table"/>
              <w:rPr>
                <w:rFonts w:ascii="Times New Roman" w:hAnsi="Times New Roman" w:cs="Times New Roman"/>
              </w:rPr>
            </w:pPr>
            <w:r w:rsidRPr="008B0DEF">
              <w:rPr>
                <w:rFonts w:ascii="Times New Roman" w:hAnsi="Times New Roman" w:cs="Times New Roman"/>
              </w:rPr>
              <w:t>2016</w:t>
            </w:r>
          </w:p>
        </w:tc>
      </w:tr>
      <w:tr w:rsidR="008B0DEF" w:rsidRPr="008B0DEF" w14:paraId="616DA0FD" w14:textId="77777777" w:rsidTr="008B0DEF">
        <w:trPr>
          <w:jc w:val="center"/>
        </w:trPr>
        <w:tc>
          <w:tcPr>
            <w:tcW w:w="2394" w:type="dxa"/>
            <w:shd w:val="clear" w:color="auto" w:fill="F2F2F2" w:themeFill="background1" w:themeFillShade="F2"/>
          </w:tcPr>
          <w:p w14:paraId="616DA0F9"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Maximum Enrollment</w:t>
            </w:r>
          </w:p>
        </w:tc>
        <w:tc>
          <w:tcPr>
            <w:tcW w:w="2394" w:type="dxa"/>
          </w:tcPr>
          <w:p w14:paraId="616DA0FA"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595</w:t>
            </w:r>
          </w:p>
        </w:tc>
        <w:tc>
          <w:tcPr>
            <w:tcW w:w="2394" w:type="dxa"/>
            <w:shd w:val="clear" w:color="auto" w:fill="F2F2F2" w:themeFill="background1" w:themeFillShade="F2"/>
          </w:tcPr>
          <w:p w14:paraId="616DA0FB" w14:textId="77777777" w:rsidR="001D55D4" w:rsidRDefault="008B0DEF">
            <w:pPr>
              <w:pStyle w:val="Table"/>
              <w:rPr>
                <w:rFonts w:ascii="Times New Roman" w:hAnsi="Times New Roman" w:cs="Times New Roman"/>
                <w:b/>
              </w:rPr>
            </w:pPr>
            <w:r w:rsidRPr="008B0DEF">
              <w:rPr>
                <w:rFonts w:ascii="Times New Roman" w:hAnsi="Times New Roman" w:cs="Times New Roman"/>
                <w:b/>
              </w:rPr>
              <w:t>Current Enrollment</w:t>
            </w:r>
          </w:p>
        </w:tc>
        <w:tc>
          <w:tcPr>
            <w:tcW w:w="2394" w:type="dxa"/>
          </w:tcPr>
          <w:p w14:paraId="616DA0FC" w14:textId="77777777" w:rsidR="001D55D4" w:rsidRDefault="007B666E">
            <w:pPr>
              <w:pStyle w:val="Table"/>
              <w:rPr>
                <w:rFonts w:ascii="Times New Roman" w:hAnsi="Times New Roman" w:cs="Times New Roman"/>
              </w:rPr>
            </w:pPr>
            <w:r>
              <w:rPr>
                <w:rFonts w:ascii="Times New Roman" w:hAnsi="Times New Roman" w:cs="Times New Roman"/>
              </w:rPr>
              <w:t>476</w:t>
            </w:r>
          </w:p>
        </w:tc>
      </w:tr>
      <w:tr w:rsidR="008B0DEF" w:rsidRPr="008B0DEF" w14:paraId="616DA102" w14:textId="77777777" w:rsidTr="008B0DEF">
        <w:trPr>
          <w:jc w:val="center"/>
        </w:trPr>
        <w:tc>
          <w:tcPr>
            <w:tcW w:w="2394" w:type="dxa"/>
            <w:shd w:val="clear" w:color="auto" w:fill="F2F2F2" w:themeFill="background1" w:themeFillShade="F2"/>
          </w:tcPr>
          <w:p w14:paraId="616DA0FE"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Chartered Grade Span</w:t>
            </w:r>
          </w:p>
        </w:tc>
        <w:tc>
          <w:tcPr>
            <w:tcW w:w="2394" w:type="dxa"/>
          </w:tcPr>
          <w:p w14:paraId="616DA0FF"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6-12</w:t>
            </w:r>
          </w:p>
        </w:tc>
        <w:tc>
          <w:tcPr>
            <w:tcW w:w="2394" w:type="dxa"/>
            <w:shd w:val="clear" w:color="auto" w:fill="F2F2F2" w:themeFill="background1" w:themeFillShade="F2"/>
          </w:tcPr>
          <w:p w14:paraId="616DA100" w14:textId="77777777" w:rsidR="001D55D4" w:rsidRDefault="008B0DEF">
            <w:pPr>
              <w:pStyle w:val="Table"/>
              <w:rPr>
                <w:rFonts w:ascii="Times New Roman" w:hAnsi="Times New Roman" w:cs="Times New Roman"/>
                <w:b/>
              </w:rPr>
            </w:pPr>
            <w:r w:rsidRPr="008B0DEF">
              <w:rPr>
                <w:rFonts w:ascii="Times New Roman" w:hAnsi="Times New Roman" w:cs="Times New Roman"/>
                <w:b/>
              </w:rPr>
              <w:t>Current Grade Span</w:t>
            </w:r>
          </w:p>
        </w:tc>
        <w:tc>
          <w:tcPr>
            <w:tcW w:w="2394" w:type="dxa"/>
          </w:tcPr>
          <w:p w14:paraId="616DA101" w14:textId="77777777" w:rsidR="001D55D4" w:rsidRDefault="008B0DEF">
            <w:pPr>
              <w:pStyle w:val="Table"/>
              <w:rPr>
                <w:rFonts w:ascii="Times New Roman" w:hAnsi="Times New Roman" w:cs="Times New Roman"/>
              </w:rPr>
            </w:pPr>
            <w:r w:rsidRPr="008B0DEF">
              <w:rPr>
                <w:rFonts w:ascii="Times New Roman" w:hAnsi="Times New Roman" w:cs="Times New Roman"/>
              </w:rPr>
              <w:t>6-12</w:t>
            </w:r>
          </w:p>
        </w:tc>
      </w:tr>
      <w:tr w:rsidR="008B0DEF" w:rsidRPr="008B0DEF" w14:paraId="616DA107" w14:textId="77777777" w:rsidTr="008B0DEF">
        <w:trPr>
          <w:jc w:val="center"/>
        </w:trPr>
        <w:tc>
          <w:tcPr>
            <w:tcW w:w="2394" w:type="dxa"/>
            <w:shd w:val="clear" w:color="auto" w:fill="F2F2F2" w:themeFill="background1" w:themeFillShade="F2"/>
          </w:tcPr>
          <w:p w14:paraId="616DA103"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Students on Waitlist</w:t>
            </w:r>
          </w:p>
        </w:tc>
        <w:tc>
          <w:tcPr>
            <w:tcW w:w="2394" w:type="dxa"/>
          </w:tcPr>
          <w:p w14:paraId="616DA104" w14:textId="77777777"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513</w:t>
            </w:r>
            <w:r w:rsidRPr="00446D07">
              <w:rPr>
                <w:rStyle w:val="FootnoteReference"/>
                <w:rFonts w:ascii="Times New Roman" w:hAnsi="Times New Roman" w:cs="Times New Roman"/>
                <w:vertAlign w:val="superscript"/>
              </w:rPr>
              <w:footnoteReference w:id="1"/>
            </w:r>
          </w:p>
        </w:tc>
        <w:tc>
          <w:tcPr>
            <w:tcW w:w="2394" w:type="dxa"/>
            <w:shd w:val="clear" w:color="auto" w:fill="F2F2F2" w:themeFill="background1" w:themeFillShade="F2"/>
          </w:tcPr>
          <w:p w14:paraId="616DA105" w14:textId="77777777" w:rsidR="001D55D4" w:rsidRDefault="008B0DEF">
            <w:pPr>
              <w:pStyle w:val="Table"/>
              <w:rPr>
                <w:rFonts w:ascii="Times New Roman" w:hAnsi="Times New Roman" w:cs="Times New Roman"/>
                <w:b/>
              </w:rPr>
            </w:pPr>
            <w:r w:rsidRPr="008B0DEF">
              <w:rPr>
                <w:rFonts w:ascii="Times New Roman" w:hAnsi="Times New Roman" w:cs="Times New Roman"/>
                <w:b/>
              </w:rPr>
              <w:t>Current Age of school</w:t>
            </w:r>
          </w:p>
        </w:tc>
        <w:tc>
          <w:tcPr>
            <w:tcW w:w="2394" w:type="dxa"/>
          </w:tcPr>
          <w:p w14:paraId="616DA106" w14:textId="77777777" w:rsidR="001D55D4" w:rsidRDefault="008B0DEF">
            <w:pPr>
              <w:pStyle w:val="Table"/>
              <w:rPr>
                <w:rFonts w:ascii="Times New Roman" w:hAnsi="Times New Roman" w:cs="Times New Roman"/>
              </w:rPr>
            </w:pPr>
            <w:r w:rsidRPr="008B0DEF">
              <w:rPr>
                <w:rFonts w:ascii="Times New Roman" w:hAnsi="Times New Roman" w:cs="Times New Roman"/>
              </w:rPr>
              <w:t>6 years</w:t>
            </w:r>
          </w:p>
        </w:tc>
      </w:tr>
      <w:tr w:rsidR="008B0DEF" w:rsidRPr="008B0DEF" w14:paraId="616DA10A" w14:textId="77777777" w:rsidTr="008B0DEF">
        <w:trPr>
          <w:jc w:val="center"/>
        </w:trPr>
        <w:tc>
          <w:tcPr>
            <w:tcW w:w="9576" w:type="dxa"/>
            <w:gridSpan w:val="4"/>
            <w:shd w:val="clear" w:color="auto" w:fill="F2F2F2" w:themeFill="background1" w:themeFillShade="F2"/>
          </w:tcPr>
          <w:p w14:paraId="616DA108" w14:textId="77777777"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 xml:space="preserve">Mission Statement: </w:t>
            </w:r>
          </w:p>
          <w:p w14:paraId="616DA109" w14:textId="77777777" w:rsidR="008B0DEF" w:rsidRPr="008B0DEF" w:rsidRDefault="008B0DEF" w:rsidP="00E31061">
            <w:pPr>
              <w:pStyle w:val="Table"/>
              <w:rPr>
                <w:rFonts w:ascii="Times New Roman" w:hAnsi="Times New Roman" w:cs="Times New Roman"/>
              </w:rPr>
            </w:pPr>
            <w:r w:rsidRPr="008B0DEF">
              <w:rPr>
                <w:rFonts w:ascii="Times New Roman" w:eastAsia="Batang" w:hAnsi="Times New Roman" w:cs="Times New Roman"/>
                <w:sz w:val="20"/>
                <w:lang w:eastAsia="ko-KR"/>
              </w:rPr>
              <w:lastRenderedPageBreak/>
              <w:t>Boston Green Academy welcomes diverse students of all abilities, educates and empowers them to succeed in college and career, and prepares them to lead in the sustainability of our community and world.</w:t>
            </w:r>
          </w:p>
        </w:tc>
      </w:tr>
    </w:tbl>
    <w:p w14:paraId="616DA10B" w14:textId="77777777" w:rsidR="00CB512A" w:rsidRDefault="00CB512A" w:rsidP="00E31061">
      <w:pPr>
        <w:widowControl/>
        <w:rPr>
          <w:b/>
          <w:bCs/>
          <w:snapToGrid/>
          <w:szCs w:val="24"/>
          <w:u w:val="single"/>
        </w:rPr>
      </w:pPr>
    </w:p>
    <w:p w14:paraId="616DA10C" w14:textId="77777777" w:rsidR="00077DD3" w:rsidRDefault="008B0DEF" w:rsidP="00E31061">
      <w:pPr>
        <w:pStyle w:val="BodyText2"/>
        <w:ind w:right="-360"/>
        <w:rPr>
          <w:b/>
          <w:bCs/>
          <w:szCs w:val="24"/>
          <w:u w:val="single"/>
        </w:rPr>
      </w:pPr>
      <w:r w:rsidRPr="00006E3F">
        <w:rPr>
          <w:b/>
          <w:bCs/>
          <w:szCs w:val="24"/>
          <w:u w:val="single"/>
        </w:rPr>
        <w:t>School History</w:t>
      </w:r>
    </w:p>
    <w:p w14:paraId="616DA10D" w14:textId="77777777" w:rsidR="001D55D4" w:rsidRDefault="001D55D4">
      <w:pPr>
        <w:widowControl/>
        <w:rPr>
          <w:szCs w:val="24"/>
        </w:rPr>
      </w:pPr>
    </w:p>
    <w:p w14:paraId="616DA10E" w14:textId="77777777" w:rsidR="001D55D4" w:rsidRDefault="005C1CD5">
      <w:pPr>
        <w:widowControl/>
        <w:rPr>
          <w:szCs w:val="24"/>
        </w:rPr>
      </w:pPr>
      <w:r w:rsidRPr="009934FA">
        <w:rPr>
          <w:szCs w:val="24"/>
        </w:rPr>
        <w:t>BGA is a Horace Mann III</w:t>
      </w:r>
      <w:r w:rsidR="003B4109" w:rsidRPr="003B4109">
        <w:rPr>
          <w:rStyle w:val="FootnoteReference"/>
          <w:szCs w:val="24"/>
          <w:vertAlign w:val="superscript"/>
        </w:rPr>
        <w:footnoteReference w:id="2"/>
      </w:r>
      <w:r w:rsidRPr="00602104">
        <w:rPr>
          <w:szCs w:val="24"/>
        </w:rPr>
        <w:t xml:space="preserve"> </w:t>
      </w:r>
      <w:r w:rsidRPr="009934FA">
        <w:rPr>
          <w:szCs w:val="24"/>
        </w:rPr>
        <w:t xml:space="preserve">charter school in Boston Public School (BPS). In its application to become a Horace Mann III charter school, BGA promised to serve students from a Boston high school that was recommended for closure. In its subsequent memorandum of understanding (MOU) with BPS, BGA agreed to open in 2011 with students in grades 9-12, to absorb the student population from Odyssey High School (Odyssey), and to occupy Odyssey’s facility in South Boston. While BGA was originally proposed as a 6-12 school, the MOU altered the founding group’s original growth plan and delayed the offering of middle school grades. </w:t>
      </w:r>
    </w:p>
    <w:p w14:paraId="616DA10F" w14:textId="77777777" w:rsidR="001D55D4" w:rsidRDefault="001D55D4">
      <w:pPr>
        <w:widowControl/>
        <w:rPr>
          <w:szCs w:val="24"/>
        </w:rPr>
      </w:pPr>
    </w:p>
    <w:p w14:paraId="616DA110" w14:textId="77777777" w:rsidR="001D55D4" w:rsidRDefault="005C1CD5">
      <w:pPr>
        <w:widowControl/>
        <w:rPr>
          <w:szCs w:val="24"/>
        </w:rPr>
      </w:pPr>
      <w:r w:rsidRPr="009934FA">
        <w:rPr>
          <w:szCs w:val="24"/>
        </w:rPr>
        <w:t>From 2011 until the end of the 2013-14 school year, BGA served grades 9-12 in the South Boston facility. In the fall of 2014, the school moved to a new location in Brighton and began to serve the 6</w:t>
      </w:r>
      <w:r w:rsidRPr="009934FA">
        <w:rPr>
          <w:szCs w:val="24"/>
          <w:vertAlign w:val="superscript"/>
        </w:rPr>
        <w:t>th</w:t>
      </w:r>
      <w:r w:rsidR="009934FA">
        <w:rPr>
          <w:szCs w:val="24"/>
        </w:rPr>
        <w:t xml:space="preserve"> grade. </w:t>
      </w:r>
      <w:r w:rsidR="00E31061">
        <w:rPr>
          <w:szCs w:val="24"/>
        </w:rPr>
        <w:t>For two years, t</w:t>
      </w:r>
      <w:r w:rsidR="009934FA">
        <w:rPr>
          <w:szCs w:val="24"/>
        </w:rPr>
        <w:t>he Brighton facility was</w:t>
      </w:r>
      <w:r w:rsidRPr="009934FA">
        <w:rPr>
          <w:szCs w:val="24"/>
        </w:rPr>
        <w:t xml:space="preserve"> co-located with Another Course to College, a</w:t>
      </w:r>
      <w:r w:rsidR="00E31061">
        <w:rPr>
          <w:szCs w:val="24"/>
        </w:rPr>
        <w:t>nother</w:t>
      </w:r>
      <w:r w:rsidRPr="009934FA">
        <w:rPr>
          <w:szCs w:val="24"/>
        </w:rPr>
        <w:t xml:space="preserve"> BPS school. In the fall of 2015, BGA began to serve the 7</w:t>
      </w:r>
      <w:r w:rsidRPr="009934FA">
        <w:rPr>
          <w:szCs w:val="24"/>
          <w:vertAlign w:val="superscript"/>
        </w:rPr>
        <w:t>th</w:t>
      </w:r>
      <w:r w:rsidRPr="009934FA">
        <w:rPr>
          <w:szCs w:val="24"/>
        </w:rPr>
        <w:t xml:space="preserve"> grade.</w:t>
      </w:r>
      <w:r w:rsidR="009934FA">
        <w:rPr>
          <w:szCs w:val="24"/>
        </w:rPr>
        <w:t xml:space="preserve"> This year, BGA is the sole occupant of its Brighton facility. </w:t>
      </w:r>
    </w:p>
    <w:p w14:paraId="616DA111" w14:textId="77777777" w:rsidR="001D55D4" w:rsidRDefault="001D55D4">
      <w:pPr>
        <w:widowControl/>
        <w:rPr>
          <w:szCs w:val="24"/>
        </w:rPr>
      </w:pPr>
    </w:p>
    <w:p w14:paraId="616DA112" w14:textId="77777777" w:rsidR="001D55D4" w:rsidRDefault="005C1CD5">
      <w:pPr>
        <w:widowControl/>
        <w:rPr>
          <w:szCs w:val="24"/>
        </w:rPr>
      </w:pPr>
      <w:r w:rsidRPr="009934FA">
        <w:rPr>
          <w:szCs w:val="24"/>
        </w:rPr>
        <w:t xml:space="preserve">Due to persistent concerns, the school received five visits from the Department </w:t>
      </w:r>
      <w:r w:rsidRPr="00435F62">
        <w:t>of Elementary and Secondary Education (Department)</w:t>
      </w:r>
      <w:r w:rsidRPr="009934FA">
        <w:rPr>
          <w:szCs w:val="24"/>
        </w:rPr>
        <w:t xml:space="preserve"> in the school’s first four years of operation. These visits documented concerns about the school’s faithfulness to its charter, the quality of the academic program, the school’s poor academic results, the quality and amount of support for diverse learners, and the school’s lack of compliance with regulatory requirements</w:t>
      </w:r>
      <w:r w:rsidR="00E31061">
        <w:rPr>
          <w:szCs w:val="24"/>
        </w:rPr>
        <w:t>.</w:t>
      </w:r>
      <w:r w:rsidRPr="00E848D9">
        <w:rPr>
          <w:rStyle w:val="FootnoteReference"/>
          <w:szCs w:val="24"/>
          <w:vertAlign w:val="superscript"/>
        </w:rPr>
        <w:footnoteReference w:id="3"/>
      </w:r>
      <w:r w:rsidRPr="009934FA">
        <w:rPr>
          <w:szCs w:val="24"/>
        </w:rPr>
        <w:t xml:space="preserve"> </w:t>
      </w:r>
      <w:r w:rsidR="00104859" w:rsidRPr="009934FA">
        <w:rPr>
          <w:szCs w:val="24"/>
        </w:rPr>
        <w:t>I</w:t>
      </w:r>
      <w:r w:rsidRPr="009934FA">
        <w:rPr>
          <w:szCs w:val="24"/>
        </w:rPr>
        <w:t>n October 2014, the Board voted to put BGA on probation with eight conditions related to finance, governance, and academics.</w:t>
      </w:r>
    </w:p>
    <w:p w14:paraId="616DA113" w14:textId="77777777" w:rsidR="001D55D4" w:rsidRDefault="001D55D4">
      <w:pPr>
        <w:widowControl/>
        <w:rPr>
          <w:szCs w:val="24"/>
        </w:rPr>
      </w:pPr>
    </w:p>
    <w:p w14:paraId="616DA114" w14:textId="77777777" w:rsidR="001D55D4" w:rsidRDefault="00104859">
      <w:pPr>
        <w:widowControl/>
      </w:pPr>
      <w:r>
        <w:t xml:space="preserve">In February 2016, BGA was granted a renewal of its charter with continued probation. The school had met the conditions related to compliance, but conditions related to academic achievement and governance were extended. </w:t>
      </w:r>
      <w:r w:rsidR="003064AD">
        <w:t xml:space="preserve">During the 2016-17 school year, BGA is </w:t>
      </w:r>
      <w:r>
        <w:t xml:space="preserve">serving its full grade span of 6 through 12. </w:t>
      </w:r>
      <w:r w:rsidR="003064AD">
        <w:t>The school, h</w:t>
      </w:r>
      <w:r>
        <w:t xml:space="preserve">owever, is currently under-enrolled by 85 students due to </w:t>
      </w:r>
      <w:r w:rsidR="003064AD">
        <w:t xml:space="preserve">constraints imposed by </w:t>
      </w:r>
      <w:r w:rsidR="00E31061">
        <w:t xml:space="preserve">previous </w:t>
      </w:r>
      <w:r w:rsidR="003064AD">
        <w:t xml:space="preserve">facilities. </w:t>
      </w:r>
      <w:r>
        <w:t xml:space="preserve"> </w:t>
      </w:r>
    </w:p>
    <w:p w14:paraId="616DA115" w14:textId="77777777" w:rsidR="008B0DEF" w:rsidRDefault="008B0DEF" w:rsidP="00E31061">
      <w:pPr>
        <w:pStyle w:val="BodyText2"/>
        <w:ind w:right="-360"/>
        <w:rPr>
          <w:b/>
          <w:bCs/>
          <w:szCs w:val="24"/>
        </w:rPr>
      </w:pPr>
    </w:p>
    <w:p w14:paraId="616DA116" w14:textId="77777777" w:rsidR="00B16570" w:rsidRPr="000322C6" w:rsidRDefault="00B16570">
      <w:pPr>
        <w:widowControl/>
        <w:rPr>
          <w:b/>
          <w:bCs/>
          <w:snapToGrid/>
          <w:sz w:val="2"/>
          <w:szCs w:val="2"/>
          <w:u w:val="single"/>
        </w:rPr>
      </w:pPr>
      <w:r w:rsidRPr="000322C6">
        <w:rPr>
          <w:b/>
          <w:bCs/>
          <w:sz w:val="2"/>
          <w:szCs w:val="2"/>
          <w:u w:val="single"/>
        </w:rPr>
        <w:br w:type="page"/>
      </w:r>
    </w:p>
    <w:p w14:paraId="616DA117" w14:textId="77777777" w:rsidR="008B0DEF" w:rsidRPr="00006E3F" w:rsidRDefault="008B0DEF" w:rsidP="00E31061">
      <w:pPr>
        <w:pStyle w:val="BodyText2"/>
        <w:ind w:right="-360"/>
        <w:rPr>
          <w:b/>
          <w:bCs/>
          <w:szCs w:val="24"/>
          <w:u w:val="single"/>
        </w:rPr>
      </w:pPr>
      <w:r w:rsidRPr="00006E3F">
        <w:rPr>
          <w:b/>
          <w:bCs/>
          <w:szCs w:val="24"/>
          <w:u w:val="single"/>
        </w:rPr>
        <w:lastRenderedPageBreak/>
        <w:t>Report on Probation</w:t>
      </w:r>
    </w:p>
    <w:p w14:paraId="616DA118" w14:textId="77777777" w:rsidR="008B0DEF" w:rsidRDefault="008B0DEF" w:rsidP="00E31061">
      <w:pPr>
        <w:widowControl/>
        <w:tabs>
          <w:tab w:val="left" w:pos="1350"/>
        </w:tabs>
        <w:contextualSpacing/>
      </w:pPr>
    </w:p>
    <w:p w14:paraId="616DA119" w14:textId="77777777" w:rsidR="001D55D4" w:rsidRDefault="008B0DEF">
      <w:pPr>
        <w:widowControl/>
        <w:tabs>
          <w:tab w:val="left" w:pos="1350"/>
        </w:tabs>
        <w:contextualSpacing/>
      </w:pPr>
      <w:r>
        <w:t xml:space="preserve">Below is a summary of the school’s progress toward meeting the four conditions imposed on the school. </w:t>
      </w:r>
    </w:p>
    <w:p w14:paraId="616DA11A" w14:textId="77777777" w:rsidR="001D55D4" w:rsidRDefault="001D55D4">
      <w:pPr>
        <w:widowControl/>
        <w:tabs>
          <w:tab w:val="left" w:pos="1350"/>
        </w:tabs>
        <w:contextualSpacing/>
      </w:pPr>
    </w:p>
    <w:p w14:paraId="616DA11B" w14:textId="77777777" w:rsidR="001D55D4" w:rsidRDefault="008B0DEF">
      <w:pPr>
        <w:widowControl/>
      </w:pPr>
      <w:r w:rsidRPr="009C1DC1">
        <w:rPr>
          <w:b/>
        </w:rPr>
        <w:t>Condition 1:</w:t>
      </w:r>
      <w:r w:rsidRPr="009C1DC1">
        <w:t xml:space="preserve"> </w:t>
      </w:r>
      <w:r w:rsidRPr="002434BC">
        <w:t xml:space="preserve">Until further notice, Boston Green Academy Horace Mann Charter School </w:t>
      </w:r>
      <w:r w:rsidR="00C2420F">
        <w:t>must</w:t>
      </w:r>
      <w:r w:rsidRPr="002434BC">
        <w:t xml:space="preserve"> submit to the Department, at </w:t>
      </w:r>
      <w:hyperlink r:id="rId14" w:history="1">
        <w:r w:rsidRPr="002434BC">
          <w:rPr>
            <w:rStyle w:val="Hyperlink"/>
          </w:rPr>
          <w:t>charterschools@doe.mass.edu</w:t>
        </w:r>
      </w:hyperlink>
      <w:r w:rsidRPr="002434BC">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616DA11C" w14:textId="77777777" w:rsidR="001D55D4" w:rsidRDefault="001D55D4">
      <w:pPr>
        <w:widowControl/>
        <w:ind w:firstLine="720"/>
        <w:rPr>
          <w:b/>
        </w:rPr>
      </w:pPr>
    </w:p>
    <w:p w14:paraId="616DA11D" w14:textId="77777777" w:rsidR="001D55D4" w:rsidRDefault="008B0DEF">
      <w:pPr>
        <w:widowControl/>
        <w:ind w:firstLine="720"/>
        <w:rPr>
          <w:b/>
        </w:rPr>
      </w:pPr>
      <w:r w:rsidRPr="009C1DC1">
        <w:rPr>
          <w:b/>
        </w:rPr>
        <w:t xml:space="preserve">Status: </w:t>
      </w:r>
      <w:r>
        <w:rPr>
          <w:b/>
        </w:rPr>
        <w:t>Met/Ongoing</w:t>
      </w:r>
    </w:p>
    <w:p w14:paraId="616DA11E" w14:textId="77777777" w:rsidR="001D55D4" w:rsidRDefault="001D55D4">
      <w:pPr>
        <w:widowControl/>
        <w:ind w:firstLine="720"/>
        <w:rPr>
          <w:b/>
        </w:rPr>
      </w:pPr>
    </w:p>
    <w:p w14:paraId="616DA11F" w14:textId="77777777" w:rsidR="001D55D4" w:rsidRDefault="006C234B">
      <w:pPr>
        <w:widowControl/>
        <w:ind w:left="720"/>
      </w:pPr>
      <w:r>
        <w:t xml:space="preserve">This condition has been in place since 2014, when the school was first placed on </w:t>
      </w:r>
      <w:r w:rsidR="00E31061">
        <w:t>probation</w:t>
      </w:r>
      <w:r>
        <w:t xml:space="preserve">. </w:t>
      </w:r>
      <w:r w:rsidR="00AC5569">
        <w:t>Since</w:t>
      </w:r>
      <w:r>
        <w:t xml:space="preserve"> that time</w:t>
      </w:r>
      <w:r w:rsidR="008B0DEF">
        <w:t xml:space="preserve">, the school has regularly submitted the school’s board minutes and related documents, including board agendas and regular headmaster reports, along with the financial statements shared with the board. Submitted board minutes have </w:t>
      </w:r>
      <w:r>
        <w:t xml:space="preserve">demonstrated compliance </w:t>
      </w:r>
      <w:r w:rsidR="008B0DEF">
        <w:t xml:space="preserve">with </w:t>
      </w:r>
      <w:r w:rsidR="00C2420F">
        <w:t xml:space="preserve">the </w:t>
      </w:r>
      <w:r w:rsidR="008B0DEF">
        <w:t>Open Meeting Law with the exception of t</w:t>
      </w:r>
      <w:r>
        <w:t xml:space="preserve">he </w:t>
      </w:r>
      <w:r w:rsidR="00E31061">
        <w:t xml:space="preserve">board’s meeting on </w:t>
      </w:r>
      <w:r>
        <w:t>August 30, 2016</w:t>
      </w:r>
      <w:r w:rsidR="00E31061">
        <w:t>,</w:t>
      </w:r>
      <w:r>
        <w:t xml:space="preserve"> </w:t>
      </w:r>
      <w:r w:rsidR="00E31061">
        <w:t xml:space="preserve">during which </w:t>
      </w:r>
      <w:r w:rsidR="008B0DEF">
        <w:t xml:space="preserve">the board voted to go into executive session without a quorum. </w:t>
      </w:r>
    </w:p>
    <w:p w14:paraId="616DA120" w14:textId="77777777" w:rsidR="001D55D4" w:rsidRDefault="001D55D4">
      <w:pPr>
        <w:widowControl/>
        <w:ind w:left="720"/>
      </w:pPr>
    </w:p>
    <w:p w14:paraId="616DA121" w14:textId="77777777" w:rsidR="001D55D4" w:rsidRDefault="008B0DEF">
      <w:pPr>
        <w:widowControl/>
      </w:pPr>
      <w:r w:rsidRPr="009C1DC1">
        <w:rPr>
          <w:b/>
        </w:rPr>
        <w:t>Condition 2:</w:t>
      </w:r>
      <w:r w:rsidRPr="009C1DC1">
        <w:t xml:space="preserve"> </w:t>
      </w:r>
      <w:r w:rsidRPr="00736051">
        <w:t>The school must maintain the established escrow account to pay for any potential closing, legal, and audit expenses associated with closure, should that occur.</w:t>
      </w:r>
    </w:p>
    <w:p w14:paraId="616DA122" w14:textId="77777777" w:rsidR="001D55D4" w:rsidRDefault="001D55D4">
      <w:pPr>
        <w:widowControl/>
        <w:rPr>
          <w:b/>
        </w:rPr>
      </w:pPr>
    </w:p>
    <w:p w14:paraId="616DA123" w14:textId="77777777" w:rsidR="001D55D4" w:rsidRDefault="008B0DEF">
      <w:pPr>
        <w:widowControl/>
        <w:ind w:firstLine="720"/>
        <w:rPr>
          <w:b/>
        </w:rPr>
      </w:pPr>
      <w:r w:rsidRPr="009C1DC1">
        <w:rPr>
          <w:b/>
        </w:rPr>
        <w:t>Status: Met</w:t>
      </w:r>
    </w:p>
    <w:p w14:paraId="616DA124" w14:textId="77777777" w:rsidR="001D55D4" w:rsidRDefault="001D55D4">
      <w:pPr>
        <w:widowControl/>
      </w:pPr>
    </w:p>
    <w:p w14:paraId="616DA125" w14:textId="77777777" w:rsidR="001D55D4" w:rsidRDefault="008B0DEF">
      <w:pPr>
        <w:widowControl/>
        <w:ind w:left="720"/>
      </w:pPr>
      <w:r>
        <w:t>The school worked with the Department and Boston Public Schools to set up this account on August 12, 2015. The board of the school established an escrow account of $15,000</w:t>
      </w:r>
      <w:r w:rsidR="00C2420F">
        <w:t>,</w:t>
      </w:r>
      <w:r>
        <w:t xml:space="preserve"> an amount approved by the Department. The school also obtained a letter of support from the Boston Public Schools concerning the escrow account. The school has maintained this account. </w:t>
      </w:r>
    </w:p>
    <w:p w14:paraId="616DA126" w14:textId="77777777" w:rsidR="001D55D4" w:rsidRDefault="001D55D4">
      <w:pPr>
        <w:widowControl/>
        <w:ind w:left="720"/>
      </w:pPr>
    </w:p>
    <w:p w14:paraId="616DA127" w14:textId="77777777" w:rsidR="001D55D4" w:rsidRDefault="008B0DEF">
      <w:pPr>
        <w:widowControl/>
      </w:pPr>
      <w:r w:rsidRPr="009C1DC1">
        <w:rPr>
          <w:b/>
        </w:rPr>
        <w:t>Condition 3:</w:t>
      </w:r>
      <w:r w:rsidRPr="009C1DC1">
        <w:t xml:space="preserve"> </w:t>
      </w:r>
      <w:r w:rsidRPr="00736051">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14:paraId="616DA128" w14:textId="77777777" w:rsidR="001D55D4" w:rsidRDefault="001D55D4">
      <w:pPr>
        <w:widowControl/>
        <w:rPr>
          <w:b/>
        </w:rPr>
      </w:pPr>
    </w:p>
    <w:p w14:paraId="616DA129" w14:textId="77777777" w:rsidR="001D55D4" w:rsidRDefault="008B0DEF">
      <w:pPr>
        <w:widowControl/>
        <w:ind w:firstLine="720"/>
        <w:rPr>
          <w:b/>
        </w:rPr>
      </w:pPr>
      <w:r w:rsidRPr="009C1DC1">
        <w:rPr>
          <w:b/>
        </w:rPr>
        <w:t xml:space="preserve">Status: </w:t>
      </w:r>
      <w:r w:rsidR="00DC21A2">
        <w:rPr>
          <w:b/>
        </w:rPr>
        <w:t>Partially</w:t>
      </w:r>
      <w:r w:rsidR="00AC5569">
        <w:rPr>
          <w:b/>
        </w:rPr>
        <w:t xml:space="preserve"> Met</w:t>
      </w:r>
    </w:p>
    <w:p w14:paraId="616DA12A" w14:textId="77777777" w:rsidR="001D55D4" w:rsidRDefault="001D55D4">
      <w:pPr>
        <w:widowControl/>
      </w:pPr>
    </w:p>
    <w:p w14:paraId="616DA12B" w14:textId="77777777" w:rsidR="001D55D4" w:rsidRDefault="007B6541">
      <w:pPr>
        <w:widowControl/>
        <w:ind w:left="720"/>
      </w:pPr>
      <w:r>
        <w:t>In 2016, BGA’s overall performance did not meet state standards, and the school has not demonstrated s</w:t>
      </w:r>
      <w:r w:rsidR="0040721F">
        <w:t>ignificant academic improvement</w:t>
      </w:r>
      <w:r w:rsidR="00DC21A2">
        <w:t xml:space="preserve"> in the aggregate</w:t>
      </w:r>
      <w:r w:rsidR="00BA7298">
        <w:t xml:space="preserve"> from its prior year’s scores</w:t>
      </w:r>
      <w:r w:rsidR="0040721F">
        <w:t xml:space="preserve">. </w:t>
      </w:r>
      <w:r>
        <w:t>While BGA saw improvement in its 10</w:t>
      </w:r>
      <w:r w:rsidRPr="007B6541">
        <w:rPr>
          <w:vertAlign w:val="superscript"/>
        </w:rPr>
        <w:t>th</w:t>
      </w:r>
      <w:r>
        <w:t xml:space="preserve"> grade achievement in 2016, the school’s middle school performance declined. </w:t>
      </w:r>
      <w:r w:rsidR="008B0DEF">
        <w:t>In 2015</w:t>
      </w:r>
      <w:r w:rsidR="0079657A">
        <w:t>,</w:t>
      </w:r>
      <w:r w:rsidR="008B0DEF">
        <w:t xml:space="preserve"> </w:t>
      </w:r>
      <w:r w:rsidR="00BA7298">
        <w:t xml:space="preserve">BGA administered the PARCC assessment </w:t>
      </w:r>
      <w:r w:rsidR="00BA7298">
        <w:lastRenderedPageBreak/>
        <w:t>to its grade 6 students and the MCAS to its grade 10 students. In</w:t>
      </w:r>
      <w:r w:rsidR="008B0DEF">
        <w:t xml:space="preserve"> 2016, BGA administered the PARCC assessment in grades 6 and 7 and the MCAS for grade 10. </w:t>
      </w:r>
      <w:r w:rsidR="0040721F">
        <w:t xml:space="preserve">Please see the data charts below and full academic results in the attached site visit report. </w:t>
      </w:r>
    </w:p>
    <w:p w14:paraId="616DA12C" w14:textId="77777777" w:rsidR="001D55D4" w:rsidRDefault="001D55D4">
      <w:pPr>
        <w:widowControl/>
        <w:ind w:left="720"/>
      </w:pPr>
    </w:p>
    <w:p w14:paraId="616DA12D" w14:textId="77777777" w:rsidR="001D55D4" w:rsidRDefault="0040721F">
      <w:pPr>
        <w:widowControl/>
        <w:ind w:left="720"/>
      </w:pPr>
      <w:r>
        <w:t xml:space="preserve">Since 2014, when the school first received a level designation, the school has been in Level 3. </w:t>
      </w:r>
      <w:r w:rsidR="00BA7298">
        <w:t>In 2014, BGA was in Level 3 and the 6</w:t>
      </w:r>
      <w:r w:rsidR="00BA7298" w:rsidRPr="00BA7298">
        <w:rPr>
          <w:vertAlign w:val="superscript"/>
        </w:rPr>
        <w:t>th</w:t>
      </w:r>
      <w:r w:rsidR="00BA7298">
        <w:t xml:space="preserve"> percentile. In 2015, BGA remained in Level 3 and was in the 11</w:t>
      </w:r>
      <w:r w:rsidR="00BA7298" w:rsidRPr="00BA7298">
        <w:rPr>
          <w:vertAlign w:val="superscript"/>
        </w:rPr>
        <w:t>th</w:t>
      </w:r>
      <w:r w:rsidR="00BA7298">
        <w:t xml:space="preserve"> percentile</w:t>
      </w:r>
      <w:r w:rsidR="00E31061">
        <w:t>.</w:t>
      </w:r>
      <w:r w:rsidR="00BA7298" w:rsidRPr="00BA7298">
        <w:rPr>
          <w:rStyle w:val="FootnoteReference"/>
          <w:vertAlign w:val="superscript"/>
        </w:rPr>
        <w:footnoteReference w:id="4"/>
      </w:r>
      <w:r w:rsidR="00BA7298">
        <w:t xml:space="preserve"> </w:t>
      </w:r>
      <w:r w:rsidR="008B0DEF">
        <w:t xml:space="preserve">In 2016, the school did not meet its gap narrowing targets for its progress toward narrowing proficiency gaps for all students or for high needs students. </w:t>
      </w:r>
      <w:r w:rsidR="0079657A">
        <w:t xml:space="preserve">In 2016, the school has a cumulative Progress and Performance Index (PPI) of 64 for all students and </w:t>
      </w:r>
      <w:r w:rsidR="00E31061">
        <w:t xml:space="preserve">of </w:t>
      </w:r>
      <w:r w:rsidR="0079657A">
        <w:t xml:space="preserve">61 for the high needs subgroup. </w:t>
      </w:r>
      <w:r>
        <w:t>In 2016, BGA remains in Level 3 for being among the lowest pe</w:t>
      </w:r>
      <w:r w:rsidR="00BA7298">
        <w:t xml:space="preserve">rforming 20 percent of </w:t>
      </w:r>
      <w:r w:rsidR="00D94246">
        <w:t xml:space="preserve">middle-high </w:t>
      </w:r>
      <w:r w:rsidR="00BA7298">
        <w:t>schools</w:t>
      </w:r>
      <w:r w:rsidR="00D94246">
        <w:t xml:space="preserve"> statewide</w:t>
      </w:r>
      <w:r w:rsidR="00BA7298">
        <w:t xml:space="preserve">. </w:t>
      </w:r>
      <w:r>
        <w:t xml:space="preserve">BGA’s percentile relative to other middle-high schools statewide declined in 2016 to </w:t>
      </w:r>
      <w:r w:rsidR="00C2420F">
        <w:t xml:space="preserve">the </w:t>
      </w:r>
      <w:r>
        <w:t>10</w:t>
      </w:r>
      <w:r w:rsidRPr="0040721F">
        <w:rPr>
          <w:vertAlign w:val="superscript"/>
        </w:rPr>
        <w:t>th</w:t>
      </w:r>
      <w:r w:rsidR="00BA7298">
        <w:t xml:space="preserve"> percentile.</w:t>
      </w:r>
    </w:p>
    <w:p w14:paraId="616DA12E" w14:textId="77777777" w:rsidR="001D55D4" w:rsidRDefault="001D55D4">
      <w:pPr>
        <w:widowControl/>
        <w:ind w:left="720"/>
      </w:pPr>
    </w:p>
    <w:p w14:paraId="616DA12F" w14:textId="77777777" w:rsidR="0079657A" w:rsidRPr="00534E5F" w:rsidRDefault="0079657A" w:rsidP="00E31061">
      <w:pPr>
        <w:widowControl/>
        <w:ind w:left="720"/>
        <w:rPr>
          <w:b/>
          <w:szCs w:val="24"/>
        </w:rPr>
      </w:pPr>
      <w:r>
        <w:rPr>
          <w:szCs w:val="24"/>
        </w:rPr>
        <w:t xml:space="preserve">BGA, however, has </w:t>
      </w:r>
      <w:r w:rsidR="00E31061">
        <w:rPr>
          <w:szCs w:val="24"/>
        </w:rPr>
        <w:t xml:space="preserve">dramatically </w:t>
      </w:r>
      <w:r>
        <w:rPr>
          <w:szCs w:val="24"/>
        </w:rPr>
        <w:t xml:space="preserve">improved its graduation rates when compared to the graduation rates of </w:t>
      </w:r>
      <w:r w:rsidR="00E31061">
        <w:rPr>
          <w:szCs w:val="24"/>
        </w:rPr>
        <w:t xml:space="preserve">the </w:t>
      </w:r>
      <w:r>
        <w:rPr>
          <w:szCs w:val="24"/>
        </w:rPr>
        <w:t xml:space="preserve">former Odyssey, which were 55.3 percent at 4 years and 58.1 percent at 5 years. </w:t>
      </w:r>
      <w:r w:rsidRPr="00534E5F">
        <w:rPr>
          <w:szCs w:val="24"/>
        </w:rPr>
        <w:t xml:space="preserve">The school has not met </w:t>
      </w:r>
      <w:r>
        <w:rPr>
          <w:szCs w:val="24"/>
        </w:rPr>
        <w:t xml:space="preserve">the </w:t>
      </w:r>
      <w:r w:rsidRPr="00534E5F">
        <w:rPr>
          <w:szCs w:val="24"/>
        </w:rPr>
        <w:t>state accountabil</w:t>
      </w:r>
      <w:r>
        <w:rPr>
          <w:szCs w:val="24"/>
        </w:rPr>
        <w:t>ity target</w:t>
      </w:r>
      <w:r w:rsidRPr="00534E5F">
        <w:rPr>
          <w:szCs w:val="24"/>
        </w:rPr>
        <w:t xml:space="preserve"> of 80 percent for 4-year</w:t>
      </w:r>
      <w:r>
        <w:rPr>
          <w:szCs w:val="24"/>
        </w:rPr>
        <w:t xml:space="preserve"> graduation rate, but has met the target of 85 percent for the 5-year graduation rate. BGA’s</w:t>
      </w:r>
      <w:r w:rsidRPr="00534E5F">
        <w:rPr>
          <w:szCs w:val="24"/>
        </w:rPr>
        <w:t xml:space="preserve"> 4-y</w:t>
      </w:r>
      <w:r>
        <w:rPr>
          <w:szCs w:val="24"/>
        </w:rPr>
        <w:t>ear graduation rate for the 2015 cohort was 77.3</w:t>
      </w:r>
      <w:r w:rsidRPr="00534E5F">
        <w:rPr>
          <w:szCs w:val="24"/>
        </w:rPr>
        <w:t xml:space="preserve"> percent, and th</w:t>
      </w:r>
      <w:r>
        <w:rPr>
          <w:szCs w:val="24"/>
        </w:rPr>
        <w:t>e 5-year graduation rate was 85.3 percent for the 2014</w:t>
      </w:r>
      <w:r w:rsidRPr="00534E5F">
        <w:rPr>
          <w:szCs w:val="24"/>
        </w:rPr>
        <w:t xml:space="preserve"> cohort. BGA’s dropout rate </w:t>
      </w:r>
      <w:r>
        <w:rPr>
          <w:szCs w:val="24"/>
        </w:rPr>
        <w:t xml:space="preserve">continues to decline from prior years. In 2015, BGA’s dropout rate </w:t>
      </w:r>
      <w:r w:rsidRPr="00534E5F">
        <w:rPr>
          <w:szCs w:val="24"/>
        </w:rPr>
        <w:t>wa</w:t>
      </w:r>
      <w:r>
        <w:rPr>
          <w:szCs w:val="24"/>
        </w:rPr>
        <w:t>s 2.9</w:t>
      </w:r>
      <w:r w:rsidRPr="00534E5F">
        <w:rPr>
          <w:szCs w:val="24"/>
        </w:rPr>
        <w:t xml:space="preserve"> percent, which was </w:t>
      </w:r>
      <w:r w:rsidR="00E31061">
        <w:rPr>
          <w:szCs w:val="24"/>
        </w:rPr>
        <w:t xml:space="preserve">significantly </w:t>
      </w:r>
      <w:r w:rsidRPr="00534E5F">
        <w:rPr>
          <w:szCs w:val="24"/>
        </w:rPr>
        <w:t>bett</w:t>
      </w:r>
      <w:r>
        <w:rPr>
          <w:szCs w:val="24"/>
        </w:rPr>
        <w:t>er than its annual target of 5.5</w:t>
      </w:r>
      <w:r w:rsidRPr="00534E5F">
        <w:rPr>
          <w:szCs w:val="24"/>
        </w:rPr>
        <w:t xml:space="preserve"> and its six</w:t>
      </w:r>
      <w:r>
        <w:rPr>
          <w:szCs w:val="24"/>
        </w:rPr>
        <w:t>-</w:t>
      </w:r>
      <w:r w:rsidRPr="00534E5F">
        <w:rPr>
          <w:szCs w:val="24"/>
        </w:rPr>
        <w:t>year goal of 4.7 percent.</w:t>
      </w:r>
      <w:r>
        <w:rPr>
          <w:szCs w:val="24"/>
        </w:rPr>
        <w:t xml:space="preserve"> Odyssey’s dropout rate was 13.5 percent in 2011, the year before the school was taken over by BGA.</w:t>
      </w:r>
    </w:p>
    <w:p w14:paraId="616DA130" w14:textId="77777777" w:rsidR="0079657A" w:rsidRDefault="0079657A" w:rsidP="00E31061">
      <w:pPr>
        <w:widowControl/>
        <w:ind w:left="720"/>
        <w:rPr>
          <w:szCs w:val="24"/>
        </w:rPr>
      </w:pPr>
    </w:p>
    <w:p w14:paraId="616DA131" w14:textId="77777777" w:rsidR="0079657A" w:rsidRPr="0012524E" w:rsidRDefault="0079657A" w:rsidP="00E31061">
      <w:pPr>
        <w:widowControl/>
        <w:ind w:left="720"/>
        <w:rPr>
          <w:szCs w:val="24"/>
        </w:rPr>
      </w:pPr>
      <w:r>
        <w:rPr>
          <w:szCs w:val="24"/>
        </w:rPr>
        <w:t xml:space="preserve">Additionally, when compared to the academic results of Odyssey, BGA has greatly increased the percent of </w:t>
      </w:r>
      <w:r w:rsidR="006221BE">
        <w:rPr>
          <w:szCs w:val="24"/>
        </w:rPr>
        <w:t xml:space="preserve">grade 10 </w:t>
      </w:r>
      <w:r>
        <w:rPr>
          <w:szCs w:val="24"/>
        </w:rPr>
        <w:t xml:space="preserve">students reaching proficiency. In 2011, 53 percent of Odyssey’s students reached proficiency in </w:t>
      </w:r>
      <w:r w:rsidR="00E31061">
        <w:rPr>
          <w:szCs w:val="24"/>
        </w:rPr>
        <w:t>English language arts (</w:t>
      </w:r>
      <w:r>
        <w:rPr>
          <w:szCs w:val="24"/>
        </w:rPr>
        <w:t>ELA</w:t>
      </w:r>
      <w:r w:rsidR="00E31061">
        <w:rPr>
          <w:szCs w:val="24"/>
        </w:rPr>
        <w:t>)</w:t>
      </w:r>
      <w:r>
        <w:rPr>
          <w:szCs w:val="24"/>
        </w:rPr>
        <w:t>, 38 percent were pr</w:t>
      </w:r>
      <w:r w:rsidR="006221BE">
        <w:rPr>
          <w:szCs w:val="24"/>
        </w:rPr>
        <w:t>oficient in mathematics</w:t>
      </w:r>
      <w:r w:rsidR="00E31061">
        <w:rPr>
          <w:szCs w:val="24"/>
        </w:rPr>
        <w:t>,</w:t>
      </w:r>
      <w:r w:rsidR="006221BE">
        <w:rPr>
          <w:szCs w:val="24"/>
        </w:rPr>
        <w:t xml:space="preserve"> and 7 percent were proficient in science. By 2016, 80</w:t>
      </w:r>
      <w:r>
        <w:rPr>
          <w:szCs w:val="24"/>
        </w:rPr>
        <w:t xml:space="preserve"> percent of BGA students re</w:t>
      </w:r>
      <w:r w:rsidR="006221BE">
        <w:rPr>
          <w:szCs w:val="24"/>
        </w:rPr>
        <w:t>ached proficiency in ELA, 58</w:t>
      </w:r>
      <w:r>
        <w:rPr>
          <w:szCs w:val="24"/>
        </w:rPr>
        <w:t xml:space="preserve"> percent were proficient in mathematics</w:t>
      </w:r>
      <w:r w:rsidR="006221BE">
        <w:rPr>
          <w:szCs w:val="24"/>
        </w:rPr>
        <w:t>, and 36 percent reached proficiency in science</w:t>
      </w:r>
      <w:r>
        <w:rPr>
          <w:szCs w:val="24"/>
        </w:rPr>
        <w:t>. The school provides other comparative</w:t>
      </w:r>
      <w:r w:rsidR="006221BE">
        <w:rPr>
          <w:szCs w:val="24"/>
        </w:rPr>
        <w:t xml:space="preserve"> data in its response to the Year Six Site Visit Report</w:t>
      </w:r>
      <w:r>
        <w:rPr>
          <w:szCs w:val="24"/>
        </w:rPr>
        <w:t xml:space="preserve"> (attached).  </w:t>
      </w:r>
    </w:p>
    <w:p w14:paraId="616DA132" w14:textId="77777777" w:rsidR="001D55D4" w:rsidRDefault="001D55D4">
      <w:pPr>
        <w:widowControl/>
      </w:pPr>
    </w:p>
    <w:p w14:paraId="616DA133" w14:textId="77777777" w:rsidR="001D55D4" w:rsidRDefault="008B0DEF">
      <w:pPr>
        <w:widowControl/>
        <w:ind w:left="720"/>
      </w:pPr>
      <w:r>
        <w:t xml:space="preserve">The school’s Composite Performance Index (CPI) for all students declined in both ELA and mathematics between 2015 and 2016, but increased for science and technology/engineering. Aggregate CPI scores are shown in the three displays </w:t>
      </w:r>
      <w:r w:rsidR="0040721F">
        <w:t>that follow</w:t>
      </w:r>
      <w:r>
        <w:t>. In the charts below, in 2012 through 2014</w:t>
      </w:r>
      <w:r w:rsidR="00E31061">
        <w:t>,</w:t>
      </w:r>
      <w:r>
        <w:t xml:space="preserve"> only grade 10 MCAS scores are represented. For 2015, grade 6 PARCC and 10</w:t>
      </w:r>
      <w:r w:rsidRPr="00E527B3">
        <w:rPr>
          <w:vertAlign w:val="superscript"/>
        </w:rPr>
        <w:t>th</w:t>
      </w:r>
      <w:r>
        <w:t xml:space="preserve"> grade MCAS are </w:t>
      </w:r>
      <w:r w:rsidR="006947B1">
        <w:t>included</w:t>
      </w:r>
      <w:r w:rsidR="00E31061">
        <w:t>;</w:t>
      </w:r>
      <w:r>
        <w:t xml:space="preserve"> and for 2016</w:t>
      </w:r>
      <w:r w:rsidR="00E31061">
        <w:t>,</w:t>
      </w:r>
      <w:r>
        <w:t xml:space="preserve"> grades 6 and 7 PARCC and 10</w:t>
      </w:r>
      <w:r w:rsidRPr="00E527B3">
        <w:rPr>
          <w:vertAlign w:val="superscript"/>
        </w:rPr>
        <w:t>th</w:t>
      </w:r>
      <w:r>
        <w:t xml:space="preserve"> grade MCAS are represented. </w:t>
      </w:r>
    </w:p>
    <w:p w14:paraId="616DA134" w14:textId="77777777" w:rsidR="00B16570" w:rsidRDefault="00B16570">
      <w:pPr>
        <w:widowControl/>
      </w:pPr>
      <w:r>
        <w:br w:type="page"/>
      </w:r>
    </w:p>
    <w:p w14:paraId="616DA135" w14:textId="77777777" w:rsidR="001D55D4" w:rsidRDefault="001D55D4">
      <w:pPr>
        <w:widowControl/>
        <w:ind w:left="720"/>
      </w:pPr>
    </w:p>
    <w:p w14:paraId="616DA136" w14:textId="77777777" w:rsidR="003705AE" w:rsidRDefault="003705AE" w:rsidP="00E31061">
      <w:pPr>
        <w:pStyle w:val="ListParagraph"/>
        <w:widowControl/>
        <w:shd w:val="clear" w:color="auto" w:fill="EEECE1"/>
        <w:ind w:left="0"/>
        <w:jc w:val="center"/>
        <w:rPr>
          <w:b/>
          <w:color w:val="000000"/>
          <w:sz w:val="28"/>
        </w:rPr>
      </w:pPr>
      <w:r w:rsidRPr="008D6942">
        <w:rPr>
          <w:b/>
          <w:color w:val="000000"/>
          <w:sz w:val="28"/>
        </w:rPr>
        <w:t>ELA CPI Chart</w:t>
      </w:r>
    </w:p>
    <w:p w14:paraId="616DA137" w14:textId="77777777" w:rsidR="001D55D4" w:rsidRDefault="001D55D4">
      <w:pPr>
        <w:widowControl/>
        <w:ind w:left="720"/>
      </w:pPr>
    </w:p>
    <w:p w14:paraId="616DA138" w14:textId="77777777" w:rsidR="001D55D4" w:rsidRDefault="00A06342">
      <w:pPr>
        <w:widowControl/>
        <w:jc w:val="center"/>
      </w:pPr>
      <w:r w:rsidRPr="00A06342">
        <w:rPr>
          <w:noProof/>
        </w:rPr>
        <w:drawing>
          <wp:inline distT="0" distB="0" distL="0" distR="0" wp14:anchorId="616DA208" wp14:editId="616DA209">
            <wp:extent cx="4562475" cy="3143250"/>
            <wp:effectExtent l="19050" t="0" r="9525" b="0"/>
            <wp:docPr id="5" name="Picture 1" descr="District: Boston Green Academy Horace Mann &#10;  &#10;  &#10;Year ELA Progress Over Time CPI ELA Gap-Narrowing Targets CPI&#10;2012 84.1 &#10;2013 95.3 85.7&#10;2014 89.6 87.3&#10;2015 82.3 88.9&#10;2016 76.0 90.5&#10;2017  9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14:paraId="616DA139" w14:textId="77777777" w:rsidR="001D55D4" w:rsidRDefault="001D55D4">
      <w:pPr>
        <w:widowControl/>
        <w:jc w:val="center"/>
      </w:pPr>
    </w:p>
    <w:p w14:paraId="616DA13A" w14:textId="77777777" w:rsidR="001D55D4" w:rsidRDefault="001D55D4">
      <w:pPr>
        <w:widowControl/>
      </w:pPr>
    </w:p>
    <w:p w14:paraId="616DA13B" w14:textId="77777777" w:rsidR="001D55D4" w:rsidRDefault="001D55D4">
      <w:pPr>
        <w:widowControl/>
        <w:jc w:val="center"/>
      </w:pPr>
    </w:p>
    <w:p w14:paraId="616DA13C" w14:textId="77777777" w:rsidR="003705AE" w:rsidRDefault="003705AE" w:rsidP="00E31061">
      <w:pPr>
        <w:pStyle w:val="ListParagraph"/>
        <w:widowControl/>
        <w:shd w:val="clear" w:color="auto" w:fill="EEECE1"/>
        <w:ind w:left="0"/>
        <w:jc w:val="center"/>
        <w:rPr>
          <w:b/>
          <w:color w:val="000000"/>
          <w:sz w:val="28"/>
        </w:rPr>
      </w:pPr>
      <w:r>
        <w:rPr>
          <w:b/>
          <w:color w:val="000000"/>
          <w:sz w:val="28"/>
        </w:rPr>
        <w:t>Mathematics</w:t>
      </w:r>
      <w:r w:rsidRPr="008D6942">
        <w:rPr>
          <w:b/>
          <w:color w:val="000000"/>
          <w:sz w:val="28"/>
        </w:rPr>
        <w:t xml:space="preserve"> CPI Chart</w:t>
      </w:r>
    </w:p>
    <w:p w14:paraId="616DA13D" w14:textId="77777777" w:rsidR="001D55D4" w:rsidRDefault="001D55D4">
      <w:pPr>
        <w:widowControl/>
        <w:jc w:val="center"/>
      </w:pPr>
    </w:p>
    <w:p w14:paraId="616DA13E" w14:textId="77777777" w:rsidR="001D55D4" w:rsidRDefault="00A06342">
      <w:pPr>
        <w:widowControl/>
        <w:jc w:val="center"/>
      </w:pPr>
      <w:r w:rsidRPr="00A06342">
        <w:rPr>
          <w:noProof/>
        </w:rPr>
        <w:drawing>
          <wp:inline distT="0" distB="0" distL="0" distR="0" wp14:anchorId="616DA20A" wp14:editId="616DA20B">
            <wp:extent cx="4552950" cy="3143250"/>
            <wp:effectExtent l="19050" t="0" r="0" b="0"/>
            <wp:docPr id="6" name="Picture 4" descr="District: Boston Green Academy Horace Mann &#10;  &#10;Year  Math Progress Over Time CPIs Math Gap-Narrowing Targets CPIs&#10;2012 69.7 &#10;2013 74.7 72.7&#10;2014 72.1 75.8&#10;2015 67.7 78.8&#10;2016 59.7 81.8&#10;2017  8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552950" cy="3143250"/>
                    </a:xfrm>
                    <a:prstGeom prst="rect">
                      <a:avLst/>
                    </a:prstGeom>
                    <a:noFill/>
                    <a:ln w="9525">
                      <a:noFill/>
                      <a:miter lim="800000"/>
                      <a:headEnd/>
                      <a:tailEnd/>
                    </a:ln>
                  </pic:spPr>
                </pic:pic>
              </a:graphicData>
            </a:graphic>
          </wp:inline>
        </w:drawing>
      </w:r>
    </w:p>
    <w:p w14:paraId="616DA13F" w14:textId="77777777" w:rsidR="001D55D4" w:rsidRDefault="001D55D4">
      <w:pPr>
        <w:widowControl/>
        <w:jc w:val="center"/>
      </w:pPr>
    </w:p>
    <w:p w14:paraId="616DA140" w14:textId="77777777" w:rsidR="003705AE" w:rsidRDefault="003705AE" w:rsidP="00E31061">
      <w:pPr>
        <w:pStyle w:val="ListParagraph"/>
        <w:widowControl/>
        <w:shd w:val="clear" w:color="auto" w:fill="EEECE1"/>
        <w:ind w:left="0"/>
        <w:jc w:val="center"/>
        <w:rPr>
          <w:b/>
          <w:color w:val="000000"/>
          <w:sz w:val="28"/>
        </w:rPr>
      </w:pPr>
      <w:r>
        <w:rPr>
          <w:b/>
          <w:color w:val="000000"/>
          <w:sz w:val="28"/>
        </w:rPr>
        <w:t>Science</w:t>
      </w:r>
      <w:r w:rsidRPr="008D6942">
        <w:rPr>
          <w:b/>
          <w:color w:val="000000"/>
          <w:sz w:val="28"/>
        </w:rPr>
        <w:t xml:space="preserve"> CPI Chart</w:t>
      </w:r>
    </w:p>
    <w:p w14:paraId="616DA141" w14:textId="77777777" w:rsidR="001D55D4" w:rsidRDefault="000B0C6E">
      <w:pPr>
        <w:widowControl/>
        <w:jc w:val="center"/>
      </w:pPr>
      <w:r>
        <w:rPr>
          <w:noProof/>
          <w:snapToGrid/>
        </w:rPr>
        <w:drawing>
          <wp:inline distT="0" distB="0" distL="0" distR="0" wp14:anchorId="616DA20C" wp14:editId="616DA20D">
            <wp:extent cx="4610100" cy="3181350"/>
            <wp:effectExtent l="19050" t="0" r="0" b="0"/>
            <wp:docPr id="9" name="Picture 9" descr="District: Boston Green Academy Horace Mann &#10;  &#10; &#10;Year Science Progress Over Time CPIs Science Gap-Narrowing Targets CPIs&#10;2012  &#10;2013 78.6 &#10;2014 62.9 61.2&#10;2015 65.7 65.5&#10;2016 72.3 69.8&#10;2017  7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610100" cy="3181350"/>
                    </a:xfrm>
                    <a:prstGeom prst="rect">
                      <a:avLst/>
                    </a:prstGeom>
                    <a:noFill/>
                    <a:ln w="9525">
                      <a:noFill/>
                      <a:miter lim="800000"/>
                      <a:headEnd/>
                      <a:tailEnd/>
                    </a:ln>
                  </pic:spPr>
                </pic:pic>
              </a:graphicData>
            </a:graphic>
          </wp:inline>
        </w:drawing>
      </w:r>
    </w:p>
    <w:p w14:paraId="616DA142" w14:textId="77777777" w:rsidR="001D55D4" w:rsidRDefault="001D55D4" w:rsidP="000B0C6E">
      <w:pPr>
        <w:widowControl/>
      </w:pPr>
    </w:p>
    <w:p w14:paraId="616DA143" w14:textId="77777777" w:rsidR="001D55D4" w:rsidRDefault="00450B8A">
      <w:pPr>
        <w:widowControl/>
        <w:ind w:left="720"/>
      </w:pPr>
      <w:r>
        <w:t xml:space="preserve">Student growth percentiles (SGP) </w:t>
      </w:r>
      <w:r w:rsidR="0076496C">
        <w:t>for all students and high needs students declined in 2016</w:t>
      </w:r>
      <w:r>
        <w:t>. The school’s SGP for all students in 2016 was 36.0 in ELA (below target growth) and 25.0 in mathematics (below target growth).</w:t>
      </w:r>
      <w:r w:rsidR="00D8656D">
        <w:t xml:space="preserve"> In the table below, SGPs for 2013 and 2014 only represent 10</w:t>
      </w:r>
      <w:r w:rsidR="00D8656D" w:rsidRPr="00D8656D">
        <w:rPr>
          <w:vertAlign w:val="superscript"/>
        </w:rPr>
        <w:t>th</w:t>
      </w:r>
      <w:r w:rsidR="00D8656D">
        <w:t xml:space="preserve"> grade results</w:t>
      </w:r>
      <w:r w:rsidR="00C2420F">
        <w:t>. T</w:t>
      </w:r>
      <w:r w:rsidR="00D8656D">
        <w:t xml:space="preserve">he 2015 and 2016 SGPs include grade 6 and grade 6 and 7 SGPs as well as grade 10. </w:t>
      </w:r>
    </w:p>
    <w:p w14:paraId="616DA144" w14:textId="77777777" w:rsidR="001D55D4" w:rsidRDefault="001D55D4">
      <w:pPr>
        <w:widowControl/>
        <w:ind w:left="720"/>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99"/>
        <w:gridCol w:w="899"/>
        <w:gridCol w:w="864"/>
        <w:gridCol w:w="864"/>
        <w:gridCol w:w="864"/>
      </w:tblGrid>
      <w:tr w:rsidR="00450B8A" w:rsidRPr="00971004" w14:paraId="616DA147" w14:textId="77777777" w:rsidTr="00450B8A">
        <w:tc>
          <w:tcPr>
            <w:tcW w:w="0" w:type="auto"/>
            <w:shd w:val="clear" w:color="auto" w:fill="BFBFBF"/>
          </w:tcPr>
          <w:p w14:paraId="616DA145" w14:textId="77777777" w:rsidR="001D55D4" w:rsidRDefault="001D55D4">
            <w:pPr>
              <w:widowControl/>
              <w:rPr>
                <w:b/>
                <w:bCs/>
                <w:i/>
                <w:szCs w:val="24"/>
              </w:rPr>
            </w:pPr>
          </w:p>
        </w:tc>
        <w:tc>
          <w:tcPr>
            <w:tcW w:w="0" w:type="auto"/>
            <w:gridSpan w:val="5"/>
            <w:shd w:val="clear" w:color="auto" w:fill="BFBFBF"/>
            <w:vAlign w:val="center"/>
          </w:tcPr>
          <w:p w14:paraId="616DA146" w14:textId="77777777" w:rsidR="001D55D4" w:rsidRDefault="00CC2EA2">
            <w:pPr>
              <w:widowControl/>
              <w:rPr>
                <w:b/>
                <w:bCs/>
                <w:szCs w:val="24"/>
              </w:rPr>
            </w:pPr>
            <w:r w:rsidRPr="00CC2EA2">
              <w:rPr>
                <w:b/>
                <w:bCs/>
                <w:szCs w:val="24"/>
              </w:rPr>
              <w:t xml:space="preserve">BGA Median Student Growth Percentile </w:t>
            </w:r>
          </w:p>
        </w:tc>
      </w:tr>
      <w:tr w:rsidR="00450B8A" w:rsidRPr="0099642D" w14:paraId="616DA14D" w14:textId="77777777" w:rsidTr="00450B8A">
        <w:tc>
          <w:tcPr>
            <w:tcW w:w="2072" w:type="dxa"/>
            <w:gridSpan w:val="2"/>
            <w:shd w:val="clear" w:color="auto" w:fill="D9D9D9"/>
            <w:vAlign w:val="center"/>
          </w:tcPr>
          <w:p w14:paraId="616DA148" w14:textId="77777777" w:rsidR="001D55D4" w:rsidRDefault="00450B8A">
            <w:pPr>
              <w:widowControl/>
              <w:jc w:val="center"/>
              <w:rPr>
                <w:b/>
                <w:bCs/>
                <w:szCs w:val="24"/>
              </w:rPr>
            </w:pPr>
            <w:r w:rsidRPr="00971004">
              <w:rPr>
                <w:b/>
                <w:bCs/>
                <w:szCs w:val="24"/>
              </w:rPr>
              <w:t>Year</w:t>
            </w:r>
          </w:p>
        </w:tc>
        <w:tc>
          <w:tcPr>
            <w:tcW w:w="769" w:type="dxa"/>
            <w:shd w:val="clear" w:color="auto" w:fill="D9D9D9"/>
            <w:vAlign w:val="center"/>
          </w:tcPr>
          <w:p w14:paraId="616DA149" w14:textId="77777777" w:rsidR="001D55D4" w:rsidRDefault="00450B8A">
            <w:pPr>
              <w:widowControl/>
              <w:jc w:val="center"/>
              <w:rPr>
                <w:b/>
                <w:bCs/>
                <w:szCs w:val="24"/>
              </w:rPr>
            </w:pPr>
            <w:r w:rsidRPr="0099642D">
              <w:rPr>
                <w:b/>
                <w:bCs/>
                <w:szCs w:val="24"/>
              </w:rPr>
              <w:t>201</w:t>
            </w:r>
            <w:r>
              <w:rPr>
                <w:b/>
                <w:bCs/>
                <w:szCs w:val="24"/>
              </w:rPr>
              <w:t>3</w:t>
            </w:r>
          </w:p>
        </w:tc>
        <w:tc>
          <w:tcPr>
            <w:tcW w:w="739" w:type="dxa"/>
            <w:shd w:val="clear" w:color="auto" w:fill="D9D9D9"/>
          </w:tcPr>
          <w:p w14:paraId="616DA14A" w14:textId="77777777" w:rsidR="001D55D4" w:rsidRDefault="00450B8A">
            <w:pPr>
              <w:widowControl/>
              <w:jc w:val="center"/>
              <w:rPr>
                <w:b/>
                <w:bCs/>
                <w:szCs w:val="24"/>
              </w:rPr>
            </w:pPr>
            <w:r>
              <w:rPr>
                <w:b/>
                <w:bCs/>
                <w:szCs w:val="24"/>
              </w:rPr>
              <w:t>2014</w:t>
            </w:r>
          </w:p>
        </w:tc>
        <w:tc>
          <w:tcPr>
            <w:tcW w:w="739" w:type="dxa"/>
            <w:shd w:val="clear" w:color="auto" w:fill="D9D9D9"/>
          </w:tcPr>
          <w:p w14:paraId="616DA14B" w14:textId="77777777" w:rsidR="001D55D4" w:rsidRDefault="00450B8A">
            <w:pPr>
              <w:widowControl/>
              <w:jc w:val="center"/>
              <w:rPr>
                <w:b/>
                <w:bCs/>
                <w:szCs w:val="24"/>
              </w:rPr>
            </w:pPr>
            <w:r>
              <w:rPr>
                <w:b/>
                <w:bCs/>
                <w:szCs w:val="24"/>
              </w:rPr>
              <w:t>2015</w:t>
            </w:r>
          </w:p>
        </w:tc>
        <w:tc>
          <w:tcPr>
            <w:tcW w:w="739" w:type="dxa"/>
            <w:shd w:val="clear" w:color="auto" w:fill="D9D9D9"/>
          </w:tcPr>
          <w:p w14:paraId="616DA14C" w14:textId="77777777" w:rsidR="001D55D4" w:rsidRDefault="00450B8A">
            <w:pPr>
              <w:widowControl/>
              <w:jc w:val="center"/>
              <w:rPr>
                <w:b/>
                <w:bCs/>
                <w:szCs w:val="24"/>
              </w:rPr>
            </w:pPr>
            <w:r>
              <w:rPr>
                <w:b/>
                <w:bCs/>
                <w:szCs w:val="24"/>
              </w:rPr>
              <w:t>2016</w:t>
            </w:r>
          </w:p>
        </w:tc>
      </w:tr>
      <w:tr w:rsidR="00450B8A" w:rsidRPr="00971004" w14:paraId="616DA154" w14:textId="77777777" w:rsidTr="00450B8A">
        <w:tc>
          <w:tcPr>
            <w:tcW w:w="0" w:type="auto"/>
            <w:vMerge w:val="restart"/>
            <w:shd w:val="clear" w:color="auto" w:fill="D9D9D9"/>
            <w:vAlign w:val="center"/>
          </w:tcPr>
          <w:p w14:paraId="616DA14E" w14:textId="77777777" w:rsidR="001D55D4" w:rsidRDefault="00450B8A">
            <w:pPr>
              <w:widowControl/>
              <w:rPr>
                <w:b/>
                <w:bCs/>
                <w:szCs w:val="24"/>
              </w:rPr>
            </w:pPr>
            <w:r>
              <w:rPr>
                <w:b/>
                <w:bCs/>
                <w:szCs w:val="24"/>
              </w:rPr>
              <w:t>ELA SGP</w:t>
            </w:r>
          </w:p>
        </w:tc>
        <w:tc>
          <w:tcPr>
            <w:tcW w:w="769" w:type="dxa"/>
          </w:tcPr>
          <w:p w14:paraId="616DA14F" w14:textId="77777777" w:rsidR="001D55D4" w:rsidRDefault="00450B8A">
            <w:pPr>
              <w:widowControl/>
              <w:jc w:val="center"/>
              <w:rPr>
                <w:bCs/>
                <w:sz w:val="22"/>
                <w:szCs w:val="22"/>
              </w:rPr>
            </w:pPr>
            <w:r w:rsidRPr="001E1410">
              <w:rPr>
                <w:bCs/>
                <w:sz w:val="22"/>
                <w:szCs w:val="22"/>
              </w:rPr>
              <w:t>All</w:t>
            </w:r>
          </w:p>
        </w:tc>
        <w:tc>
          <w:tcPr>
            <w:tcW w:w="769" w:type="dxa"/>
            <w:vAlign w:val="center"/>
          </w:tcPr>
          <w:p w14:paraId="616DA150" w14:textId="77777777" w:rsidR="001D55D4" w:rsidRDefault="00450B8A">
            <w:pPr>
              <w:widowControl/>
              <w:jc w:val="center"/>
              <w:rPr>
                <w:bCs/>
                <w:szCs w:val="24"/>
              </w:rPr>
            </w:pPr>
            <w:r>
              <w:rPr>
                <w:bCs/>
                <w:szCs w:val="24"/>
              </w:rPr>
              <w:t>60</w:t>
            </w:r>
          </w:p>
        </w:tc>
        <w:tc>
          <w:tcPr>
            <w:tcW w:w="739" w:type="dxa"/>
            <w:vAlign w:val="center"/>
          </w:tcPr>
          <w:p w14:paraId="616DA151" w14:textId="77777777" w:rsidR="001D55D4" w:rsidRDefault="00450B8A">
            <w:pPr>
              <w:widowControl/>
              <w:jc w:val="center"/>
              <w:rPr>
                <w:bCs/>
                <w:szCs w:val="24"/>
              </w:rPr>
            </w:pPr>
            <w:r>
              <w:rPr>
                <w:bCs/>
                <w:szCs w:val="24"/>
              </w:rPr>
              <w:t>37.5</w:t>
            </w:r>
          </w:p>
        </w:tc>
        <w:tc>
          <w:tcPr>
            <w:tcW w:w="739" w:type="dxa"/>
            <w:vAlign w:val="center"/>
          </w:tcPr>
          <w:p w14:paraId="616DA152" w14:textId="77777777" w:rsidR="001D55D4" w:rsidRDefault="00450B8A">
            <w:pPr>
              <w:widowControl/>
              <w:jc w:val="center"/>
              <w:rPr>
                <w:bCs/>
                <w:szCs w:val="24"/>
              </w:rPr>
            </w:pPr>
            <w:r>
              <w:rPr>
                <w:bCs/>
                <w:szCs w:val="24"/>
              </w:rPr>
              <w:t>37.5</w:t>
            </w:r>
          </w:p>
        </w:tc>
        <w:tc>
          <w:tcPr>
            <w:tcW w:w="739" w:type="dxa"/>
            <w:vAlign w:val="center"/>
          </w:tcPr>
          <w:p w14:paraId="616DA153" w14:textId="77777777" w:rsidR="001D55D4" w:rsidRDefault="00450B8A">
            <w:pPr>
              <w:widowControl/>
              <w:jc w:val="center"/>
              <w:rPr>
                <w:bCs/>
                <w:szCs w:val="24"/>
              </w:rPr>
            </w:pPr>
            <w:r>
              <w:rPr>
                <w:bCs/>
                <w:szCs w:val="24"/>
              </w:rPr>
              <w:t>36</w:t>
            </w:r>
          </w:p>
        </w:tc>
      </w:tr>
      <w:tr w:rsidR="00450B8A" w:rsidRPr="00971004" w14:paraId="616DA15B" w14:textId="77777777" w:rsidTr="00450B8A">
        <w:tc>
          <w:tcPr>
            <w:tcW w:w="0" w:type="auto"/>
            <w:vMerge/>
            <w:shd w:val="clear" w:color="auto" w:fill="D9D9D9"/>
            <w:vAlign w:val="center"/>
          </w:tcPr>
          <w:p w14:paraId="616DA155" w14:textId="77777777" w:rsidR="001D55D4" w:rsidRDefault="001D55D4">
            <w:pPr>
              <w:widowControl/>
              <w:rPr>
                <w:b/>
                <w:bCs/>
                <w:szCs w:val="24"/>
              </w:rPr>
            </w:pPr>
          </w:p>
        </w:tc>
        <w:tc>
          <w:tcPr>
            <w:tcW w:w="769" w:type="dxa"/>
          </w:tcPr>
          <w:p w14:paraId="616DA156" w14:textId="77777777" w:rsidR="001D55D4" w:rsidRDefault="00450B8A">
            <w:pPr>
              <w:widowControl/>
              <w:jc w:val="center"/>
              <w:rPr>
                <w:bCs/>
                <w:sz w:val="22"/>
                <w:szCs w:val="22"/>
              </w:rPr>
            </w:pPr>
            <w:r w:rsidRPr="001E1410">
              <w:rPr>
                <w:bCs/>
                <w:sz w:val="22"/>
                <w:szCs w:val="22"/>
              </w:rPr>
              <w:t>High needs</w:t>
            </w:r>
          </w:p>
        </w:tc>
        <w:tc>
          <w:tcPr>
            <w:tcW w:w="769" w:type="dxa"/>
            <w:vAlign w:val="center"/>
          </w:tcPr>
          <w:p w14:paraId="616DA157" w14:textId="77777777" w:rsidR="001D55D4" w:rsidRDefault="00450B8A">
            <w:pPr>
              <w:widowControl/>
              <w:jc w:val="center"/>
              <w:rPr>
                <w:bCs/>
                <w:szCs w:val="24"/>
              </w:rPr>
            </w:pPr>
            <w:r>
              <w:rPr>
                <w:bCs/>
                <w:szCs w:val="24"/>
              </w:rPr>
              <w:t>60.5</w:t>
            </w:r>
          </w:p>
        </w:tc>
        <w:tc>
          <w:tcPr>
            <w:tcW w:w="739" w:type="dxa"/>
            <w:vAlign w:val="center"/>
          </w:tcPr>
          <w:p w14:paraId="616DA158" w14:textId="77777777" w:rsidR="001D55D4" w:rsidRDefault="00450B8A">
            <w:pPr>
              <w:widowControl/>
              <w:jc w:val="center"/>
              <w:rPr>
                <w:bCs/>
                <w:szCs w:val="24"/>
              </w:rPr>
            </w:pPr>
            <w:r>
              <w:rPr>
                <w:bCs/>
                <w:szCs w:val="24"/>
              </w:rPr>
              <w:t>36</w:t>
            </w:r>
          </w:p>
        </w:tc>
        <w:tc>
          <w:tcPr>
            <w:tcW w:w="739" w:type="dxa"/>
            <w:vAlign w:val="center"/>
          </w:tcPr>
          <w:p w14:paraId="616DA159" w14:textId="77777777" w:rsidR="001D55D4" w:rsidRDefault="00450B8A">
            <w:pPr>
              <w:widowControl/>
              <w:jc w:val="center"/>
              <w:rPr>
                <w:bCs/>
                <w:szCs w:val="24"/>
              </w:rPr>
            </w:pPr>
            <w:r>
              <w:rPr>
                <w:bCs/>
                <w:szCs w:val="24"/>
              </w:rPr>
              <w:t>34</w:t>
            </w:r>
          </w:p>
        </w:tc>
        <w:tc>
          <w:tcPr>
            <w:tcW w:w="739" w:type="dxa"/>
            <w:vAlign w:val="center"/>
          </w:tcPr>
          <w:p w14:paraId="616DA15A" w14:textId="77777777" w:rsidR="001D55D4" w:rsidRDefault="00450B8A">
            <w:pPr>
              <w:widowControl/>
              <w:jc w:val="center"/>
              <w:rPr>
                <w:bCs/>
                <w:szCs w:val="24"/>
              </w:rPr>
            </w:pPr>
            <w:r>
              <w:rPr>
                <w:bCs/>
                <w:szCs w:val="24"/>
              </w:rPr>
              <w:t>33</w:t>
            </w:r>
          </w:p>
        </w:tc>
      </w:tr>
      <w:tr w:rsidR="00450B8A" w:rsidRPr="00971004" w14:paraId="616DA162" w14:textId="77777777" w:rsidTr="00450B8A">
        <w:tc>
          <w:tcPr>
            <w:tcW w:w="0" w:type="auto"/>
            <w:vMerge w:val="restart"/>
            <w:shd w:val="clear" w:color="auto" w:fill="D9D9D9"/>
            <w:vAlign w:val="center"/>
          </w:tcPr>
          <w:p w14:paraId="616DA15C" w14:textId="77777777" w:rsidR="001D55D4" w:rsidRDefault="00450B8A">
            <w:pPr>
              <w:widowControl/>
              <w:rPr>
                <w:b/>
                <w:bCs/>
                <w:szCs w:val="24"/>
              </w:rPr>
            </w:pPr>
            <w:r>
              <w:rPr>
                <w:b/>
                <w:bCs/>
                <w:szCs w:val="24"/>
              </w:rPr>
              <w:t>Math SGP</w:t>
            </w:r>
          </w:p>
        </w:tc>
        <w:tc>
          <w:tcPr>
            <w:tcW w:w="769" w:type="dxa"/>
          </w:tcPr>
          <w:p w14:paraId="616DA15D" w14:textId="77777777" w:rsidR="001D55D4" w:rsidRDefault="00450B8A">
            <w:pPr>
              <w:widowControl/>
              <w:jc w:val="center"/>
              <w:rPr>
                <w:bCs/>
                <w:sz w:val="22"/>
                <w:szCs w:val="22"/>
              </w:rPr>
            </w:pPr>
            <w:r w:rsidRPr="001E1410">
              <w:rPr>
                <w:bCs/>
                <w:sz w:val="22"/>
                <w:szCs w:val="22"/>
              </w:rPr>
              <w:t xml:space="preserve">All </w:t>
            </w:r>
          </w:p>
        </w:tc>
        <w:tc>
          <w:tcPr>
            <w:tcW w:w="769" w:type="dxa"/>
            <w:vAlign w:val="center"/>
          </w:tcPr>
          <w:p w14:paraId="616DA15E" w14:textId="77777777" w:rsidR="001D55D4" w:rsidRDefault="00450B8A">
            <w:pPr>
              <w:widowControl/>
              <w:jc w:val="center"/>
              <w:rPr>
                <w:bCs/>
                <w:szCs w:val="24"/>
              </w:rPr>
            </w:pPr>
            <w:r>
              <w:rPr>
                <w:bCs/>
                <w:szCs w:val="24"/>
              </w:rPr>
              <w:t>31</w:t>
            </w:r>
          </w:p>
        </w:tc>
        <w:tc>
          <w:tcPr>
            <w:tcW w:w="739" w:type="dxa"/>
            <w:vAlign w:val="center"/>
          </w:tcPr>
          <w:p w14:paraId="616DA15F" w14:textId="77777777" w:rsidR="001D55D4" w:rsidRDefault="00450B8A">
            <w:pPr>
              <w:widowControl/>
              <w:jc w:val="center"/>
              <w:rPr>
                <w:bCs/>
                <w:szCs w:val="24"/>
              </w:rPr>
            </w:pPr>
            <w:r>
              <w:rPr>
                <w:bCs/>
                <w:szCs w:val="24"/>
              </w:rPr>
              <w:t>26</w:t>
            </w:r>
          </w:p>
        </w:tc>
        <w:tc>
          <w:tcPr>
            <w:tcW w:w="739" w:type="dxa"/>
            <w:vAlign w:val="center"/>
          </w:tcPr>
          <w:p w14:paraId="616DA160" w14:textId="77777777" w:rsidR="001D55D4" w:rsidRDefault="00450B8A">
            <w:pPr>
              <w:widowControl/>
              <w:jc w:val="center"/>
              <w:rPr>
                <w:bCs/>
                <w:szCs w:val="24"/>
              </w:rPr>
            </w:pPr>
            <w:r>
              <w:rPr>
                <w:bCs/>
                <w:szCs w:val="24"/>
              </w:rPr>
              <w:t>26</w:t>
            </w:r>
          </w:p>
        </w:tc>
        <w:tc>
          <w:tcPr>
            <w:tcW w:w="739" w:type="dxa"/>
            <w:vAlign w:val="center"/>
          </w:tcPr>
          <w:p w14:paraId="616DA161" w14:textId="77777777" w:rsidR="001D55D4" w:rsidRDefault="00450B8A">
            <w:pPr>
              <w:widowControl/>
              <w:jc w:val="center"/>
              <w:rPr>
                <w:bCs/>
                <w:szCs w:val="24"/>
              </w:rPr>
            </w:pPr>
            <w:r>
              <w:rPr>
                <w:bCs/>
                <w:szCs w:val="24"/>
              </w:rPr>
              <w:t>25</w:t>
            </w:r>
          </w:p>
        </w:tc>
      </w:tr>
      <w:tr w:rsidR="00450B8A" w:rsidRPr="00971004" w14:paraId="616DA169" w14:textId="77777777" w:rsidTr="00450B8A">
        <w:tc>
          <w:tcPr>
            <w:tcW w:w="0" w:type="auto"/>
            <w:vMerge/>
            <w:shd w:val="clear" w:color="auto" w:fill="D9D9D9"/>
            <w:vAlign w:val="center"/>
          </w:tcPr>
          <w:p w14:paraId="616DA163" w14:textId="77777777" w:rsidR="001D55D4" w:rsidRDefault="001D55D4">
            <w:pPr>
              <w:widowControl/>
              <w:rPr>
                <w:b/>
                <w:bCs/>
                <w:szCs w:val="24"/>
              </w:rPr>
            </w:pPr>
          </w:p>
        </w:tc>
        <w:tc>
          <w:tcPr>
            <w:tcW w:w="769" w:type="dxa"/>
          </w:tcPr>
          <w:p w14:paraId="616DA164" w14:textId="77777777" w:rsidR="001D55D4" w:rsidRDefault="00450B8A">
            <w:pPr>
              <w:widowControl/>
              <w:jc w:val="center"/>
              <w:rPr>
                <w:bCs/>
                <w:sz w:val="22"/>
                <w:szCs w:val="22"/>
              </w:rPr>
            </w:pPr>
            <w:r w:rsidRPr="001E1410">
              <w:rPr>
                <w:bCs/>
                <w:sz w:val="22"/>
                <w:szCs w:val="22"/>
              </w:rPr>
              <w:t>High needs</w:t>
            </w:r>
          </w:p>
        </w:tc>
        <w:tc>
          <w:tcPr>
            <w:tcW w:w="769" w:type="dxa"/>
            <w:vAlign w:val="center"/>
          </w:tcPr>
          <w:p w14:paraId="616DA165" w14:textId="77777777" w:rsidR="001D55D4" w:rsidRDefault="00450B8A">
            <w:pPr>
              <w:widowControl/>
              <w:jc w:val="center"/>
              <w:rPr>
                <w:bCs/>
                <w:szCs w:val="24"/>
              </w:rPr>
            </w:pPr>
            <w:r>
              <w:rPr>
                <w:bCs/>
                <w:szCs w:val="24"/>
              </w:rPr>
              <w:t>30.5</w:t>
            </w:r>
          </w:p>
        </w:tc>
        <w:tc>
          <w:tcPr>
            <w:tcW w:w="739" w:type="dxa"/>
            <w:vAlign w:val="center"/>
          </w:tcPr>
          <w:p w14:paraId="616DA166" w14:textId="77777777" w:rsidR="001D55D4" w:rsidRDefault="00450B8A">
            <w:pPr>
              <w:widowControl/>
              <w:jc w:val="center"/>
              <w:rPr>
                <w:bCs/>
                <w:szCs w:val="24"/>
              </w:rPr>
            </w:pPr>
            <w:r>
              <w:rPr>
                <w:bCs/>
                <w:szCs w:val="24"/>
              </w:rPr>
              <w:t>26</w:t>
            </w:r>
          </w:p>
        </w:tc>
        <w:tc>
          <w:tcPr>
            <w:tcW w:w="739" w:type="dxa"/>
            <w:vAlign w:val="center"/>
          </w:tcPr>
          <w:p w14:paraId="616DA167" w14:textId="77777777" w:rsidR="001D55D4" w:rsidRDefault="00450B8A">
            <w:pPr>
              <w:widowControl/>
              <w:jc w:val="center"/>
              <w:rPr>
                <w:bCs/>
                <w:szCs w:val="24"/>
              </w:rPr>
            </w:pPr>
            <w:r>
              <w:rPr>
                <w:bCs/>
                <w:szCs w:val="24"/>
              </w:rPr>
              <w:t>25</w:t>
            </w:r>
          </w:p>
        </w:tc>
        <w:tc>
          <w:tcPr>
            <w:tcW w:w="739" w:type="dxa"/>
            <w:vAlign w:val="center"/>
          </w:tcPr>
          <w:p w14:paraId="616DA168" w14:textId="77777777" w:rsidR="001D55D4" w:rsidRDefault="00450B8A">
            <w:pPr>
              <w:widowControl/>
              <w:jc w:val="center"/>
              <w:rPr>
                <w:bCs/>
                <w:szCs w:val="24"/>
              </w:rPr>
            </w:pPr>
            <w:r>
              <w:rPr>
                <w:bCs/>
                <w:szCs w:val="24"/>
              </w:rPr>
              <w:t>25</w:t>
            </w:r>
          </w:p>
        </w:tc>
      </w:tr>
    </w:tbl>
    <w:p w14:paraId="616DA16A" w14:textId="77777777" w:rsidR="001D55D4" w:rsidRDefault="001D55D4">
      <w:pPr>
        <w:widowControl/>
        <w:ind w:left="720"/>
      </w:pPr>
    </w:p>
    <w:p w14:paraId="616DA16B" w14:textId="77777777" w:rsidR="001D55D4" w:rsidRDefault="001D55D4">
      <w:pPr>
        <w:widowControl/>
        <w:rPr>
          <w:i/>
        </w:rPr>
      </w:pPr>
    </w:p>
    <w:p w14:paraId="616DA16C" w14:textId="77777777" w:rsidR="001D55D4" w:rsidRDefault="001D55D4">
      <w:pPr>
        <w:widowControl/>
        <w:ind w:firstLine="720"/>
        <w:rPr>
          <w:i/>
        </w:rPr>
      </w:pPr>
    </w:p>
    <w:p w14:paraId="616DA16D" w14:textId="77777777" w:rsidR="001D55D4" w:rsidRDefault="001D55D4">
      <w:pPr>
        <w:widowControl/>
        <w:ind w:firstLine="720"/>
        <w:rPr>
          <w:i/>
        </w:rPr>
      </w:pPr>
    </w:p>
    <w:p w14:paraId="616DA16E" w14:textId="77777777" w:rsidR="001D55D4" w:rsidRDefault="001D55D4">
      <w:pPr>
        <w:widowControl/>
        <w:ind w:firstLine="720"/>
        <w:rPr>
          <w:i/>
        </w:rPr>
      </w:pPr>
    </w:p>
    <w:p w14:paraId="616DA16F" w14:textId="77777777" w:rsidR="001D55D4" w:rsidRDefault="001D55D4">
      <w:pPr>
        <w:widowControl/>
        <w:ind w:firstLine="720"/>
        <w:rPr>
          <w:i/>
        </w:rPr>
      </w:pPr>
    </w:p>
    <w:p w14:paraId="616DA170" w14:textId="77777777" w:rsidR="001D55D4" w:rsidRDefault="001D55D4">
      <w:pPr>
        <w:widowControl/>
        <w:ind w:firstLine="720"/>
        <w:rPr>
          <w:i/>
        </w:rPr>
      </w:pPr>
    </w:p>
    <w:p w14:paraId="616DA171" w14:textId="77777777" w:rsidR="001D55D4" w:rsidRDefault="001D55D4">
      <w:pPr>
        <w:widowControl/>
        <w:ind w:firstLine="720"/>
        <w:rPr>
          <w:i/>
        </w:rPr>
      </w:pPr>
    </w:p>
    <w:p w14:paraId="616DA172" w14:textId="77777777" w:rsidR="001D55D4" w:rsidRDefault="001D55D4">
      <w:pPr>
        <w:widowControl/>
        <w:ind w:firstLine="720"/>
        <w:rPr>
          <w:i/>
        </w:rPr>
      </w:pPr>
    </w:p>
    <w:p w14:paraId="616DA173" w14:textId="77777777" w:rsidR="001D55D4" w:rsidRDefault="001D55D4">
      <w:pPr>
        <w:widowControl/>
        <w:ind w:firstLine="720"/>
        <w:rPr>
          <w:i/>
        </w:rPr>
      </w:pPr>
    </w:p>
    <w:p w14:paraId="616DA174" w14:textId="77777777" w:rsidR="001D55D4" w:rsidRDefault="008B0DEF">
      <w:pPr>
        <w:widowControl/>
        <w:ind w:left="720"/>
      </w:pPr>
      <w:r>
        <w:t xml:space="preserve">The school’s grade 10 CPIs for 2016 </w:t>
      </w:r>
      <w:r w:rsidR="00D8656D">
        <w:t xml:space="preserve">demonstrated improvement from the prior year: </w:t>
      </w:r>
      <w:r>
        <w:t>92.2 for ELA, 83.2 for mathematics</w:t>
      </w:r>
      <w:r w:rsidR="006560D4">
        <w:t>,</w:t>
      </w:r>
      <w:r>
        <w:t xml:space="preserve"> and 72.3 for science and technology/engineering. The grade 10 CPIs increased from 2015, with a 1.7 point increase in ELA, a 5.2 point increase in mathematics, and a 6.6 point increase in science and technology/engineering. In 2016, 80 percent of BGA grade 10 students scored in the Proficient and Advanced categories on the ELA assessment. In mathematics, 58 percent scored Proficient and Advanced. In science and technology/engineering, 36 percent scored Proficient and </w:t>
      </w:r>
      <w:r>
        <w:lastRenderedPageBreak/>
        <w:t xml:space="preserve">Advanced. The school’s grade 10 MCAS SGPs for 2016 were 37.0 in ELA and 27.5 in mathematics, both below the state median of 50.0. </w:t>
      </w:r>
    </w:p>
    <w:p w14:paraId="616DA175" w14:textId="77777777" w:rsidR="001D55D4" w:rsidRDefault="001D55D4">
      <w:pPr>
        <w:widowControl/>
      </w:pPr>
    </w:p>
    <w:p w14:paraId="616DA176" w14:textId="77777777" w:rsidR="001D55D4" w:rsidRDefault="008B0DEF">
      <w:pPr>
        <w:widowControl/>
        <w:ind w:firstLine="720"/>
      </w:pPr>
      <w:r>
        <w:t>The school’s historical SGP data for the 10</w:t>
      </w:r>
      <w:r w:rsidRPr="004F043D">
        <w:rPr>
          <w:vertAlign w:val="superscript"/>
        </w:rPr>
        <w:t>th</w:t>
      </w:r>
      <w:r>
        <w:t xml:space="preserve"> grade MCAS </w:t>
      </w:r>
      <w:r w:rsidR="006560D4">
        <w:t>follow</w:t>
      </w:r>
      <w:r>
        <w:t>.</w:t>
      </w:r>
    </w:p>
    <w:p w14:paraId="616DA177" w14:textId="77777777" w:rsidR="001D55D4" w:rsidRDefault="008B0DEF">
      <w:pPr>
        <w:widowControl/>
        <w:ind w:firstLine="720"/>
      </w:pPr>
      <w:r>
        <w:t xml:space="preserve"> </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769"/>
        <w:gridCol w:w="769"/>
        <w:gridCol w:w="739"/>
        <w:gridCol w:w="739"/>
        <w:gridCol w:w="739"/>
      </w:tblGrid>
      <w:tr w:rsidR="008B0DEF" w:rsidRPr="00971004" w14:paraId="616DA179" w14:textId="77777777" w:rsidTr="008B0DEF">
        <w:tc>
          <w:tcPr>
            <w:tcW w:w="0" w:type="auto"/>
            <w:gridSpan w:val="6"/>
            <w:shd w:val="clear" w:color="auto" w:fill="BFBFBF"/>
            <w:vAlign w:val="center"/>
          </w:tcPr>
          <w:p w14:paraId="616DA178" w14:textId="77777777" w:rsidR="001D55D4" w:rsidRDefault="00CC2EA2">
            <w:pPr>
              <w:widowControl/>
              <w:rPr>
                <w:b/>
                <w:bCs/>
                <w:szCs w:val="24"/>
              </w:rPr>
            </w:pPr>
            <w:r w:rsidRPr="00CC2EA2">
              <w:rPr>
                <w:b/>
                <w:bCs/>
                <w:szCs w:val="24"/>
              </w:rPr>
              <w:t>BGA Median Student Growth Percentile for 10</w:t>
            </w:r>
            <w:r w:rsidRPr="00CC2EA2">
              <w:rPr>
                <w:b/>
                <w:bCs/>
                <w:szCs w:val="24"/>
                <w:vertAlign w:val="superscript"/>
              </w:rPr>
              <w:t>th</w:t>
            </w:r>
            <w:r w:rsidRPr="00CC2EA2">
              <w:rPr>
                <w:b/>
                <w:bCs/>
                <w:szCs w:val="24"/>
              </w:rPr>
              <w:t xml:space="preserve"> graders</w:t>
            </w:r>
          </w:p>
        </w:tc>
      </w:tr>
      <w:tr w:rsidR="008B0DEF" w:rsidRPr="0099642D" w14:paraId="616DA180" w14:textId="77777777" w:rsidTr="008B0DEF">
        <w:tc>
          <w:tcPr>
            <w:tcW w:w="0" w:type="auto"/>
            <w:shd w:val="clear" w:color="auto" w:fill="D9D9D9"/>
            <w:vAlign w:val="center"/>
          </w:tcPr>
          <w:p w14:paraId="616DA17A" w14:textId="77777777" w:rsidR="001D55D4" w:rsidRDefault="008B0DEF">
            <w:pPr>
              <w:widowControl/>
              <w:rPr>
                <w:b/>
                <w:bCs/>
                <w:szCs w:val="24"/>
              </w:rPr>
            </w:pPr>
            <w:r w:rsidRPr="00971004">
              <w:rPr>
                <w:b/>
                <w:bCs/>
                <w:szCs w:val="24"/>
              </w:rPr>
              <w:t>Year</w:t>
            </w:r>
          </w:p>
        </w:tc>
        <w:tc>
          <w:tcPr>
            <w:tcW w:w="769" w:type="dxa"/>
            <w:shd w:val="clear" w:color="auto" w:fill="D9D9D9"/>
            <w:vAlign w:val="center"/>
          </w:tcPr>
          <w:p w14:paraId="616DA17B" w14:textId="77777777" w:rsidR="001D55D4" w:rsidRDefault="008B0DEF">
            <w:pPr>
              <w:widowControl/>
              <w:jc w:val="center"/>
              <w:rPr>
                <w:b/>
                <w:bCs/>
                <w:szCs w:val="24"/>
              </w:rPr>
            </w:pPr>
            <w:r w:rsidRPr="0099642D">
              <w:rPr>
                <w:b/>
                <w:bCs/>
                <w:szCs w:val="24"/>
              </w:rPr>
              <w:t>201</w:t>
            </w:r>
            <w:r>
              <w:rPr>
                <w:b/>
                <w:bCs/>
                <w:szCs w:val="24"/>
              </w:rPr>
              <w:t>2</w:t>
            </w:r>
          </w:p>
        </w:tc>
        <w:tc>
          <w:tcPr>
            <w:tcW w:w="769" w:type="dxa"/>
            <w:shd w:val="clear" w:color="auto" w:fill="D9D9D9"/>
            <w:vAlign w:val="center"/>
          </w:tcPr>
          <w:p w14:paraId="616DA17C" w14:textId="77777777" w:rsidR="001D55D4" w:rsidRDefault="008B0DEF">
            <w:pPr>
              <w:widowControl/>
              <w:jc w:val="center"/>
              <w:rPr>
                <w:b/>
                <w:bCs/>
                <w:szCs w:val="24"/>
              </w:rPr>
            </w:pPr>
            <w:r w:rsidRPr="0099642D">
              <w:rPr>
                <w:b/>
                <w:bCs/>
                <w:szCs w:val="24"/>
              </w:rPr>
              <w:t>201</w:t>
            </w:r>
            <w:r>
              <w:rPr>
                <w:b/>
                <w:bCs/>
                <w:szCs w:val="24"/>
              </w:rPr>
              <w:t>3</w:t>
            </w:r>
          </w:p>
        </w:tc>
        <w:tc>
          <w:tcPr>
            <w:tcW w:w="739" w:type="dxa"/>
            <w:shd w:val="clear" w:color="auto" w:fill="D9D9D9"/>
          </w:tcPr>
          <w:p w14:paraId="616DA17D" w14:textId="77777777" w:rsidR="001D55D4" w:rsidRDefault="008B0DEF">
            <w:pPr>
              <w:widowControl/>
              <w:jc w:val="center"/>
              <w:rPr>
                <w:b/>
                <w:bCs/>
                <w:szCs w:val="24"/>
              </w:rPr>
            </w:pPr>
            <w:r>
              <w:rPr>
                <w:b/>
                <w:bCs/>
                <w:szCs w:val="24"/>
              </w:rPr>
              <w:t>2014</w:t>
            </w:r>
          </w:p>
        </w:tc>
        <w:tc>
          <w:tcPr>
            <w:tcW w:w="739" w:type="dxa"/>
            <w:shd w:val="clear" w:color="auto" w:fill="D9D9D9"/>
          </w:tcPr>
          <w:p w14:paraId="616DA17E" w14:textId="77777777" w:rsidR="001D55D4" w:rsidRDefault="008B0DEF">
            <w:pPr>
              <w:widowControl/>
              <w:jc w:val="center"/>
              <w:rPr>
                <w:b/>
                <w:bCs/>
                <w:szCs w:val="24"/>
              </w:rPr>
            </w:pPr>
            <w:r>
              <w:rPr>
                <w:b/>
                <w:bCs/>
                <w:szCs w:val="24"/>
              </w:rPr>
              <w:t>2015</w:t>
            </w:r>
          </w:p>
        </w:tc>
        <w:tc>
          <w:tcPr>
            <w:tcW w:w="739" w:type="dxa"/>
            <w:shd w:val="clear" w:color="auto" w:fill="D9D9D9"/>
          </w:tcPr>
          <w:p w14:paraId="616DA17F" w14:textId="77777777" w:rsidR="001D55D4" w:rsidRDefault="008B0DEF">
            <w:pPr>
              <w:widowControl/>
              <w:jc w:val="center"/>
              <w:rPr>
                <w:b/>
                <w:bCs/>
                <w:szCs w:val="24"/>
              </w:rPr>
            </w:pPr>
            <w:r>
              <w:rPr>
                <w:b/>
                <w:bCs/>
                <w:szCs w:val="24"/>
              </w:rPr>
              <w:t>2016</w:t>
            </w:r>
          </w:p>
        </w:tc>
      </w:tr>
      <w:tr w:rsidR="008B0DEF" w:rsidRPr="00971004" w14:paraId="616DA187" w14:textId="77777777" w:rsidTr="008B0DEF">
        <w:tc>
          <w:tcPr>
            <w:tcW w:w="0" w:type="auto"/>
            <w:shd w:val="clear" w:color="auto" w:fill="D9D9D9"/>
            <w:vAlign w:val="center"/>
          </w:tcPr>
          <w:p w14:paraId="616DA181" w14:textId="77777777" w:rsidR="001D55D4" w:rsidRDefault="008B0DEF">
            <w:pPr>
              <w:widowControl/>
              <w:rPr>
                <w:b/>
                <w:bCs/>
                <w:szCs w:val="24"/>
              </w:rPr>
            </w:pPr>
            <w:r w:rsidRPr="00971004">
              <w:rPr>
                <w:b/>
                <w:bCs/>
                <w:szCs w:val="24"/>
              </w:rPr>
              <w:t>English Language Arts</w:t>
            </w:r>
          </w:p>
        </w:tc>
        <w:tc>
          <w:tcPr>
            <w:tcW w:w="769" w:type="dxa"/>
          </w:tcPr>
          <w:p w14:paraId="616DA182" w14:textId="77777777" w:rsidR="001D55D4" w:rsidRDefault="008B0DEF">
            <w:pPr>
              <w:widowControl/>
              <w:jc w:val="center"/>
              <w:rPr>
                <w:bCs/>
                <w:szCs w:val="24"/>
              </w:rPr>
            </w:pPr>
            <w:r>
              <w:rPr>
                <w:bCs/>
                <w:szCs w:val="24"/>
              </w:rPr>
              <w:t>27.0</w:t>
            </w:r>
          </w:p>
        </w:tc>
        <w:tc>
          <w:tcPr>
            <w:tcW w:w="769" w:type="dxa"/>
          </w:tcPr>
          <w:p w14:paraId="616DA183" w14:textId="77777777" w:rsidR="001D55D4" w:rsidRDefault="008B0DEF">
            <w:pPr>
              <w:widowControl/>
              <w:jc w:val="center"/>
              <w:rPr>
                <w:bCs/>
                <w:szCs w:val="24"/>
              </w:rPr>
            </w:pPr>
            <w:r>
              <w:rPr>
                <w:bCs/>
                <w:szCs w:val="24"/>
              </w:rPr>
              <w:t>60.0</w:t>
            </w:r>
          </w:p>
        </w:tc>
        <w:tc>
          <w:tcPr>
            <w:tcW w:w="739" w:type="dxa"/>
          </w:tcPr>
          <w:p w14:paraId="616DA184" w14:textId="77777777" w:rsidR="001D55D4" w:rsidRDefault="008B0DEF">
            <w:pPr>
              <w:widowControl/>
              <w:jc w:val="center"/>
              <w:rPr>
                <w:bCs/>
                <w:szCs w:val="24"/>
              </w:rPr>
            </w:pPr>
            <w:r>
              <w:rPr>
                <w:bCs/>
                <w:szCs w:val="24"/>
              </w:rPr>
              <w:t>37.5</w:t>
            </w:r>
          </w:p>
        </w:tc>
        <w:tc>
          <w:tcPr>
            <w:tcW w:w="739" w:type="dxa"/>
          </w:tcPr>
          <w:p w14:paraId="616DA185" w14:textId="77777777" w:rsidR="001D55D4" w:rsidRDefault="008B0DEF">
            <w:pPr>
              <w:widowControl/>
              <w:jc w:val="center"/>
              <w:rPr>
                <w:bCs/>
                <w:szCs w:val="24"/>
              </w:rPr>
            </w:pPr>
            <w:r>
              <w:rPr>
                <w:bCs/>
                <w:szCs w:val="24"/>
              </w:rPr>
              <w:t>43.5</w:t>
            </w:r>
          </w:p>
        </w:tc>
        <w:tc>
          <w:tcPr>
            <w:tcW w:w="739" w:type="dxa"/>
          </w:tcPr>
          <w:p w14:paraId="616DA186" w14:textId="77777777" w:rsidR="001D55D4" w:rsidRDefault="008B0DEF">
            <w:pPr>
              <w:widowControl/>
              <w:jc w:val="center"/>
              <w:rPr>
                <w:bCs/>
                <w:szCs w:val="24"/>
              </w:rPr>
            </w:pPr>
            <w:r>
              <w:rPr>
                <w:bCs/>
                <w:szCs w:val="24"/>
              </w:rPr>
              <w:t>37.0</w:t>
            </w:r>
          </w:p>
        </w:tc>
      </w:tr>
      <w:tr w:rsidR="008B0DEF" w:rsidRPr="00971004" w14:paraId="616DA18E" w14:textId="77777777" w:rsidTr="008B0DEF">
        <w:tc>
          <w:tcPr>
            <w:tcW w:w="0" w:type="auto"/>
            <w:shd w:val="clear" w:color="auto" w:fill="D9D9D9"/>
            <w:vAlign w:val="center"/>
          </w:tcPr>
          <w:p w14:paraId="616DA188" w14:textId="77777777" w:rsidR="001D55D4" w:rsidRDefault="008B0DEF">
            <w:pPr>
              <w:widowControl/>
              <w:rPr>
                <w:b/>
                <w:bCs/>
                <w:szCs w:val="24"/>
              </w:rPr>
            </w:pPr>
            <w:r w:rsidRPr="00971004">
              <w:rPr>
                <w:b/>
                <w:bCs/>
                <w:szCs w:val="24"/>
              </w:rPr>
              <w:t>Mathematics</w:t>
            </w:r>
          </w:p>
        </w:tc>
        <w:tc>
          <w:tcPr>
            <w:tcW w:w="769" w:type="dxa"/>
          </w:tcPr>
          <w:p w14:paraId="616DA189" w14:textId="77777777" w:rsidR="001D55D4" w:rsidRDefault="008B0DEF">
            <w:pPr>
              <w:widowControl/>
              <w:jc w:val="center"/>
              <w:rPr>
                <w:bCs/>
                <w:szCs w:val="24"/>
              </w:rPr>
            </w:pPr>
            <w:r>
              <w:rPr>
                <w:bCs/>
                <w:szCs w:val="24"/>
              </w:rPr>
              <w:t>27.0</w:t>
            </w:r>
          </w:p>
        </w:tc>
        <w:tc>
          <w:tcPr>
            <w:tcW w:w="769" w:type="dxa"/>
          </w:tcPr>
          <w:p w14:paraId="616DA18A" w14:textId="77777777" w:rsidR="001D55D4" w:rsidRDefault="008B0DEF">
            <w:pPr>
              <w:widowControl/>
              <w:jc w:val="center"/>
              <w:rPr>
                <w:bCs/>
                <w:szCs w:val="24"/>
              </w:rPr>
            </w:pPr>
            <w:r>
              <w:rPr>
                <w:bCs/>
                <w:szCs w:val="24"/>
              </w:rPr>
              <w:t>31.0</w:t>
            </w:r>
          </w:p>
        </w:tc>
        <w:tc>
          <w:tcPr>
            <w:tcW w:w="739" w:type="dxa"/>
          </w:tcPr>
          <w:p w14:paraId="616DA18B" w14:textId="77777777" w:rsidR="001D55D4" w:rsidRDefault="008B0DEF">
            <w:pPr>
              <w:widowControl/>
              <w:jc w:val="center"/>
              <w:rPr>
                <w:bCs/>
                <w:szCs w:val="24"/>
              </w:rPr>
            </w:pPr>
            <w:r>
              <w:rPr>
                <w:bCs/>
                <w:szCs w:val="24"/>
              </w:rPr>
              <w:t>26.0</w:t>
            </w:r>
          </w:p>
        </w:tc>
        <w:tc>
          <w:tcPr>
            <w:tcW w:w="739" w:type="dxa"/>
          </w:tcPr>
          <w:p w14:paraId="616DA18C" w14:textId="77777777" w:rsidR="001D55D4" w:rsidRDefault="008B0DEF">
            <w:pPr>
              <w:widowControl/>
              <w:jc w:val="center"/>
              <w:rPr>
                <w:bCs/>
                <w:szCs w:val="24"/>
              </w:rPr>
            </w:pPr>
            <w:r>
              <w:rPr>
                <w:bCs/>
                <w:szCs w:val="24"/>
              </w:rPr>
              <w:t>36.5</w:t>
            </w:r>
          </w:p>
        </w:tc>
        <w:tc>
          <w:tcPr>
            <w:tcW w:w="739" w:type="dxa"/>
          </w:tcPr>
          <w:p w14:paraId="616DA18D" w14:textId="77777777" w:rsidR="001D55D4" w:rsidRDefault="008B0DEF">
            <w:pPr>
              <w:widowControl/>
              <w:jc w:val="center"/>
              <w:rPr>
                <w:bCs/>
                <w:szCs w:val="24"/>
              </w:rPr>
            </w:pPr>
            <w:r>
              <w:rPr>
                <w:bCs/>
                <w:szCs w:val="24"/>
              </w:rPr>
              <w:t>27.5</w:t>
            </w:r>
          </w:p>
        </w:tc>
      </w:tr>
    </w:tbl>
    <w:p w14:paraId="616DA18F" w14:textId="77777777" w:rsidR="001D55D4" w:rsidRDefault="001D55D4">
      <w:pPr>
        <w:widowControl/>
      </w:pPr>
    </w:p>
    <w:p w14:paraId="616DA190" w14:textId="77777777" w:rsidR="001D55D4" w:rsidRDefault="001D55D4">
      <w:pPr>
        <w:widowControl/>
        <w:rPr>
          <w:i/>
        </w:rPr>
      </w:pPr>
    </w:p>
    <w:p w14:paraId="616DA191" w14:textId="77777777" w:rsidR="001D55D4" w:rsidRDefault="001D55D4">
      <w:pPr>
        <w:widowControl/>
        <w:rPr>
          <w:i/>
        </w:rPr>
      </w:pPr>
    </w:p>
    <w:p w14:paraId="616DA192" w14:textId="77777777" w:rsidR="001D55D4" w:rsidRDefault="001D55D4">
      <w:pPr>
        <w:widowControl/>
        <w:rPr>
          <w:i/>
        </w:rPr>
      </w:pPr>
    </w:p>
    <w:p w14:paraId="616DA193" w14:textId="77777777" w:rsidR="001D55D4" w:rsidRDefault="001D55D4">
      <w:pPr>
        <w:widowControl/>
        <w:rPr>
          <w:i/>
        </w:rPr>
      </w:pPr>
    </w:p>
    <w:p w14:paraId="616DA194" w14:textId="77777777" w:rsidR="001D55D4" w:rsidRDefault="001D55D4">
      <w:pPr>
        <w:widowControl/>
        <w:rPr>
          <w:i/>
        </w:rPr>
      </w:pPr>
    </w:p>
    <w:p w14:paraId="616DA195" w14:textId="77777777" w:rsidR="001D55D4" w:rsidRDefault="008B0DEF">
      <w:pPr>
        <w:widowControl/>
        <w:ind w:left="720"/>
      </w:pPr>
      <w:r>
        <w:t xml:space="preserve">PARCC scores are designated by Levels, with Levels 4 and 5 meeting and exceeding expectations respectively. In 2016, 31 percent of grades 6 and 7 BGA students received a Level 4 or 5 in ELA. Fourteen percent of grades 6 and 7 students received a Level 4 or 5 in mathematics. The transitional CPI was generated using linked PARCC and MCAS scores; the school’s transitional CPI for 2016 was 68.4 in ELA and 48.4 in mathematics. The transitional SGP was generated using current PARCC and prior MCAS scores; the school’s transitional </w:t>
      </w:r>
      <w:r w:rsidR="007979CA">
        <w:t xml:space="preserve">2016 </w:t>
      </w:r>
      <w:r>
        <w:t xml:space="preserve">SGP for </w:t>
      </w:r>
      <w:r w:rsidR="007979CA">
        <w:t>grades 6 and 7 were</w:t>
      </w:r>
      <w:r>
        <w:t xml:space="preserve"> 34.0 in ELA and 24.0 in mathematics. In 2015, for grade 6, the school’s transitional SGP was 35.0 in ELA and 25.0 in mathematics. </w:t>
      </w:r>
    </w:p>
    <w:p w14:paraId="616DA196" w14:textId="77777777" w:rsidR="001D55D4" w:rsidRDefault="001D55D4">
      <w:pPr>
        <w:widowControl/>
        <w:ind w:left="720"/>
      </w:pPr>
    </w:p>
    <w:p w14:paraId="616DA197" w14:textId="77777777" w:rsidR="001D55D4" w:rsidRDefault="008B0DEF">
      <w:pPr>
        <w:widowControl/>
      </w:pPr>
      <w:r w:rsidRPr="009C1DC1">
        <w:rPr>
          <w:b/>
        </w:rPr>
        <w:t xml:space="preserve">Condition </w:t>
      </w:r>
      <w:r>
        <w:rPr>
          <w:b/>
        </w:rPr>
        <w:t>4</w:t>
      </w:r>
      <w:r w:rsidRPr="009C1DC1">
        <w:rPr>
          <w:b/>
        </w:rPr>
        <w:t>:</w:t>
      </w:r>
      <w:r w:rsidRPr="009C1DC1">
        <w:t xml:space="preserve"> </w:t>
      </w:r>
      <w:r w:rsidRPr="00736051">
        <w:t xml:space="preserve">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w:t>
      </w:r>
    </w:p>
    <w:p w14:paraId="616DA198" w14:textId="77777777" w:rsidR="001D55D4" w:rsidRDefault="001D55D4">
      <w:pPr>
        <w:widowControl/>
        <w:rPr>
          <w:b/>
        </w:rPr>
      </w:pPr>
    </w:p>
    <w:p w14:paraId="616DA199" w14:textId="77777777" w:rsidR="001D55D4" w:rsidRDefault="008B0DEF">
      <w:pPr>
        <w:widowControl/>
        <w:ind w:firstLine="720"/>
      </w:pPr>
      <w:r w:rsidRPr="009C1DC1">
        <w:rPr>
          <w:b/>
        </w:rPr>
        <w:t xml:space="preserve">Status: </w:t>
      </w:r>
      <w:r>
        <w:rPr>
          <w:b/>
        </w:rPr>
        <w:t>Not Yet Applicable</w:t>
      </w:r>
    </w:p>
    <w:p w14:paraId="616DA19A" w14:textId="77777777" w:rsidR="00B16570" w:rsidRDefault="00895716" w:rsidP="00E31061">
      <w:pPr>
        <w:widowControl/>
        <w:tabs>
          <w:tab w:val="left" w:pos="1350"/>
        </w:tabs>
        <w:contextualSpacing/>
        <w:rPr>
          <w:b/>
          <w:u w:val="single"/>
        </w:rPr>
      </w:pPr>
      <w:r>
        <w:br/>
      </w:r>
    </w:p>
    <w:p w14:paraId="616DA19B" w14:textId="77777777" w:rsidR="00B16570" w:rsidRDefault="00B16570">
      <w:pPr>
        <w:widowControl/>
        <w:rPr>
          <w:b/>
          <w:u w:val="single"/>
        </w:rPr>
      </w:pPr>
      <w:r>
        <w:rPr>
          <w:b/>
          <w:u w:val="single"/>
        </w:rPr>
        <w:br w:type="page"/>
      </w:r>
    </w:p>
    <w:p w14:paraId="616DA19C" w14:textId="77777777" w:rsidR="00711B22" w:rsidRPr="00006E3F" w:rsidRDefault="00006E3F" w:rsidP="00E31061">
      <w:pPr>
        <w:widowControl/>
        <w:tabs>
          <w:tab w:val="left" w:pos="1350"/>
        </w:tabs>
        <w:contextualSpacing/>
        <w:rPr>
          <w:b/>
          <w:u w:val="single"/>
        </w:rPr>
      </w:pPr>
      <w:r w:rsidRPr="00006E3F">
        <w:rPr>
          <w:b/>
          <w:u w:val="single"/>
        </w:rPr>
        <w:lastRenderedPageBreak/>
        <w:t>Additional Evidence</w:t>
      </w:r>
    </w:p>
    <w:p w14:paraId="616DA19D" w14:textId="77777777" w:rsidR="00006E3F" w:rsidRDefault="00006E3F" w:rsidP="00E31061">
      <w:pPr>
        <w:widowControl/>
        <w:tabs>
          <w:tab w:val="left" w:pos="1350"/>
        </w:tabs>
        <w:contextualSpacing/>
      </w:pPr>
    </w:p>
    <w:p w14:paraId="616DA19E" w14:textId="77777777" w:rsidR="00006E3F" w:rsidRDefault="00006E3F" w:rsidP="00E31061">
      <w:pPr>
        <w:widowControl/>
        <w:tabs>
          <w:tab w:val="left" w:pos="1350"/>
        </w:tabs>
        <w:contextualSpacing/>
      </w:pPr>
      <w:r>
        <w:t xml:space="preserve">In addition to reviewing the academic achievement data, the Department conducted a targeted site visit to BGA on November 1, 2016. The site visit included classroom observations and focus groups with the board, school leadership, teachers and students. The school’s ratings and evidence from the site visit follow. </w:t>
      </w:r>
    </w:p>
    <w:p w14:paraId="616DA19F" w14:textId="77777777" w:rsidR="00006E3F" w:rsidRDefault="00006E3F" w:rsidP="00E31061">
      <w:pPr>
        <w:widowControl/>
        <w:tabs>
          <w:tab w:val="left" w:pos="1350"/>
        </w:tabs>
        <w:contextualSpacing/>
      </w:pPr>
    </w:p>
    <w:tbl>
      <w:tblPr>
        <w:tblStyle w:val="TableGrid"/>
        <w:tblW w:w="0" w:type="auto"/>
        <w:jc w:val="center"/>
        <w:tblLayout w:type="fixed"/>
        <w:tblLook w:val="04A0" w:firstRow="1" w:lastRow="0" w:firstColumn="1" w:lastColumn="0" w:noHBand="0" w:noVBand="1"/>
      </w:tblPr>
      <w:tblGrid>
        <w:gridCol w:w="648"/>
        <w:gridCol w:w="4590"/>
        <w:gridCol w:w="3240"/>
        <w:gridCol w:w="1098"/>
      </w:tblGrid>
      <w:tr w:rsidR="00006E3F" w:rsidRPr="00006E3F" w14:paraId="616DA1A2" w14:textId="77777777" w:rsidTr="00006E3F">
        <w:trPr>
          <w:jc w:val="center"/>
        </w:trPr>
        <w:tc>
          <w:tcPr>
            <w:tcW w:w="8478" w:type="dxa"/>
            <w:gridSpan w:val="3"/>
            <w:shd w:val="clear" w:color="auto" w:fill="BFBFBF" w:themeFill="background1" w:themeFillShade="BF"/>
            <w:vAlign w:val="center"/>
          </w:tcPr>
          <w:p w14:paraId="616DA1A0" w14:textId="77777777" w:rsidR="00006E3F" w:rsidRPr="00006E3F" w:rsidRDefault="00006E3F" w:rsidP="00E31061">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Massachusetts Charter School Performance Criteria</w:t>
            </w:r>
          </w:p>
        </w:tc>
        <w:tc>
          <w:tcPr>
            <w:tcW w:w="1098" w:type="dxa"/>
            <w:shd w:val="clear" w:color="auto" w:fill="BFBFBF" w:themeFill="background1" w:themeFillShade="BF"/>
            <w:vAlign w:val="center"/>
          </w:tcPr>
          <w:p w14:paraId="616DA1A1" w14:textId="77777777" w:rsidR="001D55D4" w:rsidRDefault="00006E3F">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Rating</w:t>
            </w:r>
          </w:p>
        </w:tc>
      </w:tr>
      <w:tr w:rsidR="00006E3F" w:rsidRPr="00006E3F" w14:paraId="616DA1A7" w14:textId="77777777" w:rsidTr="00006E3F">
        <w:trPr>
          <w:trHeight w:val="1493"/>
          <w:jc w:val="center"/>
        </w:trPr>
        <w:tc>
          <w:tcPr>
            <w:tcW w:w="648" w:type="dxa"/>
            <w:shd w:val="clear" w:color="auto" w:fill="BFBFBF" w:themeFill="background1" w:themeFillShade="BF"/>
            <w:textDirection w:val="btLr"/>
            <w:vAlign w:val="center"/>
          </w:tcPr>
          <w:p w14:paraId="616DA1A3" w14:textId="77777777" w:rsidR="00006E3F" w:rsidRPr="00006E3F" w:rsidRDefault="00006E3F" w:rsidP="00E31061">
            <w:pPr>
              <w:pStyle w:val="Table"/>
              <w:spacing w:before="0" w:after="0"/>
              <w:ind w:left="115" w:right="115"/>
              <w:jc w:val="center"/>
              <w:rPr>
                <w:rFonts w:ascii="Times New Roman" w:hAnsi="Times New Roman" w:cs="Times New Roman"/>
                <w:b/>
                <w:sz w:val="22"/>
                <w:szCs w:val="22"/>
              </w:rPr>
            </w:pPr>
            <w:r w:rsidRPr="00006E3F">
              <w:rPr>
                <w:rFonts w:ascii="Times New Roman" w:hAnsi="Times New Roman" w:cs="Times New Roman"/>
                <w:b/>
                <w:sz w:val="22"/>
                <w:szCs w:val="22"/>
              </w:rPr>
              <w:t>Faithfulness to Charter</w:t>
            </w:r>
          </w:p>
        </w:tc>
        <w:tc>
          <w:tcPr>
            <w:tcW w:w="7830" w:type="dxa"/>
            <w:gridSpan w:val="2"/>
            <w:vAlign w:val="center"/>
          </w:tcPr>
          <w:p w14:paraId="616DA1A4" w14:textId="77777777"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1: Mission and Key Design Elements</w:t>
            </w:r>
          </w:p>
          <w:p w14:paraId="616DA1A5" w14:textId="77777777"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is faithful to its mission, implements the key design elements outlined in its charter, and substantially meets its accountability plan goals.</w:t>
            </w:r>
          </w:p>
        </w:tc>
        <w:tc>
          <w:tcPr>
            <w:tcW w:w="1098" w:type="dxa"/>
            <w:vAlign w:val="center"/>
          </w:tcPr>
          <w:p w14:paraId="616DA1A6" w14:textId="77777777" w:rsidR="00006E3F" w:rsidRPr="00006E3F" w:rsidRDefault="00006E3F" w:rsidP="00E31061">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 xml:space="preserve"> Meets</w:t>
            </w:r>
          </w:p>
        </w:tc>
      </w:tr>
      <w:tr w:rsidR="00006E3F" w:rsidRPr="00006E3F" w14:paraId="616DA1AD" w14:textId="77777777" w:rsidTr="00006E3F">
        <w:trPr>
          <w:cantSplit/>
          <w:trHeight w:val="576"/>
          <w:jc w:val="center"/>
        </w:trPr>
        <w:tc>
          <w:tcPr>
            <w:tcW w:w="648" w:type="dxa"/>
            <w:vMerge w:val="restart"/>
            <w:shd w:val="clear" w:color="auto" w:fill="BFBFBF" w:themeFill="background1" w:themeFillShade="BF"/>
            <w:textDirection w:val="btLr"/>
            <w:vAlign w:val="center"/>
          </w:tcPr>
          <w:p w14:paraId="616DA1A8" w14:textId="77777777" w:rsidR="00006E3F" w:rsidRPr="00006E3F" w:rsidRDefault="00006E3F" w:rsidP="00E31061">
            <w:pPr>
              <w:pStyle w:val="Table"/>
              <w:ind w:left="113" w:right="113"/>
              <w:jc w:val="center"/>
              <w:rPr>
                <w:rFonts w:ascii="Times New Roman" w:hAnsi="Times New Roman" w:cs="Times New Roman"/>
                <w:b/>
                <w:sz w:val="22"/>
                <w:szCs w:val="22"/>
              </w:rPr>
            </w:pPr>
            <w:r w:rsidRPr="00006E3F">
              <w:rPr>
                <w:rFonts w:ascii="Times New Roman" w:hAnsi="Times New Roman" w:cs="Times New Roman"/>
                <w:b/>
                <w:sz w:val="22"/>
                <w:szCs w:val="22"/>
              </w:rPr>
              <w:t>Academic Program Success</w:t>
            </w:r>
          </w:p>
        </w:tc>
        <w:tc>
          <w:tcPr>
            <w:tcW w:w="7830" w:type="dxa"/>
            <w:gridSpan w:val="2"/>
            <w:vAlign w:val="center"/>
          </w:tcPr>
          <w:p w14:paraId="616DA1A9" w14:textId="77777777"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5: Student Performance</w:t>
            </w:r>
          </w:p>
          <w:p w14:paraId="616DA1AA" w14:textId="77777777"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provides consistently meets state student performance standards for academic growth, proficiency, and college and career readiness.</w:t>
            </w:r>
          </w:p>
        </w:tc>
        <w:tc>
          <w:tcPr>
            <w:tcW w:w="1098" w:type="dxa"/>
            <w:vAlign w:val="center"/>
          </w:tcPr>
          <w:p w14:paraId="616DA1AB" w14:textId="77777777" w:rsidR="00006E3F" w:rsidRPr="00006E3F" w:rsidRDefault="00006E3F" w:rsidP="00E31061">
            <w:pPr>
              <w:pStyle w:val="Table"/>
              <w:spacing w:before="0" w:after="0"/>
              <w:jc w:val="center"/>
              <w:rPr>
                <w:rFonts w:ascii="Times New Roman" w:hAnsi="Times New Roman" w:cs="Times New Roman"/>
                <w:b/>
              </w:rPr>
            </w:pPr>
            <w:r w:rsidRPr="00006E3F">
              <w:rPr>
                <w:rFonts w:ascii="Times New Roman" w:hAnsi="Times New Roman" w:cs="Times New Roman"/>
                <w:b/>
              </w:rPr>
              <w:t>Level: 3</w:t>
            </w:r>
          </w:p>
          <w:p w14:paraId="616DA1AC" w14:textId="77777777" w:rsidR="00006E3F" w:rsidRPr="00006E3F" w:rsidRDefault="00006E3F" w:rsidP="00E31061">
            <w:pPr>
              <w:pStyle w:val="Table"/>
              <w:spacing w:before="0" w:after="0"/>
              <w:jc w:val="center"/>
              <w:rPr>
                <w:rFonts w:ascii="Times New Roman" w:hAnsi="Times New Roman" w:cs="Times New Roman"/>
              </w:rPr>
            </w:pPr>
            <w:r w:rsidRPr="00006E3F">
              <w:rPr>
                <w:rFonts w:ascii="Times New Roman" w:hAnsi="Times New Roman" w:cs="Times New Roman"/>
                <w:b/>
              </w:rPr>
              <w:t>Percentile: 10th</w:t>
            </w:r>
          </w:p>
        </w:tc>
      </w:tr>
      <w:tr w:rsidR="00006E3F" w:rsidRPr="00006E3F" w14:paraId="616DA1B3" w14:textId="77777777" w:rsidTr="00006E3F">
        <w:trPr>
          <w:cantSplit/>
          <w:trHeight w:val="404"/>
          <w:jc w:val="center"/>
        </w:trPr>
        <w:tc>
          <w:tcPr>
            <w:tcW w:w="648" w:type="dxa"/>
            <w:vMerge/>
            <w:shd w:val="clear" w:color="auto" w:fill="BFBFBF" w:themeFill="background1" w:themeFillShade="BF"/>
            <w:textDirection w:val="btLr"/>
            <w:vAlign w:val="center"/>
          </w:tcPr>
          <w:p w14:paraId="616DA1AE" w14:textId="77777777" w:rsidR="001D55D4" w:rsidRDefault="001D55D4">
            <w:pPr>
              <w:pStyle w:val="Table"/>
              <w:ind w:left="113" w:right="113"/>
              <w:jc w:val="center"/>
              <w:rPr>
                <w:rFonts w:ascii="Times New Roman" w:hAnsi="Times New Roman" w:cs="Times New Roman"/>
                <w:b/>
                <w:sz w:val="22"/>
                <w:szCs w:val="22"/>
              </w:rPr>
            </w:pPr>
          </w:p>
        </w:tc>
        <w:tc>
          <w:tcPr>
            <w:tcW w:w="4590" w:type="dxa"/>
            <w:vMerge w:val="restart"/>
            <w:vAlign w:val="center"/>
          </w:tcPr>
          <w:p w14:paraId="616DA1AF" w14:textId="77777777" w:rsidR="001D55D4" w:rsidRDefault="00006E3F">
            <w:pPr>
              <w:pStyle w:val="Table"/>
              <w:rPr>
                <w:rFonts w:ascii="Times New Roman" w:hAnsi="Times New Roman" w:cs="Times New Roman"/>
                <w:b/>
              </w:rPr>
            </w:pPr>
            <w:r w:rsidRPr="00006E3F">
              <w:rPr>
                <w:rFonts w:ascii="Times New Roman" w:hAnsi="Times New Roman" w:cs="Times New Roman"/>
                <w:b/>
              </w:rPr>
              <w:t>Criterion 6: Program Delivery</w:t>
            </w:r>
          </w:p>
          <w:p w14:paraId="616DA1B0" w14:textId="77777777" w:rsidR="001D55D4" w:rsidRDefault="00006E3F">
            <w:pPr>
              <w:pStyle w:val="Table"/>
              <w:ind w:left="72"/>
              <w:rPr>
                <w:rFonts w:ascii="Times New Roman" w:hAnsi="Times New Roman" w:cs="Times New Roman"/>
              </w:rPr>
            </w:pPr>
            <w:r w:rsidRPr="00006E3F">
              <w:rPr>
                <w:rFonts w:ascii="Times New Roman" w:hAnsi="Times New Roman" w:cs="Times New Roman"/>
              </w:rPr>
              <w:t xml:space="preserve">The school delivers a high quality academic program that meets the academic needs of all students. </w:t>
            </w:r>
          </w:p>
        </w:tc>
        <w:tc>
          <w:tcPr>
            <w:tcW w:w="3240" w:type="dxa"/>
            <w:vAlign w:val="center"/>
          </w:tcPr>
          <w:p w14:paraId="616DA1B1" w14:textId="77777777" w:rsidR="001D55D4" w:rsidRDefault="00006E3F">
            <w:pPr>
              <w:pStyle w:val="Table"/>
              <w:rPr>
                <w:rFonts w:ascii="Times New Roman" w:hAnsi="Times New Roman" w:cs="Times New Roman"/>
              </w:rPr>
            </w:pPr>
            <w:r w:rsidRPr="00006E3F">
              <w:rPr>
                <w:rFonts w:ascii="Times New Roman" w:hAnsi="Times New Roman" w:cs="Times New Roman"/>
              </w:rPr>
              <w:t>2. Instruction</w:t>
            </w:r>
          </w:p>
        </w:tc>
        <w:tc>
          <w:tcPr>
            <w:tcW w:w="1098" w:type="dxa"/>
          </w:tcPr>
          <w:p w14:paraId="616DA1B2" w14:textId="77777777"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Partially Meets</w:t>
            </w:r>
          </w:p>
        </w:tc>
      </w:tr>
      <w:tr w:rsidR="00006E3F" w:rsidRPr="00006E3F" w14:paraId="616DA1B8" w14:textId="77777777" w:rsidTr="00006E3F">
        <w:trPr>
          <w:cantSplit/>
          <w:trHeight w:val="449"/>
          <w:jc w:val="center"/>
        </w:trPr>
        <w:tc>
          <w:tcPr>
            <w:tcW w:w="648" w:type="dxa"/>
            <w:vMerge/>
            <w:shd w:val="clear" w:color="auto" w:fill="BFBFBF" w:themeFill="background1" w:themeFillShade="BF"/>
            <w:textDirection w:val="btLr"/>
            <w:vAlign w:val="center"/>
          </w:tcPr>
          <w:p w14:paraId="616DA1B4" w14:textId="77777777" w:rsidR="001D55D4" w:rsidRDefault="001D55D4">
            <w:pPr>
              <w:pStyle w:val="Table"/>
              <w:ind w:left="113" w:right="113"/>
              <w:jc w:val="center"/>
              <w:rPr>
                <w:rFonts w:ascii="Times New Roman" w:hAnsi="Times New Roman" w:cs="Times New Roman"/>
                <w:b/>
                <w:sz w:val="22"/>
                <w:szCs w:val="22"/>
              </w:rPr>
            </w:pPr>
          </w:p>
        </w:tc>
        <w:tc>
          <w:tcPr>
            <w:tcW w:w="4590" w:type="dxa"/>
            <w:vMerge/>
            <w:vAlign w:val="center"/>
          </w:tcPr>
          <w:p w14:paraId="616DA1B5" w14:textId="77777777" w:rsidR="001D55D4" w:rsidRDefault="001D55D4">
            <w:pPr>
              <w:pStyle w:val="Table"/>
              <w:rPr>
                <w:rFonts w:ascii="Times New Roman" w:hAnsi="Times New Roman" w:cs="Times New Roman"/>
              </w:rPr>
            </w:pPr>
          </w:p>
        </w:tc>
        <w:tc>
          <w:tcPr>
            <w:tcW w:w="3240" w:type="dxa"/>
            <w:vAlign w:val="center"/>
          </w:tcPr>
          <w:p w14:paraId="616DA1B6" w14:textId="77777777" w:rsidR="001D55D4" w:rsidRDefault="00006E3F">
            <w:pPr>
              <w:pStyle w:val="Table"/>
              <w:rPr>
                <w:rFonts w:ascii="Times New Roman" w:hAnsi="Times New Roman" w:cs="Times New Roman"/>
              </w:rPr>
            </w:pPr>
            <w:r w:rsidRPr="00006E3F">
              <w:rPr>
                <w:rFonts w:ascii="Times New Roman" w:hAnsi="Times New Roman" w:cs="Times New Roman"/>
              </w:rPr>
              <w:t>3. Assessment and Program Evaluation</w:t>
            </w:r>
          </w:p>
        </w:tc>
        <w:tc>
          <w:tcPr>
            <w:tcW w:w="1098" w:type="dxa"/>
            <w:vAlign w:val="center"/>
          </w:tcPr>
          <w:p w14:paraId="616DA1B7" w14:textId="77777777"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Partially Meets</w:t>
            </w:r>
          </w:p>
        </w:tc>
      </w:tr>
      <w:tr w:rsidR="00006E3F" w:rsidRPr="00006E3F" w14:paraId="616DA1BD" w14:textId="77777777" w:rsidTr="00006E3F">
        <w:trPr>
          <w:cantSplit/>
          <w:trHeight w:val="440"/>
          <w:jc w:val="center"/>
        </w:trPr>
        <w:tc>
          <w:tcPr>
            <w:tcW w:w="648" w:type="dxa"/>
            <w:vMerge/>
            <w:shd w:val="clear" w:color="auto" w:fill="BFBFBF" w:themeFill="background1" w:themeFillShade="BF"/>
            <w:textDirection w:val="btLr"/>
            <w:vAlign w:val="center"/>
          </w:tcPr>
          <w:p w14:paraId="616DA1B9" w14:textId="77777777" w:rsidR="001D55D4" w:rsidRDefault="001D55D4">
            <w:pPr>
              <w:pStyle w:val="Table"/>
              <w:ind w:left="113" w:right="113"/>
              <w:jc w:val="center"/>
              <w:rPr>
                <w:rFonts w:ascii="Times New Roman" w:hAnsi="Times New Roman" w:cs="Times New Roman"/>
                <w:b/>
                <w:sz w:val="22"/>
                <w:szCs w:val="22"/>
              </w:rPr>
            </w:pPr>
          </w:p>
        </w:tc>
        <w:tc>
          <w:tcPr>
            <w:tcW w:w="4590" w:type="dxa"/>
            <w:vMerge/>
            <w:vAlign w:val="center"/>
          </w:tcPr>
          <w:p w14:paraId="616DA1BA" w14:textId="77777777" w:rsidR="001D55D4" w:rsidRDefault="001D55D4">
            <w:pPr>
              <w:pStyle w:val="Table"/>
              <w:rPr>
                <w:rFonts w:ascii="Times New Roman" w:hAnsi="Times New Roman" w:cs="Times New Roman"/>
              </w:rPr>
            </w:pPr>
          </w:p>
        </w:tc>
        <w:tc>
          <w:tcPr>
            <w:tcW w:w="3240" w:type="dxa"/>
            <w:vAlign w:val="center"/>
          </w:tcPr>
          <w:p w14:paraId="616DA1BB" w14:textId="77777777" w:rsidR="001D55D4" w:rsidRDefault="00006E3F">
            <w:pPr>
              <w:pStyle w:val="Table"/>
              <w:rPr>
                <w:rFonts w:ascii="Times New Roman" w:hAnsi="Times New Roman" w:cs="Times New Roman"/>
              </w:rPr>
            </w:pPr>
            <w:r w:rsidRPr="00006E3F">
              <w:rPr>
                <w:rFonts w:ascii="Times New Roman" w:hAnsi="Times New Roman" w:cs="Times New Roman"/>
              </w:rPr>
              <w:t>4. Supports for Diverse Learners</w:t>
            </w:r>
          </w:p>
        </w:tc>
        <w:tc>
          <w:tcPr>
            <w:tcW w:w="1098" w:type="dxa"/>
            <w:vAlign w:val="center"/>
          </w:tcPr>
          <w:p w14:paraId="616DA1BC" w14:textId="77777777"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Meets</w:t>
            </w:r>
          </w:p>
        </w:tc>
      </w:tr>
      <w:tr w:rsidR="00006E3F" w:rsidRPr="00006E3F" w14:paraId="616DA1C3" w14:textId="77777777" w:rsidTr="00006E3F">
        <w:trPr>
          <w:trHeight w:val="576"/>
          <w:jc w:val="center"/>
        </w:trPr>
        <w:tc>
          <w:tcPr>
            <w:tcW w:w="648" w:type="dxa"/>
            <w:vMerge w:val="restart"/>
            <w:shd w:val="clear" w:color="auto" w:fill="BFBFBF" w:themeFill="background1" w:themeFillShade="BF"/>
            <w:textDirection w:val="btLr"/>
            <w:vAlign w:val="center"/>
          </w:tcPr>
          <w:p w14:paraId="616DA1BE" w14:textId="77777777" w:rsidR="00006E3F" w:rsidRPr="00006E3F" w:rsidRDefault="00006E3F" w:rsidP="00E31061">
            <w:pPr>
              <w:pStyle w:val="Table"/>
              <w:ind w:left="113" w:right="113"/>
              <w:jc w:val="center"/>
              <w:rPr>
                <w:rFonts w:ascii="Times New Roman" w:hAnsi="Times New Roman" w:cs="Times New Roman"/>
                <w:b/>
                <w:sz w:val="22"/>
                <w:szCs w:val="22"/>
              </w:rPr>
            </w:pPr>
            <w:r w:rsidRPr="00006E3F">
              <w:rPr>
                <w:rFonts w:ascii="Times New Roman" w:hAnsi="Times New Roman" w:cs="Times New Roman"/>
                <w:b/>
                <w:sz w:val="22"/>
                <w:szCs w:val="22"/>
              </w:rPr>
              <w:t>Organizational Viability</w:t>
            </w:r>
          </w:p>
        </w:tc>
        <w:tc>
          <w:tcPr>
            <w:tcW w:w="4590" w:type="dxa"/>
            <w:vAlign w:val="center"/>
          </w:tcPr>
          <w:p w14:paraId="616DA1BF" w14:textId="77777777"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8: Capacity</w:t>
            </w:r>
          </w:p>
          <w:p w14:paraId="616DA1C0" w14:textId="77777777"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sustains a well-functioning organizational structure and creates a professional working climate for staff.</w:t>
            </w:r>
          </w:p>
        </w:tc>
        <w:tc>
          <w:tcPr>
            <w:tcW w:w="3240" w:type="dxa"/>
            <w:vAlign w:val="center"/>
          </w:tcPr>
          <w:p w14:paraId="616DA1C1" w14:textId="77777777"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1.  School Leadership</w:t>
            </w:r>
          </w:p>
        </w:tc>
        <w:tc>
          <w:tcPr>
            <w:tcW w:w="1098" w:type="dxa"/>
            <w:vAlign w:val="center"/>
          </w:tcPr>
          <w:p w14:paraId="616DA1C2" w14:textId="77777777" w:rsidR="00006E3F" w:rsidRPr="00006E3F" w:rsidRDefault="00006E3F" w:rsidP="00E31061">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Meets</w:t>
            </w:r>
          </w:p>
        </w:tc>
      </w:tr>
      <w:tr w:rsidR="00006E3F" w:rsidRPr="00006E3F" w14:paraId="616DA1C8" w14:textId="77777777" w:rsidTr="00006E3F">
        <w:trPr>
          <w:jc w:val="center"/>
        </w:trPr>
        <w:tc>
          <w:tcPr>
            <w:tcW w:w="648" w:type="dxa"/>
            <w:vMerge/>
            <w:shd w:val="clear" w:color="auto" w:fill="BFBFBF" w:themeFill="background1" w:themeFillShade="BF"/>
          </w:tcPr>
          <w:p w14:paraId="616DA1C4" w14:textId="77777777" w:rsidR="001D55D4" w:rsidRDefault="001D55D4">
            <w:pPr>
              <w:pStyle w:val="Table"/>
              <w:rPr>
                <w:rFonts w:ascii="Times New Roman" w:hAnsi="Times New Roman" w:cs="Times New Roman"/>
              </w:rPr>
            </w:pPr>
          </w:p>
        </w:tc>
        <w:tc>
          <w:tcPr>
            <w:tcW w:w="7830" w:type="dxa"/>
            <w:gridSpan w:val="2"/>
            <w:vAlign w:val="center"/>
          </w:tcPr>
          <w:p w14:paraId="616DA1C5" w14:textId="77777777" w:rsidR="001D55D4" w:rsidRDefault="00006E3F">
            <w:pPr>
              <w:pStyle w:val="Table"/>
              <w:rPr>
                <w:rFonts w:ascii="Times New Roman" w:hAnsi="Times New Roman" w:cs="Times New Roman"/>
                <w:b/>
              </w:rPr>
            </w:pPr>
            <w:r w:rsidRPr="00006E3F">
              <w:rPr>
                <w:rFonts w:ascii="Times New Roman" w:hAnsi="Times New Roman" w:cs="Times New Roman"/>
                <w:b/>
              </w:rPr>
              <w:t>Criterion 9: Governance</w:t>
            </w:r>
          </w:p>
          <w:p w14:paraId="616DA1C6" w14:textId="77777777" w:rsidR="001D55D4" w:rsidRDefault="00006E3F">
            <w:pPr>
              <w:pStyle w:val="Table"/>
              <w:ind w:left="72"/>
              <w:rPr>
                <w:rFonts w:ascii="Times New Roman" w:hAnsi="Times New Roman" w:cs="Times New Roman"/>
              </w:rPr>
            </w:pPr>
            <w:r w:rsidRPr="00006E3F">
              <w:rPr>
                <w:rFonts w:ascii="Times New Roman" w:hAnsi="Times New Roman" w:cs="Times New Roman"/>
              </w:rPr>
              <w:t>Members of the board of trustees act as public agents authorized by the state and provide competent and appropriate governance to ensure the success and sustainability of the school.</w:t>
            </w:r>
          </w:p>
        </w:tc>
        <w:tc>
          <w:tcPr>
            <w:tcW w:w="1098" w:type="dxa"/>
            <w:vAlign w:val="center"/>
          </w:tcPr>
          <w:p w14:paraId="616DA1C7" w14:textId="77777777"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 xml:space="preserve"> Partially Meets</w:t>
            </w:r>
          </w:p>
        </w:tc>
      </w:tr>
    </w:tbl>
    <w:p w14:paraId="616DA1C9" w14:textId="77777777" w:rsidR="001D55D4" w:rsidRDefault="001D55D4">
      <w:pPr>
        <w:widowControl/>
      </w:pPr>
    </w:p>
    <w:tbl>
      <w:tblPr>
        <w:tblStyle w:val="TableGrid"/>
        <w:tblW w:w="0" w:type="auto"/>
        <w:tblLook w:val="04A0" w:firstRow="1" w:lastRow="0" w:firstColumn="1" w:lastColumn="0" w:noHBand="0" w:noVBand="1"/>
      </w:tblPr>
      <w:tblGrid>
        <w:gridCol w:w="1528"/>
        <w:gridCol w:w="7822"/>
      </w:tblGrid>
      <w:tr w:rsidR="00006E3F" w:rsidRPr="00006E3F" w14:paraId="616DA1CB" w14:textId="77777777" w:rsidTr="00A326D8">
        <w:tc>
          <w:tcPr>
            <w:tcW w:w="9576" w:type="dxa"/>
            <w:gridSpan w:val="2"/>
            <w:shd w:val="clear" w:color="auto" w:fill="BFBFBF" w:themeFill="background1" w:themeFillShade="BF"/>
          </w:tcPr>
          <w:p w14:paraId="616DA1CA" w14:textId="77777777" w:rsidR="00006E3F" w:rsidRPr="00006E3F" w:rsidRDefault="00006E3F" w:rsidP="00E31061">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Rating Key</w:t>
            </w:r>
          </w:p>
        </w:tc>
      </w:tr>
      <w:tr w:rsidR="00006E3F" w:rsidRPr="00006E3F" w14:paraId="616DA1CE" w14:textId="77777777" w:rsidTr="00A326D8">
        <w:tc>
          <w:tcPr>
            <w:tcW w:w="1548" w:type="dxa"/>
          </w:tcPr>
          <w:p w14:paraId="616DA1CC" w14:textId="77777777"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0070C0"/>
                <w:szCs w:val="18"/>
              </w:rPr>
              <w:t></w:t>
            </w:r>
            <w:r w:rsidRPr="00A326D8">
              <w:rPr>
                <w:rFonts w:ascii="Times New Roman" w:hAnsi="Times New Roman" w:cs="Times New Roman"/>
                <w:b/>
                <w:bCs/>
                <w:szCs w:val="18"/>
              </w:rPr>
              <w:t xml:space="preserve"> </w:t>
            </w:r>
            <w:r w:rsidRPr="00006E3F">
              <w:rPr>
                <w:rFonts w:ascii="Times New Roman" w:hAnsi="Times New Roman" w:cs="Times New Roman"/>
                <w:b/>
                <w:bCs/>
                <w:szCs w:val="18"/>
              </w:rPr>
              <w:t>Exceeds</w:t>
            </w:r>
          </w:p>
        </w:tc>
        <w:tc>
          <w:tcPr>
            <w:tcW w:w="8028" w:type="dxa"/>
          </w:tcPr>
          <w:p w14:paraId="616DA1CD" w14:textId="77777777"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fully and consistently meets the criterion and is a potential exemplar in this area.</w:t>
            </w:r>
          </w:p>
        </w:tc>
      </w:tr>
      <w:tr w:rsidR="00006E3F" w:rsidRPr="00006E3F" w14:paraId="616DA1D1" w14:textId="77777777" w:rsidTr="00A326D8">
        <w:tc>
          <w:tcPr>
            <w:tcW w:w="1548" w:type="dxa"/>
          </w:tcPr>
          <w:p w14:paraId="616DA1CF" w14:textId="77777777"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00B050"/>
                <w:szCs w:val="18"/>
              </w:rPr>
              <w:t></w:t>
            </w:r>
            <w:r w:rsidRPr="00006E3F">
              <w:rPr>
                <w:rFonts w:ascii="Times New Roman" w:hAnsi="Times New Roman" w:cs="Times New Roman"/>
                <w:b/>
                <w:bCs/>
                <w:szCs w:val="18"/>
              </w:rPr>
              <w:t xml:space="preserve"> Meets</w:t>
            </w:r>
          </w:p>
        </w:tc>
        <w:tc>
          <w:tcPr>
            <w:tcW w:w="8028" w:type="dxa"/>
          </w:tcPr>
          <w:p w14:paraId="616DA1D0" w14:textId="77777777"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generally meets the criterion and/or minor concern(s) are noted.</w:t>
            </w:r>
          </w:p>
        </w:tc>
      </w:tr>
      <w:tr w:rsidR="00006E3F" w:rsidRPr="00006E3F" w14:paraId="616DA1D4" w14:textId="77777777" w:rsidTr="00A326D8">
        <w:tc>
          <w:tcPr>
            <w:tcW w:w="1548" w:type="dxa"/>
          </w:tcPr>
          <w:p w14:paraId="616DA1D2" w14:textId="77777777"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FFC000"/>
                <w:szCs w:val="18"/>
              </w:rPr>
              <w:t></w:t>
            </w:r>
            <w:r w:rsidRPr="00006E3F">
              <w:rPr>
                <w:rFonts w:ascii="Times New Roman" w:hAnsi="Times New Roman" w:cs="Times New Roman"/>
                <w:b/>
                <w:bCs/>
                <w:szCs w:val="18"/>
              </w:rPr>
              <w:t xml:space="preserve"> Partially Meets</w:t>
            </w:r>
          </w:p>
        </w:tc>
        <w:tc>
          <w:tcPr>
            <w:tcW w:w="8028" w:type="dxa"/>
          </w:tcPr>
          <w:p w14:paraId="616DA1D3" w14:textId="77777777"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meets some aspects of the criterion but not others and/or moderate concern(s) are noted.</w:t>
            </w:r>
          </w:p>
        </w:tc>
      </w:tr>
      <w:tr w:rsidR="00006E3F" w:rsidRPr="00006E3F" w14:paraId="616DA1D7" w14:textId="77777777" w:rsidTr="00A326D8">
        <w:tc>
          <w:tcPr>
            <w:tcW w:w="1548" w:type="dxa"/>
          </w:tcPr>
          <w:p w14:paraId="616DA1D5" w14:textId="77777777"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FF0000"/>
                <w:szCs w:val="18"/>
              </w:rPr>
              <w:t></w:t>
            </w:r>
            <w:r w:rsidRPr="00006E3F">
              <w:rPr>
                <w:rFonts w:ascii="Times New Roman" w:hAnsi="Times New Roman" w:cs="Times New Roman"/>
                <w:b/>
                <w:bCs/>
                <w:color w:val="FF0000"/>
                <w:szCs w:val="18"/>
              </w:rPr>
              <w:t xml:space="preserve"> </w:t>
            </w:r>
            <w:r w:rsidRPr="00006E3F">
              <w:rPr>
                <w:rFonts w:ascii="Times New Roman" w:hAnsi="Times New Roman" w:cs="Times New Roman"/>
                <w:b/>
                <w:bCs/>
                <w:szCs w:val="18"/>
              </w:rPr>
              <w:t>Falls Far Below</w:t>
            </w:r>
          </w:p>
        </w:tc>
        <w:tc>
          <w:tcPr>
            <w:tcW w:w="8028" w:type="dxa"/>
          </w:tcPr>
          <w:p w14:paraId="616DA1D6" w14:textId="77777777"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falls far below the criterion and/or significant concerns are noted.</w:t>
            </w:r>
          </w:p>
        </w:tc>
      </w:tr>
    </w:tbl>
    <w:p w14:paraId="616DA1D8" w14:textId="77777777" w:rsidR="001D55D4" w:rsidRDefault="001D55D4">
      <w:pPr>
        <w:widowControl/>
      </w:pPr>
    </w:p>
    <w:p w14:paraId="616DA1D9" w14:textId="77777777" w:rsidR="00B16570" w:rsidRDefault="00B16570">
      <w:pPr>
        <w:widowControl/>
        <w:rPr>
          <w:b/>
        </w:rPr>
      </w:pPr>
      <w:r>
        <w:rPr>
          <w:b/>
        </w:rPr>
        <w:br w:type="page"/>
      </w:r>
    </w:p>
    <w:p w14:paraId="616DA1DA" w14:textId="77777777" w:rsidR="001D55D4" w:rsidRDefault="00DD374E">
      <w:pPr>
        <w:widowControl/>
        <w:rPr>
          <w:b/>
        </w:rPr>
      </w:pPr>
      <w:r>
        <w:rPr>
          <w:b/>
        </w:rPr>
        <w:lastRenderedPageBreak/>
        <w:t xml:space="preserve">Faithfulness to </w:t>
      </w:r>
      <w:r w:rsidR="00A87A15">
        <w:rPr>
          <w:b/>
        </w:rPr>
        <w:t>Charter</w:t>
      </w:r>
    </w:p>
    <w:p w14:paraId="616DA1DB" w14:textId="77777777" w:rsidR="001D55D4" w:rsidRDefault="00DC1CAB">
      <w:pPr>
        <w:pStyle w:val="ListParagraph"/>
        <w:widowControl/>
        <w:numPr>
          <w:ilvl w:val="0"/>
          <w:numId w:val="22"/>
        </w:numPr>
      </w:pPr>
      <w:r>
        <w:rPr>
          <w:bCs/>
        </w:rPr>
        <w:t>During the visit, s</w:t>
      </w:r>
      <w:r w:rsidR="00F669D2" w:rsidRPr="00F669D2">
        <w:rPr>
          <w:bCs/>
        </w:rPr>
        <w:t>takeholders share</w:t>
      </w:r>
      <w:r w:rsidR="00EE2223">
        <w:rPr>
          <w:bCs/>
        </w:rPr>
        <w:t>d</w:t>
      </w:r>
      <w:r w:rsidR="00F669D2" w:rsidRPr="00F669D2">
        <w:rPr>
          <w:bCs/>
        </w:rPr>
        <w:t xml:space="preserve"> a consistent understanding of two of the three aspects of the mission: serving a diverse student population and a focus on sustainability. Two focus groups did not report on the college and career aspect of the mission. </w:t>
      </w:r>
    </w:p>
    <w:p w14:paraId="616DA1DC" w14:textId="77777777" w:rsidR="001D55D4" w:rsidRDefault="00F669D2">
      <w:pPr>
        <w:pStyle w:val="ListParagraph"/>
        <w:widowControl/>
        <w:numPr>
          <w:ilvl w:val="0"/>
          <w:numId w:val="22"/>
        </w:numPr>
      </w:pPr>
      <w:r w:rsidRPr="00F669D2">
        <w:rPr>
          <w:bCs/>
        </w:rPr>
        <w:t>In year six, the school is meeting its mission to enroll a diverse population and has structures and programming in place that are faithful to the mission and key design elements outlined in the mission and accountability plan.</w:t>
      </w:r>
    </w:p>
    <w:p w14:paraId="616DA1DD" w14:textId="77777777" w:rsidR="001D55D4" w:rsidRDefault="001D55D4">
      <w:pPr>
        <w:widowControl/>
        <w:rPr>
          <w:b/>
        </w:rPr>
      </w:pPr>
    </w:p>
    <w:p w14:paraId="616DA1DE" w14:textId="77777777" w:rsidR="001D55D4" w:rsidRDefault="00DD374E">
      <w:pPr>
        <w:widowControl/>
        <w:rPr>
          <w:b/>
        </w:rPr>
      </w:pPr>
      <w:r>
        <w:rPr>
          <w:b/>
        </w:rPr>
        <w:t>Academic Program Success</w:t>
      </w:r>
    </w:p>
    <w:p w14:paraId="616DA1DF" w14:textId="77777777" w:rsidR="001D55D4" w:rsidRDefault="00ED31E4">
      <w:pPr>
        <w:pStyle w:val="ListParagraph"/>
        <w:widowControl/>
        <w:numPr>
          <w:ilvl w:val="0"/>
          <w:numId w:val="22"/>
        </w:numPr>
        <w:rPr>
          <w:b/>
        </w:rPr>
      </w:pPr>
      <w:r w:rsidRPr="00ED31E4">
        <w:rPr>
          <w:bCs/>
        </w:rPr>
        <w:t xml:space="preserve">School staff reported a common understanding of classroom routines and pedagogy, with an instructional focus on </w:t>
      </w:r>
      <w:r w:rsidR="00DC1CAB">
        <w:rPr>
          <w:bCs/>
        </w:rPr>
        <w:t xml:space="preserve">increasing </w:t>
      </w:r>
      <w:r w:rsidR="00DC21A2">
        <w:rPr>
          <w:bCs/>
        </w:rPr>
        <w:t>rigor/</w:t>
      </w:r>
      <w:r w:rsidR="00DC1CAB">
        <w:rPr>
          <w:bCs/>
        </w:rPr>
        <w:t xml:space="preserve">student </w:t>
      </w:r>
      <w:r w:rsidRPr="00ED31E4">
        <w:rPr>
          <w:bCs/>
        </w:rPr>
        <w:t xml:space="preserve">depth of knowledge and </w:t>
      </w:r>
      <w:r w:rsidR="00DC1CAB">
        <w:rPr>
          <w:bCs/>
        </w:rPr>
        <w:t xml:space="preserve">teaching </w:t>
      </w:r>
      <w:r w:rsidRPr="00ED31E4">
        <w:rPr>
          <w:bCs/>
        </w:rPr>
        <w:t xml:space="preserve">evidence based argumentation. Visitors observed these common practices in a majority of classrooms. </w:t>
      </w:r>
    </w:p>
    <w:p w14:paraId="616DA1E0" w14:textId="77777777" w:rsidR="001D55D4" w:rsidRDefault="00DC1CAB">
      <w:pPr>
        <w:pStyle w:val="ListParagraph"/>
        <w:widowControl/>
        <w:numPr>
          <w:ilvl w:val="0"/>
          <w:numId w:val="22"/>
        </w:numPr>
        <w:rPr>
          <w:b/>
        </w:rPr>
      </w:pPr>
      <w:r>
        <w:rPr>
          <w:bCs/>
        </w:rPr>
        <w:t>Observed</w:t>
      </w:r>
      <w:r w:rsidR="00ED31E4" w:rsidRPr="00ED31E4">
        <w:rPr>
          <w:bCs/>
        </w:rPr>
        <w:t xml:space="preserve"> instructional practices did not reflect high expectations for students in half of the classrooms observed. </w:t>
      </w:r>
    </w:p>
    <w:p w14:paraId="616DA1E1" w14:textId="77777777" w:rsidR="001D55D4" w:rsidRDefault="00ED31E4">
      <w:pPr>
        <w:pStyle w:val="ListParagraph"/>
        <w:widowControl/>
        <w:numPr>
          <w:ilvl w:val="0"/>
          <w:numId w:val="22"/>
        </w:numPr>
        <w:rPr>
          <w:b/>
        </w:rPr>
      </w:pPr>
      <w:r w:rsidRPr="00ED31E4">
        <w:rPr>
          <w:bCs/>
        </w:rPr>
        <w:t>Visitors observed inconsistency in student engagement and classroom environments.</w:t>
      </w:r>
      <w:r w:rsidRPr="00ED31E4">
        <w:rPr>
          <w:b/>
          <w:bCs/>
        </w:rPr>
        <w:t xml:space="preserve">  </w:t>
      </w:r>
    </w:p>
    <w:p w14:paraId="616DA1E2" w14:textId="77777777" w:rsidR="001D55D4" w:rsidRDefault="00ED31E4">
      <w:pPr>
        <w:pStyle w:val="ListParagraph"/>
        <w:widowControl/>
        <w:numPr>
          <w:ilvl w:val="0"/>
          <w:numId w:val="22"/>
        </w:numPr>
        <w:rPr>
          <w:b/>
        </w:rPr>
      </w:pPr>
      <w:r w:rsidRPr="00ED31E4">
        <w:rPr>
          <w:iCs/>
          <w:szCs w:val="22"/>
        </w:rPr>
        <w:t>The school collects quantitative and qualitative data and is in the beginning phases of implementing data cycle</w:t>
      </w:r>
      <w:r w:rsidR="00DC21A2">
        <w:rPr>
          <w:iCs/>
          <w:szCs w:val="22"/>
        </w:rPr>
        <w:t>s</w:t>
      </w:r>
      <w:r w:rsidRPr="00ED31E4">
        <w:rPr>
          <w:iCs/>
          <w:szCs w:val="22"/>
        </w:rPr>
        <w:t xml:space="preserve"> following trainings provided by the new director of teaching and learning. </w:t>
      </w:r>
    </w:p>
    <w:p w14:paraId="616DA1E3" w14:textId="77777777" w:rsidR="001D55D4" w:rsidRDefault="00ED31E4">
      <w:pPr>
        <w:pStyle w:val="ListParagraph"/>
        <w:widowControl/>
        <w:numPr>
          <w:ilvl w:val="0"/>
          <w:numId w:val="22"/>
        </w:numPr>
        <w:rPr>
          <w:b/>
        </w:rPr>
      </w:pPr>
      <w:r w:rsidRPr="00ED31E4">
        <w:rPr>
          <w:iCs/>
          <w:szCs w:val="22"/>
        </w:rPr>
        <w:t>The school has not conducted self-evaluations for its special education or English language programming.</w:t>
      </w:r>
    </w:p>
    <w:p w14:paraId="616DA1E4" w14:textId="77777777" w:rsidR="001D55D4" w:rsidRDefault="00ED31E4">
      <w:pPr>
        <w:pStyle w:val="ListParagraph"/>
        <w:widowControl/>
        <w:numPr>
          <w:ilvl w:val="0"/>
          <w:numId w:val="22"/>
        </w:numPr>
        <w:rPr>
          <w:b/>
        </w:rPr>
      </w:pPr>
      <w:r w:rsidRPr="00ED31E4">
        <w:t>The school has a system in place to identify students in need of support. The school provides interventions, supports and resources to diverse learners.</w:t>
      </w:r>
    </w:p>
    <w:p w14:paraId="616DA1E5" w14:textId="77777777" w:rsidR="001D55D4" w:rsidRDefault="001D55D4">
      <w:pPr>
        <w:widowControl/>
        <w:rPr>
          <w:b/>
        </w:rPr>
      </w:pPr>
    </w:p>
    <w:p w14:paraId="616DA1E6" w14:textId="77777777" w:rsidR="001D55D4" w:rsidRDefault="00ED31E4">
      <w:pPr>
        <w:widowControl/>
        <w:rPr>
          <w:b/>
        </w:rPr>
      </w:pPr>
      <w:r w:rsidRPr="00ED31E4">
        <w:rPr>
          <w:b/>
        </w:rPr>
        <w:t>Organizational Viability</w:t>
      </w:r>
    </w:p>
    <w:p w14:paraId="616DA1E7" w14:textId="77777777" w:rsidR="001D55D4" w:rsidRDefault="001D55D4">
      <w:pPr>
        <w:widowControl/>
        <w:rPr>
          <w:b/>
        </w:rPr>
      </w:pPr>
    </w:p>
    <w:p w14:paraId="616DA1E8" w14:textId="77777777" w:rsidR="001D55D4" w:rsidRDefault="00ED31E4">
      <w:pPr>
        <w:pStyle w:val="ListParagraph"/>
        <w:widowControl/>
        <w:numPr>
          <w:ilvl w:val="0"/>
          <w:numId w:val="22"/>
        </w:numPr>
        <w:rPr>
          <w:b/>
        </w:rPr>
      </w:pPr>
      <w:r w:rsidRPr="00ED31E4">
        <w:t>School stakeholders reported that they have clear roles and responsibilities, and processes for decision-making and communication appeared to be clear within the school community. The school is increasing its focus on instructional support and supervision this year as a result of student achievement data.</w:t>
      </w:r>
    </w:p>
    <w:p w14:paraId="616DA1E9" w14:textId="77777777" w:rsidR="001D55D4" w:rsidRDefault="00CA485E">
      <w:pPr>
        <w:pStyle w:val="ListParagraph"/>
        <w:widowControl/>
        <w:numPr>
          <w:ilvl w:val="0"/>
          <w:numId w:val="22"/>
        </w:numPr>
        <w:rPr>
          <w:b/>
        </w:rPr>
      </w:pPr>
      <w:r>
        <w:t xml:space="preserve">This year, the school employs a part-time director of teaching and learning responsible for professional development, observation, feedback, and assessment systems. </w:t>
      </w:r>
    </w:p>
    <w:p w14:paraId="616DA1EA" w14:textId="77777777" w:rsidR="001D55D4" w:rsidRDefault="00ED31E4">
      <w:pPr>
        <w:pStyle w:val="ListParagraph"/>
        <w:widowControl/>
        <w:numPr>
          <w:ilvl w:val="0"/>
          <w:numId w:val="22"/>
        </w:numPr>
        <w:rPr>
          <w:b/>
        </w:rPr>
      </w:pPr>
      <w:r w:rsidRPr="00ED31E4">
        <w:t xml:space="preserve">Board documentation and the board focus group reflected that the board </w:t>
      </w:r>
      <w:r w:rsidR="00CA485E">
        <w:t xml:space="preserve">had one recent instance of non-compliance with </w:t>
      </w:r>
      <w:r w:rsidR="00A87A15">
        <w:t xml:space="preserve">the </w:t>
      </w:r>
      <w:r w:rsidRPr="00ED31E4">
        <w:t xml:space="preserve">Open Meeting Law and has recently had attendance issues with over a third of its members. </w:t>
      </w:r>
    </w:p>
    <w:p w14:paraId="616DA1EB" w14:textId="77777777" w:rsidR="001D55D4" w:rsidRDefault="00ED31E4">
      <w:pPr>
        <w:pStyle w:val="ListParagraph"/>
        <w:widowControl/>
        <w:numPr>
          <w:ilvl w:val="0"/>
          <w:numId w:val="22"/>
        </w:numPr>
        <w:rPr>
          <w:b/>
        </w:rPr>
      </w:pPr>
      <w:r w:rsidRPr="00ED31E4">
        <w:t xml:space="preserve">The board understands its role and provides oversight in the areas of finance and governance but continues to have limited engagement with student assessment data despite the probationary academic condition on the school’s charter. </w:t>
      </w:r>
    </w:p>
    <w:p w14:paraId="616DA1EC" w14:textId="77777777" w:rsidR="001D55D4" w:rsidRDefault="001D55D4">
      <w:pPr>
        <w:widowControl/>
        <w:rPr>
          <w:szCs w:val="24"/>
        </w:rPr>
      </w:pPr>
    </w:p>
    <w:p w14:paraId="616DA1ED" w14:textId="77777777" w:rsidR="001D55D4" w:rsidRDefault="00DD374E">
      <w:pPr>
        <w:widowControl/>
      </w:pPr>
      <w:r w:rsidRPr="004D5033">
        <w:rPr>
          <w:szCs w:val="24"/>
        </w:rPr>
        <w:t>As noted above, BGA has met two of the f</w:t>
      </w:r>
      <w:r w:rsidR="00AC5569">
        <w:rPr>
          <w:szCs w:val="24"/>
        </w:rPr>
        <w:t xml:space="preserve">our conditions imposed and has </w:t>
      </w:r>
      <w:r w:rsidR="00CA485E">
        <w:rPr>
          <w:szCs w:val="24"/>
        </w:rPr>
        <w:t>partially</w:t>
      </w:r>
      <w:r w:rsidR="00AC5569">
        <w:rPr>
          <w:szCs w:val="24"/>
        </w:rPr>
        <w:t xml:space="preserve"> met the condition to demonstrate </w:t>
      </w:r>
      <w:r w:rsidR="00C841CE" w:rsidRPr="00736051">
        <w:t>significant and sustained academic improvement</w:t>
      </w:r>
      <w:r w:rsidR="00C841CE">
        <w:t xml:space="preserve">. The </w:t>
      </w:r>
      <w:r w:rsidR="00CA485E">
        <w:t>partially met</w:t>
      </w:r>
      <w:r w:rsidR="00C841CE">
        <w:t xml:space="preserve"> condition explicitly states that the Board and I will consider revoking the school’s charter based on failure to demonstrate</w:t>
      </w:r>
      <w:r w:rsidR="00C841CE" w:rsidRPr="00736051">
        <w:t xml:space="preserve"> significant and sustained academic improvement </w:t>
      </w:r>
      <w:r w:rsidR="00C841CE">
        <w:t xml:space="preserve">by December 31, 2016. At this point, I do not recommend revocation. As noted above, BGA’s academic </w:t>
      </w:r>
      <w:r w:rsidR="00C841CE">
        <w:lastRenderedPageBreak/>
        <w:t xml:space="preserve">performance </w:t>
      </w:r>
      <w:r w:rsidR="00CA485E">
        <w:t xml:space="preserve">as a whole school </w:t>
      </w:r>
      <w:r w:rsidR="00C841CE">
        <w:t>is not yet acceptable, but the school continues to make progress in its high school achievement as well as college and career readiness indicators. I am concerned about the poor academic achievement at the school’s newly added 6</w:t>
      </w:r>
      <w:r w:rsidR="00C841CE" w:rsidRPr="00C841CE">
        <w:rPr>
          <w:vertAlign w:val="superscript"/>
        </w:rPr>
        <w:t>th</w:t>
      </w:r>
      <w:r w:rsidR="00C841CE">
        <w:t xml:space="preserve"> and 7</w:t>
      </w:r>
      <w:r w:rsidR="00C841CE" w:rsidRPr="00C841CE">
        <w:rPr>
          <w:vertAlign w:val="superscript"/>
        </w:rPr>
        <w:t>th</w:t>
      </w:r>
      <w:r w:rsidR="00C841CE">
        <w:t xml:space="preserve"> grades </w:t>
      </w:r>
      <w:r w:rsidR="00A87A15">
        <w:t>and the</w:t>
      </w:r>
      <w:r w:rsidR="00C841CE">
        <w:t xml:space="preserve"> low growth scores in all grade levels. In its 6</w:t>
      </w:r>
      <w:r w:rsidR="00C841CE" w:rsidRPr="00C841CE">
        <w:rPr>
          <w:vertAlign w:val="superscript"/>
        </w:rPr>
        <w:t>th</w:t>
      </w:r>
      <w:r w:rsidR="00C841CE">
        <w:t xml:space="preserve"> year, the school is providing a high school program that is a vast improvement from the Odyssey. In order to continue operating as a Horace Mann Charter School, BGA must improve the quality and outcomes for its middle school students. </w:t>
      </w:r>
    </w:p>
    <w:p w14:paraId="616DA1EE" w14:textId="77777777" w:rsidR="001D55D4" w:rsidRDefault="001D55D4">
      <w:pPr>
        <w:widowControl/>
      </w:pPr>
    </w:p>
    <w:p w14:paraId="616DA1EF" w14:textId="77777777" w:rsidR="00CA485E" w:rsidRDefault="00CA485E" w:rsidP="00E31061">
      <w:pPr>
        <w:pStyle w:val="BodyText2"/>
        <w:rPr>
          <w:szCs w:val="24"/>
        </w:rPr>
      </w:pPr>
      <w:r>
        <w:t xml:space="preserve">Given this evidence, further detailed in the attached Site Visit Report, as well as the school’s response, </w:t>
      </w:r>
      <w:r w:rsidRPr="00642F22">
        <w:rPr>
          <w:szCs w:val="24"/>
        </w:rPr>
        <w:t xml:space="preserve">I recommend that the Board </w:t>
      </w:r>
      <w:r>
        <w:rPr>
          <w:szCs w:val="24"/>
        </w:rPr>
        <w:t xml:space="preserve">extend probation and establish a new set of conditions. I also recommend that two existing conditions be extended </w:t>
      </w:r>
      <w:r w:rsidRPr="00642F22">
        <w:rPr>
          <w:szCs w:val="24"/>
        </w:rPr>
        <w:t xml:space="preserve">as part of the school’s probation. </w:t>
      </w:r>
    </w:p>
    <w:p w14:paraId="616DA1F0" w14:textId="77777777" w:rsidR="00CA485E" w:rsidRDefault="00CA485E" w:rsidP="00E31061">
      <w:pPr>
        <w:pStyle w:val="BodyText2"/>
        <w:rPr>
          <w:szCs w:val="24"/>
        </w:rPr>
      </w:pPr>
    </w:p>
    <w:p w14:paraId="616DA1F1" w14:textId="77777777" w:rsidR="00CA485E" w:rsidRPr="00642F22" w:rsidRDefault="00CA485E" w:rsidP="00E31061">
      <w:pPr>
        <w:widowControl/>
        <w:numPr>
          <w:ilvl w:val="0"/>
          <w:numId w:val="5"/>
        </w:numPr>
        <w:contextualSpacing/>
      </w:pPr>
      <w:r w:rsidRPr="00642F22">
        <w:t xml:space="preserve">Until further notice, </w:t>
      </w:r>
      <w:r>
        <w:t>Boston Green Academy Horace Mann Charter School</w:t>
      </w:r>
      <w:r w:rsidRPr="00642F22">
        <w:t xml:space="preserve"> must submit to the Department, at </w:t>
      </w:r>
      <w:hyperlink r:id="rId18" w:history="1">
        <w:r w:rsidRPr="00642F22">
          <w:rPr>
            <w:rStyle w:val="Hyperlink"/>
          </w:rPr>
          <w:t>charterschools@doe.mass.edu</w:t>
        </w:r>
      </w:hyperlink>
      <w:r w:rsidRPr="00642F22">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616DA1F2" w14:textId="77777777" w:rsidR="00CA485E" w:rsidRPr="00642F22" w:rsidRDefault="00CA485E" w:rsidP="00E31061">
      <w:pPr>
        <w:widowControl/>
        <w:ind w:left="360"/>
        <w:contextualSpacing/>
        <w:rPr>
          <w:szCs w:val="24"/>
        </w:rPr>
      </w:pPr>
    </w:p>
    <w:p w14:paraId="616DA1F3" w14:textId="77777777" w:rsidR="00CA485E" w:rsidRDefault="00CA485E" w:rsidP="00E31061">
      <w:pPr>
        <w:widowControl/>
        <w:numPr>
          <w:ilvl w:val="0"/>
          <w:numId w:val="5"/>
        </w:numPr>
      </w:pPr>
      <w:r w:rsidRPr="00642F22">
        <w:t>The school must maintain the established escrow account to pay for any potential closing, legal, and audit expenses associated with closure, should that occur.</w:t>
      </w:r>
    </w:p>
    <w:p w14:paraId="616DA1F4" w14:textId="77777777" w:rsidR="001D55D4" w:rsidRDefault="001D55D4">
      <w:pPr>
        <w:widowControl/>
      </w:pPr>
    </w:p>
    <w:p w14:paraId="616DA1F5" w14:textId="77777777" w:rsidR="000A0E98" w:rsidRPr="00601185" w:rsidRDefault="00CA485E" w:rsidP="00E31061">
      <w:pPr>
        <w:pStyle w:val="ListParagraph"/>
        <w:widowControl/>
        <w:numPr>
          <w:ilvl w:val="0"/>
          <w:numId w:val="5"/>
        </w:numPr>
        <w:rPr>
          <w:color w:val="000000"/>
          <w:szCs w:val="24"/>
        </w:rPr>
      </w:pPr>
      <w:r w:rsidRPr="006B67B7">
        <w:t xml:space="preserve">By </w:t>
      </w:r>
      <w:r w:rsidR="000A0E98">
        <w:t xml:space="preserve">June 30, 2017, </w:t>
      </w:r>
      <w:r w:rsidR="000A0E98" w:rsidRPr="00601185">
        <w:rPr>
          <w:color w:val="000000"/>
          <w:szCs w:val="24"/>
        </w:rPr>
        <w:t xml:space="preserve">BGA must submit to the Department a comprehensive evaluation of the school’s mathematics, English language arts, and science programs </w:t>
      </w:r>
      <w:r w:rsidR="000A0E98" w:rsidRPr="00601185">
        <w:rPr>
          <w:szCs w:val="24"/>
        </w:rPr>
        <w:t>including, but not limited to, whether and how such programs effectively create an environment conducive to learning, hold students to high expectations, and foster student engagement. Such comprehensive evaluation must be conducted by an external consultant(s) acceptable to and approved in advance by the Department.</w:t>
      </w:r>
      <w:r w:rsidR="000A0E98" w:rsidRPr="00601185">
        <w:rPr>
          <w:color w:val="000000"/>
          <w:szCs w:val="24"/>
        </w:rPr>
        <w:t> </w:t>
      </w:r>
      <w:r w:rsidR="00C2420F">
        <w:rPr>
          <w:color w:val="000000"/>
          <w:szCs w:val="24"/>
        </w:rPr>
        <w:t xml:space="preserve">The </w:t>
      </w:r>
      <w:r w:rsidR="000A0E98" w:rsidRPr="00601185">
        <w:rPr>
          <w:color w:val="000000"/>
          <w:szCs w:val="24"/>
        </w:rPr>
        <w:t>external consultant</w:t>
      </w:r>
      <w:r w:rsidR="00C2420F">
        <w:rPr>
          <w:color w:val="000000"/>
          <w:szCs w:val="24"/>
        </w:rPr>
        <w:t>(s)</w:t>
      </w:r>
      <w:r w:rsidR="000A0E98" w:rsidRPr="00601185">
        <w:rPr>
          <w:color w:val="000000"/>
          <w:szCs w:val="24"/>
        </w:rPr>
        <w:t xml:space="preserve"> may be employed by Boston Public Schools</w:t>
      </w:r>
      <w:r w:rsidR="00601185" w:rsidRPr="00601185">
        <w:rPr>
          <w:color w:val="000000"/>
          <w:szCs w:val="24"/>
        </w:rPr>
        <w:t xml:space="preserve"> if they are not also employees of BGA. </w:t>
      </w:r>
    </w:p>
    <w:p w14:paraId="616DA1F6" w14:textId="77777777" w:rsidR="000A0E98" w:rsidRPr="006211FA" w:rsidRDefault="000A0E98" w:rsidP="00E31061">
      <w:pPr>
        <w:widowControl/>
        <w:ind w:left="720"/>
        <w:rPr>
          <w:color w:val="000000"/>
          <w:szCs w:val="24"/>
        </w:rPr>
      </w:pPr>
    </w:p>
    <w:p w14:paraId="616DA1F7" w14:textId="77777777" w:rsidR="00CA485E" w:rsidRPr="00601185" w:rsidRDefault="00601185" w:rsidP="00E31061">
      <w:pPr>
        <w:widowControl/>
        <w:numPr>
          <w:ilvl w:val="0"/>
          <w:numId w:val="5"/>
        </w:numPr>
        <w:rPr>
          <w:color w:val="000000"/>
          <w:szCs w:val="24"/>
        </w:rPr>
      </w:pPr>
      <w:r>
        <w:rPr>
          <w:szCs w:val="24"/>
        </w:rPr>
        <w:t>By July 31, 2017</w:t>
      </w:r>
      <w:r w:rsidR="000A0E98" w:rsidRPr="006211FA">
        <w:rPr>
          <w:szCs w:val="24"/>
        </w:rPr>
        <w:t xml:space="preserve">, </w:t>
      </w:r>
      <w:r>
        <w:rPr>
          <w:szCs w:val="24"/>
        </w:rPr>
        <w:t>BGA</w:t>
      </w:r>
      <w:r w:rsidR="000A0E98" w:rsidRPr="006211FA">
        <w:rPr>
          <w:szCs w:val="24"/>
        </w:rPr>
        <w:t xml:space="preserve"> must submit an action plan to improve academic performance to the Department for approval. Such action plan must specify the strategies to improve mathematics, English language arts, and science performance for all student groups. The action plan must set clear and specific implementation benchmarks, with a clear timetable and deadlines for completion of key tasks, to allow the school's board of trustees and the Department to monitor implementation.</w:t>
      </w:r>
    </w:p>
    <w:p w14:paraId="616DA1F8" w14:textId="77777777" w:rsidR="001D55D4" w:rsidRDefault="001D55D4">
      <w:pPr>
        <w:widowControl/>
      </w:pPr>
    </w:p>
    <w:p w14:paraId="616DA1F9" w14:textId="77777777" w:rsidR="00CA485E" w:rsidRPr="006B67B7" w:rsidRDefault="00601185" w:rsidP="00E31061">
      <w:pPr>
        <w:widowControl/>
        <w:numPr>
          <w:ilvl w:val="0"/>
          <w:numId w:val="5"/>
        </w:numPr>
      </w:pPr>
      <w:r>
        <w:t>By December 31, 2019</w:t>
      </w:r>
      <w:r w:rsidR="00CA485E" w:rsidRPr="006B67B7">
        <w:t>, the school must demonstrate continued significant and sustained academic improvement in mathematics, English language arts, and science.</w:t>
      </w:r>
      <w:r w:rsidR="00CA485E">
        <w:t xml:space="preserve"> </w:t>
      </w:r>
    </w:p>
    <w:p w14:paraId="616DA1FA" w14:textId="77777777" w:rsidR="00CA485E" w:rsidRDefault="00CA485E" w:rsidP="00E31061">
      <w:pPr>
        <w:widowControl/>
      </w:pPr>
    </w:p>
    <w:p w14:paraId="616DA1FB" w14:textId="77777777" w:rsidR="00601185" w:rsidRDefault="00601185" w:rsidP="00E31061">
      <w:pPr>
        <w:widowControl/>
      </w:pPr>
      <w:r>
        <w:t xml:space="preserve">Like all public schools in Massachusetts, BGA will administer the Next-Generation MCAS tests for the first time in the spring of 2017. The Department will closely monitor the school’s performance on the Next-Generation MCAS for the 2017, 2018, and 2019 administrations. Additionally, Department staff will visit the school during the next two school years to monitor the effectiveness of the school’s implementation of its action plan to improve academic performance. I will report back to the Board on the school’s progress in these areas.  </w:t>
      </w:r>
    </w:p>
    <w:p w14:paraId="616DA1FC" w14:textId="77777777" w:rsidR="00006E3F" w:rsidRPr="008852F7" w:rsidRDefault="00006E3F" w:rsidP="00E31061">
      <w:pPr>
        <w:widowControl/>
        <w:tabs>
          <w:tab w:val="left" w:pos="1350"/>
        </w:tabs>
        <w:contextualSpacing/>
      </w:pPr>
    </w:p>
    <w:p w14:paraId="616DA1FD" w14:textId="77777777" w:rsidR="00711B22" w:rsidRDefault="006407CE" w:rsidP="00E31061">
      <w:pPr>
        <w:widowControl/>
        <w:jc w:val="center"/>
        <w:rPr>
          <w:szCs w:val="24"/>
        </w:rPr>
      </w:pPr>
      <w:r w:rsidRPr="00590C1F">
        <w:rPr>
          <w:szCs w:val="24"/>
        </w:rPr>
        <w:t>**********************</w:t>
      </w:r>
    </w:p>
    <w:p w14:paraId="616DA1FE" w14:textId="77777777" w:rsidR="001D55D4" w:rsidRDefault="001D55D4">
      <w:pPr>
        <w:widowControl/>
        <w:rPr>
          <w:color w:val="000000"/>
          <w:szCs w:val="24"/>
        </w:rPr>
      </w:pPr>
    </w:p>
    <w:p w14:paraId="616DA1FF" w14:textId="77777777" w:rsidR="001D55D4" w:rsidRDefault="000E0161">
      <w:pPr>
        <w:pStyle w:val="BodyTextIndent3"/>
        <w:widowControl/>
        <w:ind w:left="0"/>
        <w:rPr>
          <w:sz w:val="24"/>
          <w:szCs w:val="24"/>
        </w:rPr>
      </w:pPr>
      <w:r w:rsidRPr="00A15B56">
        <w:rPr>
          <w:color w:val="000000"/>
          <w:sz w:val="24"/>
          <w:szCs w:val="24"/>
        </w:rPr>
        <w:t>If you have any questions regarding these amendments or require additional information, please contact Alison Bagg, Director (781-338-3218); Cliff Chuang, Senior Associate Commissioner (781-338-3222); or me.</w:t>
      </w:r>
    </w:p>
    <w:p w14:paraId="616DA200" w14:textId="77777777" w:rsidR="00711B22" w:rsidRDefault="00711B22" w:rsidP="00E31061">
      <w:pPr>
        <w:widowControl/>
        <w:jc w:val="center"/>
        <w:rPr>
          <w:szCs w:val="24"/>
        </w:rPr>
      </w:pPr>
    </w:p>
    <w:p w14:paraId="616DA201" w14:textId="77777777" w:rsidR="00711B22" w:rsidRDefault="00711B22" w:rsidP="00E31061">
      <w:pPr>
        <w:widowControl/>
        <w:jc w:val="center"/>
        <w:rPr>
          <w:szCs w:val="24"/>
        </w:rPr>
      </w:pPr>
    </w:p>
    <w:p w14:paraId="616DA202" w14:textId="2299FD8C" w:rsidR="007D63A4" w:rsidRDefault="006407CE" w:rsidP="00D94246">
      <w:pPr>
        <w:widowControl/>
        <w:rPr>
          <w:szCs w:val="24"/>
        </w:rPr>
      </w:pPr>
      <w:r w:rsidRPr="00590C1F">
        <w:rPr>
          <w:szCs w:val="24"/>
        </w:rPr>
        <w:t xml:space="preserve">Attachment: </w:t>
      </w:r>
      <w:r w:rsidRPr="00590C1F">
        <w:rPr>
          <w:szCs w:val="24"/>
        </w:rPr>
        <w:tab/>
      </w:r>
      <w:hyperlink r:id="rId19" w:history="1">
        <w:r w:rsidR="006221BE" w:rsidRPr="006732CF">
          <w:rPr>
            <w:rStyle w:val="Hyperlink"/>
            <w:szCs w:val="24"/>
          </w:rPr>
          <w:t>Boston Green Academy Horace Mann Charter School Year Six Site Visit Report</w:t>
        </w:r>
      </w:hyperlink>
    </w:p>
    <w:p w14:paraId="616DA203" w14:textId="7706814F" w:rsidR="006221BE" w:rsidRDefault="006221BE" w:rsidP="00E31061">
      <w:pPr>
        <w:widowControl/>
        <w:rPr>
          <w:szCs w:val="24"/>
        </w:rPr>
      </w:pPr>
      <w:r>
        <w:rPr>
          <w:szCs w:val="24"/>
        </w:rPr>
        <w:tab/>
      </w:r>
      <w:r>
        <w:rPr>
          <w:szCs w:val="24"/>
        </w:rPr>
        <w:tab/>
      </w:r>
      <w:hyperlink r:id="rId20" w:history="1">
        <w:r w:rsidRPr="004521FE">
          <w:rPr>
            <w:rStyle w:val="Hyperlink"/>
            <w:szCs w:val="24"/>
          </w:rPr>
          <w:t>School’s Response to the Year Six Site Visit Report</w:t>
        </w:r>
      </w:hyperlink>
      <w:bookmarkStart w:id="4" w:name="_GoBack"/>
      <w:bookmarkEnd w:id="4"/>
    </w:p>
    <w:p w14:paraId="616DA204" w14:textId="77777777" w:rsidR="00711B22" w:rsidRDefault="00590C1F" w:rsidP="00E31061">
      <w:pPr>
        <w:widowControl/>
        <w:rPr>
          <w:szCs w:val="24"/>
        </w:rPr>
      </w:pPr>
      <w:r>
        <w:rPr>
          <w:szCs w:val="24"/>
        </w:rPr>
        <w:tab/>
      </w:r>
      <w:r>
        <w:rPr>
          <w:szCs w:val="24"/>
        </w:rPr>
        <w:tab/>
      </w:r>
      <w:r w:rsidR="00D94246">
        <w:rPr>
          <w:szCs w:val="24"/>
        </w:rPr>
        <w:t>Motion</w:t>
      </w:r>
    </w:p>
    <w:sectPr w:rsidR="00711B22" w:rsidSect="001D2BBA">
      <w:footerReference w:type="default" r:id="rId21"/>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45C6F" w14:textId="77777777" w:rsidR="00A233CC" w:rsidRDefault="00A233CC" w:rsidP="008C2DF5">
      <w:r>
        <w:separator/>
      </w:r>
    </w:p>
  </w:endnote>
  <w:endnote w:type="continuationSeparator" w:id="0">
    <w:p w14:paraId="3FD17189" w14:textId="77777777" w:rsidR="00A233CC" w:rsidRDefault="00A233CC" w:rsidP="008C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A212" w14:textId="77777777" w:rsidR="000A0E98" w:rsidRDefault="000A0E98">
    <w:pPr>
      <w:pStyle w:val="Footer"/>
      <w:jc w:val="center"/>
    </w:pPr>
  </w:p>
  <w:p w14:paraId="616DA213" w14:textId="77777777" w:rsidR="000A0E98" w:rsidRDefault="000A0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79293"/>
      <w:docPartObj>
        <w:docPartGallery w:val="Page Numbers (Bottom of Page)"/>
        <w:docPartUnique/>
      </w:docPartObj>
    </w:sdtPr>
    <w:sdtEndPr/>
    <w:sdtContent>
      <w:p w14:paraId="616DA214" w14:textId="77777777" w:rsidR="00B16570" w:rsidRDefault="00626A5C">
        <w:pPr>
          <w:pStyle w:val="Footer"/>
          <w:jc w:val="right"/>
        </w:pPr>
        <w:r>
          <w:fldChar w:fldCharType="begin"/>
        </w:r>
        <w:r>
          <w:instrText xml:space="preserve"> PAGE   \* MERGEFORMAT </w:instrText>
        </w:r>
        <w:r>
          <w:fldChar w:fldCharType="separate"/>
        </w:r>
        <w:r w:rsidR="004521FE">
          <w:rPr>
            <w:noProof/>
          </w:rPr>
          <w:t>12</w:t>
        </w:r>
        <w:r>
          <w:rPr>
            <w:noProof/>
          </w:rPr>
          <w:fldChar w:fldCharType="end"/>
        </w:r>
      </w:p>
    </w:sdtContent>
  </w:sdt>
  <w:p w14:paraId="616DA215" w14:textId="77777777" w:rsidR="00B16570" w:rsidRDefault="00B1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63EF" w14:textId="77777777" w:rsidR="00A233CC" w:rsidRDefault="00A233CC" w:rsidP="008C2DF5">
      <w:r>
        <w:separator/>
      </w:r>
    </w:p>
  </w:footnote>
  <w:footnote w:type="continuationSeparator" w:id="0">
    <w:p w14:paraId="0E538300" w14:textId="77777777" w:rsidR="00A233CC" w:rsidRDefault="00A233CC" w:rsidP="008C2DF5">
      <w:r>
        <w:continuationSeparator/>
      </w:r>
    </w:p>
  </w:footnote>
  <w:footnote w:id="1">
    <w:p w14:paraId="616DA216" w14:textId="5ED73B15" w:rsidR="000A0E98" w:rsidRDefault="00CC2EA2" w:rsidP="008B0DEF">
      <w:pPr>
        <w:pStyle w:val="FootnoteText"/>
      </w:pPr>
      <w:r w:rsidRPr="00CC2EA2">
        <w:rPr>
          <w:rStyle w:val="FootnoteReference"/>
          <w:vertAlign w:val="superscript"/>
        </w:rPr>
        <w:footnoteRef/>
      </w:r>
      <w:r w:rsidRPr="00CC2EA2">
        <w:rPr>
          <w:vertAlign w:val="superscript"/>
        </w:rPr>
        <w:t xml:space="preserve"> </w:t>
      </w:r>
      <w:r w:rsidR="000A0E98">
        <w:t>As reported in the Massachusetts Charter School Waitlist Initial Report for 2016-2017 from March 15, 2016 (</w:t>
      </w:r>
      <w:hyperlink r:id="rId1" w:tgtFrame="_blank" w:history="1">
        <w:r w:rsidR="000A0E98">
          <w:rPr>
            <w:rStyle w:val="Hyperlink"/>
          </w:rPr>
          <w:t>http://www.doe.mass.edu/charter/enrollment/fy2017Waitlist.html</w:t>
        </w:r>
      </w:hyperlink>
      <w:r w:rsidR="000A0E98">
        <w:t>)</w:t>
      </w:r>
      <w:r w:rsidR="00052F6F">
        <w:t>.</w:t>
      </w:r>
    </w:p>
  </w:footnote>
  <w:footnote w:id="2">
    <w:p w14:paraId="616DA217" w14:textId="77777777" w:rsidR="00A64F3B" w:rsidRPr="00A64F3B" w:rsidRDefault="00A64F3B" w:rsidP="00A64F3B">
      <w:pPr>
        <w:rPr>
          <w:szCs w:val="22"/>
        </w:rPr>
      </w:pPr>
      <w:r w:rsidRPr="00A64F3B">
        <w:rPr>
          <w:rStyle w:val="FootnoteReference"/>
          <w:vertAlign w:val="superscript"/>
        </w:rPr>
        <w:footnoteRef/>
      </w:r>
      <w:r w:rsidRPr="00A64F3B">
        <w:rPr>
          <w:vertAlign w:val="superscript"/>
        </w:rPr>
        <w:t xml:space="preserve"> </w:t>
      </w:r>
      <w:r w:rsidR="00B0671D" w:rsidRPr="00B0671D">
        <w:rPr>
          <w:color w:val="000000"/>
          <w:sz w:val="20"/>
        </w:rPr>
        <w:t>The revision of M.G.L. c. 71, § 89, in 2010, created three types of Horace Mann charter schools, each with a particular set of requirements. Requirements for the involvement of the collective bargaining unit vary by type.</w:t>
      </w:r>
      <w:r w:rsidR="00B0671D" w:rsidRPr="00CB243F">
        <w:rPr>
          <w:color w:val="000000"/>
          <w:szCs w:val="22"/>
        </w:rPr>
        <w:t xml:space="preserve"> </w:t>
      </w:r>
      <w:r w:rsidR="00B0671D">
        <w:rPr>
          <w:snapToGrid/>
          <w:color w:val="000000"/>
          <w:sz w:val="20"/>
        </w:rPr>
        <w:t xml:space="preserve">A Horace Mann III charter school’s </w:t>
      </w:r>
      <w:r w:rsidRPr="00A64F3B">
        <w:rPr>
          <w:snapToGrid/>
          <w:color w:val="000000"/>
          <w:sz w:val="20"/>
        </w:rPr>
        <w:t>application must be submitted with the approval of the school committee. An agreement with the local collective bargaining unit is not required prior to Board approval</w:t>
      </w:r>
      <w:r w:rsidR="00B0671D">
        <w:rPr>
          <w:snapToGrid/>
          <w:color w:val="000000"/>
          <w:sz w:val="20"/>
        </w:rPr>
        <w:t xml:space="preserve"> of a Horace Mann III</w:t>
      </w:r>
      <w:r w:rsidR="00C2420F">
        <w:rPr>
          <w:snapToGrid/>
          <w:color w:val="000000"/>
          <w:sz w:val="20"/>
        </w:rPr>
        <w:t>;</w:t>
      </w:r>
      <w:r w:rsidRPr="00A64F3B">
        <w:rPr>
          <w:snapToGrid/>
          <w:color w:val="000000"/>
          <w:sz w:val="20"/>
        </w:rPr>
        <w:t xml:space="preserve"> however, the charter school’s board of trustees must negotiate with the collective bargaining unit and the school committee in good faith regarding any modifications to collective bargaining agreements following the award of a charter. Pursuant </w:t>
      </w:r>
      <w:r w:rsidR="00C2420F">
        <w:rPr>
          <w:snapToGrid/>
          <w:color w:val="000000"/>
          <w:sz w:val="20"/>
        </w:rPr>
        <w:t xml:space="preserve">to </w:t>
      </w:r>
      <w:r w:rsidRPr="00A64F3B">
        <w:rPr>
          <w:snapToGrid/>
          <w:color w:val="000000"/>
          <w:sz w:val="20"/>
        </w:rPr>
        <w:t>603 CMR 1.10, all Horace Mann charter renewals and certain charter amendments must be approved by the local school committee and teachers’ union.</w:t>
      </w:r>
    </w:p>
  </w:footnote>
  <w:footnote w:id="3">
    <w:p w14:paraId="616DA218" w14:textId="77777777" w:rsidR="000A0E98" w:rsidRDefault="000A0E98" w:rsidP="005C1CD5">
      <w:pPr>
        <w:pStyle w:val="Default"/>
      </w:pPr>
      <w:r w:rsidRPr="00E848D9">
        <w:rPr>
          <w:rStyle w:val="FootnoteReference"/>
          <w:vertAlign w:val="superscript"/>
        </w:rPr>
        <w:footnoteRef/>
      </w:r>
      <w:r>
        <w:t xml:space="preserve"> </w:t>
      </w:r>
      <w:r w:rsidRPr="00E848D9">
        <w:rPr>
          <w:sz w:val="20"/>
          <w:szCs w:val="20"/>
        </w:rPr>
        <w:t xml:space="preserve">BGA’s lack of compliance included lack of appropriate licensure for </w:t>
      </w:r>
      <w:r>
        <w:rPr>
          <w:sz w:val="20"/>
          <w:szCs w:val="20"/>
        </w:rPr>
        <w:t xml:space="preserve">two </w:t>
      </w:r>
      <w:r w:rsidRPr="00E848D9">
        <w:rPr>
          <w:sz w:val="20"/>
          <w:szCs w:val="20"/>
        </w:rPr>
        <w:t>special education staff</w:t>
      </w:r>
      <w:r w:rsidR="00E31061">
        <w:rPr>
          <w:sz w:val="20"/>
          <w:szCs w:val="20"/>
        </w:rPr>
        <w:t>,</w:t>
      </w:r>
      <w:r w:rsidRPr="00E848D9">
        <w:rPr>
          <w:sz w:val="20"/>
          <w:szCs w:val="20"/>
        </w:rPr>
        <w:t xml:space="preserve"> failure to request </w:t>
      </w:r>
      <w:r w:rsidR="00C2420F">
        <w:rPr>
          <w:sz w:val="20"/>
          <w:szCs w:val="20"/>
        </w:rPr>
        <w:t xml:space="preserve">the </w:t>
      </w:r>
      <w:r w:rsidR="00C2420F" w:rsidRPr="00E848D9">
        <w:rPr>
          <w:sz w:val="20"/>
          <w:szCs w:val="20"/>
        </w:rPr>
        <w:t>Commissioner</w:t>
      </w:r>
      <w:r w:rsidR="00C2420F">
        <w:rPr>
          <w:sz w:val="20"/>
          <w:szCs w:val="20"/>
        </w:rPr>
        <w:t xml:space="preserve">’s </w:t>
      </w:r>
      <w:r w:rsidRPr="00E848D9">
        <w:rPr>
          <w:sz w:val="20"/>
          <w:szCs w:val="20"/>
        </w:rPr>
        <w:t>approval of board members prior to service, and failure to submit the 2012 end-of-year financial report or the 2013 financial audit in a timely manner.</w:t>
      </w:r>
      <w:r>
        <w:t xml:space="preserve"> </w:t>
      </w:r>
    </w:p>
    <w:p w14:paraId="616DA219" w14:textId="77777777" w:rsidR="000A0E98" w:rsidRDefault="000A0E98" w:rsidP="005C1CD5">
      <w:pPr>
        <w:pStyle w:val="FootnoteText"/>
      </w:pPr>
    </w:p>
  </w:footnote>
  <w:footnote w:id="4">
    <w:p w14:paraId="616DA21A" w14:textId="77777777" w:rsidR="000A0E98" w:rsidRDefault="000A0E98">
      <w:pPr>
        <w:pStyle w:val="FootnoteText"/>
      </w:pPr>
      <w:r w:rsidRPr="00BA7298">
        <w:rPr>
          <w:rStyle w:val="FootnoteReference"/>
          <w:vertAlign w:val="superscript"/>
        </w:rPr>
        <w:footnoteRef/>
      </w:r>
      <w:r w:rsidRPr="00BA7298">
        <w:rPr>
          <w:vertAlign w:val="superscript"/>
        </w:rPr>
        <w:t xml:space="preserve"> </w:t>
      </w:r>
      <w:r>
        <w:t>In 2014, BGA served grades 9-12 and was compared to other high schools statewide for its Level and Percentile. In 2015, BGA began serving middle school grades and was then classified as a middle-high school for accountability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837"/>
    <w:multiLevelType w:val="hybridMultilevel"/>
    <w:tmpl w:val="EAC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54B47"/>
    <w:multiLevelType w:val="hybridMultilevel"/>
    <w:tmpl w:val="2C8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74670"/>
    <w:multiLevelType w:val="hybridMultilevel"/>
    <w:tmpl w:val="39CA7C22"/>
    <w:lvl w:ilvl="0" w:tplc="A0DCB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F7CC0"/>
    <w:multiLevelType w:val="hybridMultilevel"/>
    <w:tmpl w:val="58E0E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33E44"/>
    <w:multiLevelType w:val="hybridMultilevel"/>
    <w:tmpl w:val="CD1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E5CDE"/>
    <w:multiLevelType w:val="hybridMultilevel"/>
    <w:tmpl w:val="0712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C42BC"/>
    <w:multiLevelType w:val="hybridMultilevel"/>
    <w:tmpl w:val="C27A5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13F8F"/>
    <w:multiLevelType w:val="hybridMultilevel"/>
    <w:tmpl w:val="1ADA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12365"/>
    <w:multiLevelType w:val="hybridMultilevel"/>
    <w:tmpl w:val="CE28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03E24"/>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84A19"/>
    <w:multiLevelType w:val="hybridMultilevel"/>
    <w:tmpl w:val="F9D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33204"/>
    <w:multiLevelType w:val="hybridMultilevel"/>
    <w:tmpl w:val="FA8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37942"/>
    <w:multiLevelType w:val="hybridMultilevel"/>
    <w:tmpl w:val="4404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C1420"/>
    <w:multiLevelType w:val="hybridMultilevel"/>
    <w:tmpl w:val="67F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A5B1A"/>
    <w:multiLevelType w:val="hybridMultilevel"/>
    <w:tmpl w:val="758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24CA4"/>
    <w:multiLevelType w:val="hybridMultilevel"/>
    <w:tmpl w:val="ED36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A0699"/>
    <w:multiLevelType w:val="hybridMultilevel"/>
    <w:tmpl w:val="DF82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F3BB3"/>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310F7"/>
    <w:multiLevelType w:val="hybridMultilevel"/>
    <w:tmpl w:val="788CF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17800"/>
    <w:multiLevelType w:val="hybridMultilevel"/>
    <w:tmpl w:val="D766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764BD"/>
    <w:multiLevelType w:val="hybridMultilevel"/>
    <w:tmpl w:val="45D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D34EB"/>
    <w:multiLevelType w:val="hybridMultilevel"/>
    <w:tmpl w:val="C828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738B0"/>
    <w:multiLevelType w:val="hybridMultilevel"/>
    <w:tmpl w:val="D84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12"/>
  </w:num>
  <w:num w:numId="6">
    <w:abstractNumId w:val="3"/>
  </w:num>
  <w:num w:numId="7">
    <w:abstractNumId w:val="23"/>
  </w:num>
  <w:num w:numId="8">
    <w:abstractNumId w:val="21"/>
  </w:num>
  <w:num w:numId="9">
    <w:abstractNumId w:val="0"/>
  </w:num>
  <w:num w:numId="10">
    <w:abstractNumId w:val="4"/>
  </w:num>
  <w:num w:numId="11">
    <w:abstractNumId w:val="5"/>
  </w:num>
  <w:num w:numId="12">
    <w:abstractNumId w:val="13"/>
  </w:num>
  <w:num w:numId="13">
    <w:abstractNumId w:val="19"/>
  </w:num>
  <w:num w:numId="14">
    <w:abstractNumId w:val="10"/>
  </w:num>
  <w:num w:numId="15">
    <w:abstractNumId w:val="18"/>
  </w:num>
  <w:num w:numId="16">
    <w:abstractNumId w:val="17"/>
  </w:num>
  <w:num w:numId="17">
    <w:abstractNumId w:val="11"/>
  </w:num>
  <w:num w:numId="18">
    <w:abstractNumId w:val="16"/>
  </w:num>
  <w:num w:numId="19">
    <w:abstractNumId w:val="24"/>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1"/>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CE"/>
    <w:rsid w:val="0000066A"/>
    <w:rsid w:val="00000A97"/>
    <w:rsid w:val="00006E3F"/>
    <w:rsid w:val="000217F0"/>
    <w:rsid w:val="00023C09"/>
    <w:rsid w:val="000322C6"/>
    <w:rsid w:val="000330BC"/>
    <w:rsid w:val="00052F6F"/>
    <w:rsid w:val="0005478E"/>
    <w:rsid w:val="0006024F"/>
    <w:rsid w:val="000646B9"/>
    <w:rsid w:val="000675C3"/>
    <w:rsid w:val="0007577F"/>
    <w:rsid w:val="00077DD3"/>
    <w:rsid w:val="00080066"/>
    <w:rsid w:val="00094607"/>
    <w:rsid w:val="000973AF"/>
    <w:rsid w:val="000A0E98"/>
    <w:rsid w:val="000A2D05"/>
    <w:rsid w:val="000A3911"/>
    <w:rsid w:val="000A43CE"/>
    <w:rsid w:val="000A522A"/>
    <w:rsid w:val="000B0C6E"/>
    <w:rsid w:val="000B7AC6"/>
    <w:rsid w:val="000C2975"/>
    <w:rsid w:val="000C38D3"/>
    <w:rsid w:val="000C72E5"/>
    <w:rsid w:val="000D1F05"/>
    <w:rsid w:val="000D3947"/>
    <w:rsid w:val="000E0161"/>
    <w:rsid w:val="0010048F"/>
    <w:rsid w:val="00103DDE"/>
    <w:rsid w:val="00104859"/>
    <w:rsid w:val="00106063"/>
    <w:rsid w:val="001066E8"/>
    <w:rsid w:val="0011249C"/>
    <w:rsid w:val="00112761"/>
    <w:rsid w:val="00116D35"/>
    <w:rsid w:val="00130763"/>
    <w:rsid w:val="00133D71"/>
    <w:rsid w:val="00144CAA"/>
    <w:rsid w:val="00171712"/>
    <w:rsid w:val="00177FFD"/>
    <w:rsid w:val="00196D39"/>
    <w:rsid w:val="001A73AF"/>
    <w:rsid w:val="001B02F9"/>
    <w:rsid w:val="001B6D3E"/>
    <w:rsid w:val="001C284C"/>
    <w:rsid w:val="001C289D"/>
    <w:rsid w:val="001D2BBA"/>
    <w:rsid w:val="001D55D4"/>
    <w:rsid w:val="001E1410"/>
    <w:rsid w:val="001E2BD4"/>
    <w:rsid w:val="001F105E"/>
    <w:rsid w:val="001F2A40"/>
    <w:rsid w:val="001F2A9C"/>
    <w:rsid w:val="001F694C"/>
    <w:rsid w:val="001F7A9A"/>
    <w:rsid w:val="00201172"/>
    <w:rsid w:val="0021180E"/>
    <w:rsid w:val="00231112"/>
    <w:rsid w:val="002373D9"/>
    <w:rsid w:val="00241B7C"/>
    <w:rsid w:val="00246096"/>
    <w:rsid w:val="00253305"/>
    <w:rsid w:val="00262A36"/>
    <w:rsid w:val="00262CCC"/>
    <w:rsid w:val="002748CF"/>
    <w:rsid w:val="002765B0"/>
    <w:rsid w:val="00283132"/>
    <w:rsid w:val="00292D44"/>
    <w:rsid w:val="002A0159"/>
    <w:rsid w:val="002A3E22"/>
    <w:rsid w:val="002B0306"/>
    <w:rsid w:val="002B366D"/>
    <w:rsid w:val="002C174E"/>
    <w:rsid w:val="002D13E8"/>
    <w:rsid w:val="002D2B6A"/>
    <w:rsid w:val="002F293C"/>
    <w:rsid w:val="002F3D4D"/>
    <w:rsid w:val="002F5424"/>
    <w:rsid w:val="002F5E21"/>
    <w:rsid w:val="003064AD"/>
    <w:rsid w:val="0033771B"/>
    <w:rsid w:val="0035241B"/>
    <w:rsid w:val="003705AE"/>
    <w:rsid w:val="00375E3C"/>
    <w:rsid w:val="003953C8"/>
    <w:rsid w:val="00397768"/>
    <w:rsid w:val="003B4109"/>
    <w:rsid w:val="003B5F6C"/>
    <w:rsid w:val="003B60B6"/>
    <w:rsid w:val="003B6135"/>
    <w:rsid w:val="003B6C0A"/>
    <w:rsid w:val="003C10FA"/>
    <w:rsid w:val="003D0ACF"/>
    <w:rsid w:val="003D3216"/>
    <w:rsid w:val="003D440B"/>
    <w:rsid w:val="003E3629"/>
    <w:rsid w:val="003E5169"/>
    <w:rsid w:val="003F0567"/>
    <w:rsid w:val="00401E2C"/>
    <w:rsid w:val="00402AEC"/>
    <w:rsid w:val="0040721F"/>
    <w:rsid w:val="00443730"/>
    <w:rsid w:val="00446D07"/>
    <w:rsid w:val="00446D1B"/>
    <w:rsid w:val="00450B8A"/>
    <w:rsid w:val="004521FE"/>
    <w:rsid w:val="0045499A"/>
    <w:rsid w:val="00465978"/>
    <w:rsid w:val="004745F4"/>
    <w:rsid w:val="004878C4"/>
    <w:rsid w:val="004A30A9"/>
    <w:rsid w:val="004C6BED"/>
    <w:rsid w:val="004D296C"/>
    <w:rsid w:val="004D3910"/>
    <w:rsid w:val="004D5033"/>
    <w:rsid w:val="004E4E82"/>
    <w:rsid w:val="004E547D"/>
    <w:rsid w:val="004F0DBA"/>
    <w:rsid w:val="004F43F5"/>
    <w:rsid w:val="0050164A"/>
    <w:rsid w:val="00511835"/>
    <w:rsid w:val="0051214E"/>
    <w:rsid w:val="00515F5E"/>
    <w:rsid w:val="00531CB8"/>
    <w:rsid w:val="005370EE"/>
    <w:rsid w:val="0053773C"/>
    <w:rsid w:val="005405D1"/>
    <w:rsid w:val="005430E2"/>
    <w:rsid w:val="005509F2"/>
    <w:rsid w:val="005577E3"/>
    <w:rsid w:val="00564BE8"/>
    <w:rsid w:val="00567441"/>
    <w:rsid w:val="0058252F"/>
    <w:rsid w:val="0058537B"/>
    <w:rsid w:val="00590C1F"/>
    <w:rsid w:val="005B303B"/>
    <w:rsid w:val="005C0E21"/>
    <w:rsid w:val="005C1CD5"/>
    <w:rsid w:val="005C633D"/>
    <w:rsid w:val="005D5403"/>
    <w:rsid w:val="005E3535"/>
    <w:rsid w:val="00601185"/>
    <w:rsid w:val="00602104"/>
    <w:rsid w:val="006029A1"/>
    <w:rsid w:val="006221BE"/>
    <w:rsid w:val="00623301"/>
    <w:rsid w:val="0062348C"/>
    <w:rsid w:val="00624B77"/>
    <w:rsid w:val="00626A5C"/>
    <w:rsid w:val="00635070"/>
    <w:rsid w:val="006407CE"/>
    <w:rsid w:val="00642F22"/>
    <w:rsid w:val="006462A3"/>
    <w:rsid w:val="00654FF4"/>
    <w:rsid w:val="006560D4"/>
    <w:rsid w:val="00661AA7"/>
    <w:rsid w:val="006669E4"/>
    <w:rsid w:val="00670826"/>
    <w:rsid w:val="00672C73"/>
    <w:rsid w:val="006732CF"/>
    <w:rsid w:val="00677669"/>
    <w:rsid w:val="00693DBC"/>
    <w:rsid w:val="006947B1"/>
    <w:rsid w:val="006A0E34"/>
    <w:rsid w:val="006A75F8"/>
    <w:rsid w:val="006B4706"/>
    <w:rsid w:val="006B67B7"/>
    <w:rsid w:val="006C234B"/>
    <w:rsid w:val="006C62C0"/>
    <w:rsid w:val="006D0CD8"/>
    <w:rsid w:val="006D1F6D"/>
    <w:rsid w:val="006E06D2"/>
    <w:rsid w:val="006E4D26"/>
    <w:rsid w:val="006E7B66"/>
    <w:rsid w:val="007033B8"/>
    <w:rsid w:val="00705431"/>
    <w:rsid w:val="00707851"/>
    <w:rsid w:val="00711595"/>
    <w:rsid w:val="00711B22"/>
    <w:rsid w:val="00714960"/>
    <w:rsid w:val="007349F6"/>
    <w:rsid w:val="007360A0"/>
    <w:rsid w:val="0074514B"/>
    <w:rsid w:val="0075173A"/>
    <w:rsid w:val="00761FD8"/>
    <w:rsid w:val="0076496C"/>
    <w:rsid w:val="00765FE8"/>
    <w:rsid w:val="007732FB"/>
    <w:rsid w:val="00783333"/>
    <w:rsid w:val="0078495F"/>
    <w:rsid w:val="00786AA5"/>
    <w:rsid w:val="0079657A"/>
    <w:rsid w:val="007979CA"/>
    <w:rsid w:val="007A5DE4"/>
    <w:rsid w:val="007B6541"/>
    <w:rsid w:val="007B666E"/>
    <w:rsid w:val="007C7545"/>
    <w:rsid w:val="007D63A4"/>
    <w:rsid w:val="007D7AB0"/>
    <w:rsid w:val="007E030B"/>
    <w:rsid w:val="007F2690"/>
    <w:rsid w:val="007F7F81"/>
    <w:rsid w:val="00802DCC"/>
    <w:rsid w:val="008059CD"/>
    <w:rsid w:val="00806A7B"/>
    <w:rsid w:val="008105A2"/>
    <w:rsid w:val="00810A92"/>
    <w:rsid w:val="008124CE"/>
    <w:rsid w:val="008203D8"/>
    <w:rsid w:val="0082604F"/>
    <w:rsid w:val="00826B19"/>
    <w:rsid w:val="00835031"/>
    <w:rsid w:val="008500A6"/>
    <w:rsid w:val="0086149C"/>
    <w:rsid w:val="00863B2D"/>
    <w:rsid w:val="0087569A"/>
    <w:rsid w:val="00883829"/>
    <w:rsid w:val="008852F7"/>
    <w:rsid w:val="00885E5A"/>
    <w:rsid w:val="00887737"/>
    <w:rsid w:val="00895716"/>
    <w:rsid w:val="00895EA3"/>
    <w:rsid w:val="008A10E4"/>
    <w:rsid w:val="008A6161"/>
    <w:rsid w:val="008A7D9C"/>
    <w:rsid w:val="008B0DEF"/>
    <w:rsid w:val="008B46AF"/>
    <w:rsid w:val="008B6C2D"/>
    <w:rsid w:val="008C2DF5"/>
    <w:rsid w:val="008D653F"/>
    <w:rsid w:val="008E1A78"/>
    <w:rsid w:val="008E3920"/>
    <w:rsid w:val="008E5C23"/>
    <w:rsid w:val="009221F1"/>
    <w:rsid w:val="009575F9"/>
    <w:rsid w:val="009645BD"/>
    <w:rsid w:val="00966110"/>
    <w:rsid w:val="00975AF3"/>
    <w:rsid w:val="00982D55"/>
    <w:rsid w:val="009877BA"/>
    <w:rsid w:val="009917DD"/>
    <w:rsid w:val="00991E11"/>
    <w:rsid w:val="009934FA"/>
    <w:rsid w:val="00995638"/>
    <w:rsid w:val="009A34C8"/>
    <w:rsid w:val="009A6DFC"/>
    <w:rsid w:val="009B66B2"/>
    <w:rsid w:val="009C084A"/>
    <w:rsid w:val="009C46E2"/>
    <w:rsid w:val="009C56C9"/>
    <w:rsid w:val="009D7820"/>
    <w:rsid w:val="00A0224A"/>
    <w:rsid w:val="00A06342"/>
    <w:rsid w:val="00A1058D"/>
    <w:rsid w:val="00A16A4D"/>
    <w:rsid w:val="00A20194"/>
    <w:rsid w:val="00A233CC"/>
    <w:rsid w:val="00A3175F"/>
    <w:rsid w:val="00A326D8"/>
    <w:rsid w:val="00A43F96"/>
    <w:rsid w:val="00A638E9"/>
    <w:rsid w:val="00A64F3B"/>
    <w:rsid w:val="00A70D5A"/>
    <w:rsid w:val="00A71B1D"/>
    <w:rsid w:val="00A74C78"/>
    <w:rsid w:val="00A7681B"/>
    <w:rsid w:val="00A7714A"/>
    <w:rsid w:val="00A86BAF"/>
    <w:rsid w:val="00A87A15"/>
    <w:rsid w:val="00A946B8"/>
    <w:rsid w:val="00A95308"/>
    <w:rsid w:val="00AA3F48"/>
    <w:rsid w:val="00AB4FFA"/>
    <w:rsid w:val="00AC5569"/>
    <w:rsid w:val="00AC5BAD"/>
    <w:rsid w:val="00AE6B84"/>
    <w:rsid w:val="00AE79F4"/>
    <w:rsid w:val="00AE7F52"/>
    <w:rsid w:val="00AF2B55"/>
    <w:rsid w:val="00AF4D1D"/>
    <w:rsid w:val="00B05AF4"/>
    <w:rsid w:val="00B0671D"/>
    <w:rsid w:val="00B15E7C"/>
    <w:rsid w:val="00B16570"/>
    <w:rsid w:val="00B30362"/>
    <w:rsid w:val="00B34968"/>
    <w:rsid w:val="00B36317"/>
    <w:rsid w:val="00B36EB9"/>
    <w:rsid w:val="00B42C1B"/>
    <w:rsid w:val="00B44E8C"/>
    <w:rsid w:val="00B50772"/>
    <w:rsid w:val="00B75226"/>
    <w:rsid w:val="00B75E69"/>
    <w:rsid w:val="00B94C88"/>
    <w:rsid w:val="00BA3CF3"/>
    <w:rsid w:val="00BA681B"/>
    <w:rsid w:val="00BA7298"/>
    <w:rsid w:val="00BB3F47"/>
    <w:rsid w:val="00BB4C7C"/>
    <w:rsid w:val="00BB6DDA"/>
    <w:rsid w:val="00BB6EEC"/>
    <w:rsid w:val="00BD42C6"/>
    <w:rsid w:val="00BD47DA"/>
    <w:rsid w:val="00BD6E74"/>
    <w:rsid w:val="00C0796B"/>
    <w:rsid w:val="00C2420F"/>
    <w:rsid w:val="00C263A9"/>
    <w:rsid w:val="00C4541A"/>
    <w:rsid w:val="00C45C5B"/>
    <w:rsid w:val="00C54B4A"/>
    <w:rsid w:val="00C56D08"/>
    <w:rsid w:val="00C5783A"/>
    <w:rsid w:val="00C6059B"/>
    <w:rsid w:val="00C73588"/>
    <w:rsid w:val="00C73ADF"/>
    <w:rsid w:val="00C76AFA"/>
    <w:rsid w:val="00C77A1B"/>
    <w:rsid w:val="00C841CE"/>
    <w:rsid w:val="00C85920"/>
    <w:rsid w:val="00C863DE"/>
    <w:rsid w:val="00C974A6"/>
    <w:rsid w:val="00CA0391"/>
    <w:rsid w:val="00CA4238"/>
    <w:rsid w:val="00CA485E"/>
    <w:rsid w:val="00CB2CA4"/>
    <w:rsid w:val="00CB2D06"/>
    <w:rsid w:val="00CB512A"/>
    <w:rsid w:val="00CC2EA2"/>
    <w:rsid w:val="00CD138E"/>
    <w:rsid w:val="00CD3E3A"/>
    <w:rsid w:val="00CE05F1"/>
    <w:rsid w:val="00CE3188"/>
    <w:rsid w:val="00D00563"/>
    <w:rsid w:val="00D11DE4"/>
    <w:rsid w:val="00D1782C"/>
    <w:rsid w:val="00D32DBE"/>
    <w:rsid w:val="00D34438"/>
    <w:rsid w:val="00D43646"/>
    <w:rsid w:val="00D464D1"/>
    <w:rsid w:val="00D63E13"/>
    <w:rsid w:val="00D73B50"/>
    <w:rsid w:val="00D76929"/>
    <w:rsid w:val="00D80BD4"/>
    <w:rsid w:val="00D81C4C"/>
    <w:rsid w:val="00D86293"/>
    <w:rsid w:val="00D8656D"/>
    <w:rsid w:val="00D866C8"/>
    <w:rsid w:val="00D94246"/>
    <w:rsid w:val="00DA4A7A"/>
    <w:rsid w:val="00DB1C41"/>
    <w:rsid w:val="00DB320E"/>
    <w:rsid w:val="00DC1CAB"/>
    <w:rsid w:val="00DC21A2"/>
    <w:rsid w:val="00DC5001"/>
    <w:rsid w:val="00DC59B6"/>
    <w:rsid w:val="00DC6DDF"/>
    <w:rsid w:val="00DD258E"/>
    <w:rsid w:val="00DD374E"/>
    <w:rsid w:val="00DE2B6C"/>
    <w:rsid w:val="00DE703C"/>
    <w:rsid w:val="00DF2AA8"/>
    <w:rsid w:val="00E07F93"/>
    <w:rsid w:val="00E17036"/>
    <w:rsid w:val="00E2768F"/>
    <w:rsid w:val="00E31061"/>
    <w:rsid w:val="00E32B55"/>
    <w:rsid w:val="00E4016A"/>
    <w:rsid w:val="00E526E3"/>
    <w:rsid w:val="00E61720"/>
    <w:rsid w:val="00E62857"/>
    <w:rsid w:val="00E7189B"/>
    <w:rsid w:val="00E82937"/>
    <w:rsid w:val="00E90934"/>
    <w:rsid w:val="00E954D6"/>
    <w:rsid w:val="00EB635A"/>
    <w:rsid w:val="00EB77B1"/>
    <w:rsid w:val="00EC1284"/>
    <w:rsid w:val="00EC6517"/>
    <w:rsid w:val="00ED31E4"/>
    <w:rsid w:val="00ED52B4"/>
    <w:rsid w:val="00ED7AB2"/>
    <w:rsid w:val="00ED7ED1"/>
    <w:rsid w:val="00EE2223"/>
    <w:rsid w:val="00EE5861"/>
    <w:rsid w:val="00EE6FFD"/>
    <w:rsid w:val="00EF1A3F"/>
    <w:rsid w:val="00EF2147"/>
    <w:rsid w:val="00EF5693"/>
    <w:rsid w:val="00F04F26"/>
    <w:rsid w:val="00F122D2"/>
    <w:rsid w:val="00F15826"/>
    <w:rsid w:val="00F17DD4"/>
    <w:rsid w:val="00F229A4"/>
    <w:rsid w:val="00F25840"/>
    <w:rsid w:val="00F3274A"/>
    <w:rsid w:val="00F37253"/>
    <w:rsid w:val="00F42C54"/>
    <w:rsid w:val="00F43462"/>
    <w:rsid w:val="00F43A47"/>
    <w:rsid w:val="00F464A5"/>
    <w:rsid w:val="00F47DC6"/>
    <w:rsid w:val="00F60BE2"/>
    <w:rsid w:val="00F6646F"/>
    <w:rsid w:val="00F669D2"/>
    <w:rsid w:val="00F73B00"/>
    <w:rsid w:val="00F74E06"/>
    <w:rsid w:val="00F817D9"/>
    <w:rsid w:val="00F82328"/>
    <w:rsid w:val="00F91AD0"/>
    <w:rsid w:val="00F91CDA"/>
    <w:rsid w:val="00F93447"/>
    <w:rsid w:val="00FA3A9B"/>
    <w:rsid w:val="00FB3987"/>
    <w:rsid w:val="00FB4082"/>
    <w:rsid w:val="00FC2095"/>
    <w:rsid w:val="00FC28B7"/>
    <w:rsid w:val="00FC5F14"/>
    <w:rsid w:val="00FE45CB"/>
    <w:rsid w:val="00FE659F"/>
    <w:rsid w:val="00FE7AA6"/>
    <w:rsid w:val="00FF6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DA0C6"/>
  <w15:docId w15:val="{27CBE4F2-68C3-4B5D-B914-F64C83B4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A5"/>
    <w:pPr>
      <w:widowControl w:val="0"/>
    </w:pPr>
    <w:rPr>
      <w:snapToGrid w:val="0"/>
      <w:sz w:val="24"/>
    </w:rPr>
  </w:style>
  <w:style w:type="paragraph" w:styleId="Heading1">
    <w:name w:val="heading 1"/>
    <w:basedOn w:val="Normal"/>
    <w:next w:val="Normal"/>
    <w:qFormat/>
    <w:rsid w:val="00F464A5"/>
    <w:pPr>
      <w:keepNext/>
      <w:tabs>
        <w:tab w:val="center" w:pos="4680"/>
      </w:tabs>
      <w:jc w:val="center"/>
      <w:outlineLvl w:val="0"/>
    </w:pPr>
    <w:rPr>
      <w:b/>
    </w:rPr>
  </w:style>
  <w:style w:type="paragraph" w:styleId="Heading2">
    <w:name w:val="heading 2"/>
    <w:basedOn w:val="Normal"/>
    <w:next w:val="Normal"/>
    <w:qFormat/>
    <w:rsid w:val="00F464A5"/>
    <w:pPr>
      <w:keepNext/>
      <w:ind w:left="720"/>
      <w:jc w:val="right"/>
      <w:outlineLvl w:val="1"/>
    </w:pPr>
    <w:rPr>
      <w:rFonts w:ascii="Arial" w:hAnsi="Arial"/>
      <w:i/>
      <w:sz w:val="18"/>
    </w:rPr>
  </w:style>
  <w:style w:type="paragraph" w:styleId="Heading3">
    <w:name w:val="heading 3"/>
    <w:basedOn w:val="Normal"/>
    <w:next w:val="Normal"/>
    <w:qFormat/>
    <w:rsid w:val="00F464A5"/>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464A5"/>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407CE"/>
    <w:pPr>
      <w:widowControl/>
    </w:pPr>
    <w:rPr>
      <w:snapToGrid/>
    </w:rPr>
  </w:style>
  <w:style w:type="character" w:customStyle="1" w:styleId="BodyText2Char">
    <w:name w:val="Body Text 2 Char"/>
    <w:basedOn w:val="DefaultParagraphFont"/>
    <w:link w:val="BodyText2"/>
    <w:rsid w:val="006407CE"/>
    <w:rPr>
      <w:sz w:val="24"/>
    </w:rPr>
  </w:style>
  <w:style w:type="paragraph" w:styleId="ListParagraph">
    <w:name w:val="List Paragraph"/>
    <w:basedOn w:val="Normal"/>
    <w:link w:val="ListParagraphChar"/>
    <w:uiPriority w:val="99"/>
    <w:qFormat/>
    <w:rsid w:val="006407CE"/>
    <w:pPr>
      <w:ind w:left="720"/>
    </w:pPr>
  </w:style>
  <w:style w:type="paragraph" w:customStyle="1" w:styleId="Default">
    <w:name w:val="Default"/>
    <w:rsid w:val="006407CE"/>
    <w:pPr>
      <w:autoSpaceDE w:val="0"/>
      <w:autoSpaceDN w:val="0"/>
      <w:adjustRightInd w:val="0"/>
    </w:pPr>
    <w:rPr>
      <w:color w:val="000000"/>
      <w:sz w:val="24"/>
      <w:szCs w:val="24"/>
    </w:rPr>
  </w:style>
  <w:style w:type="character" w:styleId="Hyperlink">
    <w:name w:val="Hyperlink"/>
    <w:basedOn w:val="DefaultParagraphFont"/>
    <w:uiPriority w:val="99"/>
    <w:unhideWhenUsed/>
    <w:rsid w:val="006407CE"/>
    <w:rPr>
      <w:color w:val="0000FF"/>
      <w:u w:val="single"/>
    </w:rPr>
  </w:style>
  <w:style w:type="paragraph" w:styleId="BalloonText">
    <w:name w:val="Balloon Text"/>
    <w:basedOn w:val="Normal"/>
    <w:link w:val="BalloonTextChar"/>
    <w:rsid w:val="006407CE"/>
    <w:rPr>
      <w:rFonts w:ascii="Tahoma" w:hAnsi="Tahoma" w:cs="Tahoma"/>
      <w:sz w:val="16"/>
      <w:szCs w:val="16"/>
    </w:rPr>
  </w:style>
  <w:style w:type="character" w:customStyle="1" w:styleId="BalloonTextChar">
    <w:name w:val="Balloon Text Char"/>
    <w:basedOn w:val="DefaultParagraphFont"/>
    <w:link w:val="BalloonText"/>
    <w:rsid w:val="006407CE"/>
    <w:rPr>
      <w:rFonts w:ascii="Tahoma" w:hAnsi="Tahoma" w:cs="Tahoma"/>
      <w:snapToGrid w:val="0"/>
      <w:sz w:val="16"/>
      <w:szCs w:val="16"/>
    </w:rPr>
  </w:style>
  <w:style w:type="paragraph" w:styleId="Header">
    <w:name w:val="header"/>
    <w:basedOn w:val="Normal"/>
    <w:link w:val="HeaderChar"/>
    <w:rsid w:val="008C2DF5"/>
    <w:pPr>
      <w:tabs>
        <w:tab w:val="center" w:pos="4680"/>
        <w:tab w:val="right" w:pos="9360"/>
      </w:tabs>
    </w:pPr>
  </w:style>
  <w:style w:type="character" w:customStyle="1" w:styleId="HeaderChar">
    <w:name w:val="Header Char"/>
    <w:basedOn w:val="DefaultParagraphFont"/>
    <w:link w:val="Header"/>
    <w:rsid w:val="008C2DF5"/>
    <w:rPr>
      <w:snapToGrid w:val="0"/>
      <w:sz w:val="24"/>
    </w:rPr>
  </w:style>
  <w:style w:type="paragraph" w:styleId="Footer">
    <w:name w:val="footer"/>
    <w:basedOn w:val="Normal"/>
    <w:link w:val="FooterChar"/>
    <w:uiPriority w:val="99"/>
    <w:rsid w:val="008C2DF5"/>
    <w:pPr>
      <w:tabs>
        <w:tab w:val="center" w:pos="4680"/>
        <w:tab w:val="right" w:pos="9360"/>
      </w:tabs>
    </w:pPr>
  </w:style>
  <w:style w:type="character" w:customStyle="1" w:styleId="FooterChar">
    <w:name w:val="Footer Char"/>
    <w:basedOn w:val="DefaultParagraphFont"/>
    <w:link w:val="Footer"/>
    <w:uiPriority w:val="99"/>
    <w:rsid w:val="008C2DF5"/>
    <w:rPr>
      <w:snapToGrid w:val="0"/>
      <w:sz w:val="24"/>
    </w:rPr>
  </w:style>
  <w:style w:type="character" w:styleId="CommentReference">
    <w:name w:val="annotation reference"/>
    <w:basedOn w:val="DefaultParagraphFont"/>
    <w:rsid w:val="00F74E06"/>
    <w:rPr>
      <w:sz w:val="16"/>
      <w:szCs w:val="16"/>
    </w:rPr>
  </w:style>
  <w:style w:type="paragraph" w:styleId="CommentText">
    <w:name w:val="annotation text"/>
    <w:basedOn w:val="Normal"/>
    <w:link w:val="CommentTextChar"/>
    <w:rsid w:val="00F74E06"/>
    <w:rPr>
      <w:sz w:val="20"/>
    </w:rPr>
  </w:style>
  <w:style w:type="character" w:customStyle="1" w:styleId="CommentTextChar">
    <w:name w:val="Comment Text Char"/>
    <w:basedOn w:val="DefaultParagraphFont"/>
    <w:link w:val="CommentText"/>
    <w:rsid w:val="00F74E06"/>
    <w:rPr>
      <w:snapToGrid w:val="0"/>
    </w:rPr>
  </w:style>
  <w:style w:type="paragraph" w:styleId="CommentSubject">
    <w:name w:val="annotation subject"/>
    <w:basedOn w:val="CommentText"/>
    <w:next w:val="CommentText"/>
    <w:link w:val="CommentSubjectChar"/>
    <w:rsid w:val="00F74E06"/>
    <w:rPr>
      <w:b/>
      <w:bCs/>
    </w:rPr>
  </w:style>
  <w:style w:type="character" w:customStyle="1" w:styleId="CommentSubjectChar">
    <w:name w:val="Comment Subject Char"/>
    <w:basedOn w:val="CommentTextChar"/>
    <w:link w:val="CommentSubject"/>
    <w:rsid w:val="00F74E06"/>
    <w:rPr>
      <w:b/>
      <w:bCs/>
      <w:snapToGrid w:val="0"/>
    </w:rPr>
  </w:style>
  <w:style w:type="character" w:styleId="FollowedHyperlink">
    <w:name w:val="FollowedHyperlink"/>
    <w:basedOn w:val="DefaultParagraphFont"/>
    <w:rsid w:val="00F74E06"/>
    <w:rPr>
      <w:color w:val="800080" w:themeColor="followedHyperlink"/>
      <w:u w:val="single"/>
    </w:rPr>
  </w:style>
  <w:style w:type="paragraph" w:customStyle="1" w:styleId="IndentedText">
    <w:name w:val="Indented Text"/>
    <w:basedOn w:val="Normal"/>
    <w:qFormat/>
    <w:rsid w:val="00C5783A"/>
    <w:pPr>
      <w:widowControl/>
      <w:spacing w:after="120"/>
      <w:ind w:left="720"/>
      <w:jc w:val="both"/>
    </w:pPr>
    <w:rPr>
      <w:rFonts w:ascii="Cambria" w:hAnsi="Cambria"/>
      <w:snapToGrid/>
      <w:szCs w:val="24"/>
    </w:rPr>
  </w:style>
  <w:style w:type="paragraph" w:styleId="FootnoteText">
    <w:name w:val="footnote text"/>
    <w:basedOn w:val="Normal"/>
    <w:link w:val="FootnoteTextChar"/>
    <w:rsid w:val="00C5783A"/>
    <w:pPr>
      <w:widowControl/>
    </w:pPr>
    <w:rPr>
      <w:snapToGrid/>
      <w:sz w:val="18"/>
    </w:rPr>
  </w:style>
  <w:style w:type="character" w:customStyle="1" w:styleId="FootnoteTextChar">
    <w:name w:val="Footnote Text Char"/>
    <w:basedOn w:val="DefaultParagraphFont"/>
    <w:link w:val="FootnoteText"/>
    <w:rsid w:val="00C5783A"/>
    <w:rPr>
      <w:sz w:val="18"/>
    </w:rPr>
  </w:style>
  <w:style w:type="paragraph" w:styleId="Revision">
    <w:name w:val="Revision"/>
    <w:hidden/>
    <w:uiPriority w:val="99"/>
    <w:semiHidden/>
    <w:rsid w:val="00883829"/>
    <w:rPr>
      <w:snapToGrid w:val="0"/>
      <w:sz w:val="24"/>
    </w:rPr>
  </w:style>
  <w:style w:type="paragraph" w:customStyle="1" w:styleId="Table">
    <w:name w:val="Table"/>
    <w:basedOn w:val="Normal"/>
    <w:qFormat/>
    <w:rsid w:val="00661AA7"/>
    <w:pPr>
      <w:widowControl/>
      <w:spacing w:before="80" w:after="80"/>
    </w:pPr>
    <w:rPr>
      <w:rFonts w:asciiTheme="minorHAnsi" w:eastAsiaTheme="minorEastAsia" w:hAnsiTheme="minorHAnsi" w:cstheme="minorBidi"/>
      <w:snapToGrid/>
      <w:sz w:val="18"/>
      <w:lang w:bidi="en-US"/>
    </w:rPr>
  </w:style>
  <w:style w:type="paragraph" w:styleId="BodyTextIndent3">
    <w:name w:val="Body Text Indent 3"/>
    <w:basedOn w:val="Normal"/>
    <w:link w:val="BodyTextIndent3Char"/>
    <w:semiHidden/>
    <w:unhideWhenUsed/>
    <w:rsid w:val="000E0161"/>
    <w:pPr>
      <w:spacing w:after="120"/>
      <w:ind w:left="360"/>
    </w:pPr>
    <w:rPr>
      <w:sz w:val="16"/>
      <w:szCs w:val="16"/>
    </w:rPr>
  </w:style>
  <w:style w:type="character" w:customStyle="1" w:styleId="BodyTextIndent3Char">
    <w:name w:val="Body Text Indent 3 Char"/>
    <w:basedOn w:val="DefaultParagraphFont"/>
    <w:link w:val="BodyTextIndent3"/>
    <w:semiHidden/>
    <w:rsid w:val="000E0161"/>
    <w:rPr>
      <w:snapToGrid w:val="0"/>
      <w:sz w:val="16"/>
      <w:szCs w:val="16"/>
    </w:rPr>
  </w:style>
  <w:style w:type="character" w:customStyle="1" w:styleId="ListParagraphChar">
    <w:name w:val="List Paragraph Char"/>
    <w:basedOn w:val="DefaultParagraphFont"/>
    <w:link w:val="ListParagraph"/>
    <w:uiPriority w:val="34"/>
    <w:rsid w:val="003705A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harterschools@doe.mass.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bese/docs/FY2017/2017-01/item3-BGA6yrSiteVisi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bese/docs/FY2017/2017-01/item3-BGA6yrSiteVisit.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enrollment/FY2017/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DESE-231-63207</_dlc_DocId>
    <_dlc_DocIdUrl xmlns="733efe1c-5bbe-4968-87dc-d400e65c879f">
      <Url>https://sharepoint.doemass.org/ese/webteam/cps/_layouts/DocIdRedir.aspx?ID=DESE-231-63207</Url>
      <Description>DESE-231-63207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2.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4.xml><?xml version="1.0" encoding="utf-8"?>
<ds:datastoreItem xmlns:ds="http://schemas.openxmlformats.org/officeDocument/2006/customXml" ds:itemID="{A5E72652-2BE0-4CAC-B271-BD54992EF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03D382-5021-4E72-8D73-DA153FB0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BESE 1/24/17 Meeting: Boston Green Academy Report on Probation</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1/24/17 Meeting: Boston Green Academy Report on Probation</dc:title>
  <dc:subject/>
  <dc:creator>DESE</dc:creator>
  <cp:lastModifiedBy>Zou, Dong (EOE)</cp:lastModifiedBy>
  <cp:revision>4</cp:revision>
  <cp:lastPrinted>2008-03-05T18:17:00Z</cp:lastPrinted>
  <dcterms:created xsi:type="dcterms:W3CDTF">2020-07-28T13:25:00Z</dcterms:created>
  <dcterms:modified xsi:type="dcterms:W3CDTF">2020-08-05T17:29:00Z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