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5301"/>
      </w:tblGrid>
      <w:tr w:rsidR="00530F0D" w14:paraId="79506E86" w14:textId="77777777" w:rsidTr="00530F0D">
        <w:tc>
          <w:tcPr>
            <w:tcW w:w="4068" w:type="dxa"/>
            <w:vAlign w:val="bottom"/>
          </w:tcPr>
          <w:p w14:paraId="79506E83" w14:textId="77777777" w:rsidR="00530F0D" w:rsidRDefault="00530F0D" w:rsidP="00530F0D">
            <w:r>
              <w:rPr>
                <w:noProof/>
              </w:rPr>
              <w:drawing>
                <wp:inline distT="0" distB="0" distL="0" distR="0" wp14:anchorId="79506F35" wp14:editId="0B01C53E">
                  <wp:extent cx="2352675" cy="914400"/>
                  <wp:effectExtent l="0" t="0" r="0" b="0"/>
                  <wp:docPr id="2" name="Picture 1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er-Logo_695x338_color.png"/>
                          <pic:cNvPicPr/>
                        </pic:nvPicPr>
                        <pic:blipFill>
                          <a:blip r:embed="rId11" cstate="print"/>
                          <a:srcRect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14:paraId="79506E84" w14:textId="77777777" w:rsidR="00530F0D" w:rsidRPr="00831A9A" w:rsidRDefault="00831A9A" w:rsidP="00530F0D">
            <w:pPr>
              <w:rPr>
                <w:b/>
                <w:sz w:val="32"/>
              </w:rPr>
            </w:pPr>
            <w:r w:rsidRPr="00831A9A">
              <w:rPr>
                <w:b/>
                <w:sz w:val="32"/>
              </w:rPr>
              <w:t xml:space="preserve">Students Performing Above </w:t>
            </w:r>
            <w:r w:rsidR="00240A63">
              <w:rPr>
                <w:b/>
                <w:sz w:val="32"/>
              </w:rPr>
              <w:br/>
            </w:r>
            <w:r w:rsidRPr="00831A9A">
              <w:rPr>
                <w:b/>
                <w:sz w:val="32"/>
              </w:rPr>
              <w:t xml:space="preserve">Grade Level Academically: </w:t>
            </w:r>
            <w:r w:rsidR="00240A63">
              <w:rPr>
                <w:b/>
                <w:sz w:val="32"/>
              </w:rPr>
              <w:br/>
            </w:r>
            <w:r w:rsidR="007720E5" w:rsidRPr="00831A9A">
              <w:rPr>
                <w:b/>
                <w:sz w:val="32"/>
              </w:rPr>
              <w:t xml:space="preserve">Summary of </w:t>
            </w:r>
            <w:r>
              <w:rPr>
                <w:b/>
                <w:sz w:val="32"/>
              </w:rPr>
              <w:t>S</w:t>
            </w:r>
            <w:r w:rsidRPr="00831A9A">
              <w:rPr>
                <w:b/>
                <w:sz w:val="32"/>
              </w:rPr>
              <w:t xml:space="preserve">urvey </w:t>
            </w:r>
            <w:r>
              <w:rPr>
                <w:b/>
                <w:sz w:val="32"/>
              </w:rPr>
              <w:t>F</w:t>
            </w:r>
            <w:r w:rsidR="007720E5" w:rsidRPr="00831A9A">
              <w:rPr>
                <w:b/>
                <w:sz w:val="32"/>
              </w:rPr>
              <w:t>indings</w:t>
            </w:r>
          </w:p>
          <w:p w14:paraId="79506E85" w14:textId="77777777" w:rsidR="00530F0D" w:rsidRDefault="00831A9A" w:rsidP="00530F0D">
            <w:r>
              <w:t>July 2017</w:t>
            </w:r>
          </w:p>
        </w:tc>
      </w:tr>
    </w:tbl>
    <w:p w14:paraId="79506E87" w14:textId="77777777" w:rsidR="004A3EE8" w:rsidRDefault="004A3EE8" w:rsidP="00530F0D">
      <w:pPr>
        <w:sectPr w:rsidR="004A3EE8" w:rsidSect="00C42843">
          <w:footerReference w:type="default" r:id="rId12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79506E88" w14:textId="77777777" w:rsidR="00AE6F67" w:rsidRDefault="00AE6F67" w:rsidP="00FB4A83">
      <w:pPr>
        <w:spacing w:after="0" w:line="240" w:lineRule="auto"/>
      </w:pPr>
    </w:p>
    <w:p w14:paraId="79506E89" w14:textId="77777777" w:rsidR="00B574F0" w:rsidRDefault="00B574F0" w:rsidP="00FB4A83">
      <w:pPr>
        <w:pStyle w:val="NoSpacing"/>
        <w:rPr>
          <w:b/>
        </w:rPr>
        <w:sectPr w:rsidR="00B574F0" w:rsidSect="00B574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506E8A" w14:textId="77777777" w:rsidR="004A3EE8" w:rsidRDefault="007720E5" w:rsidP="007720E5">
      <w:pPr>
        <w:pStyle w:val="NoSpacing"/>
        <w:spacing w:before="120"/>
      </w:pPr>
      <w:r>
        <w:rPr>
          <w:b/>
        </w:rPr>
        <w:lastRenderedPageBreak/>
        <w:t xml:space="preserve">Survey design and </w:t>
      </w:r>
      <w:r w:rsidR="00831A9A">
        <w:rPr>
          <w:b/>
        </w:rPr>
        <w:t>responses</w:t>
      </w:r>
    </w:p>
    <w:p w14:paraId="79506E8B" w14:textId="77777777" w:rsidR="00831A9A" w:rsidRDefault="007720E5" w:rsidP="007720E5">
      <w:pPr>
        <w:pStyle w:val="NoSpacing"/>
        <w:numPr>
          <w:ilvl w:val="0"/>
          <w:numId w:val="6"/>
        </w:numPr>
        <w:spacing w:before="60"/>
      </w:pPr>
      <w:r>
        <w:t xml:space="preserve">All Massachusetts superintendents and </w:t>
      </w:r>
      <w:r w:rsidR="00831A9A">
        <w:t xml:space="preserve">charter school leaders (N=404) </w:t>
      </w:r>
      <w:r>
        <w:t xml:space="preserve">were surveyed in </w:t>
      </w:r>
      <w:r w:rsidR="00831A9A">
        <w:t>June 2017</w:t>
      </w:r>
      <w:r w:rsidR="0089788C">
        <w:t xml:space="preserve"> about their practices for serving students performing above grade level academically</w:t>
      </w:r>
      <w:r>
        <w:t xml:space="preserve">. </w:t>
      </w:r>
      <w:r w:rsidR="00657AFE">
        <w:t>We received 117</w:t>
      </w:r>
      <w:r w:rsidR="00831A9A">
        <w:t xml:space="preserve"> responses, for a response rate of 2</w:t>
      </w:r>
      <w:r w:rsidR="00657AFE">
        <w:t>9</w:t>
      </w:r>
      <w:r w:rsidR="004E037D">
        <w:t xml:space="preserve"> percent</w:t>
      </w:r>
      <w:r w:rsidR="00831A9A">
        <w:t xml:space="preserve">. </w:t>
      </w:r>
    </w:p>
    <w:p w14:paraId="79506E8C" w14:textId="77777777" w:rsidR="007720E5" w:rsidRDefault="00A4751F" w:rsidP="007720E5">
      <w:pPr>
        <w:pStyle w:val="NoSpacing"/>
        <w:numPr>
          <w:ilvl w:val="0"/>
          <w:numId w:val="6"/>
        </w:numPr>
        <w:spacing w:before="60"/>
      </w:pPr>
      <w:r>
        <w:t xml:space="preserve">The modest response rate, along with </w:t>
      </w:r>
      <w:r w:rsidR="006F039F">
        <w:t xml:space="preserve">some </w:t>
      </w:r>
      <w:r w:rsidR="00831A9A">
        <w:t>overrepresentation of large districts in the responses</w:t>
      </w:r>
      <w:r w:rsidR="006F039F">
        <w:t xml:space="preserve"> (25</w:t>
      </w:r>
      <w:r w:rsidR="004E037D">
        <w:t xml:space="preserve"> percent</w:t>
      </w:r>
      <w:r w:rsidR="006F039F">
        <w:t xml:space="preserve"> of respondents, vs. 16</w:t>
      </w:r>
      <w:r w:rsidR="004E037D">
        <w:t xml:space="preserve"> percent</w:t>
      </w:r>
      <w:r w:rsidR="006F039F">
        <w:t xml:space="preserve"> statewide)</w:t>
      </w:r>
      <w:r>
        <w:t>,</w:t>
      </w:r>
      <w:r w:rsidR="00831A9A">
        <w:t xml:space="preserve"> means that the survey findings are not </w:t>
      </w:r>
      <w:r w:rsidR="00F04B7E">
        <w:t xml:space="preserve">likely </w:t>
      </w:r>
      <w:r w:rsidR="006473B5">
        <w:t xml:space="preserve">to be </w:t>
      </w:r>
      <w:r w:rsidR="00831A9A">
        <w:t>representative of the state</w:t>
      </w:r>
      <w:r w:rsidR="0089788C">
        <w:t xml:space="preserve"> as a whole</w:t>
      </w:r>
      <w:r w:rsidR="00831A9A">
        <w:t xml:space="preserve">. However, they are a useful first attempt at understanding how districts serve </w:t>
      </w:r>
      <w:r w:rsidR="007243DF">
        <w:t>academically advanced students</w:t>
      </w:r>
      <w:r w:rsidR="00831A9A">
        <w:t xml:space="preserve">. </w:t>
      </w:r>
    </w:p>
    <w:p w14:paraId="79506E8D" w14:textId="77777777" w:rsidR="0089788C" w:rsidRDefault="0089788C" w:rsidP="0089788C">
      <w:pPr>
        <w:pStyle w:val="NoSpacing"/>
        <w:spacing w:before="60"/>
      </w:pPr>
      <w:bookmarkStart w:id="0" w:name="_GoBack"/>
      <w:bookmarkEnd w:id="0"/>
    </w:p>
    <w:p w14:paraId="79506E8E" w14:textId="77777777" w:rsidR="0089788C" w:rsidRDefault="0089788C" w:rsidP="0089788C">
      <w:pPr>
        <w:pStyle w:val="NoSpacing"/>
        <w:spacing w:before="60"/>
      </w:pPr>
      <w:r>
        <w:rPr>
          <w:b/>
        </w:rPr>
        <w:t>Findings</w:t>
      </w:r>
      <w:r w:rsidR="006D3029">
        <w:rPr>
          <w:b/>
        </w:rPr>
        <w:t>: Service strategies</w:t>
      </w:r>
    </w:p>
    <w:p w14:paraId="79506E8F" w14:textId="77777777" w:rsidR="0089788C" w:rsidRDefault="0089788C" w:rsidP="0089788C">
      <w:pPr>
        <w:pStyle w:val="NoSpacing"/>
        <w:numPr>
          <w:ilvl w:val="0"/>
          <w:numId w:val="6"/>
        </w:numPr>
        <w:spacing w:before="60"/>
      </w:pPr>
      <w:r>
        <w:t xml:space="preserve">At the elementary level, enrichment during the school day was most frequently cited as the </w:t>
      </w:r>
      <w:r w:rsidR="006D3029">
        <w:t xml:space="preserve">strategy districts used for serving their </w:t>
      </w:r>
      <w:r>
        <w:t xml:space="preserve">students performing above grade level. </w:t>
      </w:r>
      <w:r w:rsidR="00F04B7E">
        <w:t>Of districts serving this grade span, 25</w:t>
      </w:r>
      <w:r w:rsidR="004E037D">
        <w:t xml:space="preserve"> percent</w:t>
      </w:r>
      <w:r>
        <w:t xml:space="preserve"> reported using this approach with many or all eligible students and </w:t>
      </w:r>
      <w:r w:rsidR="00F04B7E">
        <w:t>31</w:t>
      </w:r>
      <w:r w:rsidR="004E037D">
        <w:t xml:space="preserve"> percent</w:t>
      </w:r>
      <w:r>
        <w:t xml:space="preserve"> with a few or some eligible students. Personalized learning approaches </w:t>
      </w:r>
      <w:r w:rsidR="00F04B7E">
        <w:t xml:space="preserve">and enrichment activities after school were also used commonly at this grade span. </w:t>
      </w:r>
    </w:p>
    <w:p w14:paraId="79506E90" w14:textId="77777777" w:rsidR="006D3029" w:rsidRDefault="0089788C" w:rsidP="0089788C">
      <w:pPr>
        <w:pStyle w:val="NoSpacing"/>
        <w:numPr>
          <w:ilvl w:val="0"/>
          <w:numId w:val="6"/>
        </w:numPr>
        <w:spacing w:before="60"/>
      </w:pPr>
      <w:r>
        <w:t xml:space="preserve">At the middle and high school levels, districts’ strategies appear to shift towards acceleration in particular subjects. </w:t>
      </w:r>
      <w:r w:rsidR="00F04B7E">
        <w:t>Among districts serving middle school grades, 38</w:t>
      </w:r>
      <w:r w:rsidR="004E037D">
        <w:t xml:space="preserve"> percent</w:t>
      </w:r>
      <w:r w:rsidR="00F04B7E">
        <w:t xml:space="preserve"> </w:t>
      </w:r>
      <w:r>
        <w:t>use this approach with many or all of their adv</w:t>
      </w:r>
      <w:r w:rsidR="00F04B7E">
        <w:t>a</w:t>
      </w:r>
      <w:r w:rsidR="00BB2BC2">
        <w:t xml:space="preserve">nced students in middle grades. A full two-thirds </w:t>
      </w:r>
      <w:r w:rsidR="00F04B7E">
        <w:t xml:space="preserve">of those serving high school grades </w:t>
      </w:r>
      <w:r w:rsidR="001C3434">
        <w:t>(67</w:t>
      </w:r>
      <w:r w:rsidR="004E037D">
        <w:t xml:space="preserve"> percent</w:t>
      </w:r>
      <w:r w:rsidR="001C3434">
        <w:t xml:space="preserve">) </w:t>
      </w:r>
      <w:r w:rsidR="00F04B7E">
        <w:t xml:space="preserve">use this approach with many or all of their advanced high school students. </w:t>
      </w:r>
    </w:p>
    <w:p w14:paraId="79506E91" w14:textId="77777777" w:rsidR="0089788C" w:rsidRDefault="006D3029" w:rsidP="0089788C">
      <w:pPr>
        <w:pStyle w:val="NoSpacing"/>
        <w:numPr>
          <w:ilvl w:val="0"/>
          <w:numId w:val="6"/>
        </w:numPr>
        <w:spacing w:before="60"/>
      </w:pPr>
      <w:r>
        <w:t>High schools also commonly reported using separate classes for students above grade level</w:t>
      </w:r>
      <w:r w:rsidR="00F04B7E">
        <w:t>, with about half (52</w:t>
      </w:r>
      <w:r w:rsidR="004E037D">
        <w:t xml:space="preserve"> percent</w:t>
      </w:r>
      <w:r w:rsidR="00F04B7E">
        <w:t>) using this strategy</w:t>
      </w:r>
      <w:r w:rsidR="008E791C">
        <w:t xml:space="preserve"> with most or all eligible students</w:t>
      </w:r>
      <w:r w:rsidR="00F04B7E">
        <w:t xml:space="preserve">. </w:t>
      </w:r>
    </w:p>
    <w:p w14:paraId="79506E92" w14:textId="77777777" w:rsidR="0089788C" w:rsidRDefault="0089788C" w:rsidP="0089788C">
      <w:pPr>
        <w:pStyle w:val="NoSpacing"/>
        <w:numPr>
          <w:ilvl w:val="0"/>
          <w:numId w:val="6"/>
        </w:numPr>
        <w:spacing w:before="60"/>
      </w:pPr>
      <w:r>
        <w:t xml:space="preserve">At all grade spans, many districts reported using technology (e.g., online courses or supplementary materials) to serve </w:t>
      </w:r>
      <w:r w:rsidR="006D3029">
        <w:t xml:space="preserve">academically advanced </w:t>
      </w:r>
      <w:r>
        <w:t xml:space="preserve">students. </w:t>
      </w:r>
      <w:r w:rsidR="00F04B7E">
        <w:t>The share of districts reporting using this strategy for many or all of these students is 30</w:t>
      </w:r>
      <w:r w:rsidR="004E037D">
        <w:t xml:space="preserve"> percent</w:t>
      </w:r>
      <w:r w:rsidR="00F04B7E">
        <w:t xml:space="preserve"> in elementary grades, 28</w:t>
      </w:r>
      <w:r w:rsidR="004E037D">
        <w:t xml:space="preserve"> percent</w:t>
      </w:r>
      <w:r w:rsidR="00F04B7E">
        <w:t xml:space="preserve"> in middle grades, and 45</w:t>
      </w:r>
      <w:r w:rsidR="004E037D">
        <w:t xml:space="preserve"> percent</w:t>
      </w:r>
      <w:r w:rsidR="00F04B7E">
        <w:t xml:space="preserve"> in high school grades. </w:t>
      </w:r>
    </w:p>
    <w:p w14:paraId="79506E93" w14:textId="77777777" w:rsidR="00F04B7E" w:rsidRDefault="00F04B7E" w:rsidP="00F04B7E">
      <w:pPr>
        <w:pStyle w:val="NoSpacing"/>
        <w:numPr>
          <w:ilvl w:val="0"/>
          <w:numId w:val="6"/>
        </w:numPr>
        <w:spacing w:before="60"/>
      </w:pPr>
      <w:r>
        <w:t xml:space="preserve">See tables on the next page for more details about strategies used by grade span. </w:t>
      </w:r>
    </w:p>
    <w:p w14:paraId="79506E94" w14:textId="77777777" w:rsidR="004E037D" w:rsidRDefault="00BB2BC2" w:rsidP="004E037D">
      <w:pPr>
        <w:pStyle w:val="NoSpacing"/>
        <w:numPr>
          <w:ilvl w:val="0"/>
          <w:numId w:val="6"/>
        </w:numPr>
        <w:spacing w:before="60"/>
      </w:pPr>
      <w:r>
        <w:t>At the elementary and middle grade levels, m</w:t>
      </w:r>
      <w:r w:rsidR="00FC0F39">
        <w:t>ost responding districts do not offer programs or supports for students who are advanced in other areas, such as arts, music, or athletics</w:t>
      </w:r>
      <w:r>
        <w:t xml:space="preserve">. </w:t>
      </w:r>
      <w:r w:rsidR="00FC0F39">
        <w:t>Just over half (57</w:t>
      </w:r>
      <w:r w:rsidR="004E037D">
        <w:t xml:space="preserve"> percent</w:t>
      </w:r>
      <w:r w:rsidR="00FC0F39">
        <w:t xml:space="preserve">) offer these programs at the high school level. </w:t>
      </w:r>
    </w:p>
    <w:p w14:paraId="79506E95" w14:textId="77777777" w:rsidR="004E037D" w:rsidRDefault="004E037D" w:rsidP="004E037D">
      <w:pPr>
        <w:pStyle w:val="NoSpacing"/>
        <w:spacing w:before="60"/>
        <w:ind w:left="720"/>
      </w:pPr>
    </w:p>
    <w:p w14:paraId="79506E96" w14:textId="77777777" w:rsidR="006D3029" w:rsidRPr="006D3029" w:rsidRDefault="006D3029" w:rsidP="006D3029">
      <w:pPr>
        <w:pStyle w:val="NoSpacing"/>
        <w:spacing w:before="60"/>
        <w:rPr>
          <w:b/>
        </w:rPr>
      </w:pPr>
      <w:r>
        <w:rPr>
          <w:b/>
        </w:rPr>
        <w:t>Findings: Screening</w:t>
      </w:r>
    </w:p>
    <w:p w14:paraId="79506E97" w14:textId="77777777" w:rsidR="006D3029" w:rsidRDefault="006D3029" w:rsidP="006D3029">
      <w:pPr>
        <w:pStyle w:val="NoSpacing"/>
        <w:numPr>
          <w:ilvl w:val="0"/>
          <w:numId w:val="6"/>
        </w:numPr>
        <w:spacing w:before="60"/>
      </w:pPr>
      <w:r>
        <w:t xml:space="preserve">Teacher recommendations and course grades were the most commonly cited major factors in selecting students for services. </w:t>
      </w:r>
      <w:r w:rsidR="00F44782">
        <w:t xml:space="preserve">Seventy-five </w:t>
      </w:r>
      <w:r w:rsidR="004E037D">
        <w:t>percent</w:t>
      </w:r>
      <w:r>
        <w:t xml:space="preserve"> of respondents cited teacher recommendations as a major factor; almost 70</w:t>
      </w:r>
      <w:r w:rsidR="004E037D">
        <w:t xml:space="preserve"> percent</w:t>
      </w:r>
      <w:r>
        <w:t xml:space="preserve"> cited course grades.</w:t>
      </w:r>
    </w:p>
    <w:p w14:paraId="79506E98" w14:textId="77777777" w:rsidR="006D3029" w:rsidRDefault="006D3029" w:rsidP="006D3029">
      <w:pPr>
        <w:pStyle w:val="NoSpacing"/>
        <w:numPr>
          <w:ilvl w:val="0"/>
          <w:numId w:val="6"/>
        </w:numPr>
        <w:spacing w:before="60"/>
      </w:pPr>
      <w:r>
        <w:t>Less commonly used were assessments of academic knowledge, previous identification for similar programs, parent recommendations</w:t>
      </w:r>
      <w:r w:rsidR="00DB38A9">
        <w:t>, and local benchmark assessments</w:t>
      </w:r>
      <w:r w:rsidR="006C36C8">
        <w:t>, all of which were used by about one-quarter to one-third of responding districts</w:t>
      </w:r>
      <w:r>
        <w:t>. Almost no districts used assessments of cognitive skills or non-verbal assessments to determine eligibility.</w:t>
      </w:r>
    </w:p>
    <w:p w14:paraId="79506E99" w14:textId="77777777" w:rsidR="00F44782" w:rsidRDefault="00F44782" w:rsidP="00F44782">
      <w:pPr>
        <w:pStyle w:val="NoSpacing"/>
        <w:spacing w:before="60"/>
      </w:pPr>
    </w:p>
    <w:p w14:paraId="79506E9A" w14:textId="77777777" w:rsidR="00F44782" w:rsidRDefault="00F44782" w:rsidP="00F44782">
      <w:pPr>
        <w:pStyle w:val="NoSpacing"/>
        <w:spacing w:before="60"/>
      </w:pPr>
    </w:p>
    <w:p w14:paraId="79506E9B" w14:textId="77777777" w:rsidR="004E037D" w:rsidRDefault="00E92AE7" w:rsidP="004E037D">
      <w:pPr>
        <w:pStyle w:val="NoSpacing"/>
        <w:numPr>
          <w:ilvl w:val="0"/>
          <w:numId w:val="6"/>
        </w:numPr>
        <w:spacing w:before="60"/>
      </w:pPr>
      <w:r>
        <w:t>About half (45</w:t>
      </w:r>
      <w:r w:rsidR="004E037D">
        <w:t xml:space="preserve"> percent</w:t>
      </w:r>
      <w:r>
        <w:t xml:space="preserve">) of respondents formally screen students for potential eligibility for programs and supports for academically advanced students. </w:t>
      </w:r>
      <w:r w:rsidR="00F44782">
        <w:t xml:space="preserve">Twenty-six </w:t>
      </w:r>
      <w:r w:rsidR="004E037D">
        <w:t>percent</w:t>
      </w:r>
      <w:r>
        <w:t xml:space="preserve"> screen many or all students; 19</w:t>
      </w:r>
      <w:r w:rsidR="004E037D">
        <w:t xml:space="preserve"> percent</w:t>
      </w:r>
      <w:r>
        <w:t xml:space="preserve"> screen some or a few. The remaining 55</w:t>
      </w:r>
      <w:r w:rsidR="004E037D">
        <w:t xml:space="preserve"> percent</w:t>
      </w:r>
      <w:r>
        <w:t xml:space="preserve"> of districts do not conduct screenings.</w:t>
      </w:r>
    </w:p>
    <w:p w14:paraId="79506E9C" w14:textId="77777777" w:rsidR="004E037D" w:rsidRPr="004E037D" w:rsidRDefault="004E037D" w:rsidP="004E037D">
      <w:pPr>
        <w:pStyle w:val="NoSpacing"/>
        <w:spacing w:before="60"/>
        <w:ind w:left="720"/>
      </w:pPr>
    </w:p>
    <w:p w14:paraId="79506E9D" w14:textId="77777777" w:rsidR="007720E5" w:rsidRDefault="00E30565" w:rsidP="004E037D">
      <w:pPr>
        <w:rPr>
          <w:b/>
        </w:rPr>
      </w:pPr>
      <w:r>
        <w:rPr>
          <w:b/>
        </w:rPr>
        <w:t>Details on service strategies</w:t>
      </w:r>
    </w:p>
    <w:p w14:paraId="79506E9E" w14:textId="77777777" w:rsidR="007720E5" w:rsidRDefault="00E30565" w:rsidP="007720E5">
      <w:pPr>
        <w:pStyle w:val="ListParagraph"/>
        <w:numPr>
          <w:ilvl w:val="0"/>
          <w:numId w:val="7"/>
        </w:numPr>
        <w:spacing w:after="120"/>
      </w:pPr>
      <w:r>
        <w:t xml:space="preserve">Note: The </w:t>
      </w:r>
      <w:r w:rsidR="00D35BD7">
        <w:t>tables</w:t>
      </w:r>
      <w:r>
        <w:t xml:space="preserve"> listed below use the number of resp</w:t>
      </w:r>
      <w:r w:rsidR="00E92AE7">
        <w:t>onding districts that serve the relevant</w:t>
      </w:r>
      <w:r>
        <w:t xml:space="preserve"> </w:t>
      </w:r>
      <w:r w:rsidR="00781C00">
        <w:t>grade span, rather than the total number of responding districts, as the denominator</w:t>
      </w:r>
      <w:r w:rsidR="004A5379">
        <w:t xml:space="preserve"> for the percentages.</w:t>
      </w:r>
    </w:p>
    <w:tbl>
      <w:tblPr>
        <w:tblStyle w:val="TableGrid"/>
        <w:tblW w:w="88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5"/>
        <w:gridCol w:w="1057"/>
        <w:gridCol w:w="1058"/>
        <w:gridCol w:w="1057"/>
        <w:gridCol w:w="1058"/>
      </w:tblGrid>
      <w:tr w:rsidR="00E30565" w:rsidRPr="007720E5" w14:paraId="79506EA5" w14:textId="77777777" w:rsidTr="009F5DEE">
        <w:tc>
          <w:tcPr>
            <w:tcW w:w="461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9F" w14:textId="77777777" w:rsidR="007243DF" w:rsidRDefault="00E30565" w:rsidP="007720E5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Elementary grades</w:t>
            </w:r>
            <w:r w:rsidR="007243DF">
              <w:rPr>
                <w:b/>
                <w:sz w:val="18"/>
                <w:szCs w:val="18"/>
              </w:rPr>
              <w:t>: Generally grades K–5</w:t>
            </w:r>
          </w:p>
          <w:p w14:paraId="79506EA0" w14:textId="77777777" w:rsidR="00E30565" w:rsidRPr="00E30565" w:rsidRDefault="002271CF" w:rsidP="007720E5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(n=91)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1" w14:textId="77777777" w:rsidR="00E30565" w:rsidRPr="007720E5" w:rsidRDefault="00E30565" w:rsidP="007720E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or all eligible students</w:t>
            </w:r>
          </w:p>
        </w:tc>
        <w:tc>
          <w:tcPr>
            <w:tcW w:w="1058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2" w14:textId="77777777" w:rsidR="00E30565" w:rsidRPr="007720E5" w:rsidRDefault="00E30565" w:rsidP="007720E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few or some eligible students</w:t>
            </w:r>
          </w:p>
        </w:tc>
        <w:tc>
          <w:tcPr>
            <w:tcW w:w="1057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3" w14:textId="77777777" w:rsidR="00E30565" w:rsidRPr="007720E5" w:rsidRDefault="00E30565" w:rsidP="007720E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not used</w:t>
            </w:r>
          </w:p>
        </w:tc>
        <w:tc>
          <w:tcPr>
            <w:tcW w:w="1058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4" w14:textId="77777777" w:rsidR="00E30565" w:rsidRPr="007720E5" w:rsidRDefault="00E30565" w:rsidP="007720E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know if practice is used</w:t>
            </w:r>
          </w:p>
        </w:tc>
      </w:tr>
      <w:tr w:rsidR="00E30565" w:rsidRPr="007720E5" w14:paraId="79506EAB" w14:textId="77777777" w:rsidTr="009F5DEE">
        <w:tc>
          <w:tcPr>
            <w:tcW w:w="461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6" w14:textId="77777777" w:rsidR="00E30565" w:rsidRPr="007720E5" w:rsidRDefault="00E30565" w:rsidP="007720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Acceleration in particular subjects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7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25%</w:t>
            </w:r>
          </w:p>
        </w:tc>
        <w:tc>
          <w:tcPr>
            <w:tcW w:w="1058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8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34%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9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36%</w:t>
            </w:r>
          </w:p>
        </w:tc>
        <w:tc>
          <w:tcPr>
            <w:tcW w:w="1058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A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0%</w:t>
            </w:r>
          </w:p>
        </w:tc>
      </w:tr>
      <w:tr w:rsidR="00E30565" w:rsidRPr="007720E5" w14:paraId="79506EB1" w14:textId="77777777" w:rsidTr="009F5DEE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C" w14:textId="77777777" w:rsidR="00E30565" w:rsidRPr="007720E5" w:rsidRDefault="00E30565" w:rsidP="007720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Between-class grouping at the same grade level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D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27%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E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24%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AF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40%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0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3%</w:t>
            </w:r>
          </w:p>
        </w:tc>
      </w:tr>
      <w:tr w:rsidR="00E30565" w:rsidRPr="007720E5" w14:paraId="79506EB7" w14:textId="77777777" w:rsidTr="009F5DEE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2" w14:textId="77777777" w:rsidR="00E30565" w:rsidRPr="007720E5" w:rsidRDefault="00E30565" w:rsidP="007720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 classes for students above grade level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3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7%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4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12%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5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75%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6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1%</w:t>
            </w:r>
          </w:p>
        </w:tc>
      </w:tr>
      <w:tr w:rsidR="00E30565" w:rsidRPr="007720E5" w14:paraId="79506EBD" w14:textId="77777777" w:rsidTr="009F5DEE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8" w14:textId="77777777" w:rsidR="00E30565" w:rsidRDefault="00E30565" w:rsidP="007720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 during the school day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9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45%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A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28%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B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23%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C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1%</w:t>
            </w:r>
          </w:p>
        </w:tc>
      </w:tr>
      <w:tr w:rsidR="00E30565" w:rsidRPr="007720E5" w14:paraId="79506EC3" w14:textId="77777777" w:rsidTr="009F5DEE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E" w14:textId="77777777" w:rsidR="00E30565" w:rsidRDefault="00E30565" w:rsidP="007720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 after school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BF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32%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0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23%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1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33%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2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1%</w:t>
            </w:r>
          </w:p>
        </w:tc>
      </w:tr>
      <w:tr w:rsidR="00E30565" w:rsidRPr="007720E5" w14:paraId="79506EC9" w14:textId="77777777" w:rsidTr="009F5DEE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4" w14:textId="77777777" w:rsidR="00E30565" w:rsidRDefault="00E30565" w:rsidP="007720E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Personalized learning opportunities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5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33%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6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41%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7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19%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8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1%</w:t>
            </w:r>
          </w:p>
        </w:tc>
      </w:tr>
      <w:tr w:rsidR="00E30565" w:rsidRPr="007720E5" w14:paraId="79506ECF" w14:textId="77777777" w:rsidTr="009F5DEE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A" w14:textId="77777777" w:rsidR="00E30565" w:rsidRDefault="00E30565" w:rsidP="009F5DEE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F5DEE">
              <w:rPr>
                <w:sz w:val="18"/>
                <w:szCs w:val="18"/>
              </w:rPr>
              <w:t>echnology (e.g., online courses, supplementary</w:t>
            </w:r>
            <w:r>
              <w:rPr>
                <w:sz w:val="18"/>
                <w:szCs w:val="18"/>
              </w:rPr>
              <w:t xml:space="preserve"> materials)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B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30%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C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37%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D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23%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CE" w14:textId="77777777" w:rsidR="00B06927" w:rsidRPr="007720E5" w:rsidRDefault="00B06927" w:rsidP="009F5DE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5DEE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3%</w:t>
            </w:r>
          </w:p>
        </w:tc>
      </w:tr>
    </w:tbl>
    <w:p w14:paraId="79506ED0" w14:textId="77777777" w:rsidR="00E47B1E" w:rsidRDefault="00E47B1E" w:rsidP="00EF5834">
      <w:pPr>
        <w:pStyle w:val="NoSpacing"/>
      </w:pPr>
    </w:p>
    <w:tbl>
      <w:tblPr>
        <w:tblStyle w:val="TableGrid"/>
        <w:tblW w:w="88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5"/>
        <w:gridCol w:w="1057"/>
        <w:gridCol w:w="1058"/>
        <w:gridCol w:w="1057"/>
        <w:gridCol w:w="1058"/>
      </w:tblGrid>
      <w:tr w:rsidR="009F5DEE" w:rsidRPr="007720E5" w14:paraId="79506ED7" w14:textId="77777777" w:rsidTr="000F5EF3">
        <w:tc>
          <w:tcPr>
            <w:tcW w:w="461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1" w14:textId="77777777" w:rsidR="009F5DEE" w:rsidRDefault="009F5DEE" w:rsidP="000F5EF3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Middle grades: Generally grades 6–8</w:t>
            </w:r>
          </w:p>
          <w:p w14:paraId="79506ED2" w14:textId="77777777" w:rsidR="009F5DEE" w:rsidRPr="00E30565" w:rsidRDefault="009F5DEE" w:rsidP="000F5EF3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(n=93)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3" w14:textId="77777777" w:rsidR="009F5DEE" w:rsidRPr="007720E5" w:rsidRDefault="009F5DEE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or all eligible students</w:t>
            </w:r>
          </w:p>
        </w:tc>
        <w:tc>
          <w:tcPr>
            <w:tcW w:w="1058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4" w14:textId="77777777" w:rsidR="009F5DEE" w:rsidRPr="007720E5" w:rsidRDefault="009F5DEE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few or some eligible students</w:t>
            </w:r>
          </w:p>
        </w:tc>
        <w:tc>
          <w:tcPr>
            <w:tcW w:w="1057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5" w14:textId="77777777" w:rsidR="009F5DEE" w:rsidRPr="007720E5" w:rsidRDefault="009F5DEE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not used</w:t>
            </w:r>
          </w:p>
        </w:tc>
        <w:tc>
          <w:tcPr>
            <w:tcW w:w="1058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6" w14:textId="77777777" w:rsidR="009F5DEE" w:rsidRPr="007720E5" w:rsidRDefault="009F5DEE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know if practice is used</w:t>
            </w:r>
          </w:p>
        </w:tc>
      </w:tr>
      <w:tr w:rsidR="009F5DEE" w:rsidRPr="007720E5" w14:paraId="79506EDD" w14:textId="77777777" w:rsidTr="000F5EF3">
        <w:tc>
          <w:tcPr>
            <w:tcW w:w="461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8" w14:textId="77777777" w:rsidR="009F5DEE" w:rsidRPr="007720E5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Acceleration in particular subjects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9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/ 38%</w:t>
            </w:r>
          </w:p>
        </w:tc>
        <w:tc>
          <w:tcPr>
            <w:tcW w:w="1058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A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/ 41%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B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/ 16%</w:t>
            </w:r>
          </w:p>
        </w:tc>
        <w:tc>
          <w:tcPr>
            <w:tcW w:w="1058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C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/ 0%</w:t>
            </w:r>
          </w:p>
        </w:tc>
      </w:tr>
      <w:tr w:rsidR="009F5DEE" w:rsidRPr="007720E5" w14:paraId="79506EE3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E" w14:textId="77777777" w:rsidR="009F5DEE" w:rsidRPr="007720E5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Between-class grouping at the same grade level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DF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/ 20%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0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/ 25%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1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/ 42%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2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7%</w:t>
            </w:r>
          </w:p>
        </w:tc>
      </w:tr>
      <w:tr w:rsidR="009F5DEE" w:rsidRPr="007720E5" w14:paraId="79506EE9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4" w14:textId="77777777" w:rsidR="009F5DEE" w:rsidRPr="007720E5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 classes for students above grade level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5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/ 25%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6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/ 28%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7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/ 40%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8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 3%</w:t>
            </w:r>
          </w:p>
        </w:tc>
      </w:tr>
      <w:tr w:rsidR="009F5DEE" w:rsidRPr="007720E5" w14:paraId="79506EEF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A" w14:textId="77777777" w:rsidR="009F5DEE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 during the school day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B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/ 31%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C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/ 26%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D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/ 29%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EE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 3%</w:t>
            </w:r>
          </w:p>
        </w:tc>
      </w:tr>
      <w:tr w:rsidR="009F5DEE" w:rsidRPr="007720E5" w14:paraId="79506EF5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0" w14:textId="77777777" w:rsidR="009F5DEE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 after school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1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/ 25%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2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/ 34%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3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/ 27%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4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 3%</w:t>
            </w:r>
          </w:p>
        </w:tc>
      </w:tr>
      <w:tr w:rsidR="009F5DEE" w:rsidRPr="007720E5" w14:paraId="79506EFB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6" w14:textId="77777777" w:rsidR="009F5DEE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Personalized learning opportunities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7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/ 25%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8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/ 40%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9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/ 24%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A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 3%</w:t>
            </w:r>
          </w:p>
        </w:tc>
      </w:tr>
      <w:tr w:rsidR="009F5DEE" w:rsidRPr="007720E5" w14:paraId="79506F01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C" w14:textId="77777777" w:rsidR="009F5DEE" w:rsidRDefault="009F5DEE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(e.g., online courses, supplementary materials)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D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/ 28%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E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/ 41%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EFF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/ 19%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0" w14:textId="77777777" w:rsidR="009F5DEE" w:rsidRPr="007720E5" w:rsidRDefault="000268F8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4%</w:t>
            </w:r>
          </w:p>
        </w:tc>
      </w:tr>
    </w:tbl>
    <w:p w14:paraId="79506F02" w14:textId="77777777" w:rsidR="00EF5834" w:rsidRDefault="00EF5834" w:rsidP="00EF5834">
      <w:pPr>
        <w:pStyle w:val="NoSpacing"/>
      </w:pPr>
    </w:p>
    <w:tbl>
      <w:tblPr>
        <w:tblStyle w:val="TableGrid"/>
        <w:tblW w:w="88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5"/>
        <w:gridCol w:w="1057"/>
        <w:gridCol w:w="1058"/>
        <w:gridCol w:w="1057"/>
        <w:gridCol w:w="1058"/>
      </w:tblGrid>
      <w:tr w:rsidR="00EF5834" w:rsidRPr="007720E5" w14:paraId="79506F09" w14:textId="77777777" w:rsidTr="000F5EF3">
        <w:tc>
          <w:tcPr>
            <w:tcW w:w="461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3" w14:textId="77777777" w:rsidR="00EF5834" w:rsidRDefault="00EF5834" w:rsidP="000F5EF3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school grades: Generally grades 9–12</w:t>
            </w:r>
          </w:p>
          <w:p w14:paraId="79506F04" w14:textId="77777777" w:rsidR="00EF5834" w:rsidRPr="00E30565" w:rsidRDefault="00EF5834" w:rsidP="000F5EF3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(n=91)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5" w14:textId="77777777" w:rsidR="00EF5834" w:rsidRPr="007720E5" w:rsidRDefault="00EF5834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or all eligible students</w:t>
            </w:r>
          </w:p>
        </w:tc>
        <w:tc>
          <w:tcPr>
            <w:tcW w:w="1058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6" w14:textId="77777777" w:rsidR="00EF5834" w:rsidRPr="007720E5" w:rsidRDefault="00EF5834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few or some eligible students</w:t>
            </w:r>
          </w:p>
        </w:tc>
        <w:tc>
          <w:tcPr>
            <w:tcW w:w="1057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7" w14:textId="77777777" w:rsidR="00EF5834" w:rsidRPr="007720E5" w:rsidRDefault="00EF5834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not used</w:t>
            </w:r>
          </w:p>
        </w:tc>
        <w:tc>
          <w:tcPr>
            <w:tcW w:w="1058" w:type="dxa"/>
            <w:tcBorders>
              <w:bottom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8" w14:textId="77777777" w:rsidR="00EF5834" w:rsidRPr="007720E5" w:rsidRDefault="00EF5834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know if practice is used</w:t>
            </w:r>
          </w:p>
        </w:tc>
      </w:tr>
      <w:tr w:rsidR="00EF5834" w:rsidRPr="007720E5" w14:paraId="79506F0F" w14:textId="77777777" w:rsidTr="000F5EF3">
        <w:tc>
          <w:tcPr>
            <w:tcW w:w="461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A" w14:textId="77777777" w:rsidR="00EF5834" w:rsidRPr="007720E5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Acceleration in particular subjects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B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/ 67%</w:t>
            </w:r>
          </w:p>
        </w:tc>
        <w:tc>
          <w:tcPr>
            <w:tcW w:w="1058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C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/ 23%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D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5%</w:t>
            </w:r>
          </w:p>
        </w:tc>
        <w:tc>
          <w:tcPr>
            <w:tcW w:w="1058" w:type="dxa"/>
            <w:tcBorders>
              <w:top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0E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/ 2%</w:t>
            </w:r>
          </w:p>
        </w:tc>
      </w:tr>
      <w:tr w:rsidR="00EF5834" w:rsidRPr="007720E5" w14:paraId="79506F15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0" w14:textId="77777777" w:rsidR="00EF5834" w:rsidRPr="007720E5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Between-class grouping at the same grade level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1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/ 32%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2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/ 17%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3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/ 36%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4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/ 9%</w:t>
            </w:r>
          </w:p>
        </w:tc>
      </w:tr>
      <w:tr w:rsidR="00EF5834" w:rsidRPr="007720E5" w14:paraId="79506F1B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6" w14:textId="77777777" w:rsidR="00EF5834" w:rsidRPr="007720E5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 classes for students above grade level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7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/ 52%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8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/ 21%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9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/ 15%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A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5%</w:t>
            </w:r>
          </w:p>
        </w:tc>
      </w:tr>
      <w:tr w:rsidR="00EF5834" w:rsidRPr="007720E5" w14:paraId="79506F21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C" w14:textId="77777777" w:rsidR="00EF5834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 during the school day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D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/ 20%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E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/ 26%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1F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/ 37%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0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7%</w:t>
            </w:r>
          </w:p>
        </w:tc>
      </w:tr>
      <w:tr w:rsidR="00EF5834" w:rsidRPr="007720E5" w14:paraId="79506F27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2" w14:textId="77777777" w:rsidR="00EF5834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Enrichment activities after school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3" w14:textId="77777777" w:rsidR="00EF5834" w:rsidRPr="007720E5" w:rsidRDefault="000D022C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/ 35%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4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/ 25%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5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/ 26%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6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4%</w:t>
            </w:r>
          </w:p>
        </w:tc>
      </w:tr>
      <w:tr w:rsidR="00EF5834" w:rsidRPr="007720E5" w14:paraId="79506F2D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8" w14:textId="77777777" w:rsidR="00EF5834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Personalized learning opportunities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9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/ 35%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A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/ 36%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B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/ 19%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C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5%</w:t>
            </w:r>
          </w:p>
        </w:tc>
      </w:tr>
      <w:tr w:rsidR="00EF5834" w:rsidRPr="007720E5" w14:paraId="79506F33" w14:textId="77777777" w:rsidTr="000F5EF3">
        <w:tc>
          <w:tcPr>
            <w:tcW w:w="4615" w:type="dxa"/>
            <w:tcBorders>
              <w:righ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E" w14:textId="77777777" w:rsidR="00EF5834" w:rsidRDefault="00EF5834" w:rsidP="000F5EF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(e.g., online courses, supplementary materials)</w:t>
            </w:r>
          </w:p>
        </w:tc>
        <w:tc>
          <w:tcPr>
            <w:tcW w:w="1057" w:type="dxa"/>
            <w:tcBorders>
              <w:left w:val="single" w:sz="4" w:space="0" w:color="808080" w:themeColor="background1" w:themeShade="8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2F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/ 45%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30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/ 35%</w:t>
            </w:r>
          </w:p>
        </w:tc>
        <w:tc>
          <w:tcPr>
            <w:tcW w:w="105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31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5%</w:t>
            </w:r>
          </w:p>
        </w:tc>
        <w:tc>
          <w:tcPr>
            <w:tcW w:w="105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506F32" w14:textId="77777777" w:rsidR="00EF5834" w:rsidRPr="007720E5" w:rsidRDefault="00F1335D" w:rsidP="000F5EF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5%</w:t>
            </w:r>
          </w:p>
        </w:tc>
      </w:tr>
    </w:tbl>
    <w:p w14:paraId="79506F34" w14:textId="77777777" w:rsidR="007243DF" w:rsidRPr="007243DF" w:rsidRDefault="007243DF" w:rsidP="00E30565">
      <w:pPr>
        <w:pStyle w:val="NoSpacing"/>
        <w:spacing w:before="240"/>
      </w:pPr>
    </w:p>
    <w:sectPr w:rsidR="007243DF" w:rsidRPr="007243DF" w:rsidSect="00B574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6F39" w14:textId="77777777" w:rsidR="00466BBF" w:rsidRDefault="00466BBF" w:rsidP="00C42843">
      <w:pPr>
        <w:spacing w:after="0" w:line="240" w:lineRule="auto"/>
      </w:pPr>
      <w:r>
        <w:separator/>
      </w:r>
    </w:p>
  </w:endnote>
  <w:endnote w:type="continuationSeparator" w:id="0">
    <w:p w14:paraId="79506F3A" w14:textId="77777777" w:rsidR="00466BBF" w:rsidRDefault="00466BBF" w:rsidP="00C4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604"/>
      <w:docPartObj>
        <w:docPartGallery w:val="Page Numbers (Bottom of Page)"/>
        <w:docPartUnique/>
      </w:docPartObj>
    </w:sdtPr>
    <w:sdtEndPr/>
    <w:sdtContent>
      <w:p w14:paraId="79506F3B" w14:textId="7734CD9F" w:rsidR="00C42843" w:rsidRDefault="003C5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06F3C" w14:textId="77777777" w:rsidR="00C42843" w:rsidRDefault="00C4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6F37" w14:textId="77777777" w:rsidR="00466BBF" w:rsidRDefault="00466BBF" w:rsidP="00C42843">
      <w:pPr>
        <w:spacing w:after="0" w:line="240" w:lineRule="auto"/>
      </w:pPr>
      <w:r>
        <w:separator/>
      </w:r>
    </w:p>
  </w:footnote>
  <w:footnote w:type="continuationSeparator" w:id="0">
    <w:p w14:paraId="79506F38" w14:textId="77777777" w:rsidR="00466BBF" w:rsidRDefault="00466BBF" w:rsidP="00C4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FD8"/>
    <w:multiLevelType w:val="hybridMultilevel"/>
    <w:tmpl w:val="C778EFC8"/>
    <w:lvl w:ilvl="0" w:tplc="33A83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0AA5"/>
    <w:multiLevelType w:val="hybridMultilevel"/>
    <w:tmpl w:val="CFC0B4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F538F"/>
    <w:multiLevelType w:val="hybridMultilevel"/>
    <w:tmpl w:val="FF68F958"/>
    <w:lvl w:ilvl="0" w:tplc="F2F648E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AE30054"/>
    <w:multiLevelType w:val="hybridMultilevel"/>
    <w:tmpl w:val="8B444560"/>
    <w:lvl w:ilvl="0" w:tplc="8D94F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E1035"/>
    <w:multiLevelType w:val="hybridMultilevel"/>
    <w:tmpl w:val="158845A8"/>
    <w:lvl w:ilvl="0" w:tplc="0A24418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F6A486F"/>
    <w:multiLevelType w:val="hybridMultilevel"/>
    <w:tmpl w:val="B8DA0710"/>
    <w:lvl w:ilvl="0" w:tplc="973452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CC3FF2"/>
    <w:multiLevelType w:val="hybridMultilevel"/>
    <w:tmpl w:val="DEBED4A4"/>
    <w:lvl w:ilvl="0" w:tplc="FE8AA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0D"/>
    <w:rsid w:val="000268F8"/>
    <w:rsid w:val="000520FD"/>
    <w:rsid w:val="00073B29"/>
    <w:rsid w:val="000D022C"/>
    <w:rsid w:val="000D13FA"/>
    <w:rsid w:val="000D7970"/>
    <w:rsid w:val="000E18AB"/>
    <w:rsid w:val="000F46D7"/>
    <w:rsid w:val="00100D45"/>
    <w:rsid w:val="001172F7"/>
    <w:rsid w:val="00145E36"/>
    <w:rsid w:val="00164B7B"/>
    <w:rsid w:val="00190FC4"/>
    <w:rsid w:val="0019642B"/>
    <w:rsid w:val="001C3434"/>
    <w:rsid w:val="001D65C2"/>
    <w:rsid w:val="001E3EEA"/>
    <w:rsid w:val="001F2E1F"/>
    <w:rsid w:val="002215ED"/>
    <w:rsid w:val="00221B7B"/>
    <w:rsid w:val="002271CF"/>
    <w:rsid w:val="00232B98"/>
    <w:rsid w:val="002333AB"/>
    <w:rsid w:val="00240A63"/>
    <w:rsid w:val="00267A9C"/>
    <w:rsid w:val="00271E24"/>
    <w:rsid w:val="00284A16"/>
    <w:rsid w:val="00294181"/>
    <w:rsid w:val="002B083F"/>
    <w:rsid w:val="002B263B"/>
    <w:rsid w:val="002B2F36"/>
    <w:rsid w:val="002D2A72"/>
    <w:rsid w:val="003069AA"/>
    <w:rsid w:val="0030776A"/>
    <w:rsid w:val="003171A8"/>
    <w:rsid w:val="003275AA"/>
    <w:rsid w:val="003740B5"/>
    <w:rsid w:val="00396BC8"/>
    <w:rsid w:val="003B10C6"/>
    <w:rsid w:val="003C553D"/>
    <w:rsid w:val="003C6162"/>
    <w:rsid w:val="003F7131"/>
    <w:rsid w:val="00404770"/>
    <w:rsid w:val="0041743D"/>
    <w:rsid w:val="00420697"/>
    <w:rsid w:val="004241E8"/>
    <w:rsid w:val="00424806"/>
    <w:rsid w:val="004277EC"/>
    <w:rsid w:val="00433814"/>
    <w:rsid w:val="0043470C"/>
    <w:rsid w:val="00435791"/>
    <w:rsid w:val="00466BBF"/>
    <w:rsid w:val="004743F2"/>
    <w:rsid w:val="004A3EE8"/>
    <w:rsid w:val="004A5379"/>
    <w:rsid w:val="004B56F9"/>
    <w:rsid w:val="004D213B"/>
    <w:rsid w:val="004E037D"/>
    <w:rsid w:val="004E567C"/>
    <w:rsid w:val="00530F0D"/>
    <w:rsid w:val="00562F6C"/>
    <w:rsid w:val="005862DB"/>
    <w:rsid w:val="00592CFB"/>
    <w:rsid w:val="005C34B6"/>
    <w:rsid w:val="005C4EAB"/>
    <w:rsid w:val="005C4F91"/>
    <w:rsid w:val="005E4359"/>
    <w:rsid w:val="005E7C3E"/>
    <w:rsid w:val="00606F6C"/>
    <w:rsid w:val="00615BDB"/>
    <w:rsid w:val="006473B5"/>
    <w:rsid w:val="00657AFE"/>
    <w:rsid w:val="00663709"/>
    <w:rsid w:val="006A1034"/>
    <w:rsid w:val="006A2702"/>
    <w:rsid w:val="006B0EC4"/>
    <w:rsid w:val="006B2377"/>
    <w:rsid w:val="006C36C8"/>
    <w:rsid w:val="006D3029"/>
    <w:rsid w:val="006F039F"/>
    <w:rsid w:val="007052DB"/>
    <w:rsid w:val="007243DF"/>
    <w:rsid w:val="00765CC5"/>
    <w:rsid w:val="007720E5"/>
    <w:rsid w:val="00781C00"/>
    <w:rsid w:val="0078368D"/>
    <w:rsid w:val="007E2663"/>
    <w:rsid w:val="00815613"/>
    <w:rsid w:val="00831A9A"/>
    <w:rsid w:val="008359D3"/>
    <w:rsid w:val="008628CC"/>
    <w:rsid w:val="0089788C"/>
    <w:rsid w:val="00897DFE"/>
    <w:rsid w:val="008D3CB8"/>
    <w:rsid w:val="008D651B"/>
    <w:rsid w:val="008E5D81"/>
    <w:rsid w:val="008E791C"/>
    <w:rsid w:val="008F771C"/>
    <w:rsid w:val="009250AC"/>
    <w:rsid w:val="009357BD"/>
    <w:rsid w:val="009831E5"/>
    <w:rsid w:val="00993BDC"/>
    <w:rsid w:val="009B0380"/>
    <w:rsid w:val="009C55DC"/>
    <w:rsid w:val="009F39D1"/>
    <w:rsid w:val="009F5DEE"/>
    <w:rsid w:val="00A44A83"/>
    <w:rsid w:val="00A4751F"/>
    <w:rsid w:val="00A607ED"/>
    <w:rsid w:val="00AB4566"/>
    <w:rsid w:val="00AC016D"/>
    <w:rsid w:val="00AC5060"/>
    <w:rsid w:val="00AE500E"/>
    <w:rsid w:val="00AE6F67"/>
    <w:rsid w:val="00B00B41"/>
    <w:rsid w:val="00B06927"/>
    <w:rsid w:val="00B107F2"/>
    <w:rsid w:val="00B20F0A"/>
    <w:rsid w:val="00B22CEE"/>
    <w:rsid w:val="00B574F0"/>
    <w:rsid w:val="00B61DA3"/>
    <w:rsid w:val="00B85B8E"/>
    <w:rsid w:val="00B900F9"/>
    <w:rsid w:val="00B938A3"/>
    <w:rsid w:val="00BB2BC2"/>
    <w:rsid w:val="00BC612C"/>
    <w:rsid w:val="00BF3C57"/>
    <w:rsid w:val="00C037AA"/>
    <w:rsid w:val="00C05D0B"/>
    <w:rsid w:val="00C22165"/>
    <w:rsid w:val="00C3331D"/>
    <w:rsid w:val="00C36BBD"/>
    <w:rsid w:val="00C42843"/>
    <w:rsid w:val="00C81CD0"/>
    <w:rsid w:val="00C9497E"/>
    <w:rsid w:val="00CC2D0C"/>
    <w:rsid w:val="00CD06C1"/>
    <w:rsid w:val="00CD620E"/>
    <w:rsid w:val="00CE605E"/>
    <w:rsid w:val="00CF4932"/>
    <w:rsid w:val="00CF50C0"/>
    <w:rsid w:val="00D35BD7"/>
    <w:rsid w:val="00D423C0"/>
    <w:rsid w:val="00D45899"/>
    <w:rsid w:val="00D50B39"/>
    <w:rsid w:val="00D53771"/>
    <w:rsid w:val="00D54BF4"/>
    <w:rsid w:val="00DA3DB1"/>
    <w:rsid w:val="00DB38A9"/>
    <w:rsid w:val="00DD070F"/>
    <w:rsid w:val="00DF7F9C"/>
    <w:rsid w:val="00E1064F"/>
    <w:rsid w:val="00E30565"/>
    <w:rsid w:val="00E359A2"/>
    <w:rsid w:val="00E47B1E"/>
    <w:rsid w:val="00E5630A"/>
    <w:rsid w:val="00E73BB9"/>
    <w:rsid w:val="00E74BB2"/>
    <w:rsid w:val="00E90DED"/>
    <w:rsid w:val="00E92AE7"/>
    <w:rsid w:val="00E938A0"/>
    <w:rsid w:val="00EC57DA"/>
    <w:rsid w:val="00ED2B1B"/>
    <w:rsid w:val="00EE301D"/>
    <w:rsid w:val="00EE68D6"/>
    <w:rsid w:val="00EF5834"/>
    <w:rsid w:val="00F04B7E"/>
    <w:rsid w:val="00F069E1"/>
    <w:rsid w:val="00F1335D"/>
    <w:rsid w:val="00F31D71"/>
    <w:rsid w:val="00F44782"/>
    <w:rsid w:val="00FB1BE1"/>
    <w:rsid w:val="00FB4A83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6E83"/>
  <w15:docId w15:val="{B9019DAC-4798-496A-B826-1421A91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0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53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F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4EAB"/>
    <w:pPr>
      <w:spacing w:after="0" w:line="240" w:lineRule="auto"/>
    </w:pPr>
  </w:style>
  <w:style w:type="paragraph" w:customStyle="1" w:styleId="Default">
    <w:name w:val="Default"/>
    <w:rsid w:val="00B20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843"/>
  </w:style>
  <w:style w:type="paragraph" w:styleId="Footer">
    <w:name w:val="footer"/>
    <w:basedOn w:val="Normal"/>
    <w:link w:val="FooterChar"/>
    <w:uiPriority w:val="99"/>
    <w:unhideWhenUsed/>
    <w:rsid w:val="00C4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DESE-231-36479</_dlc_DocId>
    <_dlc_DocIdUrl xmlns="733efe1c-5bbe-4968-87dc-d400e65c879f">
      <Url>https://sharepoint.doemass.org/ese/webteam/cps/_layouts/DocIdRedir.aspx?ID=DESE-231-36479</Url>
      <Description>DESE-231-36479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5782701-DE1E-4768-BC40-B6DD0EF4C669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0a4e05da-b9bc-4326-ad73-01ef31b9556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958C6AB-5878-4283-8316-5129C1BB0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21CD5-2855-472F-8DF5-FC8076F6CD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B9ADC4-2D0D-47E7-BFD9-4F0C618F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9/26/17 Item 9: Gifted and Talented Summary</vt:lpstr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9/26/17 BESE Meeting: Gifted and Talented Summary</dc:title>
  <dc:creator>ese</dc:creator>
  <cp:lastModifiedBy>ESE</cp:lastModifiedBy>
  <cp:revision>2</cp:revision>
  <cp:lastPrinted>2017-09-15T15:55:00Z</cp:lastPrinted>
  <dcterms:created xsi:type="dcterms:W3CDTF">2017-09-22T14:12:00Z</dcterms:created>
  <dcterms:modified xsi:type="dcterms:W3CDTF">2017-09-22T14:12:00Z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21c61cfa-0d11-4cef-80a5-dbfc3b2b6175</vt:lpwstr>
  </property>
  <property fmtid="{D5CDD505-2E9C-101B-9397-08002B2CF9AE}" pid="4" name="metadate">
    <vt:lpwstr>Sep 22 2017</vt:lpwstr>
  </property>
</Properties>
</file>