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F" w:rsidRDefault="005F68BF" w:rsidP="005F68BF">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5F68BF" w:rsidRDefault="005F68BF" w:rsidP="005F68BF">
      <w:pPr>
        <w:outlineLvl w:val="0"/>
        <w:rPr>
          <w:rFonts w:ascii="Arial" w:hAnsi="Arial"/>
          <w:b/>
          <w:i/>
          <w:sz w:val="50"/>
        </w:rPr>
      </w:pPr>
      <w:r>
        <w:rPr>
          <w:rFonts w:ascii="Arial" w:hAnsi="Arial"/>
          <w:b/>
          <w:i/>
          <w:sz w:val="40"/>
        </w:rPr>
        <w:t>Elementary and Secondary Education</w:t>
      </w:r>
    </w:p>
    <w:p w:rsidR="005F68BF" w:rsidRDefault="00F15014" w:rsidP="005F68BF">
      <w:pPr>
        <w:rPr>
          <w:rFonts w:ascii="Arial" w:hAnsi="Arial"/>
          <w:i/>
        </w:rPr>
      </w:pPr>
      <w:r>
        <w:rPr>
          <w:rFonts w:ascii="Arial" w:hAnsi="Arial"/>
          <w:i/>
          <w:noProof/>
          <w:lang w:eastAsia="zh-CN"/>
        </w:rPr>
        <mc:AlternateContent>
          <mc:Choice Requires="wps">
            <w:drawing>
              <wp:anchor distT="0" distB="0" distL="114300" distR="114300" simplePos="0" relativeHeight="251661312" behindDoc="0" locked="0" layoutInCell="0" allowOverlap="1">
                <wp:simplePos x="0" y="0"/>
                <wp:positionH relativeFrom="column">
                  <wp:posOffset>769479</wp:posOffset>
                </wp:positionH>
                <wp:positionV relativeFrom="paragraph">
                  <wp:posOffset>64770</wp:posOffset>
                </wp:positionV>
                <wp:extent cx="5066030" cy="0"/>
                <wp:effectExtent l="0" t="0" r="20320" b="19050"/>
                <wp:wrapNone/>
                <wp:docPr id="2"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04AC" id="Line 3" o:spid="_x0000_s1026" alt="horizontal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1pt" to="45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Rh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" o:allowincell="f" strokeweight="1pt"/>
            </w:pict>
          </mc:Fallback>
        </mc:AlternateContent>
      </w:r>
    </w:p>
    <w:p w:rsidR="005F68BF" w:rsidRDefault="005F68BF" w:rsidP="000C5D69">
      <w:pPr>
        <w:pStyle w:val="Heading3"/>
        <w:tabs>
          <w:tab w:val="clear" w:pos="5400"/>
          <w:tab w:val="left" w:pos="6750"/>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rsidR="005F68BF" w:rsidRPr="00C974A6" w:rsidRDefault="000C5D69" w:rsidP="005F68BF">
      <w:pPr>
        <w:pStyle w:val="Heading2"/>
        <w:tabs>
          <w:tab w:val="right" w:pos="9000"/>
        </w:tabs>
        <w:jc w:val="left"/>
        <w:rPr>
          <w:sz w:val="16"/>
          <w:szCs w:val="16"/>
        </w:rPr>
      </w:pPr>
      <w:r>
        <w:rPr>
          <w:sz w:val="16"/>
          <w:szCs w:val="16"/>
        </w:rPr>
        <w:tab/>
      </w:r>
      <w:r w:rsidR="005F68BF" w:rsidRPr="00C974A6">
        <w:rPr>
          <w:sz w:val="16"/>
          <w:szCs w:val="16"/>
        </w:rPr>
        <w:t>TTY: N.E.T. Relay 1-800-439-2370</w:t>
      </w:r>
    </w:p>
    <w:p w:rsidR="005F68BF" w:rsidRPr="00C974A6" w:rsidRDefault="005F68BF" w:rsidP="005F68BF">
      <w:pPr>
        <w:ind w:left="720"/>
        <w:rPr>
          <w:rFonts w:ascii="Arial" w:hAnsi="Arial"/>
          <w:i/>
          <w:sz w:val="16"/>
          <w:szCs w:val="16"/>
        </w:rPr>
      </w:pPr>
    </w:p>
    <w:p w:rsidR="005F68BF" w:rsidRDefault="005F68BF" w:rsidP="005F68BF">
      <w:pPr>
        <w:ind w:left="720"/>
        <w:rPr>
          <w:rFonts w:ascii="Arial" w:hAnsi="Arial"/>
          <w:i/>
          <w:sz w:val="18"/>
        </w:rPr>
        <w:sectPr w:rsidR="005F68BF" w:rsidSect="005F68BF">
          <w:endnotePr>
            <w:numFmt w:val="decimal"/>
          </w:endnotePr>
          <w:type w:val="continuous"/>
          <w:pgSz w:w="12240" w:h="15840"/>
          <w:pgMar w:top="864" w:right="1080" w:bottom="1440" w:left="1800" w:header="1440" w:footer="1440" w:gutter="0"/>
          <w:cols w:space="720"/>
          <w:noEndnote/>
        </w:sectPr>
      </w:pPr>
    </w:p>
    <w:p w:rsidR="005F68BF" w:rsidRDefault="005F68BF" w:rsidP="005F68BF">
      <w:pPr>
        <w:ind w:left="720"/>
        <w:jc w:val="center"/>
        <w:rPr>
          <w:rFonts w:ascii="Arial" w:hAnsi="Arial"/>
          <w:i/>
          <w:sz w:val="16"/>
          <w:szCs w:val="16"/>
        </w:rPr>
      </w:pPr>
    </w:p>
    <w:p w:rsidR="000C5D69" w:rsidRDefault="000C5D69" w:rsidP="005F68BF">
      <w:pPr>
        <w:ind w:left="720"/>
        <w:jc w:val="center"/>
        <w:rPr>
          <w:rFonts w:ascii="Arial" w:hAnsi="Arial"/>
          <w:i/>
          <w:sz w:val="16"/>
          <w:szCs w:val="16"/>
        </w:rPr>
      </w:pPr>
    </w:p>
    <w:p w:rsidR="000C5D69" w:rsidRDefault="000C5D69" w:rsidP="005F68BF">
      <w:pPr>
        <w:ind w:left="720"/>
        <w:jc w:val="center"/>
        <w:rPr>
          <w:rFonts w:ascii="Arial" w:hAnsi="Arial"/>
          <w:i/>
          <w:sz w:val="16"/>
          <w:szCs w:val="16"/>
        </w:rPr>
      </w:pPr>
    </w:p>
    <w:p w:rsidR="000C5D69" w:rsidRPr="00C974A6" w:rsidRDefault="000C5D69" w:rsidP="005F68BF">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5F68BF" w:rsidRPr="009C084A" w:rsidTr="00D924E9">
        <w:tc>
          <w:tcPr>
            <w:tcW w:w="2988" w:type="dxa"/>
          </w:tcPr>
          <w:p w:rsidR="005F68BF" w:rsidRPr="009C084A" w:rsidRDefault="005F68BF" w:rsidP="00D924E9">
            <w:pPr>
              <w:jc w:val="center"/>
              <w:rPr>
                <w:rFonts w:ascii="Arial" w:hAnsi="Arial" w:cs="Arial"/>
                <w:sz w:val="16"/>
                <w:szCs w:val="16"/>
              </w:rPr>
            </w:pPr>
            <w:r>
              <w:rPr>
                <w:rFonts w:ascii="Arial" w:hAnsi="Arial" w:cs="Arial"/>
                <w:sz w:val="16"/>
                <w:szCs w:val="16"/>
              </w:rPr>
              <w:t>Jeff Wulfson</w:t>
            </w:r>
          </w:p>
          <w:p w:rsidR="005F68BF" w:rsidRPr="009C084A" w:rsidRDefault="005F68BF" w:rsidP="00D924E9">
            <w:pPr>
              <w:jc w:val="center"/>
              <w:rPr>
                <w:rFonts w:ascii="Arial" w:hAnsi="Arial"/>
                <w:i/>
                <w:sz w:val="16"/>
                <w:szCs w:val="16"/>
              </w:rPr>
            </w:pPr>
            <w:r>
              <w:rPr>
                <w:rFonts w:ascii="Arial" w:hAnsi="Arial"/>
                <w:i/>
                <w:sz w:val="16"/>
                <w:szCs w:val="16"/>
              </w:rPr>
              <w:t xml:space="preserve">Acting </w:t>
            </w:r>
            <w:r w:rsidRPr="009C084A">
              <w:rPr>
                <w:rFonts w:ascii="Arial" w:hAnsi="Arial"/>
                <w:i/>
                <w:sz w:val="16"/>
                <w:szCs w:val="16"/>
              </w:rPr>
              <w:t>Commissioner</w:t>
            </w:r>
          </w:p>
        </w:tc>
        <w:tc>
          <w:tcPr>
            <w:tcW w:w="8604" w:type="dxa"/>
          </w:tcPr>
          <w:p w:rsidR="005F68BF" w:rsidRPr="009C084A" w:rsidRDefault="005F68BF" w:rsidP="00D924E9">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footerReference w:type="even" r:id="rId12"/>
          <w:footerReference w:type="default" r:id="rId13"/>
          <w:footerReference w:type="first" r:id="rId14"/>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t>MEMORANDUM</w:t>
      </w:r>
    </w:p>
    <w:p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2"/>
        <w:gridCol w:w="8178"/>
      </w:tblGrid>
      <w:tr w:rsidR="00FD23FE" w:rsidRPr="0003278E">
        <w:tc>
          <w:tcPr>
            <w:tcW w:w="1188" w:type="dxa"/>
          </w:tcPr>
          <w:p w:rsidR="00FD23FE" w:rsidRPr="0003278E" w:rsidRDefault="00FD23FE">
            <w:pPr>
              <w:rPr>
                <w:b/>
                <w:sz w:val="22"/>
                <w:szCs w:val="22"/>
              </w:rPr>
            </w:pPr>
            <w:r w:rsidRPr="0003278E">
              <w:rPr>
                <w:b/>
                <w:sz w:val="22"/>
                <w:szCs w:val="22"/>
              </w:rPr>
              <w:t>To:</w:t>
            </w:r>
          </w:p>
        </w:tc>
        <w:tc>
          <w:tcPr>
            <w:tcW w:w="8388" w:type="dxa"/>
          </w:tcPr>
          <w:p w:rsidR="00FD23FE" w:rsidRPr="0003278E" w:rsidRDefault="00FD23FE">
            <w:pPr>
              <w:pStyle w:val="Footer"/>
              <w:widowControl w:val="0"/>
              <w:tabs>
                <w:tab w:val="clear" w:pos="4320"/>
                <w:tab w:val="clear" w:pos="8640"/>
              </w:tabs>
              <w:rPr>
                <w:bCs/>
                <w:snapToGrid w:val="0"/>
                <w:sz w:val="22"/>
                <w:szCs w:val="22"/>
              </w:rPr>
            </w:pPr>
            <w:r w:rsidRPr="0003278E">
              <w:rPr>
                <w:bCs/>
                <w:snapToGrid w:val="0"/>
                <w:sz w:val="22"/>
                <w:szCs w:val="22"/>
              </w:rPr>
              <w:t>Members of the Board of Elementary and Secondary Education</w:t>
            </w:r>
          </w:p>
        </w:tc>
      </w:tr>
      <w:tr w:rsidR="00FD23FE" w:rsidRPr="0003278E">
        <w:tc>
          <w:tcPr>
            <w:tcW w:w="1188" w:type="dxa"/>
          </w:tcPr>
          <w:p w:rsidR="00FD23FE" w:rsidRPr="0003278E" w:rsidRDefault="00FD23FE">
            <w:pPr>
              <w:rPr>
                <w:b/>
                <w:sz w:val="22"/>
                <w:szCs w:val="22"/>
              </w:rPr>
            </w:pPr>
            <w:r w:rsidRPr="0003278E">
              <w:rPr>
                <w:b/>
                <w:sz w:val="22"/>
                <w:szCs w:val="22"/>
              </w:rPr>
              <w:t>From:</w:t>
            </w:r>
            <w:r w:rsidRPr="0003278E">
              <w:rPr>
                <w:sz w:val="22"/>
                <w:szCs w:val="22"/>
              </w:rPr>
              <w:tab/>
            </w:r>
          </w:p>
        </w:tc>
        <w:tc>
          <w:tcPr>
            <w:tcW w:w="8388" w:type="dxa"/>
          </w:tcPr>
          <w:p w:rsidR="006601ED" w:rsidRPr="0003278E" w:rsidRDefault="005F68BF">
            <w:pPr>
              <w:pStyle w:val="Footer"/>
              <w:widowControl w:val="0"/>
              <w:tabs>
                <w:tab w:val="clear" w:pos="4320"/>
                <w:tab w:val="clear" w:pos="8640"/>
              </w:tabs>
              <w:rPr>
                <w:bCs/>
                <w:snapToGrid w:val="0"/>
                <w:sz w:val="22"/>
                <w:szCs w:val="22"/>
              </w:rPr>
            </w:pPr>
            <w:r w:rsidRPr="0003278E">
              <w:rPr>
                <w:bCs/>
                <w:snapToGrid w:val="0"/>
                <w:sz w:val="22"/>
                <w:szCs w:val="22"/>
              </w:rPr>
              <w:t>Jeff Wulfson</w:t>
            </w:r>
          </w:p>
        </w:tc>
      </w:tr>
      <w:tr w:rsidR="00FD23FE" w:rsidRPr="0003278E">
        <w:tc>
          <w:tcPr>
            <w:tcW w:w="1188" w:type="dxa"/>
          </w:tcPr>
          <w:p w:rsidR="00FD23FE" w:rsidRPr="0003278E" w:rsidRDefault="00FD23FE">
            <w:pPr>
              <w:rPr>
                <w:b/>
                <w:sz w:val="22"/>
                <w:szCs w:val="22"/>
              </w:rPr>
            </w:pPr>
            <w:r w:rsidRPr="0003278E">
              <w:rPr>
                <w:b/>
                <w:sz w:val="22"/>
                <w:szCs w:val="22"/>
              </w:rPr>
              <w:t>Date:</w:t>
            </w:r>
            <w:r w:rsidRPr="0003278E">
              <w:rPr>
                <w:sz w:val="22"/>
                <w:szCs w:val="22"/>
              </w:rPr>
              <w:tab/>
            </w:r>
          </w:p>
        </w:tc>
        <w:tc>
          <w:tcPr>
            <w:tcW w:w="8388" w:type="dxa"/>
          </w:tcPr>
          <w:p w:rsidR="00FD23FE" w:rsidRPr="0003278E" w:rsidRDefault="00A049E8" w:rsidP="006601ED">
            <w:pPr>
              <w:pStyle w:val="Footer"/>
              <w:widowControl w:val="0"/>
              <w:tabs>
                <w:tab w:val="clear" w:pos="4320"/>
                <w:tab w:val="clear" w:pos="8640"/>
              </w:tabs>
              <w:rPr>
                <w:bCs/>
                <w:snapToGrid w:val="0"/>
                <w:sz w:val="22"/>
                <w:szCs w:val="22"/>
              </w:rPr>
            </w:pPr>
            <w:r w:rsidRPr="0003278E">
              <w:rPr>
                <w:bCs/>
                <w:snapToGrid w:val="0"/>
                <w:sz w:val="22"/>
                <w:szCs w:val="22"/>
              </w:rPr>
              <w:t>February</w:t>
            </w:r>
            <w:r w:rsidR="00B368C1" w:rsidRPr="0003278E">
              <w:rPr>
                <w:bCs/>
                <w:snapToGrid w:val="0"/>
                <w:sz w:val="22"/>
                <w:szCs w:val="22"/>
              </w:rPr>
              <w:t xml:space="preserve"> 1</w:t>
            </w:r>
            <w:r w:rsidR="006601ED">
              <w:rPr>
                <w:bCs/>
                <w:snapToGrid w:val="0"/>
                <w:sz w:val="22"/>
                <w:szCs w:val="22"/>
              </w:rPr>
              <w:t>6</w:t>
            </w:r>
            <w:r w:rsidR="00035C2D" w:rsidRPr="0003278E">
              <w:rPr>
                <w:bCs/>
                <w:snapToGrid w:val="0"/>
                <w:sz w:val="22"/>
                <w:szCs w:val="22"/>
              </w:rPr>
              <w:t>, 201</w:t>
            </w:r>
            <w:r w:rsidRPr="0003278E">
              <w:rPr>
                <w:bCs/>
                <w:snapToGrid w:val="0"/>
                <w:sz w:val="22"/>
                <w:szCs w:val="22"/>
              </w:rPr>
              <w:t>8</w:t>
            </w:r>
          </w:p>
        </w:tc>
      </w:tr>
      <w:tr w:rsidR="00FD23FE" w:rsidRPr="0003278E">
        <w:tc>
          <w:tcPr>
            <w:tcW w:w="1188" w:type="dxa"/>
          </w:tcPr>
          <w:p w:rsidR="00FD23FE" w:rsidRPr="0003278E" w:rsidRDefault="00FD23FE">
            <w:pPr>
              <w:rPr>
                <w:b/>
                <w:sz w:val="22"/>
                <w:szCs w:val="22"/>
              </w:rPr>
            </w:pPr>
            <w:r w:rsidRPr="0003278E">
              <w:rPr>
                <w:b/>
                <w:sz w:val="22"/>
                <w:szCs w:val="22"/>
              </w:rPr>
              <w:t>Subject:</w:t>
            </w:r>
          </w:p>
        </w:tc>
        <w:tc>
          <w:tcPr>
            <w:tcW w:w="8388" w:type="dxa"/>
          </w:tcPr>
          <w:p w:rsidR="004E02B6" w:rsidRPr="0003278E" w:rsidRDefault="002A1F17">
            <w:pPr>
              <w:pStyle w:val="Footer"/>
              <w:widowControl w:val="0"/>
              <w:tabs>
                <w:tab w:val="clear" w:pos="4320"/>
                <w:tab w:val="clear" w:pos="8640"/>
              </w:tabs>
              <w:rPr>
                <w:bCs/>
                <w:snapToGrid w:val="0"/>
                <w:sz w:val="22"/>
                <w:szCs w:val="22"/>
              </w:rPr>
            </w:pPr>
            <w:r w:rsidRPr="0003278E">
              <w:rPr>
                <w:sz w:val="22"/>
                <w:szCs w:val="22"/>
              </w:rPr>
              <w:t>Grant Packages for the Board of Elementary and Secondary Education</w:t>
            </w:r>
          </w:p>
        </w:tc>
      </w:tr>
    </w:tbl>
    <w:p w:rsidR="00FD23FE" w:rsidRPr="0003278E" w:rsidRDefault="00FD23FE">
      <w:pPr>
        <w:pBdr>
          <w:bottom w:val="single" w:sz="4" w:space="1" w:color="auto"/>
        </w:pBdr>
        <w:rPr>
          <w:sz w:val="22"/>
          <w:szCs w:val="22"/>
        </w:rPr>
      </w:pPr>
      <w:bookmarkStart w:id="0" w:name="TO"/>
      <w:bookmarkStart w:id="1" w:name="FROM"/>
      <w:bookmarkStart w:id="2" w:name="DATE"/>
      <w:bookmarkStart w:id="3" w:name="RE"/>
      <w:bookmarkEnd w:id="0"/>
      <w:bookmarkEnd w:id="1"/>
      <w:bookmarkEnd w:id="2"/>
      <w:bookmarkEnd w:id="3"/>
    </w:p>
    <w:p w:rsidR="00FD23FE" w:rsidRPr="0003278E" w:rsidRDefault="00FD23FE">
      <w:pPr>
        <w:rPr>
          <w:sz w:val="22"/>
          <w:szCs w:val="22"/>
        </w:rPr>
        <w:sectPr w:rsidR="00FD23FE" w:rsidRPr="0003278E">
          <w:endnotePr>
            <w:numFmt w:val="decimal"/>
          </w:endnotePr>
          <w:type w:val="continuous"/>
          <w:pgSz w:w="12240" w:h="15840"/>
          <w:pgMar w:top="1440" w:right="1440" w:bottom="1440" w:left="1440" w:header="1440" w:footer="1440" w:gutter="0"/>
          <w:cols w:space="720"/>
          <w:noEndnote/>
        </w:sectPr>
      </w:pPr>
    </w:p>
    <w:p w:rsidR="002A1F17" w:rsidRPr="0003278E" w:rsidRDefault="002A1F17" w:rsidP="004E02B6">
      <w:pPr>
        <w:widowControl/>
        <w:autoSpaceDE w:val="0"/>
        <w:autoSpaceDN w:val="0"/>
        <w:adjustRightInd w:val="0"/>
        <w:rPr>
          <w:sz w:val="22"/>
          <w:szCs w:val="22"/>
        </w:rPr>
        <w:sectPr w:rsidR="002A1F17" w:rsidRPr="0003278E" w:rsidSect="002A1F17">
          <w:endnotePr>
            <w:numFmt w:val="decimal"/>
          </w:endnotePr>
          <w:type w:val="continuous"/>
          <w:pgSz w:w="12240" w:h="15840"/>
          <w:pgMar w:top="1440" w:right="720" w:bottom="1440" w:left="720" w:header="1440" w:footer="1440" w:gutter="0"/>
          <w:cols w:space="720"/>
          <w:formProt w:val="0"/>
          <w:noEndnote/>
          <w:titlePg/>
        </w:sectPr>
      </w:pPr>
    </w:p>
    <w:p w:rsidR="007379AC" w:rsidRPr="0003278E" w:rsidRDefault="007379AC" w:rsidP="004E02B6">
      <w:pPr>
        <w:widowControl/>
        <w:autoSpaceDE w:val="0"/>
        <w:autoSpaceDN w:val="0"/>
        <w:adjustRightInd w:val="0"/>
        <w:rPr>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0F1F92" w:rsidRPr="0003278E" w:rsidTr="005B3C81">
        <w:tc>
          <w:tcPr>
            <w:tcW w:w="10710" w:type="dxa"/>
            <w:gridSpan w:val="4"/>
            <w:tcBorders>
              <w:top w:val="double" w:sz="4" w:space="0" w:color="auto"/>
              <w:left w:val="double" w:sz="4" w:space="0" w:color="auto"/>
              <w:bottom w:val="double" w:sz="4" w:space="0" w:color="auto"/>
              <w:right w:val="double" w:sz="4" w:space="0" w:color="auto"/>
            </w:tcBorders>
          </w:tcPr>
          <w:p w:rsidR="000F1F92" w:rsidRPr="0003278E" w:rsidRDefault="000F1F92" w:rsidP="005B3C81">
            <w:pPr>
              <w:spacing w:before="120"/>
              <w:jc w:val="center"/>
              <w:rPr>
                <w:b/>
                <w:sz w:val="22"/>
                <w:szCs w:val="22"/>
              </w:rPr>
            </w:pPr>
            <w:r w:rsidRPr="0003278E">
              <w:rPr>
                <w:b/>
                <w:sz w:val="22"/>
                <w:szCs w:val="22"/>
              </w:rPr>
              <w:t>Pursuant to the authority given to me by the Board of Elementary and Secondary Education at its</w:t>
            </w:r>
          </w:p>
          <w:p w:rsidR="000F1F92" w:rsidRPr="0003278E" w:rsidRDefault="000F1F92" w:rsidP="005B3C81">
            <w:pPr>
              <w:jc w:val="center"/>
              <w:rPr>
                <w:b/>
                <w:sz w:val="22"/>
                <w:szCs w:val="22"/>
              </w:rPr>
            </w:pPr>
            <w:r w:rsidRPr="0003278E">
              <w:rPr>
                <w:b/>
                <w:sz w:val="22"/>
                <w:szCs w:val="22"/>
              </w:rPr>
              <w:t xml:space="preserve"> October 21, 2008 meeting, I approved the following competitive grants.</w:t>
            </w:r>
          </w:p>
        </w:tc>
      </w:tr>
      <w:tr w:rsidR="000F1F92" w:rsidRPr="0003278E" w:rsidTr="005B3C81">
        <w:trPr>
          <w:trHeight w:val="1212"/>
        </w:trPr>
        <w:tc>
          <w:tcPr>
            <w:tcW w:w="1260" w:type="dxa"/>
            <w:tcBorders>
              <w:bottom w:val="double" w:sz="4" w:space="0" w:color="auto"/>
            </w:tcBorders>
          </w:tcPr>
          <w:p w:rsidR="000F1F92" w:rsidRPr="0003278E" w:rsidRDefault="000F1F92" w:rsidP="005B3C81">
            <w:pPr>
              <w:jc w:val="center"/>
              <w:rPr>
                <w:b/>
                <w:sz w:val="22"/>
                <w:szCs w:val="22"/>
              </w:rPr>
            </w:pPr>
          </w:p>
          <w:p w:rsidR="000F1F92" w:rsidRPr="0003278E" w:rsidRDefault="000F1F92" w:rsidP="005B3C81">
            <w:pPr>
              <w:jc w:val="center"/>
              <w:rPr>
                <w:b/>
                <w:sz w:val="22"/>
                <w:szCs w:val="22"/>
              </w:rPr>
            </w:pPr>
            <w:r w:rsidRPr="0003278E">
              <w:rPr>
                <w:b/>
                <w:sz w:val="22"/>
                <w:szCs w:val="22"/>
              </w:rPr>
              <w:t xml:space="preserve">FUND </w:t>
            </w:r>
          </w:p>
          <w:p w:rsidR="000F1F92" w:rsidRPr="0003278E" w:rsidRDefault="000F1F92" w:rsidP="005B3C81">
            <w:pPr>
              <w:jc w:val="center"/>
              <w:rPr>
                <w:b/>
                <w:sz w:val="22"/>
                <w:szCs w:val="22"/>
              </w:rPr>
            </w:pPr>
            <w:r w:rsidRPr="0003278E">
              <w:rPr>
                <w:b/>
                <w:sz w:val="22"/>
                <w:szCs w:val="22"/>
              </w:rPr>
              <w:t>CODE</w:t>
            </w:r>
          </w:p>
        </w:tc>
        <w:tc>
          <w:tcPr>
            <w:tcW w:w="5906" w:type="dxa"/>
            <w:tcBorders>
              <w:bottom w:val="double" w:sz="4" w:space="0" w:color="auto"/>
            </w:tcBorders>
          </w:tcPr>
          <w:p w:rsidR="000F1F92" w:rsidRPr="0003278E" w:rsidRDefault="000F1F92" w:rsidP="005B3C81">
            <w:pPr>
              <w:jc w:val="center"/>
              <w:rPr>
                <w:b/>
                <w:sz w:val="22"/>
                <w:szCs w:val="22"/>
              </w:rPr>
            </w:pPr>
          </w:p>
          <w:p w:rsidR="000F1F92" w:rsidRPr="0003278E" w:rsidRDefault="000F1F92" w:rsidP="005B3C81">
            <w:pPr>
              <w:pStyle w:val="Heading5"/>
              <w:jc w:val="center"/>
              <w:rPr>
                <w:i w:val="0"/>
                <w:sz w:val="22"/>
                <w:szCs w:val="22"/>
              </w:rPr>
            </w:pPr>
            <w:r w:rsidRPr="0003278E">
              <w:rPr>
                <w:i w:val="0"/>
                <w:sz w:val="22"/>
                <w:szCs w:val="22"/>
              </w:rPr>
              <w:t>GRANT PROGRAM</w:t>
            </w:r>
          </w:p>
        </w:tc>
        <w:tc>
          <w:tcPr>
            <w:tcW w:w="2070" w:type="dxa"/>
            <w:tcBorders>
              <w:bottom w:val="double" w:sz="4" w:space="0" w:color="auto"/>
            </w:tcBorders>
          </w:tcPr>
          <w:p w:rsidR="000F1F92" w:rsidRPr="0003278E" w:rsidRDefault="000F1F92" w:rsidP="005B3C81">
            <w:pPr>
              <w:jc w:val="center"/>
              <w:rPr>
                <w:b/>
                <w:sz w:val="22"/>
                <w:szCs w:val="22"/>
              </w:rPr>
            </w:pPr>
          </w:p>
          <w:p w:rsidR="000F1F92" w:rsidRPr="0003278E" w:rsidRDefault="000F1F92" w:rsidP="005B3C81">
            <w:pPr>
              <w:jc w:val="center"/>
              <w:rPr>
                <w:b/>
                <w:sz w:val="22"/>
                <w:szCs w:val="22"/>
              </w:rPr>
            </w:pPr>
            <w:r w:rsidRPr="0003278E">
              <w:rPr>
                <w:b/>
                <w:sz w:val="22"/>
                <w:szCs w:val="22"/>
              </w:rPr>
              <w:t>NUMBER OF</w:t>
            </w:r>
          </w:p>
          <w:p w:rsidR="000F1F92" w:rsidRPr="0003278E" w:rsidRDefault="000F1F92" w:rsidP="005B3C81">
            <w:pPr>
              <w:jc w:val="center"/>
              <w:rPr>
                <w:b/>
                <w:sz w:val="22"/>
                <w:szCs w:val="22"/>
              </w:rPr>
            </w:pPr>
            <w:r w:rsidRPr="0003278E">
              <w:rPr>
                <w:b/>
                <w:sz w:val="22"/>
                <w:szCs w:val="22"/>
              </w:rPr>
              <w:t xml:space="preserve">PROPOSALS </w:t>
            </w:r>
          </w:p>
          <w:p w:rsidR="000F1F92" w:rsidRPr="0003278E" w:rsidRDefault="000F1F92" w:rsidP="005B3C81">
            <w:pPr>
              <w:spacing w:after="120"/>
              <w:jc w:val="center"/>
              <w:rPr>
                <w:b/>
                <w:sz w:val="22"/>
                <w:szCs w:val="22"/>
              </w:rPr>
            </w:pPr>
            <w:r w:rsidRPr="0003278E">
              <w:rPr>
                <w:b/>
                <w:sz w:val="22"/>
                <w:szCs w:val="22"/>
              </w:rPr>
              <w:t>APPROVED</w:t>
            </w:r>
          </w:p>
        </w:tc>
        <w:tc>
          <w:tcPr>
            <w:tcW w:w="1474" w:type="dxa"/>
            <w:tcBorders>
              <w:bottom w:val="double" w:sz="4" w:space="0" w:color="auto"/>
            </w:tcBorders>
          </w:tcPr>
          <w:p w:rsidR="000F1F92" w:rsidRPr="0003278E" w:rsidRDefault="000F1F92" w:rsidP="005B3C81">
            <w:pPr>
              <w:jc w:val="center"/>
              <w:rPr>
                <w:b/>
                <w:sz w:val="22"/>
                <w:szCs w:val="22"/>
              </w:rPr>
            </w:pPr>
          </w:p>
          <w:p w:rsidR="000F1F92" w:rsidRPr="0003278E" w:rsidRDefault="000F1F92" w:rsidP="005B3C81">
            <w:pPr>
              <w:jc w:val="center"/>
              <w:rPr>
                <w:b/>
                <w:sz w:val="22"/>
                <w:szCs w:val="22"/>
              </w:rPr>
            </w:pPr>
          </w:p>
          <w:p w:rsidR="000F1F92" w:rsidRPr="0003278E" w:rsidRDefault="000F1F92" w:rsidP="005B3C81">
            <w:pPr>
              <w:jc w:val="center"/>
              <w:rPr>
                <w:b/>
                <w:sz w:val="22"/>
                <w:szCs w:val="22"/>
              </w:rPr>
            </w:pPr>
            <w:r w:rsidRPr="0003278E">
              <w:rPr>
                <w:b/>
                <w:sz w:val="22"/>
                <w:szCs w:val="22"/>
              </w:rPr>
              <w:t>AMOUNT</w:t>
            </w:r>
          </w:p>
        </w:tc>
      </w:tr>
      <w:tr w:rsidR="000F1F92" w:rsidRPr="0003278E" w:rsidTr="005B3C81">
        <w:trPr>
          <w:trHeight w:val="393"/>
        </w:trPr>
        <w:tc>
          <w:tcPr>
            <w:tcW w:w="1260" w:type="dxa"/>
            <w:tcBorders>
              <w:top w:val="single" w:sz="4" w:space="0" w:color="auto"/>
              <w:bottom w:val="single" w:sz="4" w:space="0" w:color="auto"/>
            </w:tcBorders>
          </w:tcPr>
          <w:p w:rsidR="00595806" w:rsidRPr="0003278E" w:rsidRDefault="00A049E8" w:rsidP="00595806">
            <w:pPr>
              <w:spacing w:before="60" w:after="60"/>
              <w:jc w:val="center"/>
              <w:rPr>
                <w:sz w:val="22"/>
                <w:szCs w:val="22"/>
              </w:rPr>
            </w:pPr>
            <w:r w:rsidRPr="0003278E">
              <w:rPr>
                <w:sz w:val="22"/>
                <w:szCs w:val="22"/>
              </w:rPr>
              <w:t>248A</w:t>
            </w:r>
          </w:p>
        </w:tc>
        <w:tc>
          <w:tcPr>
            <w:tcW w:w="5906" w:type="dxa"/>
            <w:tcBorders>
              <w:top w:val="single" w:sz="4" w:space="0" w:color="auto"/>
              <w:bottom w:val="single" w:sz="4" w:space="0" w:color="auto"/>
            </w:tcBorders>
          </w:tcPr>
          <w:p w:rsidR="000F1F92" w:rsidRPr="0003278E" w:rsidRDefault="00A049E8" w:rsidP="00D77657">
            <w:pPr>
              <w:spacing w:line="276" w:lineRule="auto"/>
              <w:jc w:val="both"/>
              <w:rPr>
                <w:b/>
                <w:sz w:val="22"/>
                <w:szCs w:val="22"/>
              </w:rPr>
            </w:pPr>
            <w:r w:rsidRPr="0003278E">
              <w:rPr>
                <w:sz w:val="22"/>
                <w:szCs w:val="22"/>
              </w:rPr>
              <w:t>Massachusetts Focus Academy Courses</w:t>
            </w:r>
            <w:r w:rsidRPr="0003278E">
              <w:rPr>
                <w:b/>
                <w:sz w:val="22"/>
                <w:szCs w:val="22"/>
              </w:rPr>
              <w:t xml:space="preserve"> </w:t>
            </w:r>
          </w:p>
        </w:tc>
        <w:tc>
          <w:tcPr>
            <w:tcW w:w="2070" w:type="dxa"/>
            <w:tcBorders>
              <w:top w:val="single" w:sz="4" w:space="0" w:color="auto"/>
              <w:bottom w:val="single" w:sz="4" w:space="0" w:color="auto"/>
            </w:tcBorders>
          </w:tcPr>
          <w:p w:rsidR="000F1F92" w:rsidRPr="0003278E" w:rsidRDefault="00A049E8" w:rsidP="005B3C81">
            <w:pPr>
              <w:pStyle w:val="Heading4"/>
              <w:spacing w:before="60"/>
              <w:jc w:val="center"/>
              <w:rPr>
                <w:b w:val="0"/>
                <w:sz w:val="22"/>
                <w:szCs w:val="22"/>
              </w:rPr>
            </w:pPr>
            <w:r w:rsidRPr="0003278E">
              <w:rPr>
                <w:b w:val="0"/>
                <w:sz w:val="22"/>
                <w:szCs w:val="22"/>
              </w:rPr>
              <w:t>13</w:t>
            </w:r>
          </w:p>
        </w:tc>
        <w:tc>
          <w:tcPr>
            <w:tcW w:w="1474" w:type="dxa"/>
            <w:tcBorders>
              <w:top w:val="single" w:sz="4" w:space="0" w:color="auto"/>
              <w:bottom w:val="single" w:sz="4" w:space="0" w:color="auto"/>
            </w:tcBorders>
            <w:vAlign w:val="center"/>
          </w:tcPr>
          <w:p w:rsidR="000F1F92" w:rsidRPr="0003278E" w:rsidRDefault="00A049E8" w:rsidP="00893936">
            <w:pPr>
              <w:spacing w:before="20" w:after="20"/>
              <w:jc w:val="center"/>
              <w:rPr>
                <w:color w:val="000000"/>
                <w:sz w:val="22"/>
                <w:szCs w:val="22"/>
              </w:rPr>
            </w:pPr>
            <w:r w:rsidRPr="0003278E">
              <w:rPr>
                <w:bCs/>
                <w:color w:val="000000"/>
                <w:sz w:val="22"/>
                <w:szCs w:val="22"/>
              </w:rPr>
              <w:t>N/A</w:t>
            </w:r>
          </w:p>
        </w:tc>
      </w:tr>
      <w:tr w:rsidR="000F1F92" w:rsidRPr="0003278E" w:rsidTr="005B3C81">
        <w:trPr>
          <w:trHeight w:val="348"/>
        </w:trPr>
        <w:tc>
          <w:tcPr>
            <w:tcW w:w="7166" w:type="dxa"/>
            <w:gridSpan w:val="2"/>
            <w:tcBorders>
              <w:top w:val="double" w:sz="4" w:space="0" w:color="auto"/>
              <w:bottom w:val="single" w:sz="4" w:space="0" w:color="auto"/>
            </w:tcBorders>
          </w:tcPr>
          <w:p w:rsidR="000F1F92" w:rsidRPr="0003278E" w:rsidRDefault="000F1F92" w:rsidP="005B3C81">
            <w:pPr>
              <w:spacing w:before="80" w:after="80"/>
              <w:rPr>
                <w:b/>
                <w:sz w:val="22"/>
                <w:szCs w:val="22"/>
              </w:rPr>
            </w:pPr>
            <w:r w:rsidRPr="0003278E">
              <w:rPr>
                <w:b/>
                <w:sz w:val="22"/>
                <w:szCs w:val="22"/>
              </w:rPr>
              <w:t xml:space="preserve">TOTAL </w:t>
            </w:r>
          </w:p>
        </w:tc>
        <w:tc>
          <w:tcPr>
            <w:tcW w:w="2070" w:type="dxa"/>
            <w:tcBorders>
              <w:top w:val="double" w:sz="4" w:space="0" w:color="auto"/>
              <w:bottom w:val="single" w:sz="4" w:space="0" w:color="auto"/>
            </w:tcBorders>
          </w:tcPr>
          <w:p w:rsidR="000F1F92" w:rsidRPr="0003278E" w:rsidRDefault="00A049E8" w:rsidP="005B3C81">
            <w:pPr>
              <w:pStyle w:val="Heading4"/>
              <w:spacing w:before="60"/>
              <w:jc w:val="center"/>
              <w:rPr>
                <w:sz w:val="22"/>
                <w:szCs w:val="22"/>
              </w:rPr>
            </w:pPr>
            <w:r w:rsidRPr="0003278E">
              <w:rPr>
                <w:sz w:val="22"/>
                <w:szCs w:val="22"/>
              </w:rPr>
              <w:t>13</w:t>
            </w:r>
          </w:p>
        </w:tc>
        <w:tc>
          <w:tcPr>
            <w:tcW w:w="1474" w:type="dxa"/>
            <w:tcBorders>
              <w:top w:val="double" w:sz="4" w:space="0" w:color="auto"/>
              <w:bottom w:val="single" w:sz="4" w:space="0" w:color="auto"/>
            </w:tcBorders>
          </w:tcPr>
          <w:p w:rsidR="000F1F92" w:rsidRPr="0003278E" w:rsidRDefault="00A049E8" w:rsidP="005B3C81">
            <w:pPr>
              <w:jc w:val="center"/>
              <w:rPr>
                <w:b/>
                <w:color w:val="000000"/>
                <w:sz w:val="22"/>
                <w:szCs w:val="22"/>
              </w:rPr>
            </w:pPr>
            <w:r w:rsidRPr="0003278E">
              <w:rPr>
                <w:b/>
                <w:bCs/>
                <w:color w:val="000000"/>
                <w:sz w:val="22"/>
                <w:szCs w:val="22"/>
              </w:rPr>
              <w:t>N/A</w:t>
            </w:r>
          </w:p>
        </w:tc>
      </w:tr>
    </w:tbl>
    <w:p w:rsidR="002A1F17" w:rsidRPr="0003278E" w:rsidRDefault="002A1F17" w:rsidP="004E02B6">
      <w:pPr>
        <w:widowControl/>
        <w:autoSpaceDE w:val="0"/>
        <w:autoSpaceDN w:val="0"/>
        <w:adjustRightInd w:val="0"/>
        <w:rPr>
          <w:sz w:val="22"/>
          <w:szCs w:val="22"/>
        </w:rPr>
        <w:sectPr w:rsidR="002A1F17" w:rsidRPr="0003278E"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049E8" w:rsidRPr="0003278E" w:rsidTr="008634E4">
        <w:trPr>
          <w:cantSplit/>
        </w:trPr>
        <w:tc>
          <w:tcPr>
            <w:tcW w:w="3438" w:type="dxa"/>
            <w:tcBorders>
              <w:top w:val="nil"/>
              <w:left w:val="nil"/>
              <w:bottom w:val="nil"/>
              <w:right w:val="nil"/>
            </w:tcBorders>
          </w:tcPr>
          <w:p w:rsidR="00A049E8" w:rsidRPr="0003278E" w:rsidRDefault="00D77657" w:rsidP="00D77657">
            <w:pPr>
              <w:pStyle w:val="Heading4"/>
              <w:rPr>
                <w:sz w:val="22"/>
                <w:szCs w:val="22"/>
              </w:rPr>
            </w:pPr>
            <w:r w:rsidRPr="0003278E">
              <w:rPr>
                <w:sz w:val="22"/>
                <w:szCs w:val="22"/>
              </w:rPr>
              <w:lastRenderedPageBreak/>
              <w:t xml:space="preserve">NAME OF </w:t>
            </w:r>
            <w:r w:rsidR="00A049E8" w:rsidRPr="0003278E">
              <w:rPr>
                <w:sz w:val="22"/>
                <w:szCs w:val="22"/>
              </w:rPr>
              <w:t xml:space="preserve">GRANT PROGRAM:   </w:t>
            </w:r>
          </w:p>
          <w:p w:rsidR="00D77657" w:rsidRPr="0003278E" w:rsidRDefault="00D77657" w:rsidP="00D77657">
            <w:pPr>
              <w:rPr>
                <w:sz w:val="22"/>
                <w:szCs w:val="22"/>
              </w:rPr>
            </w:pPr>
          </w:p>
        </w:tc>
        <w:tc>
          <w:tcPr>
            <w:tcW w:w="5040" w:type="dxa"/>
            <w:gridSpan w:val="2"/>
            <w:tcBorders>
              <w:top w:val="nil"/>
              <w:left w:val="nil"/>
              <w:bottom w:val="nil"/>
              <w:right w:val="nil"/>
            </w:tcBorders>
          </w:tcPr>
          <w:p w:rsidR="00A049E8" w:rsidRPr="0003278E" w:rsidRDefault="00A049E8" w:rsidP="008634E4">
            <w:pPr>
              <w:pStyle w:val="Heading1"/>
              <w:jc w:val="both"/>
              <w:rPr>
                <w:sz w:val="22"/>
                <w:szCs w:val="22"/>
              </w:rPr>
            </w:pPr>
            <w:r w:rsidRPr="0003278E">
              <w:rPr>
                <w:sz w:val="22"/>
                <w:szCs w:val="22"/>
              </w:rPr>
              <w:t>Massachusetts Focus Academy Courses</w:t>
            </w:r>
          </w:p>
        </w:tc>
        <w:tc>
          <w:tcPr>
            <w:tcW w:w="2430" w:type="dxa"/>
            <w:tcBorders>
              <w:top w:val="nil"/>
              <w:left w:val="nil"/>
              <w:bottom w:val="nil"/>
              <w:right w:val="nil"/>
            </w:tcBorders>
          </w:tcPr>
          <w:p w:rsidR="00A049E8" w:rsidRPr="0003278E" w:rsidRDefault="00A049E8" w:rsidP="008634E4">
            <w:pPr>
              <w:spacing w:after="120"/>
              <w:jc w:val="both"/>
              <w:rPr>
                <w:sz w:val="22"/>
                <w:szCs w:val="22"/>
              </w:rPr>
            </w:pPr>
            <w:r w:rsidRPr="0003278E">
              <w:rPr>
                <w:b/>
                <w:sz w:val="22"/>
                <w:szCs w:val="22"/>
              </w:rPr>
              <w:t>FUND CODE:</w:t>
            </w:r>
            <w:r w:rsidRPr="0003278E">
              <w:rPr>
                <w:sz w:val="22"/>
                <w:szCs w:val="22"/>
              </w:rPr>
              <w:t xml:space="preserve"> 248A</w:t>
            </w:r>
          </w:p>
        </w:tc>
      </w:tr>
      <w:tr w:rsidR="00A049E8" w:rsidRPr="0003278E" w:rsidTr="008634E4">
        <w:trPr>
          <w:cantSplit/>
        </w:trPr>
        <w:tc>
          <w:tcPr>
            <w:tcW w:w="3438" w:type="dxa"/>
            <w:tcBorders>
              <w:top w:val="nil"/>
              <w:left w:val="nil"/>
              <w:bottom w:val="nil"/>
              <w:right w:val="nil"/>
            </w:tcBorders>
          </w:tcPr>
          <w:p w:rsidR="00A049E8" w:rsidRPr="0003278E" w:rsidRDefault="00A049E8" w:rsidP="008634E4">
            <w:pPr>
              <w:spacing w:after="120"/>
              <w:jc w:val="both"/>
              <w:rPr>
                <w:b/>
                <w:sz w:val="22"/>
                <w:szCs w:val="22"/>
              </w:rPr>
            </w:pPr>
            <w:r w:rsidRPr="0003278E">
              <w:rPr>
                <w:b/>
                <w:sz w:val="22"/>
                <w:szCs w:val="22"/>
              </w:rPr>
              <w:t xml:space="preserve">FUNDS ALLOCATED:     </w:t>
            </w:r>
          </w:p>
        </w:tc>
        <w:tc>
          <w:tcPr>
            <w:tcW w:w="7470" w:type="dxa"/>
            <w:gridSpan w:val="3"/>
            <w:tcBorders>
              <w:top w:val="nil"/>
              <w:left w:val="nil"/>
              <w:bottom w:val="nil"/>
              <w:right w:val="nil"/>
            </w:tcBorders>
          </w:tcPr>
          <w:p w:rsidR="00A049E8" w:rsidRPr="0003278E" w:rsidRDefault="00A049E8" w:rsidP="008634E4">
            <w:pPr>
              <w:spacing w:after="120"/>
              <w:jc w:val="both"/>
              <w:rPr>
                <w:sz w:val="22"/>
                <w:szCs w:val="22"/>
              </w:rPr>
            </w:pPr>
            <w:r w:rsidRPr="0003278E">
              <w:rPr>
                <w:sz w:val="22"/>
                <w:szCs w:val="22"/>
              </w:rPr>
              <w:t xml:space="preserve">$   N/A     </w:t>
            </w:r>
            <w:bookmarkStart w:id="4" w:name="_GoBack"/>
            <w:bookmarkEnd w:id="4"/>
            <w:r w:rsidRPr="0003278E">
              <w:rPr>
                <w:sz w:val="22"/>
                <w:szCs w:val="22"/>
              </w:rPr>
              <w:t xml:space="preserve">        (Federal)</w:t>
            </w:r>
          </w:p>
        </w:tc>
      </w:tr>
      <w:tr w:rsidR="00A049E8" w:rsidRPr="0003278E" w:rsidTr="008634E4">
        <w:trPr>
          <w:cantSplit/>
        </w:trPr>
        <w:tc>
          <w:tcPr>
            <w:tcW w:w="3438" w:type="dxa"/>
            <w:tcBorders>
              <w:top w:val="nil"/>
              <w:left w:val="nil"/>
              <w:bottom w:val="nil"/>
              <w:right w:val="nil"/>
            </w:tcBorders>
          </w:tcPr>
          <w:p w:rsidR="00A049E8" w:rsidRPr="0003278E" w:rsidRDefault="00A049E8" w:rsidP="008634E4">
            <w:pPr>
              <w:spacing w:after="120"/>
              <w:jc w:val="both"/>
              <w:rPr>
                <w:b/>
                <w:sz w:val="22"/>
                <w:szCs w:val="22"/>
              </w:rPr>
            </w:pPr>
            <w:r w:rsidRPr="0003278E">
              <w:rPr>
                <w:b/>
                <w:sz w:val="22"/>
                <w:szCs w:val="22"/>
              </w:rPr>
              <w:t>FUNDS REQUESTED:</w:t>
            </w:r>
          </w:p>
        </w:tc>
        <w:tc>
          <w:tcPr>
            <w:tcW w:w="7470" w:type="dxa"/>
            <w:gridSpan w:val="3"/>
            <w:tcBorders>
              <w:top w:val="nil"/>
              <w:left w:val="nil"/>
              <w:bottom w:val="nil"/>
              <w:right w:val="nil"/>
            </w:tcBorders>
          </w:tcPr>
          <w:p w:rsidR="00A049E8" w:rsidRPr="0003278E" w:rsidRDefault="00A049E8" w:rsidP="008634E4">
            <w:pPr>
              <w:spacing w:after="120"/>
              <w:jc w:val="both"/>
              <w:rPr>
                <w:sz w:val="22"/>
                <w:szCs w:val="22"/>
              </w:rPr>
            </w:pPr>
            <w:r w:rsidRPr="0003278E">
              <w:rPr>
                <w:sz w:val="22"/>
                <w:szCs w:val="22"/>
              </w:rPr>
              <w:t>$   N/A</w:t>
            </w:r>
          </w:p>
        </w:tc>
      </w:tr>
      <w:tr w:rsidR="00A049E8" w:rsidRPr="0003278E" w:rsidTr="008634E4">
        <w:trPr>
          <w:cantSplit/>
        </w:trPr>
        <w:tc>
          <w:tcPr>
            <w:tcW w:w="10908" w:type="dxa"/>
            <w:gridSpan w:val="4"/>
            <w:tcBorders>
              <w:top w:val="nil"/>
              <w:left w:val="nil"/>
              <w:bottom w:val="nil"/>
              <w:right w:val="nil"/>
            </w:tcBorders>
          </w:tcPr>
          <w:p w:rsidR="00A049E8" w:rsidRPr="0003278E" w:rsidRDefault="00A049E8" w:rsidP="008634E4">
            <w:pPr>
              <w:spacing w:after="120"/>
              <w:jc w:val="both"/>
              <w:rPr>
                <w:b/>
                <w:sz w:val="22"/>
                <w:szCs w:val="22"/>
              </w:rPr>
            </w:pPr>
            <w:r w:rsidRPr="0003278E">
              <w:rPr>
                <w:b/>
                <w:sz w:val="22"/>
                <w:szCs w:val="22"/>
              </w:rPr>
              <w:t xml:space="preserve">PURPOSE: </w:t>
            </w:r>
            <w:r w:rsidRPr="0003278E">
              <w:rPr>
                <w:color w:val="000000"/>
                <w:sz w:val="22"/>
                <w:szCs w:val="22"/>
                <w:shd w:val="clear" w:color="auto" w:fill="FFFFFF"/>
              </w:rPr>
              <w:t>Schools and districts implement a number of strategies and initiatives designed to support school improvement or turnaround efforts. Professional development can serve as a lever to deepen educator skills and practices to support these strategies for school improvement and turnaround efforts. The Massachusetts Focus Academy (MFA) Courses are designed to provide an opportunity for schools and/or districts to support a cohort of educators to deepen their skills, knowledge and instructional strategies to improve the outcomes for all students.</w:t>
            </w:r>
            <w:r w:rsidRPr="0003278E">
              <w:rPr>
                <w:color w:val="000000"/>
                <w:sz w:val="22"/>
                <w:szCs w:val="22"/>
              </w:rPr>
              <w:t xml:space="preserve">  </w:t>
            </w:r>
          </w:p>
          <w:p w:rsidR="00A049E8" w:rsidRPr="0003278E" w:rsidRDefault="00A049E8" w:rsidP="008634E4">
            <w:pPr>
              <w:spacing w:after="120"/>
              <w:jc w:val="both"/>
              <w:rPr>
                <w:sz w:val="22"/>
                <w:szCs w:val="22"/>
              </w:rPr>
            </w:pPr>
            <w:r w:rsidRPr="0003278E">
              <w:rPr>
                <w:color w:val="000000"/>
                <w:sz w:val="22"/>
                <w:szCs w:val="22"/>
                <w:shd w:val="clear" w:color="auto" w:fill="FFFFFF"/>
              </w:rPr>
              <w:t>The MFA courses are designed to provide participants with both content (on-line and possible face-to-face coursework) and in-school coaching to help support the implementation of l</w:t>
            </w:r>
            <w:r w:rsidR="00D77657" w:rsidRPr="0003278E">
              <w:rPr>
                <w:color w:val="000000"/>
                <w:sz w:val="22"/>
                <w:szCs w:val="22"/>
                <w:shd w:val="clear" w:color="auto" w:fill="FFFFFF"/>
              </w:rPr>
              <w:t xml:space="preserve">earned content and strategies. </w:t>
            </w:r>
            <w:r w:rsidRPr="0003278E">
              <w:rPr>
                <w:color w:val="000000"/>
                <w:sz w:val="22"/>
                <w:szCs w:val="22"/>
                <w:shd w:val="clear" w:color="auto" w:fill="FFFFFF"/>
              </w:rPr>
              <w:t>It varies by course, but course content is delivered through assignments, weekly readings and an online discussion board. Participants are expected to regularly attend class by logging into BlackBoard and interacting with the course instructor and their peers (posting questions, sharing reflections, discussing assignments, etc.). These in-school coaching sessions will provide participating school teams with more tailored coaching and feedback on implementing what they are</w:t>
            </w:r>
            <w:r w:rsidR="00D77657" w:rsidRPr="0003278E">
              <w:rPr>
                <w:color w:val="000000"/>
                <w:sz w:val="22"/>
                <w:szCs w:val="22"/>
                <w:shd w:val="clear" w:color="auto" w:fill="FFFFFF"/>
              </w:rPr>
              <w:t xml:space="preserve"> learning through the course. </w:t>
            </w:r>
            <w:r w:rsidRPr="0003278E">
              <w:rPr>
                <w:color w:val="000000"/>
                <w:sz w:val="22"/>
                <w:szCs w:val="22"/>
                <w:shd w:val="clear" w:color="auto" w:fill="FFFFFF"/>
              </w:rPr>
              <w:t>Note that applicants are receiving professional development at no cost, and are not receiving any grant money directly.</w:t>
            </w:r>
          </w:p>
        </w:tc>
      </w:tr>
      <w:tr w:rsidR="00A049E8" w:rsidRPr="0003278E" w:rsidTr="008634E4">
        <w:tc>
          <w:tcPr>
            <w:tcW w:w="5418" w:type="dxa"/>
            <w:gridSpan w:val="2"/>
            <w:tcBorders>
              <w:top w:val="nil"/>
              <w:left w:val="nil"/>
              <w:bottom w:val="nil"/>
              <w:right w:val="nil"/>
            </w:tcBorders>
          </w:tcPr>
          <w:p w:rsidR="00A049E8" w:rsidRPr="0003278E" w:rsidRDefault="00A049E8" w:rsidP="008634E4">
            <w:pPr>
              <w:spacing w:after="120"/>
              <w:jc w:val="both"/>
              <w:rPr>
                <w:b/>
                <w:sz w:val="22"/>
                <w:szCs w:val="22"/>
              </w:rPr>
            </w:pPr>
            <w:r w:rsidRPr="0003278E">
              <w:rPr>
                <w:b/>
                <w:sz w:val="22"/>
                <w:szCs w:val="22"/>
              </w:rPr>
              <w:t xml:space="preserve">NUMBER OF PROPOSALS RECEIVED:  </w:t>
            </w:r>
          </w:p>
        </w:tc>
        <w:tc>
          <w:tcPr>
            <w:tcW w:w="5490" w:type="dxa"/>
            <w:gridSpan w:val="2"/>
            <w:tcBorders>
              <w:top w:val="nil"/>
              <w:left w:val="nil"/>
              <w:bottom w:val="nil"/>
              <w:right w:val="nil"/>
            </w:tcBorders>
          </w:tcPr>
          <w:p w:rsidR="00A049E8" w:rsidRPr="0003278E" w:rsidRDefault="00A049E8" w:rsidP="008634E4">
            <w:pPr>
              <w:spacing w:after="120"/>
              <w:jc w:val="both"/>
              <w:rPr>
                <w:sz w:val="22"/>
                <w:szCs w:val="22"/>
              </w:rPr>
            </w:pPr>
            <w:r w:rsidRPr="0003278E">
              <w:rPr>
                <w:sz w:val="22"/>
                <w:szCs w:val="22"/>
              </w:rPr>
              <w:t>14</w:t>
            </w:r>
          </w:p>
        </w:tc>
      </w:tr>
      <w:tr w:rsidR="00A049E8" w:rsidRPr="0003278E" w:rsidTr="008634E4">
        <w:trPr>
          <w:trHeight w:val="224"/>
        </w:trPr>
        <w:tc>
          <w:tcPr>
            <w:tcW w:w="5418" w:type="dxa"/>
            <w:gridSpan w:val="2"/>
            <w:tcBorders>
              <w:top w:val="nil"/>
              <w:left w:val="nil"/>
              <w:bottom w:val="nil"/>
              <w:right w:val="nil"/>
            </w:tcBorders>
          </w:tcPr>
          <w:p w:rsidR="00A049E8" w:rsidRPr="0003278E" w:rsidRDefault="00A049E8" w:rsidP="008634E4">
            <w:pPr>
              <w:spacing w:after="120"/>
              <w:jc w:val="both"/>
              <w:rPr>
                <w:b/>
                <w:sz w:val="22"/>
                <w:szCs w:val="22"/>
              </w:rPr>
            </w:pPr>
            <w:r w:rsidRPr="0003278E">
              <w:rPr>
                <w:b/>
                <w:sz w:val="22"/>
                <w:szCs w:val="22"/>
              </w:rPr>
              <w:t xml:space="preserve">NUMBER OF PROPOSALS RECOMMENDED:  </w:t>
            </w:r>
          </w:p>
        </w:tc>
        <w:tc>
          <w:tcPr>
            <w:tcW w:w="5490" w:type="dxa"/>
            <w:gridSpan w:val="2"/>
            <w:tcBorders>
              <w:top w:val="nil"/>
              <w:left w:val="nil"/>
              <w:bottom w:val="nil"/>
              <w:right w:val="nil"/>
            </w:tcBorders>
          </w:tcPr>
          <w:p w:rsidR="00A049E8" w:rsidRPr="0003278E" w:rsidRDefault="00A049E8" w:rsidP="008634E4">
            <w:pPr>
              <w:spacing w:after="120"/>
              <w:jc w:val="both"/>
              <w:rPr>
                <w:sz w:val="22"/>
                <w:szCs w:val="22"/>
              </w:rPr>
            </w:pPr>
            <w:r w:rsidRPr="0003278E">
              <w:rPr>
                <w:sz w:val="22"/>
                <w:szCs w:val="22"/>
              </w:rPr>
              <w:t>13</w:t>
            </w:r>
          </w:p>
        </w:tc>
      </w:tr>
      <w:tr w:rsidR="00A049E8" w:rsidRPr="0003278E" w:rsidTr="008634E4">
        <w:trPr>
          <w:trHeight w:val="117"/>
        </w:trPr>
        <w:tc>
          <w:tcPr>
            <w:tcW w:w="5418" w:type="dxa"/>
            <w:gridSpan w:val="2"/>
            <w:tcBorders>
              <w:top w:val="nil"/>
              <w:left w:val="nil"/>
              <w:bottom w:val="nil"/>
              <w:right w:val="nil"/>
            </w:tcBorders>
          </w:tcPr>
          <w:p w:rsidR="00A049E8" w:rsidRPr="0003278E" w:rsidRDefault="00A049E8" w:rsidP="0003278E">
            <w:pPr>
              <w:pStyle w:val="Heading4"/>
              <w:rPr>
                <w:sz w:val="22"/>
                <w:szCs w:val="22"/>
              </w:rPr>
            </w:pPr>
            <w:r w:rsidRPr="0003278E">
              <w:rPr>
                <w:sz w:val="22"/>
                <w:szCs w:val="22"/>
              </w:rPr>
              <w:t>NUMBER OF PROPOSALS NOT RECOMMENDED:</w:t>
            </w:r>
          </w:p>
        </w:tc>
        <w:tc>
          <w:tcPr>
            <w:tcW w:w="5490" w:type="dxa"/>
            <w:gridSpan w:val="2"/>
            <w:tcBorders>
              <w:top w:val="nil"/>
              <w:left w:val="nil"/>
              <w:bottom w:val="nil"/>
              <w:right w:val="nil"/>
            </w:tcBorders>
          </w:tcPr>
          <w:p w:rsidR="00A049E8" w:rsidRPr="0003278E" w:rsidRDefault="00A049E8" w:rsidP="008634E4">
            <w:pPr>
              <w:spacing w:after="120"/>
              <w:jc w:val="both"/>
              <w:rPr>
                <w:sz w:val="22"/>
                <w:szCs w:val="22"/>
              </w:rPr>
            </w:pPr>
            <w:r w:rsidRPr="0003278E">
              <w:rPr>
                <w:sz w:val="22"/>
                <w:szCs w:val="22"/>
              </w:rPr>
              <w:t>1 – only one application is not being recommended due to low course enrollment.</w:t>
            </w:r>
          </w:p>
        </w:tc>
      </w:tr>
      <w:tr w:rsidR="00A049E8" w:rsidRPr="0003278E" w:rsidTr="008634E4">
        <w:trPr>
          <w:cantSplit/>
          <w:trHeight w:val="828"/>
        </w:trPr>
        <w:tc>
          <w:tcPr>
            <w:tcW w:w="10908" w:type="dxa"/>
            <w:gridSpan w:val="4"/>
            <w:tcBorders>
              <w:top w:val="nil"/>
              <w:left w:val="nil"/>
              <w:bottom w:val="nil"/>
              <w:right w:val="nil"/>
            </w:tcBorders>
          </w:tcPr>
          <w:p w:rsidR="00A049E8" w:rsidRPr="0003278E" w:rsidRDefault="00A049E8" w:rsidP="008634E4">
            <w:pPr>
              <w:rPr>
                <w:b/>
                <w:sz w:val="22"/>
                <w:szCs w:val="22"/>
              </w:rPr>
            </w:pPr>
            <w:r w:rsidRPr="0003278E">
              <w:rPr>
                <w:b/>
                <w:sz w:val="22"/>
                <w:szCs w:val="22"/>
              </w:rPr>
              <w:t xml:space="preserve">RESULT OF FUNDING: </w:t>
            </w:r>
          </w:p>
          <w:p w:rsidR="00A049E8" w:rsidRPr="0003278E" w:rsidRDefault="00A049E8" w:rsidP="008634E4">
            <w:pPr>
              <w:rPr>
                <w:sz w:val="22"/>
                <w:szCs w:val="22"/>
              </w:rPr>
            </w:pPr>
            <w:r w:rsidRPr="0003278E">
              <w:rPr>
                <w:sz w:val="22"/>
                <w:szCs w:val="22"/>
              </w:rPr>
              <w:t xml:space="preserve">Participating cohorts of educators will be expected to: </w:t>
            </w:r>
            <w:r w:rsidR="0003278E">
              <w:rPr>
                <w:sz w:val="22"/>
                <w:szCs w:val="22"/>
              </w:rPr>
              <w:t xml:space="preserve"> </w:t>
            </w:r>
          </w:p>
          <w:p w:rsidR="00A049E8" w:rsidRPr="0003278E" w:rsidRDefault="00A049E8" w:rsidP="00A049E8">
            <w:pPr>
              <w:pStyle w:val="Normal1"/>
              <w:numPr>
                <w:ilvl w:val="0"/>
                <w:numId w:val="14"/>
              </w:numPr>
              <w:spacing w:line="252" w:lineRule="auto"/>
              <w:ind w:hanging="360"/>
              <w:rPr>
                <w:rFonts w:ascii="Times New Roman" w:hAnsi="Times New Roman" w:cs="Times New Roman"/>
                <w:color w:val="auto"/>
              </w:rPr>
            </w:pPr>
            <w:r w:rsidRPr="0003278E">
              <w:rPr>
                <w:rFonts w:ascii="Times New Roman" w:hAnsi="Times New Roman" w:cs="Times New Roman"/>
                <w:color w:val="auto"/>
              </w:rPr>
              <w:t>Participate in a 4-5 month long graduate level course focused on an area of need for the school or districts.</w:t>
            </w:r>
          </w:p>
          <w:p w:rsidR="00A049E8" w:rsidRPr="0003278E" w:rsidRDefault="00A049E8" w:rsidP="00A049E8">
            <w:pPr>
              <w:pStyle w:val="Normal1"/>
              <w:numPr>
                <w:ilvl w:val="0"/>
                <w:numId w:val="14"/>
              </w:numPr>
              <w:spacing w:line="252" w:lineRule="auto"/>
              <w:ind w:hanging="360"/>
              <w:rPr>
                <w:rFonts w:ascii="Times New Roman" w:hAnsi="Times New Roman" w:cs="Times New Roman"/>
                <w:color w:val="auto"/>
              </w:rPr>
            </w:pPr>
            <w:bookmarkStart w:id="5" w:name="_gjdgxs"/>
            <w:bookmarkEnd w:id="5"/>
            <w:r w:rsidRPr="0003278E">
              <w:rPr>
                <w:rFonts w:ascii="Times New Roman" w:hAnsi="Times New Roman" w:cs="Times New Roman"/>
                <w:color w:val="auto"/>
              </w:rPr>
              <w:t>Meet regularly as a cohort of educators to help plan for how to implement the processes and content they are learning within their classroom, school and district.  Determine metrics for course success.</w:t>
            </w:r>
          </w:p>
          <w:p w:rsidR="00A049E8" w:rsidRPr="0003278E" w:rsidRDefault="00A049E8" w:rsidP="00A049E8">
            <w:pPr>
              <w:pStyle w:val="Normal1"/>
              <w:numPr>
                <w:ilvl w:val="0"/>
                <w:numId w:val="14"/>
              </w:numPr>
              <w:spacing w:line="252" w:lineRule="auto"/>
              <w:ind w:hanging="360"/>
              <w:rPr>
                <w:rFonts w:ascii="Times New Roman" w:hAnsi="Times New Roman" w:cs="Times New Roman"/>
                <w:color w:val="auto"/>
              </w:rPr>
            </w:pPr>
            <w:r w:rsidRPr="0003278E">
              <w:rPr>
                <w:rFonts w:ascii="Times New Roman" w:hAnsi="Times New Roman" w:cs="Times New Roman"/>
                <w:color w:val="auto"/>
              </w:rPr>
              <w:t>Participate in several in-person meetings (either on-site at school or another determined location) with the course instructor to receive 1:1 and small group coaching.</w:t>
            </w:r>
          </w:p>
          <w:p w:rsidR="00A049E8" w:rsidRPr="0003278E" w:rsidRDefault="00A049E8" w:rsidP="00A049E8">
            <w:pPr>
              <w:pStyle w:val="Normal1"/>
              <w:numPr>
                <w:ilvl w:val="0"/>
                <w:numId w:val="14"/>
              </w:numPr>
              <w:spacing w:line="252" w:lineRule="auto"/>
              <w:ind w:hanging="360"/>
              <w:rPr>
                <w:rFonts w:ascii="Times New Roman" w:hAnsi="Times New Roman" w:cs="Times New Roman"/>
                <w:color w:val="auto"/>
              </w:rPr>
            </w:pPr>
            <w:r w:rsidRPr="0003278E">
              <w:rPr>
                <w:rFonts w:ascii="Times New Roman" w:hAnsi="Times New Roman" w:cs="Times New Roman"/>
                <w:color w:val="auto"/>
              </w:rPr>
              <w:t>Implement content, strategies, and processes learned during the course to help improve outcomes for all students.</w:t>
            </w:r>
          </w:p>
        </w:tc>
      </w:tr>
    </w:tbl>
    <w:p w:rsidR="00A049E8" w:rsidRPr="0003278E" w:rsidRDefault="00A049E8" w:rsidP="00A049E8">
      <w:pPr>
        <w:jc w:val="both"/>
        <w:rPr>
          <w:sz w:val="22"/>
          <w:szCs w:val="22"/>
        </w:rPr>
      </w:pPr>
      <w:r w:rsidRPr="0003278E">
        <w:rPr>
          <w:sz w:val="22"/>
          <w:szCs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A049E8" w:rsidRPr="0003278E" w:rsidTr="008634E4">
        <w:trPr>
          <w:cantSplit/>
          <w:trHeight w:val="264"/>
        </w:trPr>
        <w:tc>
          <w:tcPr>
            <w:tcW w:w="9390" w:type="dxa"/>
            <w:tcBorders>
              <w:top w:val="single" w:sz="6" w:space="0" w:color="auto"/>
              <w:left w:val="single" w:sz="6" w:space="0" w:color="auto"/>
              <w:bottom w:val="double" w:sz="4" w:space="0" w:color="auto"/>
              <w:right w:val="single" w:sz="6" w:space="0" w:color="auto"/>
            </w:tcBorders>
          </w:tcPr>
          <w:p w:rsidR="00A049E8" w:rsidRPr="0003278E" w:rsidRDefault="00A049E8" w:rsidP="008634E4">
            <w:pPr>
              <w:spacing w:before="20" w:after="20"/>
              <w:jc w:val="center"/>
              <w:rPr>
                <w:b/>
                <w:color w:val="000000"/>
                <w:sz w:val="22"/>
                <w:szCs w:val="22"/>
              </w:rPr>
            </w:pPr>
            <w:r w:rsidRPr="0003278E">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rsidR="00A049E8" w:rsidRPr="0003278E" w:rsidRDefault="00A049E8" w:rsidP="008634E4">
            <w:pPr>
              <w:spacing w:before="20" w:after="20"/>
              <w:jc w:val="center"/>
              <w:rPr>
                <w:b/>
                <w:color w:val="000000"/>
                <w:sz w:val="22"/>
                <w:szCs w:val="22"/>
              </w:rPr>
            </w:pPr>
            <w:r w:rsidRPr="0003278E">
              <w:rPr>
                <w:b/>
                <w:color w:val="000000"/>
                <w:sz w:val="22"/>
                <w:szCs w:val="22"/>
              </w:rPr>
              <w:t>AMOUNTS</w:t>
            </w:r>
          </w:p>
        </w:tc>
      </w:tr>
      <w:tr w:rsidR="00A049E8" w:rsidRPr="0003278E" w:rsidTr="008634E4">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Lawrence Public Schools – 26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Peabody Public Schools – 15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Waltham Public Schools – 24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Weymouth Public Schools – 6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Orange Public Schools – 7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Palmer Public Schools – 10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Revere – 4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Leominster – 2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Worcester – 2 educators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rPr>
                <w:sz w:val="22"/>
                <w:szCs w:val="22"/>
              </w:rPr>
            </w:pPr>
            <w:r w:rsidRPr="0003278E">
              <w:rPr>
                <w:sz w:val="22"/>
                <w:szCs w:val="22"/>
              </w:rPr>
              <w:t>Newburyport – 1 educator enrolled</w:t>
            </w:r>
          </w:p>
        </w:tc>
        <w:tc>
          <w:tcPr>
            <w:tcW w:w="1440" w:type="dxa"/>
            <w:tcBorders>
              <w:top w:val="single" w:sz="6" w:space="0" w:color="auto"/>
              <w:left w:val="single" w:sz="6" w:space="0" w:color="auto"/>
              <w:bottom w:val="single" w:sz="6" w:space="0" w:color="auto"/>
              <w:right w:val="single" w:sz="6" w:space="0" w:color="auto"/>
            </w:tcBorders>
            <w:vAlign w:val="center"/>
          </w:tcPr>
          <w:p w:rsidR="00A049E8" w:rsidRPr="0003278E" w:rsidRDefault="00A049E8" w:rsidP="008634E4">
            <w:pPr>
              <w:spacing w:before="20" w:after="20"/>
              <w:jc w:val="right"/>
              <w:rPr>
                <w:sz w:val="22"/>
                <w:szCs w:val="22"/>
              </w:rPr>
            </w:pPr>
            <w:r w:rsidRPr="0003278E">
              <w:rPr>
                <w:sz w:val="22"/>
                <w:szCs w:val="22"/>
              </w:rPr>
              <w:t>N/A</w:t>
            </w:r>
          </w:p>
        </w:tc>
      </w:tr>
      <w:tr w:rsidR="00A049E8" w:rsidRPr="0003278E" w:rsidTr="008634E4">
        <w:trPr>
          <w:cantSplit/>
          <w:trHeight w:val="138"/>
        </w:trPr>
        <w:tc>
          <w:tcPr>
            <w:tcW w:w="9390" w:type="dxa"/>
            <w:tcBorders>
              <w:top w:val="double" w:sz="6" w:space="0" w:color="auto"/>
              <w:left w:val="single" w:sz="6" w:space="0" w:color="auto"/>
              <w:bottom w:val="single" w:sz="4" w:space="0" w:color="auto"/>
              <w:right w:val="single" w:sz="6" w:space="0" w:color="auto"/>
            </w:tcBorders>
          </w:tcPr>
          <w:p w:rsidR="00A049E8" w:rsidRPr="0003278E" w:rsidRDefault="00A049E8" w:rsidP="00A049E8">
            <w:pPr>
              <w:pStyle w:val="Heading2"/>
              <w:spacing w:before="20" w:after="20"/>
              <w:ind w:left="0"/>
              <w:jc w:val="both"/>
              <w:rPr>
                <w:rFonts w:ascii="Times New Roman" w:hAnsi="Times New Roman"/>
                <w:b/>
                <w:i w:val="0"/>
                <w:sz w:val="22"/>
                <w:szCs w:val="22"/>
              </w:rPr>
            </w:pPr>
            <w:r w:rsidRPr="0003278E">
              <w:rPr>
                <w:rFonts w:ascii="Times New Roman" w:hAnsi="Times New Roman"/>
                <w:b/>
                <w:i w:val="0"/>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A049E8" w:rsidRPr="0003278E" w:rsidRDefault="00A049E8" w:rsidP="008634E4">
            <w:pPr>
              <w:spacing w:before="20" w:after="20"/>
              <w:jc w:val="right"/>
              <w:rPr>
                <w:b/>
                <w:sz w:val="22"/>
                <w:szCs w:val="22"/>
              </w:rPr>
            </w:pPr>
            <w:r w:rsidRPr="0003278E">
              <w:rPr>
                <w:b/>
                <w:sz w:val="22"/>
                <w:szCs w:val="22"/>
              </w:rPr>
              <w:t>N/A</w:t>
            </w:r>
          </w:p>
        </w:tc>
      </w:tr>
    </w:tbl>
    <w:p w:rsidR="00A049E8" w:rsidRPr="0003278E" w:rsidRDefault="00A049E8" w:rsidP="00A049E8">
      <w:pPr>
        <w:spacing w:before="60" w:after="60"/>
        <w:jc w:val="both"/>
        <w:rPr>
          <w:sz w:val="22"/>
          <w:szCs w:val="22"/>
        </w:rPr>
      </w:pPr>
    </w:p>
    <w:p w:rsidR="00595806" w:rsidRPr="0003278E" w:rsidRDefault="00595806" w:rsidP="00595806">
      <w:pPr>
        <w:spacing w:before="60" w:after="60"/>
        <w:jc w:val="both"/>
        <w:rPr>
          <w:sz w:val="22"/>
          <w:szCs w:val="22"/>
        </w:rPr>
      </w:pPr>
    </w:p>
    <w:sectPr w:rsidR="00595806" w:rsidRPr="0003278E" w:rsidSect="00A049E8">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3D" w:rsidRDefault="00B42D3D">
      <w:r>
        <w:separator/>
      </w:r>
    </w:p>
  </w:endnote>
  <w:endnote w:type="continuationSeparator" w:id="0">
    <w:p w:rsidR="00B42D3D" w:rsidRDefault="00B4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5E0CFF">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8669"/>
      <w:docPartObj>
        <w:docPartGallery w:val="Page Numbers (Bottom of Page)"/>
        <w:docPartUnique/>
      </w:docPartObj>
    </w:sdtPr>
    <w:sdtEndPr/>
    <w:sdtContent>
      <w:p w:rsidR="006D0836" w:rsidRDefault="00C70AE3">
        <w:pPr>
          <w:pStyle w:val="Footer"/>
          <w:jc w:val="right"/>
        </w:pPr>
        <w:r>
          <w:fldChar w:fldCharType="begin"/>
        </w:r>
        <w:r>
          <w:instrText xml:space="preserve"> PAGE   \* MERGEFORMAT </w:instrText>
        </w:r>
        <w:r>
          <w:fldChar w:fldCharType="separate"/>
        </w:r>
        <w:r w:rsidR="000C5D69">
          <w:rPr>
            <w:noProof/>
          </w:rPr>
          <w:t>2</w:t>
        </w:r>
        <w:r>
          <w:rPr>
            <w:noProof/>
          </w:rPr>
          <w:fldChar w:fldCharType="end"/>
        </w:r>
      </w:p>
    </w:sdtContent>
  </w:sdt>
  <w:p w:rsidR="002B014B" w:rsidRDefault="002B014B" w:rsidP="00C460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0712"/>
      <w:docPartObj>
        <w:docPartGallery w:val="Page Numbers (Bottom of Page)"/>
        <w:docPartUnique/>
      </w:docPartObj>
    </w:sdtPr>
    <w:sdtEndPr/>
    <w:sdtContent>
      <w:p w:rsidR="00C460CB" w:rsidRDefault="00B42D3D">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3D" w:rsidRDefault="00B42D3D">
      <w:r>
        <w:separator/>
      </w:r>
    </w:p>
  </w:footnote>
  <w:footnote w:type="continuationSeparator" w:id="0">
    <w:p w:rsidR="00B42D3D" w:rsidRDefault="00B4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0"/>
  </w:num>
  <w:num w:numId="3">
    <w:abstractNumId w:val="0"/>
  </w:num>
  <w:num w:numId="4">
    <w:abstractNumId w:val="16"/>
  </w:num>
  <w:num w:numId="5">
    <w:abstractNumId w:val="15"/>
  </w:num>
  <w:num w:numId="6">
    <w:abstractNumId w:val="2"/>
  </w:num>
  <w:num w:numId="7">
    <w:abstractNumId w:val="8"/>
  </w:num>
  <w:num w:numId="8">
    <w:abstractNumId w:val="13"/>
  </w:num>
  <w:num w:numId="9">
    <w:abstractNumId w:val="5"/>
  </w:num>
  <w:num w:numId="10">
    <w:abstractNumId w:val="17"/>
  </w:num>
  <w:num w:numId="11">
    <w:abstractNumId w:val="3"/>
  </w:num>
  <w:num w:numId="12">
    <w:abstractNumId w:val="7"/>
  </w:num>
  <w:num w:numId="13">
    <w:abstractNumId w:val="6"/>
  </w:num>
  <w:num w:numId="14">
    <w:abstractNumId w:val="1"/>
  </w:num>
  <w:num w:numId="15">
    <w:abstractNumId w:val="4"/>
  </w:num>
  <w:num w:numId="16">
    <w:abstractNumId w:val="14"/>
  </w:num>
  <w:num w:numId="17">
    <w:abstractNumId w:val="9"/>
  </w:num>
  <w:num w:numId="18">
    <w:abstractNumId w:val="1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72AA"/>
    <w:rsid w:val="0001606C"/>
    <w:rsid w:val="000207FA"/>
    <w:rsid w:val="00021B5B"/>
    <w:rsid w:val="00027086"/>
    <w:rsid w:val="00030DD3"/>
    <w:rsid w:val="0003278E"/>
    <w:rsid w:val="00034C92"/>
    <w:rsid w:val="00035C2D"/>
    <w:rsid w:val="00040D0A"/>
    <w:rsid w:val="00043474"/>
    <w:rsid w:val="00053AA3"/>
    <w:rsid w:val="00055A3D"/>
    <w:rsid w:val="00056B96"/>
    <w:rsid w:val="00063782"/>
    <w:rsid w:val="0007158E"/>
    <w:rsid w:val="0007250C"/>
    <w:rsid w:val="0007469C"/>
    <w:rsid w:val="00077595"/>
    <w:rsid w:val="000853D9"/>
    <w:rsid w:val="00090BBA"/>
    <w:rsid w:val="00097A70"/>
    <w:rsid w:val="000A0B86"/>
    <w:rsid w:val="000A1302"/>
    <w:rsid w:val="000A5AA5"/>
    <w:rsid w:val="000B1387"/>
    <w:rsid w:val="000B2C99"/>
    <w:rsid w:val="000B63DE"/>
    <w:rsid w:val="000B6697"/>
    <w:rsid w:val="000C5D69"/>
    <w:rsid w:val="000D052C"/>
    <w:rsid w:val="000E1B88"/>
    <w:rsid w:val="000E1DFE"/>
    <w:rsid w:val="000E3F4E"/>
    <w:rsid w:val="000E3F88"/>
    <w:rsid w:val="000E6832"/>
    <w:rsid w:val="000F1F92"/>
    <w:rsid w:val="000F7EAB"/>
    <w:rsid w:val="00102267"/>
    <w:rsid w:val="00103AB9"/>
    <w:rsid w:val="00105C12"/>
    <w:rsid w:val="001160EA"/>
    <w:rsid w:val="00117A18"/>
    <w:rsid w:val="00121B6D"/>
    <w:rsid w:val="00132C9F"/>
    <w:rsid w:val="00132F44"/>
    <w:rsid w:val="00133302"/>
    <w:rsid w:val="001362F3"/>
    <w:rsid w:val="00141A59"/>
    <w:rsid w:val="00163AEA"/>
    <w:rsid w:val="00164FD6"/>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1760"/>
    <w:rsid w:val="00334D40"/>
    <w:rsid w:val="00350EEB"/>
    <w:rsid w:val="00353491"/>
    <w:rsid w:val="00356545"/>
    <w:rsid w:val="003625A9"/>
    <w:rsid w:val="003641D0"/>
    <w:rsid w:val="00364FF1"/>
    <w:rsid w:val="0037652A"/>
    <w:rsid w:val="0037790E"/>
    <w:rsid w:val="00387541"/>
    <w:rsid w:val="003906C7"/>
    <w:rsid w:val="00391E0B"/>
    <w:rsid w:val="00392D61"/>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295A"/>
    <w:rsid w:val="004E7FFB"/>
    <w:rsid w:val="004F377F"/>
    <w:rsid w:val="004F44BB"/>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0CFF"/>
    <w:rsid w:val="005E2191"/>
    <w:rsid w:val="005E4844"/>
    <w:rsid w:val="005E5D8E"/>
    <w:rsid w:val="005F1874"/>
    <w:rsid w:val="005F68BF"/>
    <w:rsid w:val="00613BF0"/>
    <w:rsid w:val="006345E9"/>
    <w:rsid w:val="00636AC7"/>
    <w:rsid w:val="00641DFD"/>
    <w:rsid w:val="006601ED"/>
    <w:rsid w:val="0066491A"/>
    <w:rsid w:val="0066511D"/>
    <w:rsid w:val="00666BEC"/>
    <w:rsid w:val="00676217"/>
    <w:rsid w:val="00676769"/>
    <w:rsid w:val="00685AD0"/>
    <w:rsid w:val="00690654"/>
    <w:rsid w:val="00692A67"/>
    <w:rsid w:val="00693BC1"/>
    <w:rsid w:val="00696E29"/>
    <w:rsid w:val="0069716C"/>
    <w:rsid w:val="006A3BCD"/>
    <w:rsid w:val="006B5DD1"/>
    <w:rsid w:val="006C3DDE"/>
    <w:rsid w:val="006C60B0"/>
    <w:rsid w:val="006D0836"/>
    <w:rsid w:val="006D4CBC"/>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A68FA"/>
    <w:rsid w:val="009B4876"/>
    <w:rsid w:val="009B55F2"/>
    <w:rsid w:val="009C7D6B"/>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B04CB4"/>
    <w:rsid w:val="00B10CD1"/>
    <w:rsid w:val="00B12122"/>
    <w:rsid w:val="00B14926"/>
    <w:rsid w:val="00B31568"/>
    <w:rsid w:val="00B34436"/>
    <w:rsid w:val="00B346EC"/>
    <w:rsid w:val="00B368C1"/>
    <w:rsid w:val="00B36CC5"/>
    <w:rsid w:val="00B42D3D"/>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0AE3"/>
    <w:rsid w:val="00C74B50"/>
    <w:rsid w:val="00C76ED7"/>
    <w:rsid w:val="00C827A2"/>
    <w:rsid w:val="00C82914"/>
    <w:rsid w:val="00C876DD"/>
    <w:rsid w:val="00C91411"/>
    <w:rsid w:val="00C9397B"/>
    <w:rsid w:val="00CA2D7A"/>
    <w:rsid w:val="00CA3116"/>
    <w:rsid w:val="00CA46AA"/>
    <w:rsid w:val="00CA57EB"/>
    <w:rsid w:val="00CA7396"/>
    <w:rsid w:val="00CB5098"/>
    <w:rsid w:val="00CB6E14"/>
    <w:rsid w:val="00CB7517"/>
    <w:rsid w:val="00CC4E25"/>
    <w:rsid w:val="00CD107F"/>
    <w:rsid w:val="00CD2E04"/>
    <w:rsid w:val="00CE0A55"/>
    <w:rsid w:val="00CE2B4B"/>
    <w:rsid w:val="00CE739F"/>
    <w:rsid w:val="00CE7685"/>
    <w:rsid w:val="00CE76B7"/>
    <w:rsid w:val="00CF4B25"/>
    <w:rsid w:val="00CF4F03"/>
    <w:rsid w:val="00CF73F5"/>
    <w:rsid w:val="00D07351"/>
    <w:rsid w:val="00D07B9A"/>
    <w:rsid w:val="00D229F5"/>
    <w:rsid w:val="00D22BBA"/>
    <w:rsid w:val="00D2338F"/>
    <w:rsid w:val="00D30764"/>
    <w:rsid w:val="00D32426"/>
    <w:rsid w:val="00D34B7E"/>
    <w:rsid w:val="00D372F5"/>
    <w:rsid w:val="00D40BD2"/>
    <w:rsid w:val="00D424FF"/>
    <w:rsid w:val="00D46904"/>
    <w:rsid w:val="00D5037F"/>
    <w:rsid w:val="00D5524E"/>
    <w:rsid w:val="00D71AFA"/>
    <w:rsid w:val="00D77657"/>
    <w:rsid w:val="00D8267B"/>
    <w:rsid w:val="00D84D0A"/>
    <w:rsid w:val="00D8733D"/>
    <w:rsid w:val="00DA0850"/>
    <w:rsid w:val="00DA0FF8"/>
    <w:rsid w:val="00DA2496"/>
    <w:rsid w:val="00DA738C"/>
    <w:rsid w:val="00DB7F7C"/>
    <w:rsid w:val="00DC5246"/>
    <w:rsid w:val="00DD2B3B"/>
    <w:rsid w:val="00DD5420"/>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1120A"/>
    <w:rsid w:val="00F11BC7"/>
    <w:rsid w:val="00F1429A"/>
    <w:rsid w:val="00F15014"/>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F6F0F"/>
  <w15:docId w15:val="{F2C48E7C-4E69-4C3B-A167-9B068FA6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DESE-231-40051</_dlc_DocId>
    <_dlc_DocIdUrl xmlns="733efe1c-5bbe-4968-87dc-d400e65c879f">
      <Url>https://sharepoint.doemass.org/ese/webteam/cps/_layouts/DocIdRedir.aspx?ID=DESE-231-40051</Url>
      <Description>DESE-231-40051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B18385D-473B-43BF-A3F7-4EF5B2C1702D}">
  <ds:schemaRefs>
    <ds:schemaRef ds:uri="http://schemas.microsoft.com/sharepoint/events"/>
  </ds:schemaRefs>
</ds:datastoreItem>
</file>

<file path=customXml/itemProps2.xml><?xml version="1.0" encoding="utf-8"?>
<ds:datastoreItem xmlns:ds="http://schemas.openxmlformats.org/officeDocument/2006/customXml" ds:itemID="{106DA78A-C504-4155-98E6-08DFC5E82ED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3789ECB-1E60-40A0-BC01-23C4FF982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DF056-4131-40F5-B7AF-01848899E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BESE Feb 2018 Item 11 Report on Grants memo</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 2018 Item 11 Report on Grants memo</dc:title>
  <dc:creator>ESE</dc:creator>
  <cp:lastModifiedBy>Zou, Dong</cp:lastModifiedBy>
  <cp:revision>3</cp:revision>
  <cp:lastPrinted>2011-01-14T19:54:00Z</cp:lastPrinted>
  <dcterms:created xsi:type="dcterms:W3CDTF">2018-02-20T19:47:00Z</dcterms:created>
  <dcterms:modified xsi:type="dcterms:W3CDTF">2018-02-20T19:50:00Z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2018</vt:lpwstr>
  </property>
</Properties>
</file>