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697A75" w14:textId="77777777" w:rsidR="004A5749" w:rsidRPr="004A5749" w:rsidRDefault="004A5749" w:rsidP="003F4FE1">
      <w:pPr>
        <w:jc w:val="center"/>
      </w:pPr>
      <w:r w:rsidRPr="004A5749">
        <w:t>Attachment 1</w:t>
      </w:r>
    </w:p>
    <w:p w14:paraId="788BCF04" w14:textId="77777777" w:rsidR="003F4FE1" w:rsidRPr="006201B3" w:rsidRDefault="007F6F8F" w:rsidP="006201B3">
      <w:pPr>
        <w:pStyle w:val="Heading1"/>
      </w:pPr>
      <w:bookmarkStart w:id="0" w:name="_GoBack"/>
      <w:r w:rsidRPr="006201B3">
        <w:t xml:space="preserve">STE </w:t>
      </w:r>
      <w:r w:rsidR="003F4FE1" w:rsidRPr="006201B3">
        <w:t>Progress Report</w:t>
      </w:r>
    </w:p>
    <w:bookmarkEnd w:id="0"/>
    <w:p w14:paraId="2691B79A" w14:textId="77777777" w:rsidR="003F4FE1" w:rsidRDefault="003F4FE1" w:rsidP="003F4FE1">
      <w:pPr>
        <w:jc w:val="center"/>
        <w:rPr>
          <w:b/>
        </w:rPr>
      </w:pPr>
      <w:r w:rsidRPr="0065596C">
        <w:rPr>
          <w:b/>
        </w:rPr>
        <w:t xml:space="preserve">Of the </w:t>
      </w:r>
      <w:bookmarkStart w:id="1" w:name="OLE_LINK3"/>
      <w:bookmarkStart w:id="2" w:name="OLE_LINK4"/>
      <w:r w:rsidRPr="0065596C">
        <w:rPr>
          <w:b/>
          <w:i/>
        </w:rPr>
        <w:t>Science and Technology/Engineering Curriculum Framework</w:t>
      </w:r>
      <w:bookmarkEnd w:id="1"/>
      <w:bookmarkEnd w:id="2"/>
      <w:r w:rsidRPr="0065596C">
        <w:rPr>
          <w:b/>
          <w:i/>
        </w:rPr>
        <w:t xml:space="preserve"> </w:t>
      </w:r>
      <w:r w:rsidRPr="0065596C">
        <w:rPr>
          <w:b/>
        </w:rPr>
        <w:t>Review Panel</w:t>
      </w:r>
    </w:p>
    <w:p w14:paraId="3F3D5F32" w14:textId="77777777" w:rsidR="003F4FE1" w:rsidRPr="0065596C" w:rsidRDefault="003F4FE1" w:rsidP="003F4FE1">
      <w:pPr>
        <w:jc w:val="center"/>
        <w:rPr>
          <w:b/>
          <w:sz w:val="28"/>
          <w:szCs w:val="28"/>
        </w:rPr>
      </w:pPr>
      <w:r>
        <w:rPr>
          <w:b/>
        </w:rPr>
        <w:t>Massachusetts Department of Elementary and Secondary Education</w:t>
      </w:r>
    </w:p>
    <w:p w14:paraId="3079C93F" w14:textId="77777777" w:rsidR="003F4FE1" w:rsidRDefault="003F4FE1" w:rsidP="003F4FE1">
      <w:pPr>
        <w:jc w:val="center"/>
        <w:rPr>
          <w:b/>
        </w:rPr>
      </w:pPr>
    </w:p>
    <w:p w14:paraId="4B2A45AF" w14:textId="77777777" w:rsidR="003F4FE1" w:rsidRDefault="003F4FE1"/>
    <w:p w14:paraId="2FC03593" w14:textId="77777777" w:rsidR="0034792A" w:rsidRPr="0034792A" w:rsidRDefault="0034792A">
      <w:r>
        <w:t xml:space="preserve">The STE Review Panel suggests the following recommendations to revise the </w:t>
      </w:r>
      <w:r w:rsidRPr="0034792A">
        <w:rPr>
          <w:i/>
        </w:rPr>
        <w:t>Massachusetts</w:t>
      </w:r>
      <w:r>
        <w:t xml:space="preserve"> </w:t>
      </w:r>
      <w:r w:rsidRPr="0034792A">
        <w:rPr>
          <w:i/>
        </w:rPr>
        <w:t>Science and Technology/Engineering Curriculum Framework</w:t>
      </w:r>
      <w:r>
        <w:rPr>
          <w:i/>
        </w:rPr>
        <w:t xml:space="preserve"> </w:t>
      </w:r>
      <w:r w:rsidRPr="0034792A">
        <w:t xml:space="preserve">(the </w:t>
      </w:r>
      <w:r>
        <w:rPr>
          <w:i/>
        </w:rPr>
        <w:t>Framework</w:t>
      </w:r>
      <w:r w:rsidRPr="0034792A">
        <w:t>):</w:t>
      </w:r>
    </w:p>
    <w:p w14:paraId="7BD40A90" w14:textId="77777777" w:rsidR="003F4FE1" w:rsidRDefault="003F4FE1"/>
    <w:p w14:paraId="10A61F11" w14:textId="77777777" w:rsidR="003F4FE1" w:rsidRPr="0065596C" w:rsidRDefault="003F4FE1" w:rsidP="003F4FE1">
      <w:pPr>
        <w:numPr>
          <w:ilvl w:val="0"/>
          <w:numId w:val="2"/>
        </w:numPr>
        <w:tabs>
          <w:tab w:val="clear" w:pos="720"/>
          <w:tab w:val="num" w:pos="360"/>
        </w:tabs>
        <w:spacing w:after="120"/>
        <w:ind w:left="360"/>
        <w:rPr>
          <w:b/>
        </w:rPr>
      </w:pPr>
      <w:r w:rsidRPr="0065596C">
        <w:rPr>
          <w:b/>
        </w:rPr>
        <w:t xml:space="preserve">Improve the progression of </w:t>
      </w:r>
      <w:r>
        <w:rPr>
          <w:b/>
        </w:rPr>
        <w:t xml:space="preserve">science and technology/engineering (STE) </w:t>
      </w:r>
      <w:r w:rsidRPr="0065596C">
        <w:rPr>
          <w:b/>
        </w:rPr>
        <w:t xml:space="preserve">concepts </w:t>
      </w:r>
      <w:r>
        <w:rPr>
          <w:b/>
        </w:rPr>
        <w:t xml:space="preserve">and skills </w:t>
      </w:r>
      <w:r w:rsidRPr="0065596C">
        <w:rPr>
          <w:b/>
        </w:rPr>
        <w:t xml:space="preserve">across grade spans, particularly those at </w:t>
      </w:r>
      <w:r w:rsidR="006326C4" w:rsidRPr="006326C4">
        <w:rPr>
          <w:b/>
        </w:rPr>
        <w:t>Pre-K–</w:t>
      </w:r>
      <w:r w:rsidRPr="0065596C">
        <w:rPr>
          <w:b/>
        </w:rPr>
        <w:t>8.</w:t>
      </w:r>
    </w:p>
    <w:p w14:paraId="50028041" w14:textId="77777777" w:rsidR="003F4FE1" w:rsidRPr="00C2249F" w:rsidRDefault="003F4FE1" w:rsidP="000B2BE0">
      <w:pPr>
        <w:numPr>
          <w:ilvl w:val="1"/>
          <w:numId w:val="2"/>
        </w:numPr>
        <w:tabs>
          <w:tab w:val="num" w:pos="1080"/>
        </w:tabs>
        <w:spacing w:after="120"/>
        <w:ind w:left="1080"/>
      </w:pPr>
      <w:r>
        <w:t>Coherent p</w:t>
      </w:r>
      <w:r w:rsidRPr="0059299C">
        <w:t xml:space="preserve">rogressions of </w:t>
      </w:r>
      <w:r>
        <w:t>concepts and skills should</w:t>
      </w:r>
      <w:r w:rsidRPr="0059299C">
        <w:t xml:space="preserve"> be developed for each </w:t>
      </w:r>
      <w:r>
        <w:t xml:space="preserve">STE </w:t>
      </w:r>
      <w:r w:rsidRPr="0059299C">
        <w:t xml:space="preserve">topic based on </w:t>
      </w:r>
      <w:r>
        <w:t>pre-</w:t>
      </w:r>
      <w:r w:rsidRPr="006452A0">
        <w:t>conception</w:t>
      </w:r>
      <w:r>
        <w:t>,</w:t>
      </w:r>
      <w:r w:rsidRPr="006452A0">
        <w:rPr>
          <w:rStyle w:val="FootnoteReference"/>
        </w:rPr>
        <w:footnoteReference w:id="1"/>
      </w:r>
      <w:r>
        <w:t xml:space="preserve"> conceptual change, and learning progression</w:t>
      </w:r>
      <w:r w:rsidRPr="009C1C55">
        <w:t xml:space="preserve"> </w:t>
      </w:r>
      <w:r w:rsidRPr="0059299C">
        <w:t xml:space="preserve">research. </w:t>
      </w:r>
      <w:r w:rsidR="00B46E2C" w:rsidRPr="004B4BEE">
        <w:t xml:space="preserve">In the development of the current </w:t>
      </w:r>
      <w:r w:rsidR="00B46E2C" w:rsidRPr="004B4BEE">
        <w:rPr>
          <w:i/>
        </w:rPr>
        <w:t>Framework</w:t>
      </w:r>
      <w:r w:rsidR="004B4BEE">
        <w:t>, professional judg</w:t>
      </w:r>
      <w:r w:rsidR="004B4BEE" w:rsidRPr="004B4BEE">
        <w:t>ment and experience was used to</w:t>
      </w:r>
      <w:r w:rsidR="00B46E2C" w:rsidRPr="004B4BEE">
        <w:t xml:space="preserve"> sequence standards to build understanding of more and more complex concepts</w:t>
      </w:r>
      <w:r w:rsidR="004B4BEE" w:rsidRPr="004B4BEE">
        <w:t xml:space="preserve"> over time</w:t>
      </w:r>
      <w:r w:rsidR="00B46E2C" w:rsidRPr="004B4BEE">
        <w:t xml:space="preserve">. </w:t>
      </w:r>
      <w:r w:rsidR="004B4BEE" w:rsidRPr="004B4BEE">
        <w:t>Through the use of recent</w:t>
      </w:r>
      <w:r w:rsidR="00B46E2C" w:rsidRPr="004B4BEE">
        <w:t xml:space="preserve"> research that has</w:t>
      </w:r>
      <w:r w:rsidR="004B4BEE" w:rsidRPr="004B4BEE">
        <w:t xml:space="preserve"> begun to</w:t>
      </w:r>
      <w:r w:rsidR="00B46E2C" w:rsidRPr="004B4BEE">
        <w:t xml:space="preserve"> i</w:t>
      </w:r>
      <w:r w:rsidR="004B4BEE" w:rsidRPr="004B4BEE">
        <w:t>dentify</w:t>
      </w:r>
      <w:r w:rsidR="00B46E2C" w:rsidRPr="004B4BEE">
        <w:t xml:space="preserve"> learning progressions</w:t>
      </w:r>
      <w:r w:rsidR="000B2BE0">
        <w:rPr>
          <w:rStyle w:val="FootnoteReference"/>
        </w:rPr>
        <w:footnoteReference w:id="2"/>
      </w:r>
      <w:r w:rsidR="00B46E2C" w:rsidRPr="004B4BEE">
        <w:t xml:space="preserve"> for particular scientific </w:t>
      </w:r>
      <w:r w:rsidR="004B4BEE" w:rsidRPr="004B4BEE">
        <w:t>topics</w:t>
      </w:r>
      <w:r w:rsidR="00B46E2C" w:rsidRPr="004B4BEE">
        <w:t xml:space="preserve">, </w:t>
      </w:r>
      <w:r w:rsidR="004B4BEE" w:rsidRPr="004B4BEE">
        <w:t>pr</w:t>
      </w:r>
      <w:r w:rsidR="004B4BEE">
        <w:t xml:space="preserve">ogressions of concepts can be adjusted to better support student learning across grade spans or strands. </w:t>
      </w:r>
      <w:r>
        <w:t xml:space="preserve">Summaries of research about how students learn </w:t>
      </w:r>
      <w:r w:rsidR="004B4BEE">
        <w:t>most of the</w:t>
      </w:r>
      <w:r>
        <w:t xml:space="preserve"> topic</w:t>
      </w:r>
      <w:r w:rsidR="004B4BEE">
        <w:t>s</w:t>
      </w:r>
      <w:r>
        <w:t xml:space="preserve"> in the STE standards, referred to as “concept and skill progressions,” have been commissioned (available at </w:t>
      </w:r>
      <w:r w:rsidR="00D35B67" w:rsidRPr="00D35B67">
        <w:rPr>
          <w:u w:val="single"/>
        </w:rPr>
        <w:t>http://www.doe.mass.edu/omste/ste/default.html</w:t>
      </w:r>
      <w:r>
        <w:t xml:space="preserve">). These summaries will be a key resource to guide </w:t>
      </w:r>
      <w:r w:rsidRPr="0059299C">
        <w:t>the revision of standards</w:t>
      </w:r>
      <w:r w:rsidRPr="00AE365F">
        <w:t xml:space="preserve"> </w:t>
      </w:r>
      <w:r>
        <w:t>by assuring a cognitive foundation and a cohesive progression of concepts and skills across grades</w:t>
      </w:r>
      <w:r w:rsidRPr="0059299C">
        <w:t>.</w:t>
      </w:r>
    </w:p>
    <w:p w14:paraId="0AFF167B" w14:textId="77777777" w:rsidR="003F4FE1" w:rsidRDefault="003F4FE1" w:rsidP="003F4FE1">
      <w:pPr>
        <w:numPr>
          <w:ilvl w:val="1"/>
          <w:numId w:val="2"/>
        </w:numPr>
        <w:tabs>
          <w:tab w:val="num" w:pos="1080"/>
        </w:tabs>
        <w:spacing w:before="60" w:after="120"/>
        <w:ind w:left="1080"/>
      </w:pPr>
      <w:r>
        <w:t xml:space="preserve">The specificity of the current standards is variable and should be adjusted to be consistent within a particular grade span. For example, in the </w:t>
      </w:r>
      <w:r w:rsidRPr="00D0745A">
        <w:rPr>
          <w:i/>
        </w:rPr>
        <w:t>force</w:t>
      </w:r>
      <w:r>
        <w:rPr>
          <w:i/>
        </w:rPr>
        <w:t xml:space="preserve"> and motion</w:t>
      </w:r>
      <w:r>
        <w:t xml:space="preserve"> topic the current high school Introductory Physics standard #</w:t>
      </w:r>
      <w:r w:rsidRPr="001909C5">
        <w:t>1.4</w:t>
      </w:r>
      <w:r>
        <w:t>, “</w:t>
      </w:r>
      <w:r w:rsidRPr="001909C5">
        <w:t>Interpret and apply Newton’s three laws of motion”</w:t>
      </w:r>
      <w:r>
        <w:t xml:space="preserve"> is a broad standard in comparison to most of the other high school standards in this topic. A revision of this standard should separate and articulate each of Newton’s three laws to be more specific and consistent with the other high school standards.</w:t>
      </w:r>
    </w:p>
    <w:p w14:paraId="770E307E" w14:textId="77777777" w:rsidR="003F4FE1" w:rsidRDefault="003F4FE1" w:rsidP="003F4FE1"/>
    <w:p w14:paraId="76673A5F" w14:textId="77777777" w:rsidR="003F4FE1" w:rsidRPr="00F520BE" w:rsidRDefault="003F4FE1" w:rsidP="003F4FE1">
      <w:pPr>
        <w:numPr>
          <w:ilvl w:val="0"/>
          <w:numId w:val="2"/>
        </w:numPr>
        <w:tabs>
          <w:tab w:val="clear" w:pos="720"/>
          <w:tab w:val="num" w:pos="360"/>
        </w:tabs>
        <w:spacing w:after="120"/>
        <w:ind w:left="360"/>
        <w:rPr>
          <w:b/>
        </w:rPr>
      </w:pPr>
      <w:r w:rsidRPr="00F520BE">
        <w:rPr>
          <w:b/>
        </w:rPr>
        <w:t xml:space="preserve">Strategically integrate </w:t>
      </w:r>
      <w:r>
        <w:rPr>
          <w:b/>
        </w:rPr>
        <w:t>science and technology/e</w:t>
      </w:r>
      <w:r w:rsidRPr="00F520BE">
        <w:rPr>
          <w:b/>
        </w:rPr>
        <w:t xml:space="preserve">ngineering </w:t>
      </w:r>
      <w:r w:rsidR="00803697">
        <w:rPr>
          <w:b/>
        </w:rPr>
        <w:t>skills</w:t>
      </w:r>
      <w:r w:rsidRPr="00F520BE">
        <w:rPr>
          <w:b/>
        </w:rPr>
        <w:t xml:space="preserve"> with </w:t>
      </w:r>
      <w:r>
        <w:rPr>
          <w:b/>
        </w:rPr>
        <w:t>concepts</w:t>
      </w:r>
      <w:r w:rsidRPr="00F520BE">
        <w:rPr>
          <w:b/>
        </w:rPr>
        <w:t xml:space="preserve"> in standards across the strands. </w:t>
      </w:r>
    </w:p>
    <w:p w14:paraId="71373E3A" w14:textId="77777777" w:rsidR="003F4FE1" w:rsidRDefault="003F4FE1" w:rsidP="003F4FE1">
      <w:pPr>
        <w:spacing w:after="120"/>
        <w:ind w:left="360"/>
      </w:pPr>
      <w:r w:rsidRPr="00F23159">
        <w:t xml:space="preserve">The current </w:t>
      </w:r>
      <w:r w:rsidRPr="00803697">
        <w:rPr>
          <w:i/>
        </w:rPr>
        <w:t>Framework</w:t>
      </w:r>
      <w:r w:rsidRPr="00F23159">
        <w:t xml:space="preserve"> limits </w:t>
      </w:r>
      <w:r w:rsidR="00803697">
        <w:t>science skills</w:t>
      </w:r>
      <w:r w:rsidR="00300224" w:rsidRPr="00B70BCC">
        <w:rPr>
          <w:rStyle w:val="FootnoteReference"/>
        </w:rPr>
        <w:footnoteReference w:id="3"/>
      </w:r>
      <w:r>
        <w:t xml:space="preserve"> </w:t>
      </w:r>
      <w:r w:rsidRPr="00F23159">
        <w:t xml:space="preserve">to an introductory section and a separate set of </w:t>
      </w:r>
      <w:r>
        <w:t xml:space="preserve">four </w:t>
      </w:r>
      <w:r w:rsidRPr="00F23159">
        <w:t xml:space="preserve">high school standards. </w:t>
      </w:r>
      <w:r w:rsidR="00803697">
        <w:t xml:space="preserve">Listing these separately </w:t>
      </w:r>
      <w:r>
        <w:t>leave</w:t>
      </w:r>
      <w:r w:rsidRPr="0076423C">
        <w:t xml:space="preserve"> unclear how particular skills and concepts actually relate in a way that reinforces conceptual learning</w:t>
      </w:r>
      <w:r>
        <w:t>;</w:t>
      </w:r>
      <w:r w:rsidRPr="00596F9A">
        <w:t xml:space="preserve"> </w:t>
      </w:r>
      <w:r w:rsidRPr="0076423C">
        <w:t xml:space="preserve">developing </w:t>
      </w:r>
      <w:r>
        <w:t xml:space="preserve">STE </w:t>
      </w:r>
      <w:r w:rsidRPr="0076423C">
        <w:t xml:space="preserve">skills and learning </w:t>
      </w:r>
      <w:r w:rsidR="00803697">
        <w:t xml:space="preserve">STE </w:t>
      </w:r>
      <w:r w:rsidRPr="0076423C">
        <w:t>concepts are mutually reinforcing</w:t>
      </w:r>
      <w:r>
        <w:t xml:space="preserve"> </w:t>
      </w:r>
      <w:r w:rsidRPr="00596F9A">
        <w:t xml:space="preserve">(Michaels et al, 2008; NAGB, 2008; </w:t>
      </w:r>
      <w:r w:rsidRPr="00596F9A">
        <w:lastRenderedPageBreak/>
        <w:t>NRC, 2005).</w:t>
      </w:r>
      <w:r w:rsidRPr="0076423C">
        <w:t xml:space="preserve"> </w:t>
      </w:r>
      <w:r w:rsidR="00481AB2">
        <w:t>The</w:t>
      </w:r>
      <w:r w:rsidRPr="0076423C">
        <w:t xml:space="preserve"> revised standards should integrate </w:t>
      </w:r>
      <w:r>
        <w:t xml:space="preserve">STE </w:t>
      </w:r>
      <w:r w:rsidR="00803697">
        <w:t>skills</w:t>
      </w:r>
      <w:r w:rsidRPr="0076423C">
        <w:t xml:space="preserve"> with particular concepts, in the standard</w:t>
      </w:r>
      <w:r w:rsidR="00803697">
        <w:t>s</w:t>
      </w:r>
      <w:r>
        <w:t xml:space="preserve">, </w:t>
      </w:r>
      <w:r w:rsidRPr="0076423C">
        <w:t>articulated as p</w:t>
      </w:r>
      <w:r>
        <w:t>erformance expectations (the form of our standards).</w:t>
      </w:r>
    </w:p>
    <w:p w14:paraId="6F5B30AD" w14:textId="77777777" w:rsidR="003F4FE1" w:rsidRPr="00407D16" w:rsidRDefault="003F4FE1" w:rsidP="003F4FE1">
      <w:pPr>
        <w:numPr>
          <w:ilvl w:val="1"/>
          <w:numId w:val="2"/>
        </w:numPr>
        <w:tabs>
          <w:tab w:val="num" w:pos="1080"/>
        </w:tabs>
        <w:spacing w:after="120"/>
        <w:ind w:left="1080"/>
      </w:pPr>
      <w:r w:rsidRPr="00137894">
        <w:t xml:space="preserve">To assure learning of </w:t>
      </w:r>
      <w:r>
        <w:t xml:space="preserve">broadly applicable STE </w:t>
      </w:r>
      <w:r w:rsidR="00176BA8">
        <w:t>skills</w:t>
      </w:r>
      <w:r>
        <w:t>, such as</w:t>
      </w:r>
      <w:r w:rsidRPr="00B70BCC">
        <w:t xml:space="preserve"> pr</w:t>
      </w:r>
      <w:r w:rsidRPr="00137894">
        <w:t>edicting, invest</w:t>
      </w:r>
      <w:r>
        <w:t>igating, designing, or modeling</w:t>
      </w:r>
      <w:r w:rsidRPr="00137894">
        <w:t xml:space="preserve">, the </w:t>
      </w:r>
      <w:r>
        <w:t>active</w:t>
      </w:r>
      <w:r w:rsidRPr="00137894">
        <w:t xml:space="preserve"> verbs in </w:t>
      </w:r>
      <w:r>
        <w:t xml:space="preserve">STE </w:t>
      </w:r>
      <w:r w:rsidRPr="00137894">
        <w:t xml:space="preserve">standards should strategically reflect </w:t>
      </w:r>
      <w:r>
        <w:t xml:space="preserve">those </w:t>
      </w:r>
      <w:r w:rsidR="00176BA8">
        <w:t>skill</w:t>
      </w:r>
      <w:r w:rsidRPr="00137894">
        <w:t xml:space="preserve">s. </w:t>
      </w:r>
      <w:r w:rsidRPr="00791C6F">
        <w:t xml:space="preserve">These STE </w:t>
      </w:r>
      <w:r w:rsidR="00176BA8">
        <w:t>skill</w:t>
      </w:r>
      <w:r w:rsidRPr="00791C6F">
        <w:t xml:space="preserve">s can be aligned with the </w:t>
      </w:r>
      <w:r w:rsidRPr="00791C6F">
        <w:rPr>
          <w:i/>
        </w:rPr>
        <w:t>cognitive process dimension</w:t>
      </w:r>
      <w:r w:rsidRPr="00791C6F">
        <w:t xml:space="preserve"> of Bloom’s Revised Taxono</w:t>
      </w:r>
      <w:r>
        <w:t>my (Anderson &amp; Krathwohl, 2</w:t>
      </w:r>
      <w:r w:rsidRPr="00407D16">
        <w:t xml:space="preserve">001). </w:t>
      </w:r>
      <w:r w:rsidR="0010298D" w:rsidRPr="00407D16">
        <w:t>For</w:t>
      </w:r>
      <w:r w:rsidR="009876C6" w:rsidRPr="00407D16">
        <w:t xml:space="preserve"> example</w:t>
      </w:r>
      <w:r w:rsidR="0010298D" w:rsidRPr="00407D16">
        <w:t xml:space="preserve">, a life science </w:t>
      </w:r>
      <w:r w:rsidR="009876C6" w:rsidRPr="00407D16">
        <w:t>s</w:t>
      </w:r>
      <w:r w:rsidR="0010298D" w:rsidRPr="00407D16">
        <w:t>tandard that integrates the scientific skill of</w:t>
      </w:r>
      <w:r w:rsidR="00B53833">
        <w:t xml:space="preserve"> being able to</w:t>
      </w:r>
      <w:r w:rsidR="0010298D" w:rsidRPr="00407D16">
        <w:t xml:space="preserve"> </w:t>
      </w:r>
      <w:r w:rsidR="0010298D" w:rsidRPr="00407D16">
        <w:rPr>
          <w:i/>
        </w:rPr>
        <w:t>f</w:t>
      </w:r>
      <w:r w:rsidR="00407D16" w:rsidRPr="00407D16">
        <w:rPr>
          <w:i/>
        </w:rPr>
        <w:t>ormulat</w:t>
      </w:r>
      <w:r w:rsidR="00B53833">
        <w:rPr>
          <w:i/>
        </w:rPr>
        <w:t>e</w:t>
      </w:r>
      <w:r w:rsidR="00407D16" w:rsidRPr="00407D16">
        <w:rPr>
          <w:i/>
        </w:rPr>
        <w:t xml:space="preserve"> a </w:t>
      </w:r>
      <w:r w:rsidR="0010298D" w:rsidRPr="00407D16">
        <w:rPr>
          <w:i/>
        </w:rPr>
        <w:t xml:space="preserve">hypothesis </w:t>
      </w:r>
      <w:r w:rsidR="0010298D" w:rsidRPr="00407D16">
        <w:t xml:space="preserve">with the scientific concept of </w:t>
      </w:r>
      <w:r w:rsidR="0010298D" w:rsidRPr="00407D16">
        <w:rPr>
          <w:i/>
        </w:rPr>
        <w:t>migration</w:t>
      </w:r>
      <w:r w:rsidR="0010298D" w:rsidRPr="00407D16">
        <w:t xml:space="preserve"> might read “Formulate a hypothesis explaining how changes in the environment could cause some plants and animals to move to new locations (migration).” Another example, </w:t>
      </w:r>
      <w:r w:rsidR="00407D16" w:rsidRPr="00407D16">
        <w:t>in earth and space science, integrates</w:t>
      </w:r>
      <w:r w:rsidR="0010298D" w:rsidRPr="00407D16">
        <w:t xml:space="preserve"> the skill of</w:t>
      </w:r>
      <w:r w:rsidR="00B53833">
        <w:t xml:space="preserve"> being able to </w:t>
      </w:r>
      <w:r w:rsidR="00407D16" w:rsidRPr="00B53833">
        <w:rPr>
          <w:i/>
        </w:rPr>
        <w:t>m</w:t>
      </w:r>
      <w:r w:rsidR="00B53833">
        <w:rPr>
          <w:i/>
        </w:rPr>
        <w:t>odel</w:t>
      </w:r>
      <w:r w:rsidR="00407D16" w:rsidRPr="00B53833">
        <w:rPr>
          <w:i/>
        </w:rPr>
        <w:t xml:space="preserve"> scientific phenomena</w:t>
      </w:r>
      <w:r w:rsidR="0010298D" w:rsidRPr="00407D16">
        <w:t xml:space="preserve"> and the concept of </w:t>
      </w:r>
      <w:r w:rsidR="00407D16" w:rsidRPr="00B53833">
        <w:rPr>
          <w:i/>
        </w:rPr>
        <w:t>phases of the moon</w:t>
      </w:r>
      <w:r w:rsidR="00407D16" w:rsidRPr="00407D16">
        <w:t xml:space="preserve">: </w:t>
      </w:r>
      <w:r w:rsidR="0010298D" w:rsidRPr="00407D16">
        <w:t>“</w:t>
      </w:r>
      <w:r w:rsidR="00407D16" w:rsidRPr="00407D16">
        <w:t>Use a celestial model to illustrate and explain how the relative position and size of the sun, Earth, and moon result in the phases of the moon and eclipses as observed from the Earth</w:t>
      </w:r>
      <w:r w:rsidR="0010298D" w:rsidRPr="00407D16">
        <w:t>.”</w:t>
      </w:r>
    </w:p>
    <w:p w14:paraId="1867558F" w14:textId="77777777" w:rsidR="003F4FE1" w:rsidRDefault="003F4FE1" w:rsidP="003F4FE1">
      <w:pPr>
        <w:spacing w:after="120"/>
        <w:ind w:left="1080"/>
      </w:pPr>
      <w:r w:rsidRPr="00791C6F">
        <w:t xml:space="preserve">Decisions about which STE </w:t>
      </w:r>
      <w:r w:rsidR="00176BA8">
        <w:t>skill</w:t>
      </w:r>
      <w:r w:rsidRPr="00791C6F">
        <w:t xml:space="preserve">s will be used with which specific concept will be made to reinforce student learning of the concept. </w:t>
      </w:r>
      <w:r w:rsidRPr="00137894">
        <w:t xml:space="preserve">While integrated into standards with </w:t>
      </w:r>
      <w:r>
        <w:t>concepts</w:t>
      </w:r>
      <w:r w:rsidRPr="00137894">
        <w:t xml:space="preserve">, these </w:t>
      </w:r>
      <w:r>
        <w:t xml:space="preserve">STE </w:t>
      </w:r>
      <w:r w:rsidR="00176BA8">
        <w:t>skill</w:t>
      </w:r>
      <w:r w:rsidRPr="00137894">
        <w:t xml:space="preserve">s </w:t>
      </w:r>
      <w:r>
        <w:t xml:space="preserve">will </w:t>
      </w:r>
      <w:r w:rsidRPr="00137894">
        <w:t>al</w:t>
      </w:r>
      <w:r>
        <w:t xml:space="preserve">so be listed separately in the </w:t>
      </w:r>
      <w:r w:rsidRPr="00803697">
        <w:rPr>
          <w:i/>
        </w:rPr>
        <w:t>Framework</w:t>
      </w:r>
      <w:r w:rsidRPr="00137894">
        <w:t xml:space="preserve"> narrative to illustrate their universal applicability. Teachers are not limited to the matches indicated in the standards but can expand beyond those in ways that fit their context. </w:t>
      </w:r>
    </w:p>
    <w:p w14:paraId="4F4A1A67" w14:textId="77777777" w:rsidR="003F4FE1" w:rsidRDefault="003F4FE1" w:rsidP="003F4FE1">
      <w:pPr>
        <w:numPr>
          <w:ilvl w:val="1"/>
          <w:numId w:val="2"/>
        </w:numPr>
        <w:tabs>
          <w:tab w:val="num" w:pos="1080"/>
        </w:tabs>
        <w:spacing w:after="120"/>
        <w:ind w:left="1080"/>
      </w:pPr>
      <w:r>
        <w:t>N</w:t>
      </w:r>
      <w:r w:rsidRPr="00F40C71">
        <w:t xml:space="preserve">arrative should be </w:t>
      </w:r>
      <w:r>
        <w:t xml:space="preserve">maintained in the </w:t>
      </w:r>
      <w:r w:rsidRPr="00803697">
        <w:rPr>
          <w:i/>
        </w:rPr>
        <w:t xml:space="preserve">Framework </w:t>
      </w:r>
      <w:r w:rsidRPr="00F40C71">
        <w:t>to indicate the importance of engaging students in the full inquiry</w:t>
      </w:r>
      <w:r>
        <w:t xml:space="preserve"> and design</w:t>
      </w:r>
      <w:r w:rsidRPr="00F40C71">
        <w:t xml:space="preserve"> process</w:t>
      </w:r>
      <w:r>
        <w:t>es throughout STE instruction (</w:t>
      </w:r>
      <w:r w:rsidRPr="0085623B">
        <w:t>Michaels et al, 2008; NRC, 2006; BSCS, 2006; NRC, 2005; NRC, 2000</w:t>
      </w:r>
      <w:r>
        <w:t xml:space="preserve">). This is </w:t>
      </w:r>
      <w:r w:rsidRPr="00FB2346">
        <w:t xml:space="preserve">currently articulated in the </w:t>
      </w:r>
      <w:r w:rsidRPr="009B0422">
        <w:rPr>
          <w:i/>
        </w:rPr>
        <w:t>Inquiry,</w:t>
      </w:r>
      <w:r w:rsidRPr="00FB2346">
        <w:rPr>
          <w:i/>
        </w:rPr>
        <w:t xml:space="preserve"> Experimentation, and Design in the Classroom</w:t>
      </w:r>
      <w:r w:rsidRPr="00FB2346">
        <w:t xml:space="preserve"> section and </w:t>
      </w:r>
      <w:r w:rsidRPr="00FB2346">
        <w:rPr>
          <w:i/>
        </w:rPr>
        <w:t>Guiding Principle V</w:t>
      </w:r>
      <w:r>
        <w:t xml:space="preserve"> within the </w:t>
      </w:r>
      <w:r w:rsidRPr="00803697">
        <w:rPr>
          <w:i/>
        </w:rPr>
        <w:t>Framework</w:t>
      </w:r>
      <w:r>
        <w:t>.</w:t>
      </w:r>
    </w:p>
    <w:p w14:paraId="68E3B7E2" w14:textId="77777777" w:rsidR="003F4FE1" w:rsidRDefault="003F4FE1" w:rsidP="003F4FE1">
      <w:pPr>
        <w:numPr>
          <w:ilvl w:val="1"/>
          <w:numId w:val="2"/>
        </w:numPr>
        <w:tabs>
          <w:tab w:val="num" w:pos="1080"/>
        </w:tabs>
        <w:spacing w:after="120"/>
        <w:ind w:left="1080"/>
      </w:pPr>
      <w:r>
        <w:t xml:space="preserve">Narrative should be added to the </w:t>
      </w:r>
      <w:r w:rsidRPr="00803697">
        <w:rPr>
          <w:i/>
        </w:rPr>
        <w:t>Framework</w:t>
      </w:r>
      <w:r>
        <w:t xml:space="preserve"> to illustrate how the integration of STE </w:t>
      </w:r>
      <w:r w:rsidR="00176BA8">
        <w:t>skill</w:t>
      </w:r>
      <w:r>
        <w:t>s into standards and instruction leads to substantial alignment to 21</w:t>
      </w:r>
      <w:r w:rsidRPr="00AE7629">
        <w:rPr>
          <w:vertAlign w:val="superscript"/>
        </w:rPr>
        <w:t>st</w:t>
      </w:r>
      <w:r>
        <w:t xml:space="preserve"> century skills. When STE </w:t>
      </w:r>
      <w:r w:rsidR="00176BA8">
        <w:t>skill</w:t>
      </w:r>
      <w:r>
        <w:t xml:space="preserve">s are integrated with concepts and into instruction there is </w:t>
      </w:r>
      <w:r w:rsidRPr="00FB2346">
        <w:t xml:space="preserve">particular alignment to </w:t>
      </w:r>
      <w:r>
        <w:t>the 21</w:t>
      </w:r>
      <w:r w:rsidRPr="000B6CED">
        <w:rPr>
          <w:vertAlign w:val="superscript"/>
        </w:rPr>
        <w:t>st</w:t>
      </w:r>
      <w:r>
        <w:t xml:space="preserve"> century skills of </w:t>
      </w:r>
      <w:r w:rsidRPr="006452A0">
        <w:rPr>
          <w:i/>
        </w:rPr>
        <w:t>creativity and innovation</w:t>
      </w:r>
      <w:r>
        <w:t xml:space="preserve">, </w:t>
      </w:r>
      <w:r w:rsidRPr="006452A0">
        <w:rPr>
          <w:i/>
        </w:rPr>
        <w:t>critical thinking and problem solving</w:t>
      </w:r>
      <w:r>
        <w:t xml:space="preserve">, </w:t>
      </w:r>
      <w:r w:rsidRPr="006452A0">
        <w:rPr>
          <w:i/>
        </w:rPr>
        <w:t>communication</w:t>
      </w:r>
      <w:r>
        <w:t xml:space="preserve">, </w:t>
      </w:r>
      <w:r w:rsidRPr="006452A0">
        <w:rPr>
          <w:i/>
        </w:rPr>
        <w:t>information and media literacy</w:t>
      </w:r>
      <w:r>
        <w:t xml:space="preserve">, and </w:t>
      </w:r>
      <w:r w:rsidRPr="006452A0">
        <w:rPr>
          <w:i/>
        </w:rPr>
        <w:t xml:space="preserve">productivity and accountability </w:t>
      </w:r>
      <w:r>
        <w:t>(</w:t>
      </w:r>
      <w:r w:rsidRPr="0085623B">
        <w:t>Partnership for 21</w:t>
      </w:r>
      <w:r w:rsidRPr="0085623B">
        <w:rPr>
          <w:vertAlign w:val="superscript"/>
        </w:rPr>
        <w:t>st</w:t>
      </w:r>
      <w:r w:rsidRPr="0085623B">
        <w:t xml:space="preserve"> Century Skills, 2009</w:t>
      </w:r>
      <w:r>
        <w:t xml:space="preserve">). When students consistently use STE </w:t>
      </w:r>
      <w:r w:rsidR="00176BA8">
        <w:t>skill</w:t>
      </w:r>
      <w:r>
        <w:t xml:space="preserve">s </w:t>
      </w:r>
      <w:r w:rsidRPr="00D35B67">
        <w:t xml:space="preserve">as advocated in 2a and 2b above, they </w:t>
      </w:r>
      <w:r w:rsidRPr="00D35B67">
        <w:rPr>
          <w:i/>
        </w:rPr>
        <w:t>are</w:t>
      </w:r>
      <w:r w:rsidRPr="00D35B67">
        <w:t xml:space="preserve"> engaging in these 21</w:t>
      </w:r>
      <w:r w:rsidRPr="00D35B67">
        <w:rPr>
          <w:vertAlign w:val="superscript"/>
        </w:rPr>
        <w:t>st</w:t>
      </w:r>
      <w:r w:rsidRPr="00D35B67">
        <w:t xml:space="preserve"> century skill</w:t>
      </w:r>
      <w:r>
        <w:t>s.</w:t>
      </w:r>
    </w:p>
    <w:p w14:paraId="03124A79" w14:textId="77777777" w:rsidR="003F4FE1" w:rsidRDefault="003F4FE1" w:rsidP="003F4FE1"/>
    <w:p w14:paraId="6FBFB09D" w14:textId="77777777" w:rsidR="003F4FE1" w:rsidRPr="00F520BE" w:rsidRDefault="003F4FE1" w:rsidP="003F4FE1">
      <w:pPr>
        <w:keepNext/>
        <w:numPr>
          <w:ilvl w:val="0"/>
          <w:numId w:val="2"/>
        </w:numPr>
        <w:tabs>
          <w:tab w:val="clear" w:pos="720"/>
          <w:tab w:val="num" w:pos="360"/>
        </w:tabs>
        <w:spacing w:after="120"/>
        <w:ind w:left="360"/>
        <w:rPr>
          <w:b/>
        </w:rPr>
      </w:pPr>
      <w:r w:rsidRPr="00F520BE">
        <w:rPr>
          <w:b/>
        </w:rPr>
        <w:t xml:space="preserve">Adjust the STE standards to reflect a reasonable scope, </w:t>
      </w:r>
      <w:r w:rsidRPr="00D36CE1">
        <w:rPr>
          <w:b/>
        </w:rPr>
        <w:t>increase the overall rigor,</w:t>
      </w:r>
      <w:r w:rsidRPr="00F520BE">
        <w:rPr>
          <w:b/>
        </w:rPr>
        <w:t xml:space="preserve"> and provide for updated topic coverage</w:t>
      </w:r>
      <w:r w:rsidRPr="00F520BE">
        <w:rPr>
          <w:b/>
          <w:i/>
        </w:rPr>
        <w:t>.</w:t>
      </w:r>
    </w:p>
    <w:p w14:paraId="27E75AC5" w14:textId="77777777" w:rsidR="003F4FE1" w:rsidRDefault="003F4FE1" w:rsidP="003F4FE1">
      <w:pPr>
        <w:numPr>
          <w:ilvl w:val="1"/>
          <w:numId w:val="2"/>
        </w:numPr>
        <w:tabs>
          <w:tab w:val="num" w:pos="1080"/>
        </w:tabs>
        <w:spacing w:after="120"/>
        <w:ind w:left="1080"/>
      </w:pPr>
      <w:r>
        <w:t xml:space="preserve">The overall scope of the standards should remain the same or, if possible, decrease. </w:t>
      </w:r>
      <w:r w:rsidR="005866D1">
        <w:t xml:space="preserve">The overall scope of the standards refers to the range and depth of concepts and skills students are expected to learn. </w:t>
      </w:r>
      <w:r>
        <w:t>T</w:t>
      </w:r>
      <w:r w:rsidRPr="000D709C">
        <w:t xml:space="preserve">he scope of the standards should reasonably allow for </w:t>
      </w:r>
      <w:r>
        <w:t>at least one</w:t>
      </w:r>
      <w:r w:rsidRPr="000D709C">
        <w:t xml:space="preserve"> multi-week, in-depth investigation of </w:t>
      </w:r>
      <w:r>
        <w:t>a</w:t>
      </w:r>
      <w:r w:rsidRPr="000D709C">
        <w:t xml:space="preserve"> topic</w:t>
      </w:r>
      <w:r>
        <w:t xml:space="preserve"> each year</w:t>
      </w:r>
      <w:r w:rsidRPr="000D709C">
        <w:t xml:space="preserve"> (</w:t>
      </w:r>
      <w:r w:rsidRPr="0085623B">
        <w:t>Schwartz et al, 2008</w:t>
      </w:r>
      <w:r>
        <w:t>).</w:t>
      </w:r>
      <w:r>
        <w:rPr>
          <w:rStyle w:val="FootnoteReference"/>
        </w:rPr>
        <w:footnoteReference w:id="4"/>
      </w:r>
      <w:r>
        <w:t xml:space="preserve"> </w:t>
      </w:r>
    </w:p>
    <w:p w14:paraId="7191F8FA" w14:textId="77777777" w:rsidR="003F4FE1" w:rsidRDefault="003F4FE1" w:rsidP="003F4FE1">
      <w:pPr>
        <w:numPr>
          <w:ilvl w:val="1"/>
          <w:numId w:val="2"/>
        </w:numPr>
        <w:tabs>
          <w:tab w:val="num" w:pos="1080"/>
        </w:tabs>
        <w:spacing w:after="120"/>
        <w:ind w:left="1080"/>
      </w:pPr>
      <w:r>
        <w:lastRenderedPageBreak/>
        <w:t xml:space="preserve">The overall </w:t>
      </w:r>
      <w:r w:rsidRPr="009343A1">
        <w:t xml:space="preserve">rigor of the standards, particularly for grades </w:t>
      </w:r>
      <w:r w:rsidR="006326C4" w:rsidRPr="006E1B9A">
        <w:t>Pre-K–</w:t>
      </w:r>
      <w:r w:rsidRPr="009343A1">
        <w:t xml:space="preserve">8, </w:t>
      </w:r>
      <w:r>
        <w:t>should be increased to be more uniform across grade levels</w:t>
      </w:r>
      <w:r w:rsidRPr="009343A1">
        <w:t>.</w:t>
      </w:r>
      <w:r w:rsidR="005866D1">
        <w:t xml:space="preserve"> </w:t>
      </w:r>
      <w:r>
        <w:t>The rigor of a standard can be assessed by using Bloom’s Revised Taxonom</w:t>
      </w:r>
      <w:r w:rsidRPr="009343A1">
        <w:t xml:space="preserve">y to analyze </w:t>
      </w:r>
      <w:r>
        <w:t>its</w:t>
      </w:r>
      <w:r w:rsidRPr="009343A1">
        <w:t xml:space="preserve"> </w:t>
      </w:r>
      <w:r w:rsidRPr="00B32650">
        <w:rPr>
          <w:i/>
        </w:rPr>
        <w:t xml:space="preserve">cognitive demand level </w:t>
      </w:r>
      <w:r w:rsidRPr="009343A1">
        <w:t>(Anderson &amp; Krathwohl, 2001)</w:t>
      </w:r>
      <w:r>
        <w:t>.</w:t>
      </w:r>
      <w:r w:rsidR="00D36CE1" w:rsidRPr="00D36CE1">
        <w:t xml:space="preserve"> </w:t>
      </w:r>
      <w:r w:rsidR="00D36CE1">
        <w:t xml:space="preserve">Currently, most STE standards (particularly </w:t>
      </w:r>
      <w:r w:rsidR="006326C4" w:rsidRPr="006E1B9A">
        <w:t>Pre-K–</w:t>
      </w:r>
      <w:r w:rsidR="00D36CE1">
        <w:t>8) are written to “remember” or “understand” levels of cognitive demand, and few expect students to “apply,” “analyze,” “evaluate,” or “create.” These more rigorous levels of cognitive demand are central to a 21</w:t>
      </w:r>
      <w:r w:rsidR="00D36CE1" w:rsidRPr="00D36CE1">
        <w:rPr>
          <w:vertAlign w:val="superscript"/>
        </w:rPr>
        <w:t>st</w:t>
      </w:r>
      <w:r w:rsidR="00D36CE1">
        <w:t xml:space="preserve"> century curriculum (see 2c above).</w:t>
      </w:r>
    </w:p>
    <w:p w14:paraId="08097E9E" w14:textId="77777777" w:rsidR="003F4FE1" w:rsidRPr="009343A1" w:rsidRDefault="003F4FE1" w:rsidP="003F4FE1">
      <w:pPr>
        <w:numPr>
          <w:ilvl w:val="1"/>
          <w:numId w:val="2"/>
        </w:numPr>
        <w:tabs>
          <w:tab w:val="clear" w:pos="2250"/>
          <w:tab w:val="num" w:pos="1080"/>
        </w:tabs>
        <w:spacing w:after="120"/>
        <w:ind w:left="1080"/>
      </w:pPr>
      <w:r w:rsidRPr="00222DA4">
        <w:t>Na</w:t>
      </w:r>
      <w:r>
        <w:t xml:space="preserve">rrative should be added to the </w:t>
      </w:r>
      <w:r w:rsidRPr="00803697">
        <w:rPr>
          <w:i/>
        </w:rPr>
        <w:t>Framework</w:t>
      </w:r>
      <w:r w:rsidRPr="00222DA4">
        <w:t xml:space="preserve"> to highlight the value of learning standards through their application to </w:t>
      </w:r>
      <w:r>
        <w:t xml:space="preserve">scientific, technologic, and social </w:t>
      </w:r>
      <w:r w:rsidRPr="00222DA4">
        <w:t xml:space="preserve">contexts </w:t>
      </w:r>
      <w:r>
        <w:t xml:space="preserve">(for example, biotechnology, </w:t>
      </w:r>
      <w:r w:rsidRPr="00222DA4">
        <w:t>the environment</w:t>
      </w:r>
      <w:r>
        <w:t>, or nanotechnology)</w:t>
      </w:r>
      <w:r w:rsidRPr="00222DA4">
        <w:t>. Students generally learn STE concepts</w:t>
      </w:r>
      <w:r>
        <w:t xml:space="preserve"> and skills</w:t>
      </w:r>
      <w:r w:rsidRPr="00222DA4">
        <w:t xml:space="preserve"> best when instruction is designed around relevant and engaging contexts or applications (</w:t>
      </w:r>
      <w:r>
        <w:t>NRC, 2000</w:t>
      </w:r>
      <w:r w:rsidRPr="00222DA4">
        <w:t>).</w:t>
      </w:r>
      <w:r w:rsidR="00646F70">
        <w:t xml:space="preserve"> This </w:t>
      </w:r>
      <w:r w:rsidR="003E2DE9">
        <w:t>should</w:t>
      </w:r>
      <w:r w:rsidR="00646F70">
        <w:t xml:space="preserve"> be emphasized through narrative text in both the </w:t>
      </w:r>
      <w:r w:rsidR="00646F70" w:rsidRPr="00300224">
        <w:rPr>
          <w:i/>
        </w:rPr>
        <w:t>Framework’s</w:t>
      </w:r>
      <w:r w:rsidR="00646F70">
        <w:t xml:space="preserve"> Guiding Principles and introductory sections.</w:t>
      </w:r>
    </w:p>
    <w:p w14:paraId="6F4B272C" w14:textId="77777777" w:rsidR="003F4FE1" w:rsidRDefault="003F4FE1" w:rsidP="003F4FE1"/>
    <w:p w14:paraId="312AB088" w14:textId="77777777" w:rsidR="00803697" w:rsidRDefault="00803697" w:rsidP="00D35B67">
      <w:pPr>
        <w:keepNext/>
        <w:numPr>
          <w:ilvl w:val="0"/>
          <w:numId w:val="2"/>
        </w:numPr>
        <w:tabs>
          <w:tab w:val="clear" w:pos="720"/>
          <w:tab w:val="num" w:pos="360"/>
        </w:tabs>
        <w:spacing w:after="120"/>
        <w:ind w:left="360"/>
        <w:rPr>
          <w:b/>
        </w:rPr>
      </w:pPr>
      <w:r>
        <w:rPr>
          <w:b/>
        </w:rPr>
        <w:t xml:space="preserve">Incorporate the standards for Literacy in Science and Technical Subjects from the recently approved </w:t>
      </w:r>
      <w:r w:rsidRPr="003042CC">
        <w:rPr>
          <w:b/>
          <w:i/>
        </w:rPr>
        <w:t>English Language Arts</w:t>
      </w:r>
      <w:r w:rsidR="00300224">
        <w:rPr>
          <w:b/>
          <w:i/>
        </w:rPr>
        <w:t xml:space="preserve"> (ELA) Frame</w:t>
      </w:r>
      <w:r w:rsidRPr="003042CC">
        <w:rPr>
          <w:b/>
          <w:i/>
        </w:rPr>
        <w:t>work</w:t>
      </w:r>
      <w:r>
        <w:rPr>
          <w:b/>
        </w:rPr>
        <w:t>.</w:t>
      </w:r>
    </w:p>
    <w:p w14:paraId="4DC31A76" w14:textId="77777777" w:rsidR="003E2DE9" w:rsidRDefault="003E2DE9" w:rsidP="003E2DE9">
      <w:pPr>
        <w:numPr>
          <w:ilvl w:val="1"/>
          <w:numId w:val="2"/>
        </w:numPr>
        <w:tabs>
          <w:tab w:val="clear" w:pos="2250"/>
          <w:tab w:val="num" w:pos="1080"/>
        </w:tabs>
        <w:spacing w:after="120"/>
        <w:ind w:left="1080"/>
      </w:pPr>
      <w:r>
        <w:t xml:space="preserve">The </w:t>
      </w:r>
      <w:bookmarkStart w:id="3" w:name="OLE_LINK1"/>
      <w:bookmarkStart w:id="4" w:name="OLE_LINK2"/>
      <w:r>
        <w:t>standards for Literacy in Science and Technical Subjects</w:t>
      </w:r>
      <w:bookmarkEnd w:id="3"/>
      <w:bookmarkEnd w:id="4"/>
      <w:r>
        <w:t xml:space="preserve"> from the </w:t>
      </w:r>
      <w:r w:rsidRPr="003E2DE9">
        <w:rPr>
          <w:i/>
        </w:rPr>
        <w:t>ELA Framework</w:t>
      </w:r>
      <w:r>
        <w:t xml:space="preserve"> should be included directly in the </w:t>
      </w:r>
      <w:r w:rsidRPr="003E2DE9">
        <w:rPr>
          <w:i/>
        </w:rPr>
        <w:t>STE Framework</w:t>
      </w:r>
      <w:r>
        <w:t>.</w:t>
      </w:r>
    </w:p>
    <w:p w14:paraId="50DAFE87" w14:textId="77777777" w:rsidR="003E2DE9" w:rsidRPr="009343A1" w:rsidRDefault="003E2DE9" w:rsidP="003E2DE9">
      <w:pPr>
        <w:numPr>
          <w:ilvl w:val="1"/>
          <w:numId w:val="2"/>
        </w:numPr>
        <w:tabs>
          <w:tab w:val="clear" w:pos="2250"/>
          <w:tab w:val="num" w:pos="1080"/>
        </w:tabs>
        <w:spacing w:after="120"/>
        <w:ind w:left="1080"/>
      </w:pPr>
      <w:r w:rsidRPr="00222DA4">
        <w:t>Na</w:t>
      </w:r>
      <w:r>
        <w:t xml:space="preserve">rrative should be added to the </w:t>
      </w:r>
      <w:r w:rsidRPr="00803697">
        <w:rPr>
          <w:i/>
        </w:rPr>
        <w:t>Framework</w:t>
      </w:r>
      <w:r w:rsidRPr="00222DA4">
        <w:t xml:space="preserve"> to highlight the </w:t>
      </w:r>
      <w:r>
        <w:t>standards for Literacy in Science and Technical Subjects</w:t>
      </w:r>
      <w:r w:rsidR="006326C4">
        <w:t>.</w:t>
      </w:r>
      <w:r w:rsidRPr="00222DA4">
        <w:t xml:space="preserve"> </w:t>
      </w:r>
      <w:r>
        <w:t>The G</w:t>
      </w:r>
      <w:r w:rsidR="006E4854">
        <w:t>uiding Principle on the importanc</w:t>
      </w:r>
      <w:r>
        <w:t>e of literacy in science should be adjusted to reference these standards and additional text should be added the Framework</w:t>
      </w:r>
      <w:r w:rsidR="006E4854">
        <w:t>’s</w:t>
      </w:r>
      <w:r>
        <w:t xml:space="preserve"> introductory sections</w:t>
      </w:r>
      <w:r w:rsidR="006E4854">
        <w:t xml:space="preserve"> to emphasize the interdependent nature of STE and literacy instruction</w:t>
      </w:r>
      <w:r>
        <w:t>.</w:t>
      </w:r>
    </w:p>
    <w:p w14:paraId="7C635CD4" w14:textId="77777777" w:rsidR="00803697" w:rsidRDefault="00803697" w:rsidP="00803697"/>
    <w:p w14:paraId="0AED1E6A" w14:textId="77777777" w:rsidR="003F4FE1" w:rsidRPr="001F299B" w:rsidRDefault="003F4FE1" w:rsidP="00D35B67">
      <w:pPr>
        <w:keepNext/>
        <w:numPr>
          <w:ilvl w:val="0"/>
          <w:numId w:val="2"/>
        </w:numPr>
        <w:tabs>
          <w:tab w:val="clear" w:pos="720"/>
          <w:tab w:val="num" w:pos="360"/>
        </w:tabs>
        <w:spacing w:after="120"/>
        <w:ind w:left="360"/>
        <w:rPr>
          <w:b/>
        </w:rPr>
      </w:pPr>
      <w:r>
        <w:rPr>
          <w:b/>
        </w:rPr>
        <w:t xml:space="preserve">Present </w:t>
      </w:r>
      <w:r w:rsidR="006326C4" w:rsidRPr="006326C4">
        <w:rPr>
          <w:b/>
        </w:rPr>
        <w:t>Pre-K–</w:t>
      </w:r>
      <w:r>
        <w:rPr>
          <w:b/>
        </w:rPr>
        <w:t>2, 3–5 and 6–8</w:t>
      </w:r>
      <w:r w:rsidRPr="001F299B">
        <w:rPr>
          <w:b/>
        </w:rPr>
        <w:t xml:space="preserve"> STE standards as grade-span standards </w:t>
      </w:r>
      <w:r w:rsidRPr="001F299B">
        <w:rPr>
          <w:b/>
          <w:i/>
        </w:rPr>
        <w:t xml:space="preserve">with recommendations for </w:t>
      </w:r>
      <w:r w:rsidRPr="001F299B">
        <w:rPr>
          <w:b/>
        </w:rPr>
        <w:t xml:space="preserve">grade-by-grade standards. </w:t>
      </w:r>
    </w:p>
    <w:p w14:paraId="45B4837A" w14:textId="77777777" w:rsidR="003F4FE1" w:rsidRDefault="003F4FE1" w:rsidP="003F4FE1">
      <w:pPr>
        <w:spacing w:after="120"/>
        <w:ind w:left="360"/>
      </w:pPr>
      <w:r>
        <w:t>C</w:t>
      </w:r>
      <w:r w:rsidRPr="00F23159">
        <w:t xml:space="preserve">ontinuing grade-span </w:t>
      </w:r>
      <w:r>
        <w:t>standards</w:t>
      </w:r>
      <w:r w:rsidRPr="00F23159">
        <w:t xml:space="preserve"> allows for continued variation of curricular design</w:t>
      </w:r>
      <w:r w:rsidR="00803697">
        <w:t>,</w:t>
      </w:r>
      <w:r w:rsidRPr="00F23159">
        <w:t xml:space="preserve"> while</w:t>
      </w:r>
      <w:r w:rsidRPr="00C52890">
        <w:t xml:space="preserve"> </w:t>
      </w:r>
      <w:r>
        <w:t>c</w:t>
      </w:r>
      <w:r w:rsidRPr="00F23159">
        <w:t>oding standards to specific grades support</w:t>
      </w:r>
      <w:r>
        <w:t>s alignment of curricula</w:t>
      </w:r>
      <w:r w:rsidRPr="00F23159">
        <w:t xml:space="preserve"> across schools and districts. Grade-by-grade standards can support students who move between schools or districts</w:t>
      </w:r>
      <w:r w:rsidR="00646F70">
        <w:t xml:space="preserve">, </w:t>
      </w:r>
      <w:r w:rsidR="00646F70" w:rsidRPr="000359CB">
        <w:t>particularl</w:t>
      </w:r>
      <w:r w:rsidR="00646F70">
        <w:t>y in urban districts where student mobility is common. While t</w:t>
      </w:r>
      <w:r w:rsidRPr="00F23159">
        <w:t>here is not</w:t>
      </w:r>
      <w:r w:rsidR="00646F70">
        <w:t xml:space="preserve"> </w:t>
      </w:r>
      <w:r w:rsidRPr="00F23159">
        <w:t>a research base articulatin</w:t>
      </w:r>
      <w:r w:rsidRPr="00646F70">
        <w:t xml:space="preserve">g </w:t>
      </w:r>
      <w:r w:rsidR="00646F70" w:rsidRPr="00646F70">
        <w:t xml:space="preserve">what </w:t>
      </w:r>
      <w:r w:rsidR="000359CB">
        <w:t>specific</w:t>
      </w:r>
      <w:r w:rsidR="00646F70" w:rsidRPr="00646F70">
        <w:t xml:space="preserve"> grade a scientific or technology/engineering concept should be introduced</w:t>
      </w:r>
      <w:r w:rsidRPr="00646F70">
        <w:t>,</w:t>
      </w:r>
      <w:r w:rsidRPr="00646F70">
        <w:rPr>
          <w:rStyle w:val="FootnoteReference"/>
        </w:rPr>
        <w:footnoteReference w:id="5"/>
      </w:r>
      <w:r w:rsidRPr="00646F70">
        <w:t xml:space="preserve"> </w:t>
      </w:r>
      <w:r w:rsidR="00646F70" w:rsidRPr="00646F70">
        <w:t xml:space="preserve">the judgment of experienced educators with strong content area knowledge can inform this task. </w:t>
      </w:r>
      <w:r w:rsidRPr="00646F70">
        <w:t>In</w:t>
      </w:r>
      <w:r w:rsidRPr="00F23159">
        <w:t xml:space="preserve"> the initial pu</w:t>
      </w:r>
      <w:r>
        <w:t>blic survey (MA ESE, 2009; n=462), 57</w:t>
      </w:r>
      <w:r w:rsidRPr="00F23159">
        <w:t xml:space="preserve">% of those who teach grades </w:t>
      </w:r>
      <w:r w:rsidR="006326C4" w:rsidRPr="006E1B9A">
        <w:t>Pre-K–</w:t>
      </w:r>
      <w:r>
        <w:t>8</w:t>
      </w:r>
      <w:r w:rsidRPr="00F23159">
        <w:t xml:space="preserve"> suggested grade-by-grade standards should be articulated,</w:t>
      </w:r>
      <w:r>
        <w:rPr>
          <w:rStyle w:val="FootnoteReference"/>
        </w:rPr>
        <w:footnoteReference w:id="6"/>
      </w:r>
      <w:r w:rsidRPr="00F23159">
        <w:t xml:space="preserve"> but there was an overall them</w:t>
      </w:r>
      <w:r>
        <w:t>e</w:t>
      </w:r>
      <w:r w:rsidRPr="00F23159">
        <w:t xml:space="preserve"> that curricular flexibility is important. This is </w:t>
      </w:r>
      <w:r w:rsidR="000359CB">
        <w:t>especially</w:t>
      </w:r>
      <w:r w:rsidRPr="00F23159">
        <w:t xml:space="preserve"> the case in middle school</w:t>
      </w:r>
      <w:r>
        <w:t>s</w:t>
      </w:r>
      <w:r w:rsidRPr="00F23159">
        <w:t xml:space="preserve"> where about half implement a</w:t>
      </w:r>
      <w:r>
        <w:t>n</w:t>
      </w:r>
      <w:r w:rsidRPr="00F23159">
        <w:t xml:space="preserve"> </w:t>
      </w:r>
      <w:r>
        <w:t>integrated</w:t>
      </w:r>
      <w:r w:rsidRPr="00F23159">
        <w:t xml:space="preserve"> </w:t>
      </w:r>
      <w:r>
        <w:t>curriculum</w:t>
      </w:r>
      <w:r w:rsidRPr="00F23159">
        <w:t xml:space="preserve"> and about half </w:t>
      </w:r>
      <w:r>
        <w:t>implement a discipline-specific</w:t>
      </w:r>
      <w:r w:rsidRPr="00F23159">
        <w:t xml:space="preserve"> </w:t>
      </w:r>
      <w:r>
        <w:t>curriculum</w:t>
      </w:r>
      <w:r w:rsidR="00646F70" w:rsidRPr="00F23159">
        <w:rPr>
          <w:rStyle w:val="FootnoteReference"/>
        </w:rPr>
        <w:footnoteReference w:id="7"/>
      </w:r>
      <w:r w:rsidRPr="00F23159">
        <w:t xml:space="preserve"> (MA ESE, 2009). </w:t>
      </w:r>
      <w:r w:rsidRPr="00D2331C">
        <w:t>I</w:t>
      </w:r>
      <w:r>
        <w:t>n addition, the grades 5 and</w:t>
      </w:r>
      <w:r w:rsidRPr="00D2331C">
        <w:t xml:space="preserve"> 8 STE MCAS tests will continue to assess the standards for all three years of </w:t>
      </w:r>
      <w:r w:rsidRPr="00D2331C">
        <w:lastRenderedPageBreak/>
        <w:t xml:space="preserve">each </w:t>
      </w:r>
      <w:r>
        <w:t xml:space="preserve">grade </w:t>
      </w:r>
      <w:r w:rsidRPr="00D2331C">
        <w:t xml:space="preserve">span. </w:t>
      </w:r>
      <w:r w:rsidRPr="00F23159">
        <w:t xml:space="preserve">As the Department will be presenting standards electronically in addition to a printed framework, </w:t>
      </w:r>
      <w:r>
        <w:t>districts will be able to query standards from either perspective.</w:t>
      </w:r>
      <w:r w:rsidR="00646F70">
        <w:t xml:space="preserve"> </w:t>
      </w:r>
    </w:p>
    <w:p w14:paraId="3924B749" w14:textId="77777777" w:rsidR="003F4FE1" w:rsidRPr="00CD5971" w:rsidRDefault="003F4FE1" w:rsidP="003F4FE1">
      <w:pPr>
        <w:numPr>
          <w:ilvl w:val="1"/>
          <w:numId w:val="2"/>
        </w:numPr>
        <w:tabs>
          <w:tab w:val="num" w:pos="1080"/>
        </w:tabs>
        <w:spacing w:after="120"/>
        <w:ind w:left="1080"/>
      </w:pPr>
      <w:r>
        <w:t>The</w:t>
      </w:r>
      <w:r w:rsidR="006326C4" w:rsidRPr="006326C4">
        <w:t xml:space="preserve"> </w:t>
      </w:r>
      <w:r w:rsidR="006326C4" w:rsidRPr="006E1B9A">
        <w:t>Pre-K–</w:t>
      </w:r>
      <w:r w:rsidRPr="00C52890">
        <w:t>2, 3–5 and 6–</w:t>
      </w:r>
      <w:r>
        <w:t xml:space="preserve">8 standards should be presented as grade-span </w:t>
      </w:r>
      <w:r w:rsidRPr="000769AE">
        <w:rPr>
          <w:i/>
        </w:rPr>
        <w:t>with recommendations for</w:t>
      </w:r>
      <w:r>
        <w:t xml:space="preserve"> grade-by-grade standards. While grade-span standards maintain options for curricular flexibility, grade-by-grade standards will provide alignment for those who choose it.</w:t>
      </w:r>
    </w:p>
    <w:p w14:paraId="50984ECD" w14:textId="77777777" w:rsidR="003F4FE1" w:rsidRDefault="003F4FE1" w:rsidP="003F4FE1">
      <w:pPr>
        <w:numPr>
          <w:ilvl w:val="1"/>
          <w:numId w:val="2"/>
        </w:numPr>
        <w:tabs>
          <w:tab w:val="num" w:pos="1080"/>
        </w:tabs>
        <w:ind w:left="1080"/>
      </w:pPr>
      <w:r w:rsidRPr="00C14033">
        <w:t xml:space="preserve">Without specific research to guide the development of </w:t>
      </w:r>
      <w:r>
        <w:t>grade-by-grade standards, determining whic</w:t>
      </w:r>
      <w:r w:rsidRPr="000359CB">
        <w:t>h particular st</w:t>
      </w:r>
      <w:r>
        <w:t xml:space="preserve">andard belongs in a </w:t>
      </w:r>
      <w:r w:rsidR="000359CB">
        <w:t>specific</w:t>
      </w:r>
      <w:r>
        <w:t xml:space="preserve"> grade should rely on the following guidelines: </w:t>
      </w:r>
    </w:p>
    <w:p w14:paraId="7E13DBCC" w14:textId="77777777" w:rsidR="003F4FE1" w:rsidRDefault="003F4FE1" w:rsidP="003F4FE1">
      <w:pPr>
        <w:numPr>
          <w:ilvl w:val="2"/>
          <w:numId w:val="2"/>
        </w:numPr>
      </w:pPr>
      <w:r>
        <w:t>A concept should not be introduced at a grade level earlier than the summary of research (concept and skill progression) suggests is reasonable.</w:t>
      </w:r>
    </w:p>
    <w:p w14:paraId="5AE40C55" w14:textId="77777777" w:rsidR="003F4FE1" w:rsidRPr="00C14033" w:rsidRDefault="003F4FE1" w:rsidP="003F4FE1">
      <w:pPr>
        <w:numPr>
          <w:ilvl w:val="2"/>
          <w:numId w:val="2"/>
        </w:numPr>
      </w:pPr>
      <w:r>
        <w:t xml:space="preserve">Each </w:t>
      </w:r>
      <w:r w:rsidRPr="00711F9A">
        <w:rPr>
          <w:i/>
        </w:rPr>
        <w:t>topic</w:t>
      </w:r>
      <w:r>
        <w:t xml:space="preserve"> within a grade level should allow for </w:t>
      </w:r>
      <w:r w:rsidRPr="00711F9A">
        <w:rPr>
          <w:i/>
        </w:rPr>
        <w:t>curricular depth</w:t>
      </w:r>
      <w:r>
        <w:t xml:space="preserve">: a set of related standards that can form a quality unit of study for that topic (NRC, 2007; USED, 2006). Achieving a desired depth of student learning of a topic will generally require multiple related standards in the grade. </w:t>
      </w:r>
    </w:p>
    <w:p w14:paraId="79B9F004" w14:textId="77777777" w:rsidR="003F4FE1" w:rsidRDefault="003F4FE1" w:rsidP="003F4FE1">
      <w:pPr>
        <w:numPr>
          <w:ilvl w:val="2"/>
          <w:numId w:val="2"/>
        </w:numPr>
      </w:pPr>
      <w:r w:rsidRPr="00C14033">
        <w:t xml:space="preserve">Each </w:t>
      </w:r>
      <w:r w:rsidRPr="00711F9A">
        <w:rPr>
          <w:i/>
        </w:rPr>
        <w:t>grade level</w:t>
      </w:r>
      <w:r>
        <w:t xml:space="preserve"> should have standards that allow for </w:t>
      </w:r>
      <w:r w:rsidRPr="00711F9A">
        <w:rPr>
          <w:i/>
        </w:rPr>
        <w:t>curricular coherence</w:t>
      </w:r>
      <w:r>
        <w:t>: the possibility of curricular interrelationships or integration of standards and topics within or across instructional units (</w:t>
      </w:r>
      <w:r w:rsidRPr="0024328B">
        <w:t>NRC, 2007</w:t>
      </w:r>
      <w:r>
        <w:t>; USED, 2006</w:t>
      </w:r>
      <w:r w:rsidRPr="0024328B">
        <w:t>)</w:t>
      </w:r>
      <w:r>
        <w:t>.</w:t>
      </w:r>
    </w:p>
    <w:p w14:paraId="6D39D32B" w14:textId="77777777" w:rsidR="003F4FE1" w:rsidRDefault="003F4FE1" w:rsidP="003F4FE1">
      <w:pPr>
        <w:numPr>
          <w:ilvl w:val="2"/>
          <w:numId w:val="2"/>
        </w:numPr>
      </w:pPr>
      <w:r>
        <w:t>Opportunity-to-learn gaps of 3 or more years should be avoided.</w:t>
      </w:r>
    </w:p>
    <w:p w14:paraId="5E67136D" w14:textId="77777777" w:rsidR="003F4FE1" w:rsidRDefault="003F4FE1" w:rsidP="003F4FE1">
      <w:pPr>
        <w:numPr>
          <w:ilvl w:val="2"/>
          <w:numId w:val="2"/>
        </w:numPr>
      </w:pPr>
      <w:r>
        <w:t xml:space="preserve">Consideration should be made for when the student has the necessary mathematics to successfully engage with a </w:t>
      </w:r>
      <w:r w:rsidRPr="000359CB">
        <w:t>particular scienc</w:t>
      </w:r>
      <w:r>
        <w:t>e standard.</w:t>
      </w:r>
    </w:p>
    <w:p w14:paraId="336131B6" w14:textId="77777777" w:rsidR="003F4FE1" w:rsidRDefault="003F4FE1" w:rsidP="003F4FE1"/>
    <w:p w14:paraId="32BCE949" w14:textId="77777777" w:rsidR="003F4FE1" w:rsidRPr="00F23159" w:rsidRDefault="003F4FE1" w:rsidP="003F4FE1">
      <w:pPr>
        <w:numPr>
          <w:ilvl w:val="0"/>
          <w:numId w:val="2"/>
        </w:numPr>
        <w:tabs>
          <w:tab w:val="clear" w:pos="720"/>
          <w:tab w:val="num" w:pos="360"/>
        </w:tabs>
        <w:spacing w:after="120"/>
        <w:ind w:left="360"/>
        <w:rPr>
          <w:b/>
        </w:rPr>
      </w:pPr>
      <w:r w:rsidRPr="00F23159">
        <w:rPr>
          <w:b/>
        </w:rPr>
        <w:t>Prov</w:t>
      </w:r>
      <w:r>
        <w:rPr>
          <w:b/>
        </w:rPr>
        <w:t xml:space="preserve">ide recommendations in the </w:t>
      </w:r>
      <w:r w:rsidRPr="00803697">
        <w:rPr>
          <w:b/>
          <w:i/>
        </w:rPr>
        <w:t>Framework</w:t>
      </w:r>
      <w:r w:rsidRPr="00F23159">
        <w:rPr>
          <w:b/>
        </w:rPr>
        <w:t xml:space="preserve"> that support college and career readiness in science and technology/engineering, including </w:t>
      </w:r>
      <w:r w:rsidRPr="006452A0">
        <w:rPr>
          <w:b/>
        </w:rPr>
        <w:t xml:space="preserve">desired </w:t>
      </w:r>
      <w:r w:rsidR="00A90718">
        <w:rPr>
          <w:b/>
        </w:rPr>
        <w:t xml:space="preserve">STE </w:t>
      </w:r>
      <w:r w:rsidR="00323FE5">
        <w:rPr>
          <w:b/>
        </w:rPr>
        <w:t>practices</w:t>
      </w:r>
      <w:r w:rsidRPr="006452A0">
        <w:rPr>
          <w:rStyle w:val="FootnoteReference"/>
          <w:b/>
        </w:rPr>
        <w:footnoteReference w:id="8"/>
      </w:r>
      <w:r w:rsidRPr="006452A0">
        <w:rPr>
          <w:b/>
        </w:rPr>
        <w:t xml:space="preserve"> and possible course taking options</w:t>
      </w:r>
      <w:r w:rsidRPr="00F23159">
        <w:rPr>
          <w:b/>
        </w:rPr>
        <w:t xml:space="preserve">. </w:t>
      </w:r>
    </w:p>
    <w:p w14:paraId="144E6B04" w14:textId="77777777" w:rsidR="003F4FE1" w:rsidRDefault="003F4FE1" w:rsidP="003F4FE1">
      <w:pPr>
        <w:spacing w:after="120"/>
        <w:ind w:left="360"/>
      </w:pPr>
      <w:r>
        <w:t xml:space="preserve">College and career readiness </w:t>
      </w:r>
      <w:proofErr w:type="gramStart"/>
      <w:r>
        <w:t>is</w:t>
      </w:r>
      <w:proofErr w:type="gramEnd"/>
      <w:r>
        <w:t xml:space="preserve"> the result of consistent STE instruction over time, building on student’s early dispositions of investigation and design to achieve certain </w:t>
      </w:r>
      <w:r w:rsidR="00323FE5">
        <w:t>practices</w:t>
      </w:r>
      <w:r>
        <w:t>, skills, and conceptual understandings. Effective STE instruction provides students exposure to a breadth of subject knowledge and skills as well as a depth of learning through extended investigation and design necessary for college and career readiness in STE.</w:t>
      </w:r>
      <w:r w:rsidR="002C536C">
        <w:t xml:space="preserve"> The revised </w:t>
      </w:r>
      <w:r w:rsidR="002C536C" w:rsidRPr="002C536C">
        <w:rPr>
          <w:i/>
        </w:rPr>
        <w:t>Framework</w:t>
      </w:r>
      <w:r w:rsidR="002C536C">
        <w:t xml:space="preserve"> needs to go beyond the current </w:t>
      </w:r>
      <w:r w:rsidR="002C536C" w:rsidRPr="002C536C">
        <w:rPr>
          <w:i/>
        </w:rPr>
        <w:t>Framework</w:t>
      </w:r>
      <w:r w:rsidR="002C536C">
        <w:t xml:space="preserve"> which </w:t>
      </w:r>
      <w:r w:rsidR="00481AB2">
        <w:t xml:space="preserve">does </w:t>
      </w:r>
      <w:r w:rsidR="002C536C">
        <w:t>not make recommendation</w:t>
      </w:r>
      <w:r w:rsidR="00257445">
        <w:t>s</w:t>
      </w:r>
      <w:r w:rsidR="002C536C">
        <w:t xml:space="preserve"> for high school courses beyond the “introductory” 9</w:t>
      </w:r>
      <w:r w:rsidR="002C536C" w:rsidRPr="002C536C">
        <w:rPr>
          <w:vertAlign w:val="superscript"/>
        </w:rPr>
        <w:t>th</w:t>
      </w:r>
      <w:r w:rsidR="002C536C">
        <w:t xml:space="preserve"> or 10</w:t>
      </w:r>
      <w:r w:rsidR="002C536C" w:rsidRPr="002C536C">
        <w:rPr>
          <w:vertAlign w:val="superscript"/>
        </w:rPr>
        <w:t>th</w:t>
      </w:r>
      <w:r w:rsidR="002C536C">
        <w:t xml:space="preserve"> grade standards</w:t>
      </w:r>
      <w:r w:rsidR="00257445">
        <w:t xml:space="preserve"> nor </w:t>
      </w:r>
      <w:r w:rsidR="00481AB2">
        <w:t xml:space="preserve">systematically </w:t>
      </w:r>
      <w:r w:rsidR="00257445">
        <w:t>addresses</w:t>
      </w:r>
      <w:r w:rsidR="002C536C">
        <w:t xml:space="preserve"> career and college readiness. </w:t>
      </w:r>
    </w:p>
    <w:p w14:paraId="1F6C3599" w14:textId="77777777" w:rsidR="003F4FE1" w:rsidRDefault="003F4FE1" w:rsidP="003F4FE1">
      <w:pPr>
        <w:numPr>
          <w:ilvl w:val="1"/>
          <w:numId w:val="2"/>
        </w:numPr>
        <w:tabs>
          <w:tab w:val="num" w:pos="1080"/>
        </w:tabs>
        <w:spacing w:after="120"/>
        <w:ind w:left="1080"/>
      </w:pPr>
      <w:r>
        <w:t xml:space="preserve">The </w:t>
      </w:r>
      <w:r w:rsidRPr="00803697">
        <w:rPr>
          <w:i/>
        </w:rPr>
        <w:t>Framework</w:t>
      </w:r>
      <w:r>
        <w:t xml:space="preserve"> should include a list of STE-focused </w:t>
      </w:r>
      <w:r w:rsidR="00323FE5">
        <w:t>practices</w:t>
      </w:r>
      <w:r>
        <w:t xml:space="preserve"> </w:t>
      </w:r>
      <w:r w:rsidRPr="00B32650">
        <w:t xml:space="preserve">(in addition to the concepts and skills) </w:t>
      </w:r>
      <w:r>
        <w:t>that contribute to college and career readiness (</w:t>
      </w:r>
      <w:r w:rsidRPr="0085623B">
        <w:t>Conley</w:t>
      </w:r>
      <w:r w:rsidRPr="005E2E2F">
        <w:t>, 2005</w:t>
      </w:r>
      <w:r>
        <w:t xml:space="preserve">). STE </w:t>
      </w:r>
      <w:r w:rsidR="00323FE5">
        <w:t>practices</w:t>
      </w:r>
      <w:r>
        <w:t xml:space="preserve"> include, for example, </w:t>
      </w:r>
      <w:r w:rsidRPr="00E478C6">
        <w:rPr>
          <w:rFonts w:ascii="TimesNewRomanPSMT" w:hAnsi="TimesNewRomanPSMT" w:cs="TimesNewRomanPSMT"/>
          <w:i/>
          <w:lang w:bidi="en-US"/>
        </w:rPr>
        <w:t>curiosity, attention to evidence, analytical reasoning, precision and accuracy, problem solving,</w:t>
      </w:r>
      <w:r w:rsidRPr="005C41D8">
        <w:rPr>
          <w:rFonts w:ascii="TimesNewRomanPSMT" w:hAnsi="TimesNewRomanPSMT" w:cs="TimesNewRomanPSMT"/>
          <w:lang w:bidi="en-US"/>
        </w:rPr>
        <w:t xml:space="preserve"> and </w:t>
      </w:r>
      <w:r w:rsidRPr="00E478C6">
        <w:rPr>
          <w:rFonts w:ascii="TimesNewRomanPSMT" w:hAnsi="TimesNewRomanPSMT" w:cs="TimesNewRomanPSMT"/>
          <w:i/>
          <w:lang w:bidi="en-US"/>
        </w:rPr>
        <w:t>ethical decision-making</w:t>
      </w:r>
      <w:r w:rsidRPr="005C41D8">
        <w:t>.</w:t>
      </w:r>
      <w:r>
        <w:t xml:space="preserve"> </w:t>
      </w:r>
    </w:p>
    <w:p w14:paraId="1550EA74" w14:textId="77777777" w:rsidR="003F4FE1" w:rsidRDefault="003F4FE1" w:rsidP="003F4FE1">
      <w:pPr>
        <w:numPr>
          <w:ilvl w:val="1"/>
          <w:numId w:val="2"/>
        </w:numPr>
        <w:tabs>
          <w:tab w:val="num" w:pos="1080"/>
        </w:tabs>
        <w:spacing w:after="120"/>
        <w:ind w:left="1080"/>
      </w:pPr>
      <w:r>
        <w:t xml:space="preserve">The </w:t>
      </w:r>
      <w:r w:rsidRPr="00803697">
        <w:rPr>
          <w:i/>
        </w:rPr>
        <w:t>Framework</w:t>
      </w:r>
      <w:r>
        <w:t xml:space="preserve"> should recommend that students take a minimum of 3, and ideally 4, lab-based high school science and technology/engineering courses.</w:t>
      </w:r>
      <w:r w:rsidR="002C536C">
        <w:t xml:space="preserve"> </w:t>
      </w:r>
      <w:r w:rsidR="002C536C" w:rsidRPr="002C536C">
        <w:t>MassCore recommends a minimum of 3 lab-based STE courses</w:t>
      </w:r>
      <w:r w:rsidR="002C536C">
        <w:t xml:space="preserve"> </w:t>
      </w:r>
      <w:r w:rsidR="002C536C" w:rsidRPr="002C536C">
        <w:t>(MA ESE, 2008).</w:t>
      </w:r>
    </w:p>
    <w:p w14:paraId="5C3F1CA3" w14:textId="77777777" w:rsidR="003F4FE1" w:rsidRDefault="003F4FE1" w:rsidP="003F4FE1">
      <w:pPr>
        <w:numPr>
          <w:ilvl w:val="1"/>
          <w:numId w:val="2"/>
        </w:numPr>
        <w:tabs>
          <w:tab w:val="num" w:pos="1080"/>
        </w:tabs>
        <w:spacing w:after="120"/>
        <w:ind w:left="1080"/>
      </w:pPr>
      <w:r>
        <w:lastRenderedPageBreak/>
        <w:t xml:space="preserve">To achieve a breadth of STE learning, the </w:t>
      </w:r>
      <w:r w:rsidRPr="00803697">
        <w:rPr>
          <w:i/>
        </w:rPr>
        <w:t>Framework</w:t>
      </w:r>
      <w:r>
        <w:t xml:space="preserve"> should recommend that high school students have an opportunity to learn at least three STE </w:t>
      </w:r>
      <w:r w:rsidRPr="00B70BCC">
        <w:t>disciplines</w:t>
      </w:r>
      <w:r>
        <w:t xml:space="preserve">. This may be accomplished by taking any combination of “introductory” and upper-level elective courses. Common pathways </w:t>
      </w:r>
      <w:proofErr w:type="gramStart"/>
      <w:r>
        <w:t>include:</w:t>
      </w:r>
      <w:proofErr w:type="gramEnd"/>
      <w:r>
        <w:t xml:space="preserve"> a) 3 “introductory” high school courses; or b) 2 “introductory” high school courses and a different elective course. </w:t>
      </w:r>
      <w:r w:rsidR="00481AB2">
        <w:t xml:space="preserve">The Review Panel </w:t>
      </w:r>
      <w:r w:rsidR="00323FE5">
        <w:t>will</w:t>
      </w:r>
      <w:r w:rsidR="00481AB2">
        <w:t xml:space="preserve"> not recommend a particular sequence of high school STE courses.</w:t>
      </w:r>
    </w:p>
    <w:p w14:paraId="7C3A7167" w14:textId="77777777" w:rsidR="003F4FE1" w:rsidRDefault="003F4FE1" w:rsidP="003F4FE1">
      <w:pPr>
        <w:numPr>
          <w:ilvl w:val="1"/>
          <w:numId w:val="2"/>
        </w:numPr>
        <w:tabs>
          <w:tab w:val="num" w:pos="1080"/>
        </w:tabs>
        <w:spacing w:after="120"/>
        <w:ind w:left="1080"/>
      </w:pPr>
      <w:r w:rsidRPr="003C434A">
        <w:t>To achieve a depth of STE learning,</w:t>
      </w:r>
      <w:r>
        <w:rPr>
          <w:b/>
        </w:rPr>
        <w:t xml:space="preserve"> </w:t>
      </w:r>
      <w:r>
        <w:t xml:space="preserve">each of the 5 “introductory” high school courses in the </w:t>
      </w:r>
      <w:r w:rsidRPr="00803697">
        <w:rPr>
          <w:i/>
        </w:rPr>
        <w:t>Framework</w:t>
      </w:r>
      <w:r>
        <w:t xml:space="preserve"> should provide students with an opportunity to investigate at least one topic in-depth (</w:t>
      </w:r>
      <w:r w:rsidRPr="0085623B">
        <w:t>Schwartz et al, 2008</w:t>
      </w:r>
      <w:r>
        <w:t>). Each upper level elective course should continue to provide opportunities for in-depth study and investigation.</w:t>
      </w:r>
    </w:p>
    <w:p w14:paraId="691D749A" w14:textId="77777777" w:rsidR="003F4FE1" w:rsidRDefault="003F4FE1" w:rsidP="003F4FE1">
      <w:pPr>
        <w:spacing w:after="120"/>
        <w:ind w:left="1080"/>
      </w:pPr>
      <w:r>
        <w:t xml:space="preserve">Students should also have the opportunity to complete a capstone STE project in their final years of high school. This could be completed during an upper level elective course, as a separate experience in school, or through engagement with an out-of school STE opportunity. Such experiences may be an internship, science fair project, or online collaboration on </w:t>
      </w:r>
      <w:proofErr w:type="gramStart"/>
      <w:r>
        <w:t>an</w:t>
      </w:r>
      <w:proofErr w:type="gramEnd"/>
      <w:r>
        <w:t xml:space="preserve"> STE investigation. The </w:t>
      </w:r>
      <w:r w:rsidRPr="00803697">
        <w:rPr>
          <w:i/>
        </w:rPr>
        <w:t>Framework</w:t>
      </w:r>
      <w:r>
        <w:t xml:space="preserve"> can include a rubric with general criteria or characteristics that define a successful capstone project.</w:t>
      </w:r>
    </w:p>
    <w:p w14:paraId="2A0F1F46" w14:textId="77777777" w:rsidR="003F4FE1" w:rsidRPr="00B70BCC" w:rsidRDefault="003F4FE1" w:rsidP="003F4FE1"/>
    <w:p w14:paraId="212F866A" w14:textId="77777777" w:rsidR="003F4FE1" w:rsidRPr="00F23159" w:rsidRDefault="003F4FE1" w:rsidP="003F4FE1">
      <w:pPr>
        <w:numPr>
          <w:ilvl w:val="0"/>
          <w:numId w:val="2"/>
        </w:numPr>
        <w:tabs>
          <w:tab w:val="clear" w:pos="720"/>
          <w:tab w:val="num" w:pos="360"/>
        </w:tabs>
        <w:spacing w:after="120"/>
        <w:ind w:left="360"/>
        <w:rPr>
          <w:b/>
        </w:rPr>
      </w:pPr>
      <w:r w:rsidRPr="00F23159">
        <w:rPr>
          <w:b/>
        </w:rPr>
        <w:t>Maintain, update, or add the foll</w:t>
      </w:r>
      <w:r>
        <w:rPr>
          <w:b/>
        </w:rPr>
        <w:t xml:space="preserve">owing resources within the </w:t>
      </w:r>
      <w:r w:rsidRPr="00803697">
        <w:rPr>
          <w:b/>
          <w:i/>
        </w:rPr>
        <w:t>Framework</w:t>
      </w:r>
      <w:r w:rsidRPr="00F23159">
        <w:rPr>
          <w:b/>
        </w:rPr>
        <w:t xml:space="preserve"> to support STE programs, curricula, and instruction:</w:t>
      </w:r>
    </w:p>
    <w:p w14:paraId="37445D03" w14:textId="77777777" w:rsidR="00257445" w:rsidRPr="005C41D8" w:rsidRDefault="00257445" w:rsidP="00257445">
      <w:pPr>
        <w:numPr>
          <w:ilvl w:val="1"/>
          <w:numId w:val="2"/>
        </w:numPr>
        <w:tabs>
          <w:tab w:val="num" w:pos="1080"/>
        </w:tabs>
        <w:ind w:left="1080"/>
      </w:pPr>
      <w:r w:rsidRPr="005C41D8">
        <w:t xml:space="preserve">Assumed time and basic materials for STE instruction </w:t>
      </w:r>
      <w:r>
        <w:t>at each grade span</w:t>
      </w:r>
    </w:p>
    <w:p w14:paraId="54B10106" w14:textId="77777777" w:rsidR="003F4FE1" w:rsidRDefault="003F4FE1" w:rsidP="003F4FE1">
      <w:pPr>
        <w:numPr>
          <w:ilvl w:val="1"/>
          <w:numId w:val="2"/>
        </w:numPr>
        <w:tabs>
          <w:tab w:val="num" w:pos="1080"/>
        </w:tabs>
        <w:ind w:left="1080"/>
      </w:pPr>
      <w:r>
        <w:t>Explicit connections to other subject areas, particularly mathematics</w:t>
      </w:r>
    </w:p>
    <w:p w14:paraId="25812137" w14:textId="77777777" w:rsidR="003F4FE1" w:rsidRDefault="00257445" w:rsidP="003F4FE1">
      <w:pPr>
        <w:numPr>
          <w:ilvl w:val="1"/>
          <w:numId w:val="2"/>
        </w:numPr>
        <w:tabs>
          <w:tab w:val="num" w:pos="1080"/>
        </w:tabs>
        <w:ind w:left="1080"/>
      </w:pPr>
      <w:r>
        <w:t xml:space="preserve">Updated </w:t>
      </w:r>
      <w:r w:rsidR="003F4FE1">
        <w:t xml:space="preserve">glossary to include both STE terms and cognitive terminology </w:t>
      </w:r>
    </w:p>
    <w:p w14:paraId="65E4133E" w14:textId="77777777" w:rsidR="003F4FE1" w:rsidRDefault="003F4FE1" w:rsidP="003F4FE1">
      <w:pPr>
        <w:numPr>
          <w:ilvl w:val="1"/>
          <w:numId w:val="2"/>
        </w:numPr>
        <w:tabs>
          <w:tab w:val="num" w:pos="1080"/>
        </w:tabs>
        <w:ind w:left="1080"/>
      </w:pPr>
      <w:r>
        <w:t>Sample course syllabi for upper-level STE electives</w:t>
      </w:r>
    </w:p>
    <w:p w14:paraId="79C330AC" w14:textId="77777777" w:rsidR="003F4FE1" w:rsidRDefault="003F4FE1" w:rsidP="003F4FE1">
      <w:pPr>
        <w:numPr>
          <w:ilvl w:val="1"/>
          <w:numId w:val="2"/>
        </w:numPr>
        <w:tabs>
          <w:tab w:val="num" w:pos="1080"/>
        </w:tabs>
        <w:ind w:left="1080"/>
      </w:pPr>
      <w:r>
        <w:t>Statement of the value and use of instructional technology in STE</w:t>
      </w:r>
    </w:p>
    <w:p w14:paraId="502F400D" w14:textId="77777777" w:rsidR="003F4FE1" w:rsidRDefault="003F4FE1" w:rsidP="003F4FE1">
      <w:pPr>
        <w:numPr>
          <w:ilvl w:val="1"/>
          <w:numId w:val="2"/>
        </w:numPr>
        <w:tabs>
          <w:tab w:val="num" w:pos="1080"/>
        </w:tabs>
        <w:ind w:left="1080"/>
      </w:pPr>
      <w:r>
        <w:t>Essential questions to guide curriculum planning</w:t>
      </w:r>
    </w:p>
    <w:p w14:paraId="3FB91F72" w14:textId="77777777" w:rsidR="003F4FE1" w:rsidRDefault="003F4FE1" w:rsidP="003F4FE1">
      <w:pPr>
        <w:numPr>
          <w:ilvl w:val="1"/>
          <w:numId w:val="2"/>
        </w:numPr>
        <w:tabs>
          <w:tab w:val="num" w:pos="1080"/>
        </w:tabs>
        <w:ind w:left="1080"/>
      </w:pPr>
      <w:r>
        <w:t>Update of STE websites and electronic resources</w:t>
      </w:r>
    </w:p>
    <w:p w14:paraId="3BF82165" w14:textId="77777777" w:rsidR="003F4FE1" w:rsidRPr="00B70BCC" w:rsidRDefault="003F4FE1" w:rsidP="003F4FE1"/>
    <w:p w14:paraId="3925F662" w14:textId="77777777" w:rsidR="003F4FE1" w:rsidRDefault="003F4FE1" w:rsidP="003F4FE1">
      <w:pPr>
        <w:tabs>
          <w:tab w:val="num" w:pos="2250"/>
        </w:tabs>
        <w:rPr>
          <w:b/>
        </w:rPr>
      </w:pPr>
    </w:p>
    <w:p w14:paraId="0069ED84" w14:textId="77777777" w:rsidR="00A502BD" w:rsidRPr="00865CD6" w:rsidRDefault="00A502BD" w:rsidP="00A502BD">
      <w:pPr>
        <w:numPr>
          <w:ilvl w:val="0"/>
          <w:numId w:val="2"/>
        </w:numPr>
        <w:tabs>
          <w:tab w:val="clear" w:pos="720"/>
          <w:tab w:val="num" w:pos="360"/>
        </w:tabs>
        <w:spacing w:after="120"/>
        <w:ind w:left="360"/>
        <w:rPr>
          <w:b/>
        </w:rPr>
      </w:pPr>
      <w:r w:rsidRPr="00865CD6">
        <w:rPr>
          <w:b/>
        </w:rPr>
        <w:t xml:space="preserve">Dovetail our revision process to align with the development of </w:t>
      </w:r>
      <w:r w:rsidR="00300224">
        <w:rPr>
          <w:b/>
        </w:rPr>
        <w:t xml:space="preserve">model standards for science and engineering, to be developed </w:t>
      </w:r>
      <w:r w:rsidR="008464C1">
        <w:rPr>
          <w:b/>
        </w:rPr>
        <w:t xml:space="preserve">in collaboration with states, </w:t>
      </w:r>
      <w:r w:rsidR="00300224">
        <w:rPr>
          <w:b/>
        </w:rPr>
        <w:t xml:space="preserve">national </w:t>
      </w:r>
      <w:r w:rsidR="008464C1">
        <w:rPr>
          <w:b/>
        </w:rPr>
        <w:t xml:space="preserve">science and engineering </w:t>
      </w:r>
      <w:r w:rsidR="00300224">
        <w:rPr>
          <w:b/>
        </w:rPr>
        <w:t>organizations</w:t>
      </w:r>
      <w:r w:rsidR="008464C1">
        <w:rPr>
          <w:b/>
        </w:rPr>
        <w:t>,</w:t>
      </w:r>
      <w:r w:rsidR="00300224">
        <w:rPr>
          <w:b/>
        </w:rPr>
        <w:t xml:space="preserve"> and Achieve. </w:t>
      </w:r>
    </w:p>
    <w:p w14:paraId="7AC9813E" w14:textId="77777777" w:rsidR="006220E1" w:rsidRDefault="00300224" w:rsidP="00300224">
      <w:pPr>
        <w:spacing w:after="120"/>
        <w:ind w:left="360"/>
      </w:pPr>
      <w:r>
        <w:t>Several national organizations, including the National Research Council</w:t>
      </w:r>
      <w:r w:rsidR="008073C1">
        <w:t xml:space="preserve"> (NRC)</w:t>
      </w:r>
      <w:r>
        <w:t xml:space="preserve">, the National Science Teachers Association, the American Association for the Advancement of Science, the National Association of Boards of Education, and Achieve, Inc., will convene to </w:t>
      </w:r>
      <w:r w:rsidRPr="007D22B0">
        <w:t>develop model standards</w:t>
      </w:r>
      <w:r>
        <w:t xml:space="preserve"> for science and engineering for states to consider adopting. </w:t>
      </w:r>
      <w:r w:rsidR="008073C1">
        <w:t xml:space="preserve">The process will begin with the NRC, which is producing </w:t>
      </w:r>
      <w:r w:rsidR="008073C1">
        <w:rPr>
          <w:i/>
        </w:rPr>
        <w:t>A Conceptual Framework for New Science Education Standards</w:t>
      </w:r>
      <w:r w:rsidR="008073C1">
        <w:t xml:space="preserve">, to guide the development of model standards for science and engineering. Achieve will then convene states and the national organizations, starting this spring, </w:t>
      </w:r>
      <w:r>
        <w:t xml:space="preserve">and </w:t>
      </w:r>
      <w:r w:rsidRPr="000E088A">
        <w:t xml:space="preserve">follow a </w:t>
      </w:r>
      <w:r>
        <w:t>process similar to the one</w:t>
      </w:r>
      <w:r w:rsidRPr="000E088A">
        <w:t xml:space="preserve"> used </w:t>
      </w:r>
      <w:r>
        <w:t>for the</w:t>
      </w:r>
      <w:r w:rsidRPr="000E088A">
        <w:t xml:space="preserve"> Common Core standards</w:t>
      </w:r>
      <w:r>
        <w:t xml:space="preserve">. </w:t>
      </w:r>
    </w:p>
    <w:p w14:paraId="1F7032BE" w14:textId="77777777" w:rsidR="00300224" w:rsidRPr="000E088A" w:rsidRDefault="006220E1" w:rsidP="00300224">
      <w:pPr>
        <w:spacing w:after="120"/>
        <w:ind w:left="360"/>
      </w:pPr>
      <w:r>
        <w:t>Our Department’s goal is to provide leadership</w:t>
      </w:r>
      <w:r w:rsidR="00300224" w:rsidRPr="000E088A">
        <w:t xml:space="preserve"> in the development of </w:t>
      </w:r>
      <w:r w:rsidR="00300224">
        <w:t>the model</w:t>
      </w:r>
      <w:r w:rsidR="00300224" w:rsidRPr="000E088A">
        <w:t xml:space="preserve"> standards, using the work of our STE Review Panel</w:t>
      </w:r>
      <w:r>
        <w:t xml:space="preserve"> and the expertise of ESE staff. </w:t>
      </w:r>
      <w:r w:rsidR="008073C1">
        <w:t xml:space="preserve"> </w:t>
      </w:r>
      <w:r>
        <w:t>Our participation will help to inform the Board as they</w:t>
      </w:r>
      <w:r w:rsidR="008073C1">
        <w:t xml:space="preserve"> </w:t>
      </w:r>
      <w:r>
        <w:t xml:space="preserve">deliberate on </w:t>
      </w:r>
      <w:r w:rsidR="00300224">
        <w:t xml:space="preserve">adopting an updated </w:t>
      </w:r>
      <w:r w:rsidR="00300224" w:rsidRPr="006220E1">
        <w:rPr>
          <w:i/>
        </w:rPr>
        <w:t>Framework</w:t>
      </w:r>
      <w:r w:rsidR="00300224">
        <w:t xml:space="preserve"> in 2012.</w:t>
      </w:r>
    </w:p>
    <w:p w14:paraId="2E57779E" w14:textId="77777777" w:rsidR="003F4FE1" w:rsidRPr="005C41D8" w:rsidRDefault="00865CD6" w:rsidP="00A90718">
      <w:pPr>
        <w:spacing w:after="120"/>
      </w:pPr>
      <w:r>
        <w:rPr>
          <w:b/>
        </w:rPr>
        <w:br w:type="page"/>
      </w:r>
      <w:r w:rsidR="003F4FE1" w:rsidRPr="0085623B">
        <w:rPr>
          <w:b/>
        </w:rPr>
        <w:lastRenderedPageBreak/>
        <w:t>References</w:t>
      </w:r>
    </w:p>
    <w:p w14:paraId="6C94C502" w14:textId="77777777" w:rsidR="003F4FE1" w:rsidRPr="008C1BD4" w:rsidRDefault="003F4FE1" w:rsidP="003F4FE1">
      <w:pPr>
        <w:pStyle w:val="pagetitle"/>
        <w:spacing w:before="0" w:beforeAutospacing="0" w:after="0" w:afterAutospacing="0" w:line="240" w:lineRule="auto"/>
        <w:ind w:left="446" w:hanging="446"/>
        <w:rPr>
          <w:rFonts w:ascii="Times New Roman" w:hAnsi="Times New Roman"/>
          <w:b w:val="0"/>
          <w:bCs w:val="0"/>
          <w:color w:val="auto"/>
          <w:sz w:val="24"/>
          <w:szCs w:val="20"/>
        </w:rPr>
      </w:pPr>
      <w:r w:rsidRPr="008C1BD4">
        <w:rPr>
          <w:rFonts w:ascii="Times New Roman" w:hAnsi="Times New Roman"/>
          <w:b w:val="0"/>
          <w:bCs w:val="0"/>
          <w:color w:val="auto"/>
          <w:sz w:val="24"/>
          <w:szCs w:val="20"/>
        </w:rPr>
        <w:t xml:space="preserve">Anderson, L., and Krathwohl, D. </w:t>
      </w:r>
      <w:r>
        <w:rPr>
          <w:rFonts w:ascii="Times New Roman" w:hAnsi="Times New Roman"/>
          <w:b w:val="0"/>
          <w:bCs w:val="0"/>
          <w:color w:val="auto"/>
          <w:sz w:val="24"/>
          <w:szCs w:val="20"/>
        </w:rPr>
        <w:t xml:space="preserve">(Eds.) </w:t>
      </w:r>
      <w:r w:rsidRPr="008C1BD4">
        <w:rPr>
          <w:rFonts w:ascii="Times New Roman" w:hAnsi="Times New Roman"/>
          <w:b w:val="0"/>
          <w:bCs w:val="0"/>
          <w:color w:val="auto"/>
          <w:sz w:val="24"/>
          <w:szCs w:val="20"/>
        </w:rPr>
        <w:t xml:space="preserve">(2001). </w:t>
      </w:r>
      <w:r>
        <w:rPr>
          <w:rFonts w:ascii="Times New Roman" w:hAnsi="Times New Roman"/>
          <w:b w:val="0"/>
          <w:bCs w:val="0"/>
          <w:i/>
          <w:color w:val="auto"/>
          <w:sz w:val="24"/>
          <w:szCs w:val="20"/>
        </w:rPr>
        <w:t>A Taxonomy</w:t>
      </w:r>
      <w:r w:rsidRPr="00E24CCE">
        <w:rPr>
          <w:rFonts w:ascii="Times New Roman" w:hAnsi="Times New Roman"/>
          <w:b w:val="0"/>
          <w:bCs w:val="0"/>
          <w:i/>
          <w:color w:val="auto"/>
          <w:sz w:val="24"/>
          <w:szCs w:val="20"/>
        </w:rPr>
        <w:t xml:space="preserve"> for </w:t>
      </w:r>
      <w:r>
        <w:rPr>
          <w:rFonts w:ascii="Times New Roman" w:hAnsi="Times New Roman"/>
          <w:b w:val="0"/>
          <w:bCs w:val="0"/>
          <w:i/>
          <w:color w:val="auto"/>
          <w:sz w:val="24"/>
          <w:szCs w:val="20"/>
        </w:rPr>
        <w:t>Learning, Teaching, and A</w:t>
      </w:r>
      <w:r w:rsidRPr="00E24CCE">
        <w:rPr>
          <w:rFonts w:ascii="Times New Roman" w:hAnsi="Times New Roman"/>
          <w:b w:val="0"/>
          <w:bCs w:val="0"/>
          <w:i/>
          <w:color w:val="auto"/>
          <w:sz w:val="24"/>
          <w:szCs w:val="20"/>
        </w:rPr>
        <w:t xml:space="preserve">ssessing: A </w:t>
      </w:r>
      <w:r>
        <w:rPr>
          <w:rFonts w:ascii="Times New Roman" w:hAnsi="Times New Roman"/>
          <w:b w:val="0"/>
          <w:bCs w:val="0"/>
          <w:i/>
          <w:color w:val="auto"/>
          <w:sz w:val="24"/>
          <w:szCs w:val="20"/>
        </w:rPr>
        <w:t>R</w:t>
      </w:r>
      <w:r w:rsidRPr="00E24CCE">
        <w:rPr>
          <w:rFonts w:ascii="Times New Roman" w:hAnsi="Times New Roman"/>
          <w:b w:val="0"/>
          <w:bCs w:val="0"/>
          <w:i/>
          <w:color w:val="auto"/>
          <w:sz w:val="24"/>
          <w:szCs w:val="20"/>
        </w:rPr>
        <w:t xml:space="preserve">evision of </w:t>
      </w:r>
      <w:r w:rsidRPr="008C1BD4">
        <w:rPr>
          <w:rFonts w:ascii="Times New Roman" w:hAnsi="Times New Roman"/>
          <w:b w:val="0"/>
          <w:bCs w:val="0"/>
          <w:i/>
          <w:color w:val="auto"/>
          <w:sz w:val="24"/>
          <w:szCs w:val="20"/>
        </w:rPr>
        <w:t>Bloom</w:t>
      </w:r>
      <w:r>
        <w:rPr>
          <w:rFonts w:ascii="Times New Roman" w:hAnsi="Times New Roman"/>
          <w:b w:val="0"/>
          <w:bCs w:val="0"/>
          <w:i/>
          <w:color w:val="auto"/>
          <w:sz w:val="24"/>
          <w:szCs w:val="20"/>
        </w:rPr>
        <w:t>’s Taxonomy of E</w:t>
      </w:r>
      <w:r w:rsidRPr="008C1BD4">
        <w:rPr>
          <w:rFonts w:ascii="Times New Roman" w:hAnsi="Times New Roman"/>
          <w:b w:val="0"/>
          <w:bCs w:val="0"/>
          <w:i/>
          <w:color w:val="auto"/>
          <w:sz w:val="24"/>
          <w:szCs w:val="20"/>
        </w:rPr>
        <w:t xml:space="preserve">ducational </w:t>
      </w:r>
      <w:r>
        <w:rPr>
          <w:rFonts w:ascii="Times New Roman" w:hAnsi="Times New Roman"/>
          <w:b w:val="0"/>
          <w:bCs w:val="0"/>
          <w:i/>
          <w:color w:val="auto"/>
          <w:sz w:val="24"/>
          <w:szCs w:val="20"/>
        </w:rPr>
        <w:t>O</w:t>
      </w:r>
      <w:r w:rsidRPr="008C1BD4">
        <w:rPr>
          <w:rFonts w:ascii="Times New Roman" w:hAnsi="Times New Roman"/>
          <w:b w:val="0"/>
          <w:bCs w:val="0"/>
          <w:i/>
          <w:color w:val="auto"/>
          <w:sz w:val="24"/>
          <w:szCs w:val="20"/>
        </w:rPr>
        <w:t>bjectives</w:t>
      </w:r>
      <w:r w:rsidRPr="008C1BD4">
        <w:rPr>
          <w:rFonts w:ascii="Times New Roman" w:hAnsi="Times New Roman"/>
          <w:b w:val="0"/>
          <w:bCs w:val="0"/>
          <w:color w:val="auto"/>
          <w:sz w:val="24"/>
          <w:szCs w:val="20"/>
        </w:rPr>
        <w:t>. New York: Allyn and Bacon.</w:t>
      </w:r>
    </w:p>
    <w:p w14:paraId="2256CB0D" w14:textId="77777777" w:rsidR="003F4FE1" w:rsidRPr="008C1BD4" w:rsidRDefault="003F4FE1" w:rsidP="003F4FE1">
      <w:pPr>
        <w:ind w:left="446" w:hanging="446"/>
      </w:pPr>
      <w:r w:rsidRPr="008C1BD4">
        <w:t xml:space="preserve">Biological Sciences Curriculum Study (BSCS). (2006). </w:t>
      </w:r>
      <w:r w:rsidRPr="008C1BD4">
        <w:rPr>
          <w:i/>
        </w:rPr>
        <w:t xml:space="preserve">Why Does Inquiry Matter? Because That’s What Science Is All About! </w:t>
      </w:r>
      <w:r w:rsidRPr="008C1BD4">
        <w:t xml:space="preserve"> Colorado Springs, CO: BSCS.</w:t>
      </w:r>
    </w:p>
    <w:p w14:paraId="76B865CB" w14:textId="77777777" w:rsidR="003F4FE1" w:rsidRPr="008C1BD4" w:rsidRDefault="003F4FE1" w:rsidP="003F4FE1">
      <w:pPr>
        <w:ind w:left="446" w:hanging="446"/>
      </w:pPr>
      <w:r w:rsidRPr="008C1BD4">
        <w:t xml:space="preserve">Conley, D. T. (2005). </w:t>
      </w:r>
      <w:r w:rsidRPr="008C1BD4">
        <w:rPr>
          <w:i/>
        </w:rPr>
        <w:t>College knowledge: What it really takes for students to succeed and what we can do to get them ready</w:t>
      </w:r>
      <w:r w:rsidRPr="008C1BD4">
        <w:t>. San Francisco, CA: Jossey-Bass Education Series.</w:t>
      </w:r>
    </w:p>
    <w:p w14:paraId="1B26262B" w14:textId="77777777" w:rsidR="003F4FE1" w:rsidRPr="008C1BD4" w:rsidRDefault="003F4FE1" w:rsidP="003F4FE1">
      <w:pPr>
        <w:ind w:left="446" w:hanging="446"/>
      </w:pPr>
      <w:r>
        <w:t xml:space="preserve">Corcoran, T., Mosher, F. A., and </w:t>
      </w:r>
      <w:proofErr w:type="spellStart"/>
      <w:r>
        <w:t>Rogat</w:t>
      </w:r>
      <w:proofErr w:type="spellEnd"/>
      <w:r>
        <w:t xml:space="preserve">, A. (2009). </w:t>
      </w:r>
      <w:r w:rsidRPr="00694F82">
        <w:rPr>
          <w:i/>
        </w:rPr>
        <w:t>Learning Progressions in Science: An Evidence-based Approach to Reform.</w:t>
      </w:r>
      <w:r>
        <w:t xml:space="preserve"> Consortium for Policy Research in Education research report #RR-63.</w:t>
      </w:r>
    </w:p>
    <w:p w14:paraId="2192F832" w14:textId="77777777" w:rsidR="003F4FE1" w:rsidRPr="0085623B" w:rsidRDefault="003F4FE1" w:rsidP="003F4FE1">
      <w:pPr>
        <w:ind w:left="446" w:hanging="446"/>
      </w:pPr>
      <w:r w:rsidRPr="008C1BD4">
        <w:rPr>
          <w:bCs/>
        </w:rPr>
        <w:t xml:space="preserve">MA ESE. (2009). </w:t>
      </w:r>
      <w:r w:rsidRPr="0085623B">
        <w:rPr>
          <w:bCs/>
          <w:i/>
        </w:rPr>
        <w:t>Public Survey to the Current Science and Technology/Engineering Curriculum Framework</w:t>
      </w:r>
      <w:r w:rsidRPr="008C1BD4">
        <w:rPr>
          <w:bCs/>
        </w:rPr>
        <w:t xml:space="preserve">. </w:t>
      </w:r>
      <w:proofErr w:type="spellStart"/>
      <w:r w:rsidRPr="008C1BD4">
        <w:rPr>
          <w:bCs/>
        </w:rPr>
        <w:t>Feburary</w:t>
      </w:r>
      <w:proofErr w:type="spellEnd"/>
      <w:r w:rsidRPr="008C1BD4">
        <w:rPr>
          <w:bCs/>
        </w:rPr>
        <w:t xml:space="preserve"> 24, 2009. Results can be accessed at</w:t>
      </w:r>
      <w:hyperlink r:id="rId12" w:history="1">
        <w:r w:rsidR="00FA1F9D" w:rsidRPr="00FA1F9D">
          <w:rPr>
            <w:rStyle w:val="Hyperlink"/>
            <w:bCs/>
          </w:rPr>
          <w:t>http://www.doe.mass.edu/stem/ste/</w:t>
        </w:r>
      </w:hyperlink>
      <w:r w:rsidRPr="00FA1F9D">
        <w:rPr>
          <w:bCs/>
        </w:rPr>
        <w:t>.</w:t>
      </w:r>
    </w:p>
    <w:p w14:paraId="1E484EF6" w14:textId="77777777" w:rsidR="003F4FE1" w:rsidRPr="0085623B" w:rsidRDefault="003F4FE1" w:rsidP="003F4FE1">
      <w:pPr>
        <w:ind w:left="446" w:hanging="446"/>
      </w:pPr>
      <w:r w:rsidRPr="0085623B">
        <w:rPr>
          <w:bCs/>
        </w:rPr>
        <w:t xml:space="preserve">MA ESE. (2008). </w:t>
      </w:r>
      <w:r w:rsidRPr="0085623B">
        <w:rPr>
          <w:bCs/>
          <w:i/>
        </w:rPr>
        <w:t>College and Career Readiness: MassCore</w:t>
      </w:r>
      <w:r w:rsidRPr="0085623B">
        <w:rPr>
          <w:bCs/>
        </w:rPr>
        <w:t xml:space="preserve">. Accessed at </w:t>
      </w:r>
      <w:hyperlink r:id="rId13" w:history="1">
        <w:r w:rsidR="00FA1F9D" w:rsidRPr="00FA1F9D">
          <w:rPr>
            <w:rStyle w:val="Hyperlink"/>
            <w:bCs/>
          </w:rPr>
          <w:t>http://www.doe.mass.edu/ccte/ccr/masscore/</w:t>
        </w:r>
      </w:hyperlink>
    </w:p>
    <w:p w14:paraId="570A0111" w14:textId="77777777" w:rsidR="003F4FE1" w:rsidRPr="008C1BD4" w:rsidRDefault="003F4FE1" w:rsidP="003F4FE1">
      <w:pPr>
        <w:ind w:left="446" w:hanging="446"/>
      </w:pPr>
      <w:r w:rsidRPr="008C1BD4">
        <w:t xml:space="preserve">Michaels, S., </w:t>
      </w:r>
      <w:proofErr w:type="spellStart"/>
      <w:r w:rsidRPr="008C1BD4">
        <w:t>Shouse</w:t>
      </w:r>
      <w:proofErr w:type="spellEnd"/>
      <w:r w:rsidRPr="008C1BD4">
        <w:t xml:space="preserve">, A. W., and </w:t>
      </w:r>
      <w:proofErr w:type="spellStart"/>
      <w:r w:rsidRPr="008C1BD4">
        <w:t>Schweingruber</w:t>
      </w:r>
      <w:proofErr w:type="spellEnd"/>
      <w:r w:rsidRPr="008C1BD4">
        <w:t xml:space="preserve">, H. A. (2008). </w:t>
      </w:r>
      <w:r w:rsidRPr="008C1BD4">
        <w:rPr>
          <w:i/>
        </w:rPr>
        <w:t>Ready, Set, Science! Putting Research to Work in K-8 Science Classrooms</w:t>
      </w:r>
      <w:r w:rsidRPr="008C1BD4">
        <w:t>. Washington, DC: National Academies Press.</w:t>
      </w:r>
    </w:p>
    <w:p w14:paraId="35D7D0E1" w14:textId="77777777" w:rsidR="003F4FE1" w:rsidRPr="0085623B" w:rsidRDefault="003F4FE1" w:rsidP="003F4FE1">
      <w:pPr>
        <w:ind w:left="446" w:hanging="446"/>
      </w:pPr>
      <w:r w:rsidRPr="008C1BD4">
        <w:rPr>
          <w:bCs/>
        </w:rPr>
        <w:t xml:space="preserve">National Assessment Governing Board (NAGB). (2008). </w:t>
      </w:r>
      <w:r w:rsidRPr="008C1BD4">
        <w:rPr>
          <w:bCs/>
          <w:i/>
        </w:rPr>
        <w:t>Science Framework for the 2009 National Assessment of Educational Progress</w:t>
      </w:r>
      <w:r w:rsidRPr="008C1BD4">
        <w:rPr>
          <w:bCs/>
        </w:rPr>
        <w:t xml:space="preserve">. (GPO No: ED-04-CO-0148). Washington, DC: U.S. Department of Education. </w:t>
      </w:r>
    </w:p>
    <w:p w14:paraId="33750A33" w14:textId="77777777" w:rsidR="003F4FE1" w:rsidRPr="008C1BD4" w:rsidRDefault="003F4FE1" w:rsidP="003F4FE1">
      <w:pPr>
        <w:ind w:left="446" w:hanging="446"/>
      </w:pPr>
      <w:r w:rsidRPr="008C1BD4">
        <w:t xml:space="preserve">National Research Council (NRC). (2007). </w:t>
      </w:r>
      <w:r w:rsidRPr="008C1BD4">
        <w:rPr>
          <w:i/>
        </w:rPr>
        <w:t>Taking Science to School: Learning and Teaching Science in Grades K-8</w:t>
      </w:r>
      <w:r w:rsidRPr="008C1BD4">
        <w:t xml:space="preserve">. Washington, DC: National Academies Press. </w:t>
      </w:r>
    </w:p>
    <w:p w14:paraId="2C1524CA" w14:textId="77777777" w:rsidR="003F4FE1" w:rsidRPr="008C1BD4" w:rsidRDefault="003F4FE1" w:rsidP="003F4FE1">
      <w:pPr>
        <w:ind w:left="446" w:hanging="446"/>
      </w:pPr>
      <w:r w:rsidRPr="008C1BD4">
        <w:t xml:space="preserve">National Research Council (NRC). (2006). </w:t>
      </w:r>
      <w:r w:rsidRPr="008C1BD4">
        <w:rPr>
          <w:rStyle w:val="Emphasis"/>
        </w:rPr>
        <w:t>America’s Lab Report: Investigations in High School Science</w:t>
      </w:r>
      <w:r w:rsidRPr="008C1BD4">
        <w:t xml:space="preserve">. Committee on High School Science Laboratories. Washington, D.C.: The National Academies Press. </w:t>
      </w:r>
    </w:p>
    <w:p w14:paraId="42312031" w14:textId="77777777" w:rsidR="003F4FE1" w:rsidRPr="008C1BD4" w:rsidRDefault="003F4FE1" w:rsidP="003F4FE1">
      <w:pPr>
        <w:ind w:left="446" w:hanging="446"/>
      </w:pPr>
      <w:r w:rsidRPr="008C1BD4">
        <w:rPr>
          <w:bCs/>
        </w:rPr>
        <w:t xml:space="preserve">National Research Council (NRC). (2005). </w:t>
      </w:r>
      <w:r w:rsidRPr="008C1BD4">
        <w:rPr>
          <w:i/>
        </w:rPr>
        <w:t>How Students Learn: Science in The Classroom</w:t>
      </w:r>
      <w:r w:rsidRPr="008C1BD4">
        <w:t xml:space="preserve">. Committee on </w:t>
      </w:r>
      <w:r w:rsidRPr="008C1BD4">
        <w:rPr>
          <w:i/>
        </w:rPr>
        <w:t>How People Learn</w:t>
      </w:r>
      <w:r w:rsidRPr="008C1BD4">
        <w:t>, A Targeted Report for Teachers, M. S. Donovan and J. D. Bransford, Editors. Division of Behavioral and Social Sciences and Education. Washington, DC: National Academies Press.</w:t>
      </w:r>
    </w:p>
    <w:p w14:paraId="71ACC43A" w14:textId="77777777" w:rsidR="003F4FE1" w:rsidRPr="008C1BD4" w:rsidRDefault="003F4FE1" w:rsidP="003F4FE1">
      <w:pPr>
        <w:ind w:left="446" w:hanging="446"/>
      </w:pPr>
      <w:r w:rsidRPr="008C1BD4">
        <w:t xml:space="preserve">National Research Council (NRC). (2000). </w:t>
      </w:r>
      <w:r w:rsidRPr="008C1BD4">
        <w:rPr>
          <w:i/>
        </w:rPr>
        <w:t>Inquiry and the National Science Education Standards</w:t>
      </w:r>
      <w:r w:rsidRPr="008C1BD4">
        <w:t xml:space="preserve">. Washington, DC: National Academy Press. </w:t>
      </w:r>
    </w:p>
    <w:p w14:paraId="0BF0C967" w14:textId="77777777" w:rsidR="003F4FE1" w:rsidRDefault="003F4FE1" w:rsidP="003F4FE1">
      <w:pPr>
        <w:ind w:left="446" w:hanging="446"/>
      </w:pPr>
      <w:r w:rsidRPr="008C1BD4">
        <w:t>Partnership for 21</w:t>
      </w:r>
      <w:r w:rsidRPr="008C1BD4">
        <w:rPr>
          <w:vertAlign w:val="superscript"/>
        </w:rPr>
        <w:t>st</w:t>
      </w:r>
      <w:r w:rsidRPr="008C1BD4">
        <w:t xml:space="preserve"> Century Skills &amp; National Science Teachers Association. (2009). </w:t>
      </w:r>
      <w:r w:rsidRPr="008C1BD4">
        <w:rPr>
          <w:i/>
        </w:rPr>
        <w:t>21</w:t>
      </w:r>
      <w:r w:rsidRPr="0085623B">
        <w:rPr>
          <w:i/>
          <w:vertAlign w:val="superscript"/>
        </w:rPr>
        <w:t>st</w:t>
      </w:r>
      <w:r w:rsidRPr="008C1BD4">
        <w:rPr>
          <w:i/>
        </w:rPr>
        <w:t xml:space="preserve"> Century Skills Map: Science.</w:t>
      </w:r>
      <w:r w:rsidRPr="008C1BD4">
        <w:t xml:space="preserve"> Retrieved September 25, 2009, from </w:t>
      </w:r>
      <w:hyperlink r:id="rId14" w:history="1">
        <w:r w:rsidRPr="00461F68">
          <w:rPr>
            <w:rStyle w:val="Hyperlink"/>
          </w:rPr>
          <w:t>http://www.21stcenturyskills.org/documents/21stcskillsmap_science.pdf</w:t>
        </w:r>
      </w:hyperlink>
      <w:r>
        <w:t>.</w:t>
      </w:r>
    </w:p>
    <w:p w14:paraId="2F6B3049" w14:textId="77777777" w:rsidR="003F4FE1" w:rsidRPr="008C1BD4" w:rsidRDefault="003F4FE1" w:rsidP="003F4FE1">
      <w:pPr>
        <w:ind w:left="446" w:hanging="446"/>
      </w:pPr>
      <w:r w:rsidRPr="008C1BD4">
        <w:t xml:space="preserve">Schwartz, M. S., Sadler, P. M., </w:t>
      </w:r>
      <w:proofErr w:type="spellStart"/>
      <w:r w:rsidRPr="008C1BD4">
        <w:t>Sonnert</w:t>
      </w:r>
      <w:proofErr w:type="spellEnd"/>
      <w:r w:rsidRPr="008C1BD4">
        <w:t xml:space="preserve">, G., and Tai, R. H. (2008). </w:t>
      </w:r>
      <w:r w:rsidRPr="008C1BD4">
        <w:rPr>
          <w:i/>
        </w:rPr>
        <w:t xml:space="preserve">Depth versus breadth: How content coverage in high school science courses relates to later success in college science coursework. </w:t>
      </w:r>
      <w:r w:rsidRPr="008C1BD4">
        <w:t>Science Education, 93 (5), pp. 798-826.</w:t>
      </w:r>
    </w:p>
    <w:p w14:paraId="3E283F61" w14:textId="77777777" w:rsidR="003F4FE1" w:rsidRDefault="003F4FE1" w:rsidP="003F4FE1">
      <w:pPr>
        <w:ind w:left="446" w:hanging="446"/>
      </w:pPr>
      <w:r w:rsidRPr="008C1BD4">
        <w:t>Smith, C.</w:t>
      </w:r>
      <w:r>
        <w:t xml:space="preserve"> L</w:t>
      </w:r>
      <w:r w:rsidRPr="008C1BD4">
        <w:t xml:space="preserve">, </w:t>
      </w:r>
      <w:r>
        <w:t>Wiser, M</w:t>
      </w:r>
      <w:r w:rsidRPr="008C1BD4">
        <w:t>.</w:t>
      </w:r>
      <w:r>
        <w:t xml:space="preserve">, Anderson, C. W., and </w:t>
      </w:r>
      <w:proofErr w:type="spellStart"/>
      <w:r>
        <w:t>Krajcik</w:t>
      </w:r>
      <w:proofErr w:type="spellEnd"/>
      <w:r>
        <w:t>, J.</w:t>
      </w:r>
      <w:r w:rsidRPr="008C1BD4">
        <w:t xml:space="preserve"> (2006). </w:t>
      </w:r>
      <w:r w:rsidRPr="008C1BD4">
        <w:rPr>
          <w:i/>
        </w:rPr>
        <w:t>Implications of research on children</w:t>
      </w:r>
      <w:r>
        <w:rPr>
          <w:i/>
        </w:rPr>
        <w:t>’</w:t>
      </w:r>
      <w:r w:rsidRPr="008C1BD4">
        <w:rPr>
          <w:i/>
        </w:rPr>
        <w:t xml:space="preserve">s learning for standards and assessment: A proposed learning progression for matter and atomic-molecular theory. </w:t>
      </w:r>
      <w:r w:rsidRPr="008C1BD4">
        <w:t xml:space="preserve">Measurement, 14 (1&amp;2), pp. 1-98. </w:t>
      </w:r>
    </w:p>
    <w:p w14:paraId="2914446E" w14:textId="77777777" w:rsidR="003F4FE1" w:rsidRDefault="003F4FE1" w:rsidP="003F4FE1">
      <w:pPr>
        <w:ind w:left="446" w:hanging="446"/>
      </w:pPr>
      <w:r>
        <w:t>US Department of Education (USED).</w:t>
      </w:r>
      <w:r w:rsidRPr="008C1BD4">
        <w:t xml:space="preserve"> (2006) </w:t>
      </w:r>
      <w:r w:rsidRPr="008C1BD4">
        <w:rPr>
          <w:i/>
        </w:rPr>
        <w:t>Teaching Science in Five Countries: Results from the TIMSS 1999 Video Study</w:t>
      </w:r>
      <w:r w:rsidRPr="008C1BD4">
        <w:t xml:space="preserve"> (NCES 2006-011). National Center for Education Statistics. Washington, DC: U.S. Government Printing Office. </w:t>
      </w:r>
    </w:p>
    <w:p w14:paraId="099201C9" w14:textId="77777777" w:rsidR="003F4FE1" w:rsidRDefault="003F4FE1" w:rsidP="003F4FE1">
      <w:pPr>
        <w:tabs>
          <w:tab w:val="left" w:pos="540"/>
        </w:tabs>
      </w:pPr>
    </w:p>
    <w:sectPr w:rsidR="003F4FE1" w:rsidSect="003F4FE1">
      <w:footerReference w:type="even"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E13CBD" w14:textId="77777777" w:rsidR="00A02C5E" w:rsidRDefault="00A02C5E">
      <w:r>
        <w:separator/>
      </w:r>
    </w:p>
  </w:endnote>
  <w:endnote w:type="continuationSeparator" w:id="0">
    <w:p w14:paraId="379E99B9" w14:textId="77777777" w:rsidR="00A02C5E" w:rsidRDefault="00A02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4D"/>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B153AA" w14:textId="77777777" w:rsidR="003F4FE1" w:rsidRDefault="003F4FE1" w:rsidP="003F4F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E396C5" w14:textId="77777777" w:rsidR="003F4FE1" w:rsidRDefault="003F4FE1" w:rsidP="003F4FE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854AE4" w14:textId="77777777" w:rsidR="003F4FE1" w:rsidRDefault="003F4FE1" w:rsidP="003F4F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16072">
      <w:rPr>
        <w:rStyle w:val="PageNumber"/>
        <w:noProof/>
      </w:rPr>
      <w:t>1</w:t>
    </w:r>
    <w:r>
      <w:rPr>
        <w:rStyle w:val="PageNumber"/>
      </w:rPr>
      <w:fldChar w:fldCharType="end"/>
    </w:r>
  </w:p>
  <w:p w14:paraId="3C96F4D5" w14:textId="77777777" w:rsidR="003F4FE1" w:rsidRDefault="003F4FE1" w:rsidP="003F4FE1">
    <w:pPr>
      <w:ind w:left="720" w:hanging="720"/>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3F5587" w14:textId="77777777" w:rsidR="00A02C5E" w:rsidRDefault="00A02C5E">
      <w:r>
        <w:separator/>
      </w:r>
    </w:p>
  </w:footnote>
  <w:footnote w:type="continuationSeparator" w:id="0">
    <w:p w14:paraId="4565C594" w14:textId="77777777" w:rsidR="00A02C5E" w:rsidRDefault="00A02C5E">
      <w:r>
        <w:continuationSeparator/>
      </w:r>
    </w:p>
  </w:footnote>
  <w:footnote w:id="1">
    <w:p w14:paraId="306CF645" w14:textId="77777777" w:rsidR="003F4FE1" w:rsidRPr="006452A0" w:rsidRDefault="003F4FE1" w:rsidP="003F4FE1">
      <w:pPr>
        <w:pStyle w:val="FootnoteText"/>
        <w:ind w:left="180" w:hanging="180"/>
        <w:rPr>
          <w:sz w:val="20"/>
        </w:rPr>
      </w:pPr>
      <w:r w:rsidRPr="006452A0">
        <w:rPr>
          <w:rStyle w:val="FootnoteReference"/>
          <w:sz w:val="20"/>
        </w:rPr>
        <w:footnoteRef/>
      </w:r>
      <w:r w:rsidRPr="006452A0">
        <w:rPr>
          <w:sz w:val="20"/>
        </w:rPr>
        <w:t xml:space="preserve"> </w:t>
      </w:r>
      <w:r>
        <w:rPr>
          <w:sz w:val="20"/>
        </w:rPr>
        <w:t>U</w:t>
      </w:r>
      <w:r w:rsidRPr="006452A0">
        <w:rPr>
          <w:sz w:val="20"/>
        </w:rPr>
        <w:t>nderstandings students have developed through direct experience with the world that often do not reflect scientific understanding. Also referred to as misconceptions or alternate conceptions. (Michaels et al., 2008).</w:t>
      </w:r>
    </w:p>
  </w:footnote>
  <w:footnote w:id="2">
    <w:p w14:paraId="5F3094F9" w14:textId="77777777" w:rsidR="000B2BE0" w:rsidRDefault="000B2BE0" w:rsidP="000B2BE0">
      <w:pPr>
        <w:pStyle w:val="FootnoteText"/>
        <w:ind w:left="180" w:hanging="180"/>
      </w:pPr>
      <w:r w:rsidRPr="000B2BE0">
        <w:rPr>
          <w:rStyle w:val="FootnoteReference"/>
          <w:sz w:val="20"/>
        </w:rPr>
        <w:footnoteRef/>
      </w:r>
      <w:r w:rsidRPr="000B2BE0">
        <w:rPr>
          <w:rStyle w:val="FootnoteReference"/>
          <w:sz w:val="20"/>
        </w:rPr>
        <w:t xml:space="preserve"> </w:t>
      </w:r>
      <w:r w:rsidRPr="000B2BE0">
        <w:rPr>
          <w:sz w:val="20"/>
        </w:rPr>
        <w:t xml:space="preserve">Learning progressions articulate the </w:t>
      </w:r>
      <w:proofErr w:type="spellStart"/>
      <w:r w:rsidRPr="000B2BE0">
        <w:rPr>
          <w:sz w:val="20"/>
        </w:rPr>
        <w:t>reconceptualizations</w:t>
      </w:r>
      <w:proofErr w:type="spellEnd"/>
      <w:r w:rsidRPr="000B2BE0">
        <w:rPr>
          <w:sz w:val="20"/>
        </w:rPr>
        <w:t xml:space="preserve"> students typically experience as they come to understand and use core scientific concepts and skills over time (Corcoran et al, 2009; NRC, 2007).</w:t>
      </w:r>
    </w:p>
  </w:footnote>
  <w:footnote w:id="3">
    <w:p w14:paraId="65D0017A" w14:textId="77777777" w:rsidR="00300224" w:rsidRPr="00B70BCC" w:rsidRDefault="00300224" w:rsidP="00300224">
      <w:pPr>
        <w:pStyle w:val="FootnoteText"/>
        <w:ind w:left="180" w:hanging="180"/>
        <w:rPr>
          <w:sz w:val="20"/>
          <w:szCs w:val="20"/>
        </w:rPr>
      </w:pPr>
      <w:r w:rsidRPr="00B70BCC">
        <w:rPr>
          <w:rStyle w:val="FootnoteReference"/>
          <w:sz w:val="20"/>
          <w:szCs w:val="20"/>
        </w:rPr>
        <w:footnoteRef/>
      </w:r>
      <w:r>
        <w:rPr>
          <w:sz w:val="20"/>
          <w:szCs w:val="20"/>
        </w:rPr>
        <w:t xml:space="preserve"> National science education organizations use the term “scientific practices” to mean “inquiry skills,” to distinguish inquiry skill outcomes (“practices”) from inquiry methodologies (instruction). More recently the Mathematics Common Core standards have begun using the term “mathematical practices” in a way equivalent to science education’s use of “habits of mind.” The mixed uses of these terms across subjects may cause some confusion.</w:t>
      </w:r>
    </w:p>
  </w:footnote>
  <w:footnote w:id="4">
    <w:p w14:paraId="77D58A2C" w14:textId="77777777" w:rsidR="003F4FE1" w:rsidRPr="00AA75EB" w:rsidRDefault="003F4FE1" w:rsidP="003F4FE1">
      <w:pPr>
        <w:pStyle w:val="FootnoteText"/>
        <w:ind w:left="180" w:hanging="180"/>
        <w:rPr>
          <w:sz w:val="20"/>
        </w:rPr>
      </w:pPr>
      <w:r w:rsidRPr="00AA75EB">
        <w:rPr>
          <w:rStyle w:val="FootnoteReference"/>
          <w:sz w:val="20"/>
        </w:rPr>
        <w:footnoteRef/>
      </w:r>
      <w:r w:rsidRPr="00AA75EB">
        <w:rPr>
          <w:rStyle w:val="FootnoteReference"/>
          <w:sz w:val="20"/>
        </w:rPr>
        <w:t xml:space="preserve"> </w:t>
      </w:r>
      <w:r>
        <w:rPr>
          <w:sz w:val="20"/>
        </w:rPr>
        <w:t xml:space="preserve"> </w:t>
      </w:r>
      <w:r w:rsidRPr="00AA75EB">
        <w:rPr>
          <w:sz w:val="20"/>
        </w:rPr>
        <w:t>Please see recommend</w:t>
      </w:r>
      <w:r w:rsidRPr="00D35B67">
        <w:rPr>
          <w:sz w:val="20"/>
        </w:rPr>
        <w:t>ation #5d on co</w:t>
      </w:r>
      <w:r w:rsidR="00D35B67" w:rsidRPr="00D35B67">
        <w:rPr>
          <w:sz w:val="20"/>
        </w:rPr>
        <w:t>llege and career readiness (p. 4</w:t>
      </w:r>
      <w:r w:rsidRPr="00D35B67">
        <w:rPr>
          <w:sz w:val="20"/>
        </w:rPr>
        <w:t>) for</w:t>
      </w:r>
      <w:r w:rsidRPr="00AA75EB">
        <w:rPr>
          <w:sz w:val="20"/>
        </w:rPr>
        <w:t xml:space="preserve"> further discussion of this point.</w:t>
      </w:r>
    </w:p>
  </w:footnote>
  <w:footnote w:id="5">
    <w:p w14:paraId="5622A68E" w14:textId="77777777" w:rsidR="003F4FE1" w:rsidRPr="006452A0" w:rsidRDefault="003F4FE1" w:rsidP="003F4FE1">
      <w:pPr>
        <w:pStyle w:val="FootnoteText"/>
        <w:ind w:left="180" w:hanging="180"/>
        <w:rPr>
          <w:sz w:val="20"/>
        </w:rPr>
      </w:pPr>
      <w:r w:rsidRPr="006452A0">
        <w:rPr>
          <w:rStyle w:val="FootnoteReference"/>
          <w:sz w:val="20"/>
        </w:rPr>
        <w:footnoteRef/>
      </w:r>
      <w:r w:rsidRPr="006452A0">
        <w:rPr>
          <w:sz w:val="20"/>
        </w:rPr>
        <w:t xml:space="preserve"> </w:t>
      </w:r>
      <w:r>
        <w:rPr>
          <w:sz w:val="20"/>
        </w:rPr>
        <w:t>The concept and skill</w:t>
      </w:r>
      <w:r w:rsidRPr="006452A0">
        <w:rPr>
          <w:sz w:val="20"/>
        </w:rPr>
        <w:t xml:space="preserve"> progressions </w:t>
      </w:r>
      <w:r>
        <w:rPr>
          <w:sz w:val="20"/>
        </w:rPr>
        <w:t xml:space="preserve">only provide conceptual shifts </w:t>
      </w:r>
      <w:r w:rsidRPr="002730EC">
        <w:rPr>
          <w:i/>
          <w:sz w:val="20"/>
        </w:rPr>
        <w:t>within</w:t>
      </w:r>
      <w:r>
        <w:rPr>
          <w:sz w:val="20"/>
        </w:rPr>
        <w:t xml:space="preserve"> a topic</w:t>
      </w:r>
      <w:r w:rsidRPr="006452A0">
        <w:rPr>
          <w:sz w:val="20"/>
        </w:rPr>
        <w:t xml:space="preserve">, not the specific standard-by-standard sequence or associated grade </w:t>
      </w:r>
      <w:r>
        <w:rPr>
          <w:sz w:val="20"/>
        </w:rPr>
        <w:t>in which</w:t>
      </w:r>
      <w:r w:rsidRPr="006452A0">
        <w:rPr>
          <w:sz w:val="20"/>
        </w:rPr>
        <w:t xml:space="preserve"> each concept should be learned.</w:t>
      </w:r>
    </w:p>
  </w:footnote>
  <w:footnote w:id="6">
    <w:p w14:paraId="0A5C7712" w14:textId="77777777" w:rsidR="003F4FE1" w:rsidRPr="00E524EE" w:rsidRDefault="003F4FE1" w:rsidP="003F4FE1">
      <w:pPr>
        <w:pStyle w:val="FootnoteText"/>
        <w:rPr>
          <w:sz w:val="20"/>
        </w:rPr>
      </w:pPr>
      <w:r w:rsidRPr="00646F70">
        <w:rPr>
          <w:rStyle w:val="FootnoteReference"/>
          <w:sz w:val="20"/>
        </w:rPr>
        <w:footnoteRef/>
      </w:r>
      <w:r w:rsidRPr="00646F70">
        <w:rPr>
          <w:rStyle w:val="FootnoteReference"/>
          <w:sz w:val="20"/>
        </w:rPr>
        <w:t xml:space="preserve"> </w:t>
      </w:r>
      <w:r w:rsidRPr="00E524EE">
        <w:rPr>
          <w:sz w:val="20"/>
        </w:rPr>
        <w:t xml:space="preserve">66% for those who teach grades </w:t>
      </w:r>
      <w:r w:rsidR="006326C4" w:rsidRPr="006326C4">
        <w:rPr>
          <w:sz w:val="20"/>
        </w:rPr>
        <w:t>Pre-K–</w:t>
      </w:r>
      <w:r w:rsidRPr="00E524EE">
        <w:rPr>
          <w:sz w:val="20"/>
        </w:rPr>
        <w:t>5 and 49% for teachers of grades 6-8.</w:t>
      </w:r>
    </w:p>
  </w:footnote>
  <w:footnote w:id="7">
    <w:p w14:paraId="1850AD15" w14:textId="77777777" w:rsidR="00646F70" w:rsidRPr="006452A0" w:rsidRDefault="00646F70" w:rsidP="00646F70">
      <w:pPr>
        <w:pStyle w:val="FootnoteText"/>
        <w:ind w:left="180" w:hanging="180"/>
        <w:rPr>
          <w:sz w:val="20"/>
        </w:rPr>
      </w:pPr>
      <w:r w:rsidRPr="00646F70">
        <w:rPr>
          <w:rStyle w:val="FootnoteReference"/>
          <w:sz w:val="20"/>
        </w:rPr>
        <w:footnoteRef/>
      </w:r>
      <w:r w:rsidRPr="006452A0">
        <w:rPr>
          <w:sz w:val="20"/>
        </w:rPr>
        <w:t xml:space="preserve"> </w:t>
      </w:r>
      <w:r>
        <w:rPr>
          <w:sz w:val="20"/>
        </w:rPr>
        <w:t>In an integrated curriculum, several topics from each strand are taught each year; in a discipline-specific approach one strand is taught each year (for example, 6</w:t>
      </w:r>
      <w:r w:rsidRPr="00C52890">
        <w:rPr>
          <w:sz w:val="20"/>
          <w:vertAlign w:val="superscript"/>
        </w:rPr>
        <w:t>th</w:t>
      </w:r>
      <w:r>
        <w:rPr>
          <w:sz w:val="20"/>
        </w:rPr>
        <w:t xml:space="preserve"> grade Earth Science, 7</w:t>
      </w:r>
      <w:r w:rsidRPr="00C52890">
        <w:rPr>
          <w:sz w:val="20"/>
          <w:vertAlign w:val="superscript"/>
        </w:rPr>
        <w:t>th</w:t>
      </w:r>
      <w:r>
        <w:rPr>
          <w:sz w:val="20"/>
        </w:rPr>
        <w:t xml:space="preserve"> Life Science, then 8</w:t>
      </w:r>
      <w:r w:rsidRPr="00C52890">
        <w:rPr>
          <w:sz w:val="20"/>
          <w:vertAlign w:val="superscript"/>
        </w:rPr>
        <w:t>th</w:t>
      </w:r>
      <w:r>
        <w:rPr>
          <w:sz w:val="20"/>
        </w:rPr>
        <w:t xml:space="preserve"> Physical Science).</w:t>
      </w:r>
    </w:p>
  </w:footnote>
  <w:footnote w:id="8">
    <w:p w14:paraId="6A0CB34D" w14:textId="77777777" w:rsidR="003F4FE1" w:rsidRPr="00973D6A" w:rsidRDefault="003F4FE1">
      <w:pPr>
        <w:pStyle w:val="FootnoteText"/>
        <w:rPr>
          <w:sz w:val="20"/>
        </w:rPr>
      </w:pPr>
      <w:r w:rsidRPr="00646F70">
        <w:rPr>
          <w:rStyle w:val="FootnoteReference"/>
          <w:sz w:val="20"/>
        </w:rPr>
        <w:footnoteRef/>
      </w:r>
      <w:r w:rsidRPr="00973D6A">
        <w:rPr>
          <w:sz w:val="20"/>
        </w:rPr>
        <w:t xml:space="preserve"> Equivalent to the Common Core Mathematics standards for “mathematical practices.”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B843AA"/>
    <w:multiLevelType w:val="hybridMultilevel"/>
    <w:tmpl w:val="383CB1E4"/>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Wingdings"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Wingdings"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Wingdings" w:hint="default"/>
      </w:rPr>
    </w:lvl>
    <w:lvl w:ilvl="8" w:tplc="04090005" w:tentative="1">
      <w:start w:val="1"/>
      <w:numFmt w:val="bullet"/>
      <w:lvlText w:val=""/>
      <w:lvlJc w:val="left"/>
      <w:pPr>
        <w:ind w:left="6510" w:hanging="360"/>
      </w:pPr>
      <w:rPr>
        <w:rFonts w:ascii="Wingdings" w:hAnsi="Wingdings" w:hint="default"/>
      </w:rPr>
    </w:lvl>
  </w:abstractNum>
  <w:abstractNum w:abstractNumId="1" w15:restartNumberingAfterBreak="0">
    <w:nsid w:val="08863854"/>
    <w:multiLevelType w:val="hybridMultilevel"/>
    <w:tmpl w:val="F43A19B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TimesNewRomanPSMT"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TimesNewRomanPSMT"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TimesNewRomanPSMT"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C094782"/>
    <w:multiLevelType w:val="hybridMultilevel"/>
    <w:tmpl w:val="51E07AA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6F6D12"/>
    <w:multiLevelType w:val="hybridMultilevel"/>
    <w:tmpl w:val="D7544CD8"/>
    <w:lvl w:ilvl="0" w:tplc="000F0409">
      <w:start w:val="1"/>
      <w:numFmt w:val="decimal"/>
      <w:lvlText w:val="%1."/>
      <w:lvlJc w:val="left"/>
      <w:pPr>
        <w:tabs>
          <w:tab w:val="num" w:pos="720"/>
        </w:tabs>
        <w:ind w:left="720" w:hanging="360"/>
      </w:pPr>
      <w:rPr>
        <w:rFonts w:hint="default"/>
      </w:rPr>
    </w:lvl>
    <w:lvl w:ilvl="1" w:tplc="00190409">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15:restartNumberingAfterBreak="0">
    <w:nsid w:val="228B5F83"/>
    <w:multiLevelType w:val="hybridMultilevel"/>
    <w:tmpl w:val="F4449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8D2429"/>
    <w:multiLevelType w:val="hybridMultilevel"/>
    <w:tmpl w:val="2FFAF108"/>
    <w:lvl w:ilvl="0" w:tplc="000F0409">
      <w:start w:val="1"/>
      <w:numFmt w:val="decimal"/>
      <w:lvlText w:val="%1."/>
      <w:lvlJc w:val="left"/>
      <w:pPr>
        <w:tabs>
          <w:tab w:val="num" w:pos="720"/>
        </w:tabs>
        <w:ind w:left="720" w:hanging="360"/>
      </w:pPr>
      <w:rPr>
        <w:rFonts w:hint="default"/>
      </w:rPr>
    </w:lvl>
    <w:lvl w:ilvl="1" w:tplc="00190409">
      <w:start w:val="1"/>
      <w:numFmt w:val="lowerLetter"/>
      <w:lvlText w:val="%2."/>
      <w:lvlJc w:val="left"/>
      <w:pPr>
        <w:tabs>
          <w:tab w:val="num" w:pos="2250"/>
        </w:tabs>
        <w:ind w:left="2250" w:hanging="360"/>
      </w:pPr>
    </w:lvl>
    <w:lvl w:ilvl="2" w:tplc="001B0409">
      <w:start w:val="1"/>
      <w:numFmt w:val="lowerRoman"/>
      <w:lvlText w:val="%3."/>
      <w:lvlJc w:val="right"/>
      <w:pPr>
        <w:tabs>
          <w:tab w:val="num" w:pos="2160"/>
        </w:tabs>
        <w:ind w:left="2160" w:hanging="180"/>
      </w:pPr>
    </w:lvl>
    <w:lvl w:ilvl="3" w:tplc="000F0409">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38C46ED2"/>
    <w:multiLevelType w:val="hybridMultilevel"/>
    <w:tmpl w:val="B4AA7EF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TimesNewRomanPSMT"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TimesNewRomanPSMT"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TimesNewRomanPSMT"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D29573C"/>
    <w:multiLevelType w:val="hybridMultilevel"/>
    <w:tmpl w:val="DB9EF9B2"/>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D8362C5"/>
    <w:multiLevelType w:val="hybridMultilevel"/>
    <w:tmpl w:val="C4E040B8"/>
    <w:lvl w:ilvl="0" w:tplc="25628E72">
      <w:start w:val="1"/>
      <w:numFmt w:val="decimal"/>
      <w:lvlText w:val="%1."/>
      <w:lvlJc w:val="left"/>
      <w:pPr>
        <w:tabs>
          <w:tab w:val="num" w:pos="720"/>
        </w:tabs>
        <w:ind w:left="720" w:hanging="360"/>
      </w:pPr>
      <w:rPr>
        <w:i w:val="0"/>
      </w:rPr>
    </w:lvl>
    <w:lvl w:ilvl="1" w:tplc="04090019">
      <w:start w:val="1"/>
      <w:numFmt w:val="lowerLetter"/>
      <w:lvlText w:val="%2."/>
      <w:lvlJc w:val="left"/>
      <w:pPr>
        <w:tabs>
          <w:tab w:val="num" w:pos="2250"/>
        </w:tabs>
        <w:ind w:left="2250" w:hanging="360"/>
      </w:pPr>
    </w:lvl>
    <w:lvl w:ilvl="2" w:tplc="0409001B" w:tentative="1">
      <w:start w:val="1"/>
      <w:numFmt w:val="lowerRoman"/>
      <w:lvlText w:val="%3."/>
      <w:lvlJc w:val="right"/>
      <w:pPr>
        <w:tabs>
          <w:tab w:val="num" w:pos="2970"/>
        </w:tabs>
        <w:ind w:left="2970" w:hanging="180"/>
      </w:pPr>
    </w:lvl>
    <w:lvl w:ilvl="3" w:tplc="0409000F" w:tentative="1">
      <w:start w:val="1"/>
      <w:numFmt w:val="decimal"/>
      <w:lvlText w:val="%4."/>
      <w:lvlJc w:val="left"/>
      <w:pPr>
        <w:tabs>
          <w:tab w:val="num" w:pos="3690"/>
        </w:tabs>
        <w:ind w:left="3690" w:hanging="360"/>
      </w:pPr>
    </w:lvl>
    <w:lvl w:ilvl="4" w:tplc="04090019" w:tentative="1">
      <w:start w:val="1"/>
      <w:numFmt w:val="lowerLetter"/>
      <w:lvlText w:val="%5."/>
      <w:lvlJc w:val="left"/>
      <w:pPr>
        <w:tabs>
          <w:tab w:val="num" w:pos="4410"/>
        </w:tabs>
        <w:ind w:left="4410" w:hanging="360"/>
      </w:pPr>
    </w:lvl>
    <w:lvl w:ilvl="5" w:tplc="0409001B" w:tentative="1">
      <w:start w:val="1"/>
      <w:numFmt w:val="lowerRoman"/>
      <w:lvlText w:val="%6."/>
      <w:lvlJc w:val="right"/>
      <w:pPr>
        <w:tabs>
          <w:tab w:val="num" w:pos="5130"/>
        </w:tabs>
        <w:ind w:left="5130" w:hanging="180"/>
      </w:pPr>
    </w:lvl>
    <w:lvl w:ilvl="6" w:tplc="0409000F" w:tentative="1">
      <w:start w:val="1"/>
      <w:numFmt w:val="decimal"/>
      <w:lvlText w:val="%7."/>
      <w:lvlJc w:val="left"/>
      <w:pPr>
        <w:tabs>
          <w:tab w:val="num" w:pos="5850"/>
        </w:tabs>
        <w:ind w:left="5850" w:hanging="360"/>
      </w:pPr>
    </w:lvl>
    <w:lvl w:ilvl="7" w:tplc="04090019" w:tentative="1">
      <w:start w:val="1"/>
      <w:numFmt w:val="lowerLetter"/>
      <w:lvlText w:val="%8."/>
      <w:lvlJc w:val="left"/>
      <w:pPr>
        <w:tabs>
          <w:tab w:val="num" w:pos="6570"/>
        </w:tabs>
        <w:ind w:left="6570" w:hanging="360"/>
      </w:pPr>
    </w:lvl>
    <w:lvl w:ilvl="8" w:tplc="0409001B" w:tentative="1">
      <w:start w:val="1"/>
      <w:numFmt w:val="lowerRoman"/>
      <w:lvlText w:val="%9."/>
      <w:lvlJc w:val="right"/>
      <w:pPr>
        <w:tabs>
          <w:tab w:val="num" w:pos="7290"/>
        </w:tabs>
        <w:ind w:left="7290" w:hanging="180"/>
      </w:pPr>
    </w:lvl>
  </w:abstractNum>
  <w:abstractNum w:abstractNumId="9" w15:restartNumberingAfterBreak="0">
    <w:nsid w:val="58B159A7"/>
    <w:multiLevelType w:val="hybridMultilevel"/>
    <w:tmpl w:val="40C2A5B2"/>
    <w:lvl w:ilvl="0" w:tplc="875420AA">
      <w:start w:val="1"/>
      <w:numFmt w:val="bullet"/>
      <w:lvlText w:val="-"/>
      <w:lvlJc w:val="left"/>
      <w:pPr>
        <w:tabs>
          <w:tab w:val="num" w:pos="360"/>
        </w:tabs>
        <w:ind w:left="360" w:hanging="360"/>
      </w:pPr>
      <w:rPr>
        <w:rFonts w:ascii="Times New Roman" w:eastAsia="Times New Roman" w:hAnsi="Times New Roman" w:cs="Times New Roman" w:hint="default"/>
      </w:rPr>
    </w:lvl>
    <w:lvl w:ilvl="1" w:tplc="875420AA">
      <w:start w:val="1"/>
      <w:numFmt w:val="bullet"/>
      <w:lvlText w:val="-"/>
      <w:lvlJc w:val="left"/>
      <w:pPr>
        <w:tabs>
          <w:tab w:val="num" w:pos="1080"/>
        </w:tabs>
        <w:ind w:left="1080" w:hanging="360"/>
      </w:pPr>
      <w:rPr>
        <w:rFonts w:ascii="Times New Roman" w:eastAsia="Times New Roman" w:hAnsi="Times New Roman"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5"/>
  </w:num>
  <w:num w:numId="3">
    <w:abstractNumId w:val="9"/>
  </w:num>
  <w:num w:numId="4">
    <w:abstractNumId w:val="8"/>
  </w:num>
  <w:num w:numId="5">
    <w:abstractNumId w:val="7"/>
  </w:num>
  <w:num w:numId="6">
    <w:abstractNumId w:val="1"/>
  </w:num>
  <w:num w:numId="7">
    <w:abstractNumId w:val="6"/>
  </w:num>
  <w:num w:numId="8">
    <w:abstractNumId w:val="2"/>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9E6"/>
    <w:rsid w:val="000359CB"/>
    <w:rsid w:val="0005317D"/>
    <w:rsid w:val="000B2BE0"/>
    <w:rsid w:val="0010298D"/>
    <w:rsid w:val="0012185A"/>
    <w:rsid w:val="00176BA8"/>
    <w:rsid w:val="001B4BAE"/>
    <w:rsid w:val="0020559A"/>
    <w:rsid w:val="00257445"/>
    <w:rsid w:val="002C536C"/>
    <w:rsid w:val="00300224"/>
    <w:rsid w:val="00316072"/>
    <w:rsid w:val="00323FE5"/>
    <w:rsid w:val="0034792A"/>
    <w:rsid w:val="00373B4A"/>
    <w:rsid w:val="003E2DE9"/>
    <w:rsid w:val="003F4FE1"/>
    <w:rsid w:val="00407D16"/>
    <w:rsid w:val="004638F4"/>
    <w:rsid w:val="00481AB2"/>
    <w:rsid w:val="0049211D"/>
    <w:rsid w:val="004A5749"/>
    <w:rsid w:val="004B4BEE"/>
    <w:rsid w:val="004B6676"/>
    <w:rsid w:val="005866D1"/>
    <w:rsid w:val="005A3F40"/>
    <w:rsid w:val="005B0E6C"/>
    <w:rsid w:val="006201B3"/>
    <w:rsid w:val="006220E1"/>
    <w:rsid w:val="006326C4"/>
    <w:rsid w:val="006436F6"/>
    <w:rsid w:val="00646F70"/>
    <w:rsid w:val="006E4854"/>
    <w:rsid w:val="00704C64"/>
    <w:rsid w:val="00737EE1"/>
    <w:rsid w:val="007A2185"/>
    <w:rsid w:val="007A7FEC"/>
    <w:rsid w:val="007F6F8F"/>
    <w:rsid w:val="00803697"/>
    <w:rsid w:val="008073C1"/>
    <w:rsid w:val="008464C1"/>
    <w:rsid w:val="00864BBF"/>
    <w:rsid w:val="00865CD6"/>
    <w:rsid w:val="008E55CD"/>
    <w:rsid w:val="0095107D"/>
    <w:rsid w:val="00951D82"/>
    <w:rsid w:val="009876C6"/>
    <w:rsid w:val="009D2347"/>
    <w:rsid w:val="009D7926"/>
    <w:rsid w:val="00A0085D"/>
    <w:rsid w:val="00A02C5E"/>
    <w:rsid w:val="00A502BD"/>
    <w:rsid w:val="00A90718"/>
    <w:rsid w:val="00AA584E"/>
    <w:rsid w:val="00B46E2C"/>
    <w:rsid w:val="00B53833"/>
    <w:rsid w:val="00BC6704"/>
    <w:rsid w:val="00C274F8"/>
    <w:rsid w:val="00D35B67"/>
    <w:rsid w:val="00D36CE1"/>
    <w:rsid w:val="00D76EAA"/>
    <w:rsid w:val="00DF5148"/>
    <w:rsid w:val="00E407CA"/>
    <w:rsid w:val="00EA2542"/>
    <w:rsid w:val="00F561F7"/>
    <w:rsid w:val="00FA1F9D"/>
    <w:rsid w:val="00FB754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897D160"/>
  <w15:chartTrackingRefBased/>
  <w15:docId w15:val="{754277DC-F2EB-42B3-BD23-CDF855580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38F4"/>
    <w:rPr>
      <w:sz w:val="24"/>
      <w:szCs w:val="24"/>
    </w:rPr>
  </w:style>
  <w:style w:type="paragraph" w:styleId="Heading1">
    <w:name w:val="heading 1"/>
    <w:basedOn w:val="Normal"/>
    <w:next w:val="Normal"/>
    <w:link w:val="Heading1Char"/>
    <w:qFormat/>
    <w:rsid w:val="006201B3"/>
    <w:pPr>
      <w:jc w:val="center"/>
      <w:outlineLvl w:val="0"/>
    </w:pPr>
    <w:rPr>
      <w:b/>
      <w:sz w:val="36"/>
      <w:szCs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CC4F5E"/>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CC4F5E"/>
  </w:style>
  <w:style w:type="character" w:styleId="FootnoteReference">
    <w:name w:val="footnote reference"/>
    <w:semiHidden/>
    <w:rsid w:val="00CC4F5E"/>
    <w:rPr>
      <w:vertAlign w:val="superscript"/>
    </w:rPr>
  </w:style>
  <w:style w:type="paragraph" w:styleId="Footer">
    <w:name w:val="footer"/>
    <w:basedOn w:val="Normal"/>
    <w:semiHidden/>
    <w:rsid w:val="00AE7629"/>
    <w:pPr>
      <w:tabs>
        <w:tab w:val="center" w:pos="4320"/>
        <w:tab w:val="right" w:pos="8640"/>
      </w:tabs>
    </w:pPr>
  </w:style>
  <w:style w:type="character" w:styleId="PageNumber">
    <w:name w:val="page number"/>
    <w:basedOn w:val="DefaultParagraphFont"/>
    <w:rsid w:val="00AE7629"/>
  </w:style>
  <w:style w:type="paragraph" w:styleId="Header">
    <w:name w:val="header"/>
    <w:basedOn w:val="Normal"/>
    <w:rsid w:val="00131971"/>
    <w:pPr>
      <w:tabs>
        <w:tab w:val="center" w:pos="4320"/>
        <w:tab w:val="right" w:pos="8640"/>
      </w:tabs>
    </w:pPr>
  </w:style>
  <w:style w:type="character" w:styleId="Hyperlink">
    <w:name w:val="Hyperlink"/>
    <w:rsid w:val="0085623B"/>
    <w:rPr>
      <w:color w:val="0000FF"/>
      <w:u w:val="single"/>
    </w:rPr>
  </w:style>
  <w:style w:type="paragraph" w:customStyle="1" w:styleId="pagetitle">
    <w:name w:val="pagetitle"/>
    <w:basedOn w:val="Normal"/>
    <w:rsid w:val="0085623B"/>
    <w:pPr>
      <w:spacing w:before="100" w:beforeAutospacing="1" w:after="100" w:afterAutospacing="1" w:line="330" w:lineRule="atLeast"/>
    </w:pPr>
    <w:rPr>
      <w:rFonts w:ascii="Verdana" w:hAnsi="Verdana"/>
      <w:b/>
      <w:bCs/>
      <w:color w:val="000099"/>
      <w:sz w:val="27"/>
      <w:szCs w:val="27"/>
    </w:rPr>
  </w:style>
  <w:style w:type="character" w:styleId="Emphasis">
    <w:name w:val="Emphasis"/>
    <w:qFormat/>
    <w:rsid w:val="0085623B"/>
    <w:rPr>
      <w:i/>
      <w:iCs/>
    </w:rPr>
  </w:style>
  <w:style w:type="paragraph" w:styleId="BodyTextIndent">
    <w:name w:val="Body Text Indent"/>
    <w:basedOn w:val="Normal"/>
    <w:rsid w:val="00300224"/>
    <w:pPr>
      <w:widowControl w:val="0"/>
      <w:snapToGrid w:val="0"/>
      <w:ind w:left="720" w:hanging="720"/>
      <w:jc w:val="both"/>
    </w:pPr>
    <w:rPr>
      <w:rFonts w:ascii="Arial" w:hAnsi="Arial" w:cs="Arial"/>
      <w:szCs w:val="20"/>
    </w:rPr>
  </w:style>
  <w:style w:type="character" w:styleId="FollowedHyperlink">
    <w:name w:val="FollowedHyperlink"/>
    <w:rsid w:val="00FA1F9D"/>
    <w:rPr>
      <w:color w:val="954F72"/>
      <w:u w:val="single"/>
    </w:rPr>
  </w:style>
  <w:style w:type="character" w:styleId="UnresolvedMention">
    <w:name w:val="Unresolved Mention"/>
    <w:uiPriority w:val="99"/>
    <w:semiHidden/>
    <w:unhideWhenUsed/>
    <w:rsid w:val="00FA1F9D"/>
    <w:rPr>
      <w:color w:val="605E5C"/>
      <w:shd w:val="clear" w:color="auto" w:fill="E1DFDD"/>
    </w:rPr>
  </w:style>
  <w:style w:type="character" w:customStyle="1" w:styleId="Heading1Char">
    <w:name w:val="Heading 1 Char"/>
    <w:basedOn w:val="DefaultParagraphFont"/>
    <w:link w:val="Heading1"/>
    <w:rsid w:val="006201B3"/>
    <w:rPr>
      <w:b/>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oe.mass.edu/ccte/ccr/masscor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doe.mass.edu/stem/st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21stcenturyskills.org/documents/21stcskillsmap_scienc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documentManagement>
</p:properties>
</file>

<file path=customXml/itemProps1.xml><?xml version="1.0" encoding="utf-8"?>
<ds:datastoreItem xmlns:ds="http://schemas.openxmlformats.org/officeDocument/2006/customXml" ds:itemID="{09B86F74-30BF-4BD3-BA90-8624D63A0527}">
  <ds:schemaRefs>
    <ds:schemaRef ds:uri="http://schemas.microsoft.com/sharepoint/events"/>
  </ds:schemaRefs>
</ds:datastoreItem>
</file>

<file path=customXml/itemProps2.xml><?xml version="1.0" encoding="utf-8"?>
<ds:datastoreItem xmlns:ds="http://schemas.openxmlformats.org/officeDocument/2006/customXml" ds:itemID="{A14F4215-BF3F-47B8-9F63-53FBFE7D453D}">
  <ds:schemaRefs>
    <ds:schemaRef ds:uri="http://schemas.microsoft.com/sharepoint/v3/contenttype/forms"/>
  </ds:schemaRefs>
</ds:datastoreItem>
</file>

<file path=customXml/itemProps3.xml><?xml version="1.0" encoding="utf-8"?>
<ds:datastoreItem xmlns:ds="http://schemas.openxmlformats.org/officeDocument/2006/customXml" ds:itemID="{297E09CA-19EE-4463-A917-21BD0E6577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8DFBDC-A385-48AA-9197-2D1BCC1AB5A4}">
  <ds:schemaRefs>
    <ds:schemaRef ds:uri="http://schemas.microsoft.com/office/2006/metadata/longProperties"/>
  </ds:schemaRefs>
</ds:datastoreItem>
</file>

<file path=customXml/itemProps5.xml><?xml version="1.0" encoding="utf-8"?>
<ds:datastoreItem xmlns:ds="http://schemas.openxmlformats.org/officeDocument/2006/customXml" ds:itemID="{7A6E3D90-28C8-4FA6-9A63-FD312A7D4572}">
  <ds:schemaRef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http://purl.org/dc/terms/"/>
    <ds:schemaRef ds:uri="733efe1c-5bbe-4968-87dc-d400e65c879f"/>
    <ds:schemaRef ds:uri="http://purl.org/dc/dcmitype/"/>
    <ds:schemaRef ds:uri="0a4e05da-b9bc-4326-ad73-01ef31b95567"/>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2580</Words>
  <Characters>15109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STE Progress Report, Attachment 1, January 2011</vt:lpstr>
    </vt:vector>
  </TitlesOfParts>
  <Company/>
  <LinksUpToDate>false</LinksUpToDate>
  <CharactersWithSpaces>17654</CharactersWithSpaces>
  <SharedDoc>false</SharedDoc>
  <HLinks>
    <vt:vector size="18" baseType="variant">
      <vt:variant>
        <vt:i4>2555928</vt:i4>
      </vt:variant>
      <vt:variant>
        <vt:i4>6</vt:i4>
      </vt:variant>
      <vt:variant>
        <vt:i4>0</vt:i4>
      </vt:variant>
      <vt:variant>
        <vt:i4>5</vt:i4>
      </vt:variant>
      <vt:variant>
        <vt:lpwstr>http://www.21stcenturyskills.org/documents/21stcskillsmap_science.pdf</vt:lpwstr>
      </vt:variant>
      <vt:variant>
        <vt:lpwstr/>
      </vt:variant>
      <vt:variant>
        <vt:i4>6684799</vt:i4>
      </vt:variant>
      <vt:variant>
        <vt:i4>3</vt:i4>
      </vt:variant>
      <vt:variant>
        <vt:i4>0</vt:i4>
      </vt:variant>
      <vt:variant>
        <vt:i4>5</vt:i4>
      </vt:variant>
      <vt:variant>
        <vt:lpwstr>http://www.doe.mass.edu/ccte/ccr/masscore/</vt:lpwstr>
      </vt:variant>
      <vt:variant>
        <vt:lpwstr/>
      </vt:variant>
      <vt:variant>
        <vt:i4>6160478</vt:i4>
      </vt:variant>
      <vt:variant>
        <vt:i4>0</vt:i4>
      </vt:variant>
      <vt:variant>
        <vt:i4>0</vt:i4>
      </vt:variant>
      <vt:variant>
        <vt:i4>5</vt:i4>
      </vt:variant>
      <vt:variant>
        <vt:lpwstr>http://www.doe.mass.edu/stem/ste/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 Progress Report, Attachment 1, January 2011</dc:title>
  <dc:subject/>
  <dc:creator>DESE</dc:creator>
  <cp:keywords/>
  <cp:lastModifiedBy>Zou, Dong (EOE)</cp:lastModifiedBy>
  <cp:revision>2</cp:revision>
  <cp:lastPrinted>2011-01-05T21:03:00Z</cp:lastPrinted>
  <dcterms:created xsi:type="dcterms:W3CDTF">2020-09-10T15:41:00Z</dcterms:created>
  <dcterms:modified xsi:type="dcterms:W3CDTF">2020-09-10T15:41:00Z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date">
    <vt:lpwstr>Sep 10 2020</vt:lpwstr>
  </property>
</Properties>
</file>