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FE" w:rsidRDefault="006E2CAD">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4"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cstate="print">
                      <a:lum brigh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rsidR="00FD23FE" w:rsidRDefault="00FD23FE">
      <w:pPr>
        <w:outlineLvl w:val="0"/>
        <w:rPr>
          <w:rFonts w:ascii="Arial" w:hAnsi="Arial"/>
          <w:b/>
          <w:i/>
          <w:sz w:val="50"/>
        </w:rPr>
      </w:pPr>
      <w:r>
        <w:rPr>
          <w:rFonts w:ascii="Arial" w:hAnsi="Arial"/>
          <w:b/>
          <w:i/>
          <w:sz w:val="40"/>
        </w:rPr>
        <w:t>Elementary and Secondary Education</w:t>
      </w:r>
    </w:p>
    <w:p w:rsidR="00FD23FE" w:rsidRDefault="00946E21">
      <w:pPr>
        <w:rPr>
          <w:rFonts w:ascii="Arial" w:hAnsi="Arial"/>
          <w:i/>
        </w:rPr>
      </w:pPr>
      <w:r>
        <w:rPr>
          <w:rFonts w:ascii="Arial" w:hAnsi="Arial"/>
          <w:i/>
          <w:noProof/>
          <w:snapToGrid/>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Vp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f0tksnYJodPAlpBgSjXX+M9cdCkaJJXCOwOS4cT4QIcUQEu5Rei2k&#10;jGJLhXpgO3lM05jhtBQseEOcs/tdJS06kjAv8Ytlgec+zOqDYhGt5YStrrYnQl5suF2qgAe1AJ+r&#10;dRmIH0/p02q+muejfDJbjfK0rkef1lU+mq2zx4d6WldVnf0M1LK8aAVjXAV2w3Bm+d+Jf30ml7G6&#10;jeetD8l79NgwIDv8I+koZtDvMgk7zc5bO4gM8xiDr28nDPz9Huz7F778BQ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MgqlWkS&#10;AgAAKQQAAA4AAAAAAAAAAAAAAAAALgIAAGRycy9lMm9Eb2MueG1sUEsBAi0AFAAGAAgAAAAhAOzZ&#10;Hs/bAAAABwEAAA8AAAAAAAAAAAAAAAAAbAQAAGRycy9kb3ducmV2LnhtbFBLBQYAAAAABAAEAPMA&#10;AAB0BQAAAAA=&#10;" o:allowincell="f" strokeweight="1pt"/>
        </w:pict>
      </w:r>
    </w:p>
    <w:p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rsidR="00FD23FE" w:rsidRDefault="00FD23FE">
      <w:pPr>
        <w:pStyle w:val="Heading2"/>
        <w:tabs>
          <w:tab w:val="right" w:pos="9000"/>
        </w:tabs>
        <w:jc w:val="left"/>
        <w:rPr>
          <w:sz w:val="16"/>
          <w:szCs w:val="16"/>
        </w:rPr>
      </w:pPr>
      <w:r>
        <w:rPr>
          <w:sz w:val="16"/>
          <w:szCs w:val="16"/>
        </w:rPr>
        <w:t xml:space="preserve">                                                                                                                 TTY: N.E.T. Relay 1-800-439-2370</w:t>
      </w:r>
    </w:p>
    <w:p w:rsidR="00FD23FE" w:rsidRDefault="00FD23FE">
      <w:pPr>
        <w:ind w:left="720"/>
        <w:rPr>
          <w:rFonts w:ascii="Arial" w:hAnsi="Arial"/>
          <w:i/>
          <w:sz w:val="16"/>
          <w:szCs w:val="16"/>
        </w:rPr>
      </w:pPr>
    </w:p>
    <w:p w:rsidR="00FD23FE" w:rsidRDefault="00FD23FE">
      <w:pPr>
        <w:ind w:left="720"/>
        <w:rPr>
          <w:rFonts w:ascii="Arial" w:hAnsi="Arial"/>
          <w:i/>
          <w:sz w:val="18"/>
        </w:rPr>
        <w:sectPr w:rsidR="00FD23FE">
          <w:footerReference w:type="even" r:id="rId9"/>
          <w:footerReference w:type="default" r:id="rId10"/>
          <w:endnotePr>
            <w:numFmt w:val="decimal"/>
          </w:endnotePr>
          <w:pgSz w:w="12240" w:h="15840"/>
          <w:pgMar w:top="864" w:right="1080" w:bottom="1440" w:left="1800" w:header="1440" w:footer="1440" w:gutter="0"/>
          <w:cols w:space="720"/>
          <w:noEndnote/>
          <w:titlePg/>
        </w:sectPr>
      </w:pPr>
    </w:p>
    <w:p w:rsidR="00FD23FE" w:rsidRDefault="00FD23FE">
      <w:pPr>
        <w:ind w:left="720"/>
        <w:jc w:val="center"/>
        <w:rPr>
          <w:rFonts w:ascii="Arial" w:hAnsi="Arial"/>
          <w:i/>
          <w:sz w:val="16"/>
          <w:szCs w:val="16"/>
        </w:rPr>
      </w:pPr>
    </w:p>
    <w:tbl>
      <w:tblPr>
        <w:tblW w:w="0" w:type="auto"/>
        <w:tblLook w:val="01E0"/>
      </w:tblPr>
      <w:tblGrid>
        <w:gridCol w:w="2988"/>
        <w:gridCol w:w="8604"/>
      </w:tblGrid>
      <w:tr w:rsidR="00FD23FE">
        <w:tc>
          <w:tcPr>
            <w:tcW w:w="2988" w:type="dxa"/>
          </w:tcPr>
          <w:p w:rsidR="00FD23FE" w:rsidRDefault="00FD23FE">
            <w:pPr>
              <w:jc w:val="center"/>
              <w:rPr>
                <w:rFonts w:ascii="Arial" w:hAnsi="Arial" w:cs="Arial"/>
                <w:sz w:val="16"/>
                <w:szCs w:val="16"/>
              </w:rPr>
            </w:pPr>
            <w:r>
              <w:rPr>
                <w:rFonts w:ascii="Arial" w:hAnsi="Arial" w:cs="Arial"/>
                <w:sz w:val="16"/>
                <w:szCs w:val="16"/>
              </w:rPr>
              <w:t>Mitchell D. Chester, Ed.D.</w:t>
            </w:r>
          </w:p>
          <w:p w:rsidR="00FD23FE" w:rsidRDefault="00FD23FE">
            <w:pPr>
              <w:jc w:val="center"/>
              <w:rPr>
                <w:rFonts w:ascii="Arial" w:hAnsi="Arial"/>
                <w:i/>
                <w:sz w:val="16"/>
                <w:szCs w:val="16"/>
              </w:rPr>
            </w:pPr>
            <w:r>
              <w:rPr>
                <w:rFonts w:ascii="Arial" w:hAnsi="Arial"/>
                <w:i/>
                <w:sz w:val="16"/>
                <w:szCs w:val="16"/>
              </w:rPr>
              <w:t>Commissioner</w:t>
            </w:r>
          </w:p>
        </w:tc>
        <w:tc>
          <w:tcPr>
            <w:tcW w:w="8604" w:type="dxa"/>
          </w:tcPr>
          <w:p w:rsidR="00FD23FE" w:rsidRDefault="00FD23FE">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endnotePr>
            <w:numFmt w:val="decimal"/>
          </w:endnotePr>
          <w:type w:val="continuous"/>
          <w:pgSz w:w="12240" w:h="15840"/>
          <w:pgMar w:top="864" w:right="432" w:bottom="1440" w:left="432" w:header="1440" w:footer="1440" w:gutter="0"/>
          <w:cols w:space="720"/>
          <w:noEndnote/>
        </w:sectPr>
      </w:pPr>
    </w:p>
    <w:p w:rsidR="00FF0943" w:rsidRDefault="00FF0943" w:rsidP="00FF0943">
      <w:pPr>
        <w:pStyle w:val="Heading1"/>
        <w:tabs>
          <w:tab w:val="clear" w:pos="4680"/>
        </w:tabs>
      </w:pPr>
      <w:r>
        <w:lastRenderedPageBreak/>
        <w:t>MEMORANDUM</w:t>
      </w:r>
    </w:p>
    <w:p w:rsidR="00FF0943" w:rsidRDefault="00FF0943" w:rsidP="00FF0943">
      <w:pPr>
        <w:pStyle w:val="Footer"/>
        <w:widowControl w:val="0"/>
        <w:tabs>
          <w:tab w:val="clear" w:pos="4320"/>
          <w:tab w:val="clear" w:pos="8640"/>
        </w:tabs>
        <w:rPr>
          <w:snapToGrid w:val="0"/>
          <w:szCs w:val="20"/>
        </w:rPr>
      </w:pPr>
    </w:p>
    <w:tbl>
      <w:tblPr>
        <w:tblW w:w="0" w:type="auto"/>
        <w:tblLook w:val="01E0"/>
      </w:tblPr>
      <w:tblGrid>
        <w:gridCol w:w="1188"/>
        <w:gridCol w:w="8388"/>
      </w:tblGrid>
      <w:tr w:rsidR="00FF0943" w:rsidTr="00545005">
        <w:tc>
          <w:tcPr>
            <w:tcW w:w="1188" w:type="dxa"/>
          </w:tcPr>
          <w:p w:rsidR="00FF0943" w:rsidRDefault="00FF0943" w:rsidP="00545005">
            <w:pPr>
              <w:rPr>
                <w:b/>
              </w:rPr>
            </w:pPr>
            <w:r>
              <w:rPr>
                <w:b/>
              </w:rPr>
              <w:t>To:</w:t>
            </w:r>
          </w:p>
        </w:tc>
        <w:tc>
          <w:tcPr>
            <w:tcW w:w="8388" w:type="dxa"/>
          </w:tcPr>
          <w:p w:rsidR="00FF0943" w:rsidRPr="00545005" w:rsidRDefault="00FF0943" w:rsidP="00545005">
            <w:pPr>
              <w:pStyle w:val="Footer"/>
              <w:widowControl w:val="0"/>
              <w:tabs>
                <w:tab w:val="clear" w:pos="4320"/>
                <w:tab w:val="clear" w:pos="8640"/>
              </w:tabs>
              <w:rPr>
                <w:bCs/>
                <w:snapToGrid w:val="0"/>
                <w:szCs w:val="20"/>
                <w:lang w:val="en-US" w:eastAsia="en-US"/>
              </w:rPr>
            </w:pPr>
            <w:r w:rsidRPr="00545005">
              <w:rPr>
                <w:bCs/>
                <w:snapToGrid w:val="0"/>
                <w:szCs w:val="20"/>
                <w:lang w:val="en-US" w:eastAsia="en-US"/>
              </w:rPr>
              <w:t>Members of the Board of Elementary and Secondary Education</w:t>
            </w:r>
          </w:p>
        </w:tc>
      </w:tr>
      <w:tr w:rsidR="00FF0943" w:rsidTr="00545005">
        <w:tc>
          <w:tcPr>
            <w:tcW w:w="1188" w:type="dxa"/>
          </w:tcPr>
          <w:p w:rsidR="00FF0943" w:rsidRDefault="00FF0943" w:rsidP="00545005">
            <w:pPr>
              <w:rPr>
                <w:b/>
              </w:rPr>
            </w:pPr>
            <w:r>
              <w:rPr>
                <w:b/>
              </w:rPr>
              <w:t>From:</w:t>
            </w:r>
            <w:r>
              <w:tab/>
            </w:r>
          </w:p>
        </w:tc>
        <w:tc>
          <w:tcPr>
            <w:tcW w:w="8388" w:type="dxa"/>
          </w:tcPr>
          <w:p w:rsidR="00FF0943" w:rsidRPr="00545005" w:rsidRDefault="00FF0943" w:rsidP="00545005">
            <w:pPr>
              <w:pStyle w:val="Footer"/>
              <w:widowControl w:val="0"/>
              <w:tabs>
                <w:tab w:val="clear" w:pos="4320"/>
                <w:tab w:val="clear" w:pos="8640"/>
              </w:tabs>
              <w:rPr>
                <w:bCs/>
                <w:snapToGrid w:val="0"/>
                <w:szCs w:val="20"/>
                <w:lang w:val="en-US" w:eastAsia="en-US"/>
              </w:rPr>
            </w:pPr>
            <w:r w:rsidRPr="00545005">
              <w:rPr>
                <w:bCs/>
                <w:snapToGrid w:val="0"/>
                <w:szCs w:val="20"/>
                <w:lang w:val="en-US" w:eastAsia="en-US"/>
              </w:rPr>
              <w:t>Mitchell D. Chester, Ed.D., Commissioner</w:t>
            </w:r>
          </w:p>
        </w:tc>
      </w:tr>
      <w:tr w:rsidR="00FF0943" w:rsidTr="00545005">
        <w:tc>
          <w:tcPr>
            <w:tcW w:w="1188" w:type="dxa"/>
          </w:tcPr>
          <w:p w:rsidR="00FF0943" w:rsidRDefault="00FF0943" w:rsidP="00545005">
            <w:pPr>
              <w:rPr>
                <w:b/>
              </w:rPr>
            </w:pPr>
            <w:r>
              <w:rPr>
                <w:b/>
              </w:rPr>
              <w:t>Date:</w:t>
            </w:r>
            <w:r>
              <w:tab/>
            </w:r>
          </w:p>
        </w:tc>
        <w:tc>
          <w:tcPr>
            <w:tcW w:w="8388" w:type="dxa"/>
          </w:tcPr>
          <w:p w:rsidR="00FF0943" w:rsidRPr="00545005" w:rsidRDefault="00FF0943" w:rsidP="00545005">
            <w:pPr>
              <w:pStyle w:val="Footer"/>
              <w:widowControl w:val="0"/>
              <w:tabs>
                <w:tab w:val="clear" w:pos="4320"/>
                <w:tab w:val="clear" w:pos="8640"/>
              </w:tabs>
              <w:rPr>
                <w:bCs/>
                <w:snapToGrid w:val="0"/>
                <w:szCs w:val="20"/>
                <w:lang w:val="en-US" w:eastAsia="en-US"/>
              </w:rPr>
            </w:pPr>
            <w:r w:rsidRPr="00545005">
              <w:rPr>
                <w:bCs/>
                <w:snapToGrid w:val="0"/>
                <w:szCs w:val="20"/>
                <w:lang w:val="en-US" w:eastAsia="en-US"/>
              </w:rPr>
              <w:t>March 9, 2012</w:t>
            </w:r>
          </w:p>
        </w:tc>
      </w:tr>
      <w:tr w:rsidR="00FF0943" w:rsidTr="00545005">
        <w:tc>
          <w:tcPr>
            <w:tcW w:w="1188" w:type="dxa"/>
          </w:tcPr>
          <w:p w:rsidR="00FF0943" w:rsidRDefault="00FF0943" w:rsidP="00545005">
            <w:pPr>
              <w:rPr>
                <w:b/>
              </w:rPr>
            </w:pPr>
            <w:r>
              <w:rPr>
                <w:b/>
              </w:rPr>
              <w:t>Subject:</w:t>
            </w:r>
          </w:p>
        </w:tc>
        <w:tc>
          <w:tcPr>
            <w:tcW w:w="8388" w:type="dxa"/>
          </w:tcPr>
          <w:p w:rsidR="00FF0943" w:rsidRPr="00545005" w:rsidRDefault="00FF0943" w:rsidP="00545005">
            <w:pPr>
              <w:pStyle w:val="Footer"/>
              <w:widowControl w:val="0"/>
              <w:tabs>
                <w:tab w:val="clear" w:pos="4320"/>
                <w:tab w:val="clear" w:pos="8640"/>
              </w:tabs>
              <w:rPr>
                <w:bCs/>
                <w:i/>
                <w:snapToGrid w:val="0"/>
                <w:szCs w:val="20"/>
                <w:lang w:val="en-US" w:eastAsia="en-US"/>
              </w:rPr>
            </w:pPr>
            <w:r w:rsidRPr="00545005">
              <w:rPr>
                <w:bCs/>
                <w:snapToGrid w:val="0"/>
                <w:szCs w:val="20"/>
                <w:lang w:val="en-US" w:eastAsia="en-US"/>
              </w:rPr>
              <w:t>Lowell Community Charter Public School – Report on Conditions and School’s Request to Modify Conditions</w:t>
            </w:r>
          </w:p>
        </w:tc>
      </w:tr>
    </w:tbl>
    <w:p w:rsidR="00FF0943" w:rsidRDefault="00FF0943" w:rsidP="00FF0943">
      <w:pPr>
        <w:pBdr>
          <w:bottom w:val="single" w:sz="4" w:space="1" w:color="auto"/>
        </w:pBdr>
      </w:pPr>
    </w:p>
    <w:p w:rsidR="00FF0943" w:rsidRDefault="00FF0943" w:rsidP="00FF0943">
      <w:pPr>
        <w:rPr>
          <w:sz w:val="16"/>
        </w:rPr>
        <w:sectPr w:rsidR="00FF0943">
          <w:endnotePr>
            <w:numFmt w:val="decimal"/>
          </w:endnotePr>
          <w:type w:val="continuous"/>
          <w:pgSz w:w="12240" w:h="15840"/>
          <w:pgMar w:top="1440" w:right="1440" w:bottom="1440" w:left="1440" w:header="1440" w:footer="1440" w:gutter="0"/>
          <w:cols w:space="720"/>
          <w:noEndnote/>
        </w:sectPr>
      </w:pPr>
    </w:p>
    <w:p w:rsidR="00FF0943" w:rsidRDefault="00FF0943" w:rsidP="00FF0943">
      <w:pPr>
        <w:rPr>
          <w:sz w:val="16"/>
        </w:rPr>
      </w:pPr>
    </w:p>
    <w:p w:rsidR="00FF0943" w:rsidRDefault="00FF0943" w:rsidP="00FF0943">
      <w:pPr>
        <w:widowControl/>
        <w:autoSpaceDE w:val="0"/>
        <w:autoSpaceDN w:val="0"/>
        <w:adjustRightInd w:val="0"/>
      </w:pPr>
      <w:r>
        <w:t>Lowell Community Charter Public School (LCCPS) opened in 2000 and was first renewed in 2005. In February 2010, the Board of Elementary and Secondary Education (Board) granted LCCPS a probationary renewal with conditions requiring the school to meet academic targets, to implement a school-wide corrective action plan, and to reduce the school’s maximum enrollment from 900 to 610 and grade span from K-8 to K-4. This renewal followed an earlier recommendation, in January 2010, to not renew the school’s charter. In March 2011, LCCPS submitted a request to amend the probationary conditions to (1) allow an extra year to reach the planned enrollment level of 610, and (2) allow the school to remain at grades K-6. In April 2011, the Board granted the school’s request.</w:t>
      </w:r>
    </w:p>
    <w:p w:rsidR="00FF0943" w:rsidRDefault="00FF0943" w:rsidP="00FF0943">
      <w:pPr>
        <w:widowControl/>
        <w:autoSpaceDE w:val="0"/>
        <w:autoSpaceDN w:val="0"/>
        <w:adjustRightInd w:val="0"/>
      </w:pPr>
    </w:p>
    <w:p w:rsidR="00FF0943" w:rsidRDefault="00FF0943" w:rsidP="00FF0943">
      <w:pPr>
        <w:widowControl/>
        <w:autoSpaceDE w:val="0"/>
        <w:autoSpaceDN w:val="0"/>
        <w:adjustRightInd w:val="0"/>
      </w:pPr>
      <w:r>
        <w:t xml:space="preserve">This memorandum serves as a report on the school’s progress in relation to the renewal conditions. Additionally, the school has requested a further amendment to the enrollment condition. The school has requested that it be allowed to return to a K-8 configuration and to eventually reach a maximum enrollment of </w:t>
      </w:r>
      <w:r w:rsidRPr="00DE4FAB">
        <w:t>700 students</w:t>
      </w:r>
      <w:r>
        <w:t xml:space="preserve"> by the 2017-18 school </w:t>
      </w:r>
      <w:proofErr w:type="gramStart"/>
      <w:r>
        <w:t>year</w:t>
      </w:r>
      <w:proofErr w:type="gramEnd"/>
      <w:r>
        <w:t xml:space="preserve">. </w:t>
      </w:r>
      <w:r w:rsidRPr="00DE4FAB">
        <w:t>I am</w:t>
      </w:r>
      <w:r>
        <w:t xml:space="preserve"> not </w:t>
      </w:r>
      <w:r w:rsidRPr="00DE4FAB">
        <w:t>recommending</w:t>
      </w:r>
      <w:r>
        <w:t xml:space="preserve"> that the school’s request be granted at this time. W</w:t>
      </w:r>
      <w:bookmarkStart w:id="0" w:name="_GoBack"/>
      <w:bookmarkEnd w:id="0"/>
      <w:r>
        <w:t>hile I am heartened to see progress in the school’s academic performance, it is premature at this point to grant the school an expansion of grades served and number of seats. Given its probationary renewal, the school must establish a sustained record of academic growth and success with its current population of students before the Department can grant an expansion.</w:t>
      </w:r>
    </w:p>
    <w:p w:rsidR="00FF0943" w:rsidRDefault="00FF0943" w:rsidP="00FF0943">
      <w:pPr>
        <w:widowControl/>
        <w:autoSpaceDE w:val="0"/>
        <w:autoSpaceDN w:val="0"/>
        <w:adjustRightInd w:val="0"/>
      </w:pPr>
    </w:p>
    <w:p w:rsidR="00FF0943" w:rsidRPr="00B14655" w:rsidRDefault="00FF0943" w:rsidP="00FF0943">
      <w:pPr>
        <w:widowControl/>
        <w:autoSpaceDE w:val="0"/>
        <w:autoSpaceDN w:val="0"/>
        <w:adjustRightInd w:val="0"/>
        <w:rPr>
          <w:b/>
        </w:rPr>
      </w:pPr>
      <w:smartTag w:uri="urn:schemas-microsoft-com:office:smarttags" w:element="place">
        <w:smartTag w:uri="urn:schemas-microsoft-com:office:smarttags" w:element="City">
          <w:r>
            <w:rPr>
              <w:b/>
            </w:rPr>
            <w:t>Mission</w:t>
          </w:r>
        </w:smartTag>
      </w:smartTag>
    </w:p>
    <w:p w:rsidR="00FF0943" w:rsidRDefault="00FF0943" w:rsidP="00FF0943">
      <w:pPr>
        <w:widowControl/>
        <w:autoSpaceDE w:val="0"/>
        <w:autoSpaceDN w:val="0"/>
        <w:adjustRightInd w:val="0"/>
      </w:pPr>
    </w:p>
    <w:p w:rsidR="00FF0943" w:rsidRDefault="00FF0943" w:rsidP="00FF0943">
      <w:pPr>
        <w:autoSpaceDE w:val="0"/>
        <w:autoSpaceDN w:val="0"/>
        <w:adjustRightInd w:val="0"/>
      </w:pPr>
      <w:r>
        <w:rPr>
          <w:szCs w:val="24"/>
        </w:rPr>
        <w:t xml:space="preserve">The school’s mission statement reads: </w:t>
      </w:r>
      <w:r>
        <w:t>“</w:t>
      </w:r>
      <w:r w:rsidRPr="005B1783">
        <w:t xml:space="preserve">The purpose of the </w:t>
      </w:r>
      <w:smartTag w:uri="urn:schemas-microsoft-com:office:smarttags" w:element="PlaceName">
        <w:r w:rsidRPr="005B1783">
          <w:t>Lowell</w:t>
        </w:r>
      </w:smartTag>
      <w:r w:rsidRPr="005B1783">
        <w:t xml:space="preserve"> </w:t>
      </w:r>
      <w:smartTag w:uri="urn:schemas-microsoft-com:office:smarttags" w:element="PlaceName">
        <w:r w:rsidRPr="005B1783">
          <w:t>Community</w:t>
        </w:r>
      </w:smartTag>
      <w:r w:rsidRPr="005B1783">
        <w:t xml:space="preserve"> </w:t>
      </w:r>
      <w:smartTag w:uri="urn:schemas-microsoft-com:office:smarttags" w:element="PlaceName">
        <w:r w:rsidRPr="005B1783">
          <w:t>Charter</w:t>
        </w:r>
      </w:smartTag>
      <w:r w:rsidRPr="005B1783">
        <w:t xml:space="preserve"> </w:t>
      </w:r>
      <w:smartTag w:uri="urn:schemas-microsoft-com:office:smarttags" w:element="PlaceType">
        <w:r w:rsidRPr="005B1783">
          <w:t>Public School</w:t>
        </w:r>
      </w:smartTag>
      <w:r w:rsidRPr="005B1783">
        <w:t xml:space="preserve"> is </w:t>
      </w:r>
      <w:r>
        <w:t xml:space="preserve">to prepare a cross section of </w:t>
      </w:r>
      <w:smartTag w:uri="urn:schemas-microsoft-com:office:smarttags" w:element="place">
        <w:smartTag w:uri="urn:schemas-microsoft-com:office:smarttags" w:element="City">
          <w:r>
            <w:t>Lowell</w:t>
          </w:r>
        </w:smartTag>
      </w:smartTag>
      <w:r>
        <w:t xml:space="preserve"> children for success as students, citizens, and workers by providing them with a comprehensive curriculum in a supportive, challenging, multicultural learning environment. The school’s highest priority is the promotion of academic achievement for all students in each of the areas addressed by the </w:t>
      </w:r>
      <w:smartTag w:uri="urn:schemas-microsoft-com:office:smarttags" w:element="place">
        <w:smartTag w:uri="urn:schemas-microsoft-com:office:smarttags" w:element="State">
          <w:r>
            <w:t>Massachusetts</w:t>
          </w:r>
        </w:smartTag>
      </w:smartTag>
      <w:r>
        <w:t xml:space="preserve"> curriculum frameworks, including: English, reading and language arts, writing, mathematics, science, health and fitness, world languages, art, and music, as well as character and ethics. The </w:t>
      </w:r>
      <w:smartTag w:uri="urn:schemas-microsoft-com:office:smarttags" w:element="PlaceName">
        <w:r>
          <w:t>Lowell</w:t>
        </w:r>
      </w:smartTag>
      <w:r>
        <w:t xml:space="preserve"> </w:t>
      </w:r>
      <w:smartTag w:uri="urn:schemas-microsoft-com:office:smarttags" w:element="PlaceName">
        <w:r>
          <w:t>Community</w:t>
        </w:r>
      </w:smartTag>
      <w:r>
        <w:t xml:space="preserve"> </w:t>
      </w:r>
      <w:smartTag w:uri="urn:schemas-microsoft-com:office:smarttags" w:element="PlaceName">
        <w:r>
          <w:t>Charter</w:t>
        </w:r>
      </w:smartTag>
      <w:r>
        <w:t xml:space="preserve"> </w:t>
      </w:r>
      <w:smartTag w:uri="urn:schemas-microsoft-com:office:smarttags" w:element="PlaceType">
        <w:r>
          <w:t>Public School</w:t>
        </w:r>
      </w:smartTag>
      <w:r>
        <w:t xml:space="preserve"> will place special emphasis on the contributions that immigrants have made to American life and to </w:t>
      </w:r>
      <w:smartTag w:uri="urn:schemas-microsoft-com:office:smarttags" w:element="City">
        <w:r>
          <w:t>Lowell</w:t>
        </w:r>
      </w:smartTag>
      <w:r>
        <w:t xml:space="preserve">’s development over the years, and on the </w:t>
      </w:r>
      <w:r>
        <w:lastRenderedPageBreak/>
        <w:t xml:space="preserve">culture, language, and history of the Southeast Asian and Latino peoples who comprise a substantial portion of </w:t>
      </w:r>
      <w:smartTag w:uri="urn:schemas-microsoft-com:office:smarttags" w:element="place">
        <w:smartTag w:uri="urn:schemas-microsoft-com:office:smarttags" w:element="City">
          <w:r>
            <w:t>Lowell</w:t>
          </w:r>
        </w:smartTag>
      </w:smartTag>
      <w:r>
        <w:t xml:space="preserve">’s present day population. The school will actively promote the joy of discovery and creativity in the learning process, and will integrate the use of technology into aspects of instruction. The opportunity for learning will be enhanced through a longer school day and an extended year. Student achievement will be demonstrated in measurable terms to parents, students, and the community at large.”  </w:t>
      </w:r>
    </w:p>
    <w:p w:rsidR="00FF0943" w:rsidRDefault="00FF0943" w:rsidP="00FF0943">
      <w:pPr>
        <w:autoSpaceDE w:val="0"/>
        <w:autoSpaceDN w:val="0"/>
        <w:adjustRightInd w:val="0"/>
      </w:pPr>
    </w:p>
    <w:p w:rsidR="00FF0943" w:rsidRDefault="00FF0943" w:rsidP="00FF0943">
      <w:pPr>
        <w:autoSpaceDE w:val="0"/>
        <w:autoSpaceDN w:val="0"/>
        <w:adjustRightInd w:val="0"/>
        <w:rPr>
          <w:b/>
        </w:rPr>
      </w:pPr>
      <w:r>
        <w:rPr>
          <w:b/>
        </w:rPr>
        <w:t>Report on Conditions</w:t>
      </w:r>
    </w:p>
    <w:p w:rsidR="00FF0943" w:rsidRDefault="00FF0943" w:rsidP="00FF0943">
      <w:pPr>
        <w:autoSpaceDE w:val="0"/>
        <w:autoSpaceDN w:val="0"/>
        <w:adjustRightInd w:val="0"/>
      </w:pPr>
    </w:p>
    <w:p w:rsidR="00FF0943" w:rsidRDefault="00FF0943" w:rsidP="00FF0943">
      <w:pPr>
        <w:autoSpaceDE w:val="0"/>
        <w:autoSpaceDN w:val="0"/>
        <w:adjustRightInd w:val="0"/>
      </w:pPr>
      <w:r>
        <w:t>The following conditions were imposed by the Board in April 2011:</w:t>
      </w:r>
    </w:p>
    <w:p w:rsidR="00FF0943" w:rsidRDefault="00FF0943" w:rsidP="00FF0943">
      <w:pPr>
        <w:autoSpaceDE w:val="0"/>
        <w:autoSpaceDN w:val="0"/>
        <w:adjustRightInd w:val="0"/>
      </w:pPr>
    </w:p>
    <w:p w:rsidR="00FF0943" w:rsidRDefault="00FF0943" w:rsidP="00FF0943">
      <w:pPr>
        <w:widowControl/>
        <w:ind w:left="360" w:right="-360"/>
        <w:rPr>
          <w:szCs w:val="24"/>
        </w:rPr>
      </w:pPr>
      <w:r>
        <w:rPr>
          <w:b/>
        </w:rPr>
        <w:t xml:space="preserve">Condition 1: </w:t>
      </w:r>
      <w:r>
        <w:rPr>
          <w:szCs w:val="24"/>
        </w:rPr>
        <w:t xml:space="preserve">No later than September 2012, the school shall reduce its maximum enrollment to 610 students. </w:t>
      </w:r>
    </w:p>
    <w:p w:rsidR="00FF0943" w:rsidRDefault="00FF0943" w:rsidP="00FF0943">
      <w:pPr>
        <w:autoSpaceDE w:val="0"/>
        <w:autoSpaceDN w:val="0"/>
        <w:adjustRightInd w:val="0"/>
        <w:rPr>
          <w:b/>
        </w:rPr>
      </w:pPr>
    </w:p>
    <w:p w:rsidR="00FF0943" w:rsidRDefault="00FF0943" w:rsidP="00FF0943">
      <w:pPr>
        <w:autoSpaceDE w:val="0"/>
        <w:autoSpaceDN w:val="0"/>
        <w:adjustRightInd w:val="0"/>
        <w:ind w:left="360"/>
        <w:rPr>
          <w:b/>
        </w:rPr>
      </w:pPr>
      <w:r>
        <w:rPr>
          <w:b/>
        </w:rPr>
        <w:t xml:space="preserve">Status: In progress </w:t>
      </w:r>
    </w:p>
    <w:p w:rsidR="00FF0943" w:rsidRDefault="00FF0943" w:rsidP="00FF0943">
      <w:pPr>
        <w:widowControl/>
        <w:tabs>
          <w:tab w:val="num" w:pos="2520"/>
        </w:tabs>
        <w:ind w:left="360" w:right="-360"/>
      </w:pPr>
      <w:r>
        <w:t xml:space="preserve">In March 2010, LCCPS submitted a plan to reduce the school’s maximum enrollment and grades served. The school followed the plan for the 2010-11 school </w:t>
      </w:r>
      <w:proofErr w:type="gramStart"/>
      <w:r>
        <w:t>year</w:t>
      </w:r>
      <w:proofErr w:type="gramEnd"/>
      <w:r>
        <w:t xml:space="preserve">, serving 791 students in grades K-6. In April 2011, the Board granted LCCPS’s request to be given until September 2012 to reduce its enrollment to 610. At the time of the December 2011 site visit, LCCPS was serving 677 students in grades K-6. The school has planned for an enrollment of 610 students for the 2012-13 school </w:t>
      </w:r>
      <w:proofErr w:type="gramStart"/>
      <w:r>
        <w:t>year</w:t>
      </w:r>
      <w:proofErr w:type="gramEnd"/>
      <w:r>
        <w:t xml:space="preserve"> as illustrated by budget projections created by the school.</w:t>
      </w:r>
    </w:p>
    <w:p w:rsidR="00FF0943" w:rsidRDefault="00FF0943" w:rsidP="00FF0943">
      <w:pPr>
        <w:widowControl/>
        <w:tabs>
          <w:tab w:val="num" w:pos="2520"/>
        </w:tabs>
        <w:ind w:right="-360"/>
        <w:rPr>
          <w:b/>
        </w:rPr>
      </w:pPr>
    </w:p>
    <w:p w:rsidR="00FF0943" w:rsidRDefault="00FF0943" w:rsidP="00FF0943">
      <w:pPr>
        <w:ind w:left="360" w:right="-360"/>
      </w:pPr>
      <w:r>
        <w:rPr>
          <w:b/>
        </w:rPr>
        <w:t xml:space="preserve">Condition 2: </w:t>
      </w:r>
      <w:r w:rsidRPr="004A2C2B">
        <w:t>By December of 2011, Lowell Community Charter Public School shall demonstrate that it is an academic success by:</w:t>
      </w:r>
    </w:p>
    <w:p w:rsidR="00FF0943" w:rsidRPr="004A2C2B" w:rsidRDefault="00FF0943" w:rsidP="00FF0943">
      <w:pPr>
        <w:ind w:right="-360"/>
      </w:pPr>
    </w:p>
    <w:p w:rsidR="00FF0943" w:rsidRPr="00C061CD" w:rsidRDefault="00FF0943" w:rsidP="00FF0943">
      <w:pPr>
        <w:pStyle w:val="BodyText"/>
        <w:numPr>
          <w:ilvl w:val="1"/>
          <w:numId w:val="14"/>
        </w:numPr>
        <w:tabs>
          <w:tab w:val="clear" w:pos="3240"/>
          <w:tab w:val="num" w:pos="1080"/>
        </w:tabs>
        <w:ind w:left="1080" w:right="-360"/>
      </w:pPr>
      <w:r w:rsidRPr="00C061CD">
        <w:t>me</w:t>
      </w:r>
      <w:r>
        <w:t>e</w:t>
      </w:r>
      <w:r w:rsidRPr="00C061CD">
        <w:t>t</w:t>
      </w:r>
      <w:r>
        <w:t>ing</w:t>
      </w:r>
      <w:r w:rsidRPr="00C061CD">
        <w:t xml:space="preserve"> academic growth targets in English language arts and mathematics, as established by the Department of Elementary and Secondary Education, or</w:t>
      </w:r>
    </w:p>
    <w:p w:rsidR="00FF0943" w:rsidRDefault="00FF0943" w:rsidP="00FF0943">
      <w:pPr>
        <w:pStyle w:val="BodyText"/>
        <w:numPr>
          <w:ilvl w:val="1"/>
          <w:numId w:val="14"/>
        </w:numPr>
        <w:tabs>
          <w:tab w:val="clear" w:pos="3240"/>
          <w:tab w:val="num" w:pos="1080"/>
        </w:tabs>
        <w:ind w:left="1080" w:right="-360"/>
      </w:pPr>
      <w:r w:rsidRPr="00C061CD">
        <w:t>achiev</w:t>
      </w:r>
      <w:r>
        <w:t>ing</w:t>
      </w:r>
      <w:r w:rsidRPr="00C061CD">
        <w:t xml:space="preserve"> Adequate Yearly Progress in the aggregate and for all statistically significant subgroups in English language arts and mathematics in 20</w:t>
      </w:r>
      <w:r>
        <w:t>10</w:t>
      </w:r>
      <w:r w:rsidRPr="00C061CD">
        <w:t xml:space="preserve"> and 201</w:t>
      </w:r>
      <w:r>
        <w:t>1, and</w:t>
      </w:r>
    </w:p>
    <w:p w:rsidR="00FF0943" w:rsidRPr="00297E25" w:rsidRDefault="00FF0943" w:rsidP="00FF0943">
      <w:pPr>
        <w:pStyle w:val="BodyText"/>
        <w:numPr>
          <w:ilvl w:val="1"/>
          <w:numId w:val="14"/>
        </w:numPr>
        <w:tabs>
          <w:tab w:val="clear" w:pos="3240"/>
          <w:tab w:val="num" w:pos="1080"/>
        </w:tabs>
        <w:ind w:left="1080" w:right="-360"/>
      </w:pPr>
      <w:proofErr w:type="gramStart"/>
      <w:r w:rsidRPr="00297E25">
        <w:t>by</w:t>
      </w:r>
      <w:proofErr w:type="gramEnd"/>
      <w:r w:rsidRPr="00297E25">
        <w:t xml:space="preserve"> meeting the goals and objectives established the school’s Accountability Plan.</w:t>
      </w:r>
    </w:p>
    <w:p w:rsidR="00FF0943" w:rsidRDefault="00FF0943" w:rsidP="00FF0943">
      <w:pPr>
        <w:pStyle w:val="ListParagraph"/>
      </w:pPr>
    </w:p>
    <w:p w:rsidR="00FF0943" w:rsidRDefault="00FF0943" w:rsidP="00FF0943">
      <w:pPr>
        <w:pStyle w:val="BodyText"/>
        <w:ind w:left="360" w:right="-360"/>
        <w:rPr>
          <w:b/>
        </w:rPr>
      </w:pPr>
      <w:r>
        <w:rPr>
          <w:b/>
        </w:rPr>
        <w:t>Status: Met</w:t>
      </w:r>
    </w:p>
    <w:p w:rsidR="00FF0943" w:rsidRDefault="00FF0943" w:rsidP="00FF0943">
      <w:pPr>
        <w:pStyle w:val="BodyText"/>
        <w:ind w:left="360" w:right="-360"/>
      </w:pPr>
      <w:r>
        <w:t xml:space="preserve">In 2011, LCCPS made AYP in the aggregate for both mathematics and ELA, but not for all subgroups in either subject area. The school currently has a status of Restructuring Year 2 for subgroups in both subject areas. Over the past two years, however, LCCPS’s growth targets have met the Department’s standards for typical growth. In 2011, LCCPS’s median student growth percentile (SGP) for ELA was 49.0 which </w:t>
      </w:r>
      <w:proofErr w:type="gramStart"/>
      <w:r>
        <w:t>is</w:t>
      </w:r>
      <w:proofErr w:type="gramEnd"/>
      <w:r>
        <w:t xml:space="preserve"> within in the typical range. The school’s median SGP for mathematics was 64.0 in 2011, which is considered in the high range for growth. While LCCPS students have displayed typical to high growth in 2011, overall proficiency rates in both ELA and mathematics remain below 50 percent. Please see the data tables below. Finally, during the 2010-11 school </w:t>
      </w:r>
      <w:proofErr w:type="gramStart"/>
      <w:r>
        <w:t>year</w:t>
      </w:r>
      <w:proofErr w:type="gramEnd"/>
      <w:r>
        <w:t>, LCCPS met a majority (eight out of ten) of the academic measures established in its accountability plan.</w:t>
      </w:r>
    </w:p>
    <w:p w:rsidR="00FF0943" w:rsidRDefault="00FF0943" w:rsidP="00FF0943">
      <w:pPr>
        <w:pStyle w:val="BodyText"/>
        <w:ind w:left="360" w:right="-360"/>
      </w:pPr>
    </w:p>
    <w:p w:rsidR="00FF0943" w:rsidRDefault="00FF0943" w:rsidP="00FF0943">
      <w:pPr>
        <w:autoSpaceDE w:val="0"/>
        <w:autoSpaceDN w:val="0"/>
        <w:adjustRightInd w:val="0"/>
      </w:pPr>
    </w:p>
    <w:tbl>
      <w:tblPr>
        <w:tblW w:w="10778"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6"/>
        <w:gridCol w:w="5766"/>
      </w:tblGrid>
      <w:tr w:rsidR="00FF0943" w:rsidTr="00545005">
        <w:tc>
          <w:tcPr>
            <w:tcW w:w="5389" w:type="dxa"/>
          </w:tcPr>
          <w:tbl>
            <w:tblPr>
              <w:tblW w:w="0" w:type="auto"/>
              <w:jc w:val="center"/>
              <w:tblLook w:val="0000"/>
            </w:tblPr>
            <w:tblGrid>
              <w:gridCol w:w="2251"/>
              <w:gridCol w:w="661"/>
              <w:gridCol w:w="661"/>
              <w:gridCol w:w="661"/>
              <w:gridCol w:w="661"/>
            </w:tblGrid>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C0C0C0"/>
                </w:tcPr>
                <w:p w:rsidR="00FF0943" w:rsidRDefault="00FF0943" w:rsidP="00545005">
                  <w:pPr>
                    <w:rPr>
                      <w:rFonts w:ascii="Arial" w:hAnsi="Arial" w:cs="Arial"/>
                      <w:b/>
                      <w:bCs/>
                      <w:color w:val="000000"/>
                      <w:sz w:val="20"/>
                    </w:rPr>
                  </w:pPr>
                  <w:r>
                    <w:rPr>
                      <w:rFonts w:ascii="Arial" w:hAnsi="Arial" w:cs="Arial"/>
                      <w:b/>
                      <w:bCs/>
                      <w:color w:val="000000"/>
                      <w:sz w:val="20"/>
                    </w:rPr>
                    <w:lastRenderedPageBreak/>
                    <w:t>ELA All Grades</w:t>
                  </w:r>
                </w:p>
              </w:tc>
              <w:tc>
                <w:tcPr>
                  <w:tcW w:w="0" w:type="auto"/>
                  <w:tcBorders>
                    <w:top w:val="single" w:sz="4" w:space="0" w:color="000000"/>
                    <w:left w:val="single" w:sz="4" w:space="0" w:color="000000"/>
                    <w:bottom w:val="single" w:sz="4" w:space="0" w:color="auto"/>
                    <w:right w:val="single" w:sz="4" w:space="0" w:color="auto"/>
                  </w:tcBorders>
                  <w:shd w:val="clear" w:color="auto" w:fill="C0C0C0"/>
                </w:tcPr>
                <w:p w:rsidR="00FF0943" w:rsidRDefault="00FF0943" w:rsidP="00545005">
                  <w:pPr>
                    <w:jc w:val="center"/>
                    <w:rPr>
                      <w:rFonts w:ascii="Arial" w:hAnsi="Arial" w:cs="Arial"/>
                      <w:b/>
                      <w:bCs/>
                      <w:color w:val="000000"/>
                      <w:sz w:val="20"/>
                    </w:rPr>
                  </w:pPr>
                  <w:r>
                    <w:rPr>
                      <w:rFonts w:ascii="Arial" w:hAnsi="Arial" w:cs="Arial"/>
                      <w:b/>
                      <w:bCs/>
                      <w:color w:val="000000"/>
                      <w:sz w:val="20"/>
                    </w:rPr>
                    <w:t>2008</w:t>
                  </w:r>
                </w:p>
              </w:tc>
              <w:tc>
                <w:tcPr>
                  <w:tcW w:w="0" w:type="auto"/>
                  <w:tcBorders>
                    <w:top w:val="single" w:sz="4" w:space="0" w:color="000000"/>
                    <w:left w:val="single" w:sz="4" w:space="0" w:color="000000"/>
                    <w:bottom w:val="single" w:sz="4" w:space="0" w:color="auto"/>
                    <w:right w:val="single" w:sz="4" w:space="0" w:color="auto"/>
                  </w:tcBorders>
                  <w:shd w:val="clear" w:color="auto" w:fill="C0C0C0"/>
                </w:tcPr>
                <w:p w:rsidR="00FF0943" w:rsidRDefault="00FF0943" w:rsidP="00545005">
                  <w:pPr>
                    <w:jc w:val="center"/>
                    <w:rPr>
                      <w:rFonts w:ascii="Arial" w:hAnsi="Arial" w:cs="Arial"/>
                      <w:b/>
                      <w:bCs/>
                      <w:color w:val="000000"/>
                      <w:sz w:val="20"/>
                    </w:rPr>
                  </w:pPr>
                  <w:r>
                    <w:rPr>
                      <w:rFonts w:ascii="Arial" w:hAnsi="Arial" w:cs="Arial"/>
                      <w:b/>
                      <w:bCs/>
                      <w:color w:val="000000"/>
                      <w:sz w:val="20"/>
                    </w:rPr>
                    <w:t>2009</w:t>
                  </w:r>
                </w:p>
              </w:tc>
              <w:tc>
                <w:tcPr>
                  <w:tcW w:w="0" w:type="auto"/>
                  <w:tcBorders>
                    <w:top w:val="single" w:sz="4" w:space="0" w:color="000000"/>
                    <w:left w:val="single" w:sz="4" w:space="0" w:color="000000"/>
                    <w:bottom w:val="single" w:sz="4" w:space="0" w:color="auto"/>
                    <w:right w:val="single" w:sz="4" w:space="0" w:color="auto"/>
                  </w:tcBorders>
                  <w:shd w:val="clear" w:color="auto" w:fill="C0C0C0"/>
                </w:tcPr>
                <w:p w:rsidR="00FF0943" w:rsidRDefault="00FF0943" w:rsidP="00545005">
                  <w:pPr>
                    <w:jc w:val="center"/>
                    <w:rPr>
                      <w:rFonts w:ascii="Arial" w:hAnsi="Arial" w:cs="Arial"/>
                      <w:b/>
                      <w:bCs/>
                      <w:color w:val="000000"/>
                      <w:sz w:val="20"/>
                    </w:rPr>
                  </w:pPr>
                  <w:r>
                    <w:rPr>
                      <w:rFonts w:ascii="Arial" w:hAnsi="Arial" w:cs="Arial"/>
                      <w:b/>
                      <w:bCs/>
                      <w:color w:val="000000"/>
                      <w:sz w:val="20"/>
                    </w:rPr>
                    <w:t>2010</w:t>
                  </w:r>
                </w:p>
              </w:tc>
              <w:tc>
                <w:tcPr>
                  <w:tcW w:w="0" w:type="auto"/>
                  <w:tcBorders>
                    <w:top w:val="single" w:sz="4" w:space="0" w:color="000000"/>
                    <w:left w:val="single" w:sz="4" w:space="0" w:color="000000"/>
                    <w:bottom w:val="single" w:sz="4" w:space="0" w:color="auto"/>
                    <w:right w:val="single" w:sz="4" w:space="0" w:color="auto"/>
                  </w:tcBorders>
                  <w:shd w:val="clear" w:color="auto" w:fill="C0C0C0"/>
                </w:tcPr>
                <w:p w:rsidR="00FF0943" w:rsidRDefault="00FF0943" w:rsidP="00545005">
                  <w:pPr>
                    <w:jc w:val="center"/>
                    <w:rPr>
                      <w:rFonts w:ascii="Arial" w:hAnsi="Arial" w:cs="Arial"/>
                      <w:b/>
                      <w:bCs/>
                      <w:color w:val="000000"/>
                      <w:sz w:val="20"/>
                    </w:rPr>
                  </w:pPr>
                  <w:r>
                    <w:rPr>
                      <w:rFonts w:ascii="Arial" w:hAnsi="Arial" w:cs="Arial"/>
                      <w:b/>
                      <w:bCs/>
                      <w:color w:val="000000"/>
                      <w:sz w:val="20"/>
                    </w:rPr>
                    <w:t>2011</w:t>
                  </w:r>
                </w:p>
              </w:tc>
            </w:tr>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FF0943" w:rsidRDefault="00FF0943" w:rsidP="00545005">
                  <w:pPr>
                    <w:jc w:val="right"/>
                    <w:rPr>
                      <w:rFonts w:ascii="Arial" w:hAnsi="Arial" w:cs="Arial"/>
                      <w:color w:val="000000"/>
                      <w:sz w:val="20"/>
                    </w:rPr>
                  </w:pPr>
                  <w:r>
                    <w:rPr>
                      <w:rFonts w:ascii="Arial" w:hAnsi="Arial" w:cs="Arial"/>
                      <w:color w:val="000000"/>
                      <w:sz w:val="20"/>
                    </w:rPr>
                    <w:t>% Advanced</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2</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4</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4</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2</w:t>
                  </w:r>
                </w:p>
              </w:tc>
            </w:tr>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FF0943" w:rsidRDefault="00FF0943" w:rsidP="00545005">
                  <w:pPr>
                    <w:jc w:val="right"/>
                    <w:rPr>
                      <w:rFonts w:ascii="Arial" w:hAnsi="Arial" w:cs="Arial"/>
                      <w:color w:val="000000"/>
                      <w:sz w:val="20"/>
                    </w:rPr>
                  </w:pPr>
                  <w:r>
                    <w:rPr>
                      <w:rFonts w:ascii="Arial" w:hAnsi="Arial" w:cs="Arial"/>
                      <w:color w:val="000000"/>
                      <w:sz w:val="20"/>
                    </w:rPr>
                    <w:t>% Proficient</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30</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29</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34</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40</w:t>
                  </w:r>
                </w:p>
              </w:tc>
            </w:tr>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FF0943" w:rsidRDefault="00FF0943" w:rsidP="00545005">
                  <w:pPr>
                    <w:jc w:val="right"/>
                    <w:rPr>
                      <w:rFonts w:ascii="Arial" w:hAnsi="Arial" w:cs="Arial"/>
                      <w:color w:val="000000"/>
                      <w:sz w:val="20"/>
                    </w:rPr>
                  </w:pPr>
                  <w:r>
                    <w:rPr>
                      <w:rFonts w:ascii="Arial" w:hAnsi="Arial" w:cs="Arial"/>
                      <w:color w:val="000000"/>
                      <w:sz w:val="20"/>
                    </w:rPr>
                    <w:t>% Needs Improvement</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41</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47</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45</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40</w:t>
                  </w:r>
                </w:p>
              </w:tc>
            </w:tr>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FF0943" w:rsidRDefault="00FF0943" w:rsidP="00545005">
                  <w:pPr>
                    <w:jc w:val="right"/>
                    <w:rPr>
                      <w:rFonts w:ascii="Arial" w:hAnsi="Arial" w:cs="Arial"/>
                      <w:color w:val="000000"/>
                      <w:sz w:val="20"/>
                    </w:rPr>
                  </w:pPr>
                  <w:r>
                    <w:rPr>
                      <w:rFonts w:ascii="Arial" w:hAnsi="Arial" w:cs="Arial"/>
                      <w:color w:val="000000"/>
                      <w:sz w:val="20"/>
                    </w:rPr>
                    <w:t>% Warning/Failing</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26</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21</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18</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17</w:t>
                  </w:r>
                </w:p>
              </w:tc>
            </w:tr>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FF0943" w:rsidRDefault="00FF0943" w:rsidP="00545005">
                  <w:pPr>
                    <w:jc w:val="right"/>
                    <w:rPr>
                      <w:rFonts w:ascii="Arial" w:hAnsi="Arial" w:cs="Arial"/>
                      <w:color w:val="000000"/>
                      <w:sz w:val="20"/>
                    </w:rPr>
                  </w:pPr>
                  <w:r>
                    <w:rPr>
                      <w:rFonts w:ascii="Arial" w:hAnsi="Arial" w:cs="Arial"/>
                      <w:color w:val="000000"/>
                      <w:sz w:val="20"/>
                    </w:rPr>
                    <w:t>N</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446</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463</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485</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363</w:t>
                  </w:r>
                </w:p>
              </w:tc>
            </w:tr>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FF0943" w:rsidRDefault="00FF0943" w:rsidP="00545005">
                  <w:pPr>
                    <w:jc w:val="right"/>
                    <w:rPr>
                      <w:rFonts w:ascii="Arial" w:hAnsi="Arial" w:cs="Arial"/>
                      <w:color w:val="000000"/>
                      <w:sz w:val="20"/>
                    </w:rPr>
                  </w:pPr>
                  <w:r>
                    <w:rPr>
                      <w:rFonts w:ascii="Arial" w:hAnsi="Arial" w:cs="Arial"/>
                      <w:color w:val="000000"/>
                      <w:sz w:val="20"/>
                    </w:rPr>
                    <w:t>CPI</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64.5</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66.6</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70.6</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72.1</w:t>
                  </w:r>
                </w:p>
              </w:tc>
            </w:tr>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FF0943" w:rsidRDefault="00FF0943" w:rsidP="00545005">
                  <w:pPr>
                    <w:jc w:val="right"/>
                    <w:rPr>
                      <w:rFonts w:ascii="Arial" w:hAnsi="Arial" w:cs="Arial"/>
                      <w:color w:val="000000"/>
                      <w:sz w:val="20"/>
                    </w:rPr>
                  </w:pPr>
                  <w:r>
                    <w:rPr>
                      <w:rFonts w:ascii="Arial" w:hAnsi="Arial" w:cs="Arial"/>
                      <w:color w:val="000000"/>
                      <w:sz w:val="20"/>
                    </w:rPr>
                    <w:t>SGP</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39.0</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37.0</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53.0</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49.0</w:t>
                  </w:r>
                </w:p>
              </w:tc>
            </w:tr>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FF0943" w:rsidRDefault="00FF0943" w:rsidP="00545005">
                  <w:pPr>
                    <w:jc w:val="right"/>
                    <w:rPr>
                      <w:rFonts w:ascii="Arial" w:hAnsi="Arial" w:cs="Arial"/>
                      <w:color w:val="000000"/>
                      <w:sz w:val="20"/>
                    </w:rPr>
                  </w:pPr>
                  <w:r>
                    <w:rPr>
                      <w:rFonts w:ascii="Arial" w:hAnsi="Arial" w:cs="Arial"/>
                      <w:color w:val="000000"/>
                      <w:sz w:val="20"/>
                    </w:rPr>
                    <w:t>N for SGP</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328</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339</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346</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223</w:t>
                  </w:r>
                </w:p>
              </w:tc>
            </w:tr>
          </w:tbl>
          <w:p w:rsidR="00FF0943" w:rsidRDefault="00FF0943" w:rsidP="00545005">
            <w:pPr>
              <w:autoSpaceDE w:val="0"/>
              <w:autoSpaceDN w:val="0"/>
              <w:adjustRightInd w:val="0"/>
              <w:jc w:val="center"/>
            </w:pPr>
          </w:p>
        </w:tc>
        <w:tc>
          <w:tcPr>
            <w:tcW w:w="5389" w:type="dxa"/>
          </w:tcPr>
          <w:tbl>
            <w:tblPr>
              <w:tblW w:w="0" w:type="auto"/>
              <w:jc w:val="center"/>
              <w:tblLook w:val="0000"/>
            </w:tblPr>
            <w:tblGrid>
              <w:gridCol w:w="2251"/>
              <w:gridCol w:w="661"/>
              <w:gridCol w:w="661"/>
              <w:gridCol w:w="661"/>
              <w:gridCol w:w="661"/>
            </w:tblGrid>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C0C0C0"/>
                </w:tcPr>
                <w:p w:rsidR="00FF0943" w:rsidRDefault="00FF0943" w:rsidP="00545005">
                  <w:pPr>
                    <w:rPr>
                      <w:rFonts w:ascii="Arial" w:hAnsi="Arial" w:cs="Arial"/>
                      <w:b/>
                      <w:bCs/>
                      <w:color w:val="000000"/>
                      <w:sz w:val="20"/>
                    </w:rPr>
                  </w:pPr>
                  <w:r>
                    <w:rPr>
                      <w:rFonts w:ascii="Arial" w:hAnsi="Arial" w:cs="Arial"/>
                      <w:b/>
                      <w:bCs/>
                      <w:color w:val="000000"/>
                      <w:sz w:val="20"/>
                    </w:rPr>
                    <w:t>Math All Grades</w:t>
                  </w:r>
                </w:p>
              </w:tc>
              <w:tc>
                <w:tcPr>
                  <w:tcW w:w="0" w:type="auto"/>
                  <w:tcBorders>
                    <w:top w:val="single" w:sz="4" w:space="0" w:color="000000"/>
                    <w:left w:val="single" w:sz="4" w:space="0" w:color="000000"/>
                    <w:bottom w:val="single" w:sz="4" w:space="0" w:color="auto"/>
                    <w:right w:val="single" w:sz="4" w:space="0" w:color="auto"/>
                  </w:tcBorders>
                  <w:shd w:val="clear" w:color="auto" w:fill="C0C0C0"/>
                </w:tcPr>
                <w:p w:rsidR="00FF0943" w:rsidRDefault="00FF0943" w:rsidP="00545005">
                  <w:pPr>
                    <w:jc w:val="center"/>
                    <w:rPr>
                      <w:rFonts w:ascii="Arial" w:hAnsi="Arial" w:cs="Arial"/>
                      <w:b/>
                      <w:bCs/>
                      <w:color w:val="000000"/>
                      <w:sz w:val="20"/>
                    </w:rPr>
                  </w:pPr>
                  <w:r>
                    <w:rPr>
                      <w:rFonts w:ascii="Arial" w:hAnsi="Arial" w:cs="Arial"/>
                      <w:b/>
                      <w:bCs/>
                      <w:color w:val="000000"/>
                      <w:sz w:val="20"/>
                    </w:rPr>
                    <w:t>2008</w:t>
                  </w:r>
                </w:p>
              </w:tc>
              <w:tc>
                <w:tcPr>
                  <w:tcW w:w="0" w:type="auto"/>
                  <w:tcBorders>
                    <w:top w:val="single" w:sz="4" w:space="0" w:color="000000"/>
                    <w:left w:val="single" w:sz="4" w:space="0" w:color="000000"/>
                    <w:bottom w:val="single" w:sz="4" w:space="0" w:color="auto"/>
                    <w:right w:val="single" w:sz="4" w:space="0" w:color="auto"/>
                  </w:tcBorders>
                  <w:shd w:val="clear" w:color="auto" w:fill="C0C0C0"/>
                </w:tcPr>
                <w:p w:rsidR="00FF0943" w:rsidRDefault="00FF0943" w:rsidP="00545005">
                  <w:pPr>
                    <w:jc w:val="center"/>
                    <w:rPr>
                      <w:rFonts w:ascii="Arial" w:hAnsi="Arial" w:cs="Arial"/>
                      <w:b/>
                      <w:bCs/>
                      <w:color w:val="000000"/>
                      <w:sz w:val="20"/>
                    </w:rPr>
                  </w:pPr>
                  <w:r>
                    <w:rPr>
                      <w:rFonts w:ascii="Arial" w:hAnsi="Arial" w:cs="Arial"/>
                      <w:b/>
                      <w:bCs/>
                      <w:color w:val="000000"/>
                      <w:sz w:val="20"/>
                    </w:rPr>
                    <w:t>2009</w:t>
                  </w:r>
                </w:p>
              </w:tc>
              <w:tc>
                <w:tcPr>
                  <w:tcW w:w="0" w:type="auto"/>
                  <w:tcBorders>
                    <w:top w:val="single" w:sz="4" w:space="0" w:color="000000"/>
                    <w:left w:val="single" w:sz="4" w:space="0" w:color="000000"/>
                    <w:bottom w:val="single" w:sz="4" w:space="0" w:color="auto"/>
                    <w:right w:val="single" w:sz="4" w:space="0" w:color="auto"/>
                  </w:tcBorders>
                  <w:shd w:val="clear" w:color="auto" w:fill="C0C0C0"/>
                </w:tcPr>
                <w:p w:rsidR="00FF0943" w:rsidRDefault="00FF0943" w:rsidP="00545005">
                  <w:pPr>
                    <w:jc w:val="center"/>
                    <w:rPr>
                      <w:rFonts w:ascii="Arial" w:hAnsi="Arial" w:cs="Arial"/>
                      <w:b/>
                      <w:bCs/>
                      <w:color w:val="000000"/>
                      <w:sz w:val="20"/>
                    </w:rPr>
                  </w:pPr>
                  <w:r>
                    <w:rPr>
                      <w:rFonts w:ascii="Arial" w:hAnsi="Arial" w:cs="Arial"/>
                      <w:b/>
                      <w:bCs/>
                      <w:color w:val="000000"/>
                      <w:sz w:val="20"/>
                    </w:rPr>
                    <w:t>2010</w:t>
                  </w:r>
                </w:p>
              </w:tc>
              <w:tc>
                <w:tcPr>
                  <w:tcW w:w="0" w:type="auto"/>
                  <w:tcBorders>
                    <w:top w:val="single" w:sz="4" w:space="0" w:color="000000"/>
                    <w:left w:val="single" w:sz="4" w:space="0" w:color="000000"/>
                    <w:bottom w:val="single" w:sz="4" w:space="0" w:color="auto"/>
                    <w:right w:val="single" w:sz="4" w:space="0" w:color="auto"/>
                  </w:tcBorders>
                  <w:shd w:val="clear" w:color="auto" w:fill="C0C0C0"/>
                </w:tcPr>
                <w:p w:rsidR="00FF0943" w:rsidRDefault="00FF0943" w:rsidP="00545005">
                  <w:pPr>
                    <w:jc w:val="center"/>
                    <w:rPr>
                      <w:rFonts w:ascii="Arial" w:hAnsi="Arial" w:cs="Arial"/>
                      <w:b/>
                      <w:bCs/>
                      <w:color w:val="000000"/>
                      <w:sz w:val="20"/>
                    </w:rPr>
                  </w:pPr>
                  <w:r>
                    <w:rPr>
                      <w:rFonts w:ascii="Arial" w:hAnsi="Arial" w:cs="Arial"/>
                      <w:b/>
                      <w:bCs/>
                      <w:color w:val="000000"/>
                      <w:sz w:val="20"/>
                    </w:rPr>
                    <w:t>2011</w:t>
                  </w:r>
                </w:p>
              </w:tc>
            </w:tr>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FF0943" w:rsidRDefault="00FF0943" w:rsidP="00545005">
                  <w:pPr>
                    <w:jc w:val="right"/>
                    <w:rPr>
                      <w:rFonts w:ascii="Arial" w:hAnsi="Arial" w:cs="Arial"/>
                      <w:color w:val="000000"/>
                      <w:sz w:val="20"/>
                    </w:rPr>
                  </w:pPr>
                  <w:r>
                    <w:rPr>
                      <w:rFonts w:ascii="Arial" w:hAnsi="Arial" w:cs="Arial"/>
                      <w:color w:val="000000"/>
                      <w:sz w:val="20"/>
                    </w:rPr>
                    <w:t>% Advanced</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9</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8</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7</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10</w:t>
                  </w:r>
                </w:p>
              </w:tc>
            </w:tr>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FF0943" w:rsidRDefault="00FF0943" w:rsidP="00545005">
                  <w:pPr>
                    <w:jc w:val="right"/>
                    <w:rPr>
                      <w:rFonts w:ascii="Arial" w:hAnsi="Arial" w:cs="Arial"/>
                      <w:color w:val="000000"/>
                      <w:sz w:val="20"/>
                    </w:rPr>
                  </w:pPr>
                  <w:r>
                    <w:rPr>
                      <w:rFonts w:ascii="Arial" w:hAnsi="Arial" w:cs="Arial"/>
                      <w:color w:val="000000"/>
                      <w:sz w:val="20"/>
                    </w:rPr>
                    <w:t>% Proficient</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20</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18</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23</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33</w:t>
                  </w:r>
                </w:p>
              </w:tc>
            </w:tr>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FF0943" w:rsidRDefault="00FF0943" w:rsidP="00545005">
                  <w:pPr>
                    <w:jc w:val="right"/>
                    <w:rPr>
                      <w:rFonts w:ascii="Arial" w:hAnsi="Arial" w:cs="Arial"/>
                      <w:color w:val="000000"/>
                      <w:sz w:val="20"/>
                    </w:rPr>
                  </w:pPr>
                  <w:r>
                    <w:rPr>
                      <w:rFonts w:ascii="Arial" w:hAnsi="Arial" w:cs="Arial"/>
                      <w:color w:val="000000"/>
                      <w:sz w:val="20"/>
                    </w:rPr>
                    <w:t>% Needs Improvement</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35</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37</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40</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41</w:t>
                  </w:r>
                </w:p>
              </w:tc>
            </w:tr>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FF0943" w:rsidRDefault="00FF0943" w:rsidP="00545005">
                  <w:pPr>
                    <w:jc w:val="right"/>
                    <w:rPr>
                      <w:rFonts w:ascii="Arial" w:hAnsi="Arial" w:cs="Arial"/>
                      <w:color w:val="000000"/>
                      <w:sz w:val="20"/>
                    </w:rPr>
                  </w:pPr>
                  <w:r>
                    <w:rPr>
                      <w:rFonts w:ascii="Arial" w:hAnsi="Arial" w:cs="Arial"/>
                      <w:color w:val="000000"/>
                      <w:sz w:val="20"/>
                    </w:rPr>
                    <w:t>% Warning/Failing</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36</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37</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30</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17</w:t>
                  </w:r>
                </w:p>
              </w:tc>
            </w:tr>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FF0943" w:rsidRDefault="00FF0943" w:rsidP="00545005">
                  <w:pPr>
                    <w:jc w:val="right"/>
                    <w:rPr>
                      <w:rFonts w:ascii="Arial" w:hAnsi="Arial" w:cs="Arial"/>
                      <w:color w:val="000000"/>
                      <w:sz w:val="20"/>
                    </w:rPr>
                  </w:pPr>
                  <w:r>
                    <w:rPr>
                      <w:rFonts w:ascii="Arial" w:hAnsi="Arial" w:cs="Arial"/>
                      <w:color w:val="000000"/>
                      <w:sz w:val="20"/>
                    </w:rPr>
                    <w:t>N</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448</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463</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484</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362</w:t>
                  </w:r>
                </w:p>
              </w:tc>
            </w:tr>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FF0943" w:rsidRDefault="00FF0943" w:rsidP="00545005">
                  <w:pPr>
                    <w:jc w:val="right"/>
                    <w:rPr>
                      <w:rFonts w:ascii="Arial" w:hAnsi="Arial" w:cs="Arial"/>
                      <w:color w:val="000000"/>
                      <w:sz w:val="20"/>
                    </w:rPr>
                  </w:pPr>
                  <w:r>
                    <w:rPr>
                      <w:rFonts w:ascii="Arial" w:hAnsi="Arial" w:cs="Arial"/>
                      <w:color w:val="000000"/>
                      <w:sz w:val="20"/>
                    </w:rPr>
                    <w:t>CPI</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58.9</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57.1</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60.6</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72.7</w:t>
                  </w:r>
                </w:p>
              </w:tc>
            </w:tr>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FF0943" w:rsidRDefault="00FF0943" w:rsidP="00545005">
                  <w:pPr>
                    <w:jc w:val="right"/>
                    <w:rPr>
                      <w:rFonts w:ascii="Arial" w:hAnsi="Arial" w:cs="Arial"/>
                      <w:color w:val="000000"/>
                      <w:sz w:val="20"/>
                    </w:rPr>
                  </w:pPr>
                  <w:r>
                    <w:rPr>
                      <w:rFonts w:ascii="Arial" w:hAnsi="Arial" w:cs="Arial"/>
                      <w:color w:val="000000"/>
                      <w:sz w:val="20"/>
                    </w:rPr>
                    <w:t>SGP</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47.0</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38.0</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50.5</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64.0</w:t>
                  </w:r>
                </w:p>
              </w:tc>
            </w:tr>
            <w:tr w:rsidR="00FF0943" w:rsidTr="00545005">
              <w:trPr>
                <w:trHeight w:val="255"/>
                <w:jc w:val="center"/>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FF0943" w:rsidRDefault="00FF0943" w:rsidP="00545005">
                  <w:pPr>
                    <w:jc w:val="right"/>
                    <w:rPr>
                      <w:rFonts w:ascii="Arial" w:hAnsi="Arial" w:cs="Arial"/>
                      <w:color w:val="000000"/>
                      <w:sz w:val="20"/>
                    </w:rPr>
                  </w:pPr>
                  <w:r>
                    <w:rPr>
                      <w:rFonts w:ascii="Arial" w:hAnsi="Arial" w:cs="Arial"/>
                      <w:color w:val="000000"/>
                      <w:sz w:val="20"/>
                    </w:rPr>
                    <w:t>N for SGP</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328</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340</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344</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rsidR="00FF0943" w:rsidRDefault="00FF0943" w:rsidP="00545005">
                  <w:pPr>
                    <w:jc w:val="right"/>
                    <w:rPr>
                      <w:rFonts w:ascii="Arial" w:hAnsi="Arial" w:cs="Arial"/>
                      <w:color w:val="000000"/>
                      <w:sz w:val="20"/>
                    </w:rPr>
                  </w:pPr>
                  <w:r>
                    <w:rPr>
                      <w:rFonts w:ascii="Arial" w:hAnsi="Arial" w:cs="Arial"/>
                      <w:color w:val="000000"/>
                      <w:sz w:val="20"/>
                    </w:rPr>
                    <w:t>223</w:t>
                  </w:r>
                </w:p>
              </w:tc>
            </w:tr>
          </w:tbl>
          <w:p w:rsidR="00FF0943" w:rsidRDefault="00FF0943" w:rsidP="00545005">
            <w:pPr>
              <w:autoSpaceDE w:val="0"/>
              <w:autoSpaceDN w:val="0"/>
              <w:adjustRightInd w:val="0"/>
              <w:jc w:val="center"/>
            </w:pPr>
          </w:p>
        </w:tc>
      </w:tr>
      <w:tr w:rsidR="00FF0943" w:rsidTr="00545005">
        <w:tc>
          <w:tcPr>
            <w:tcW w:w="5389" w:type="dxa"/>
          </w:tcPr>
          <w:p w:rsidR="00FF0943" w:rsidRPr="00445962" w:rsidRDefault="006E2CAD" w:rsidP="00545005">
            <w:pPr>
              <w:jc w:val="center"/>
              <w:rPr>
                <w:rFonts w:ascii="Arial" w:hAnsi="Arial" w:cs="Arial"/>
                <w:b/>
                <w:bCs/>
                <w:color w:val="000000"/>
                <w:sz w:val="20"/>
              </w:rPr>
            </w:pPr>
            <w:r>
              <w:rPr>
                <w:rFonts w:ascii="Arial" w:hAnsi="Arial" w:cs="Arial"/>
                <w:b/>
                <w:noProof/>
                <w:snapToGrid/>
                <w:color w:val="000000"/>
                <w:sz w:val="20"/>
                <w:lang w:eastAsia="zh-CN"/>
              </w:rPr>
              <w:drawing>
                <wp:inline distT="0" distB="0" distL="0" distR="0">
                  <wp:extent cx="3400425" cy="2419350"/>
                  <wp:effectExtent l="0" t="0" r="9525" b="0"/>
                  <wp:docPr id="1" name="Chart 1" descr="Year State ELA Performance Targets Lowell  ELA Annual CPI Lowell  ELA Gain Targets&#10;2004 75.6 70.4 73.1&#10;2005 80.5 64.2 67.8&#10;2006 80.5 63.8 67.9&#10;2007 85.4 66.9 71.0&#10;2008 85.4 64.5 69.6&#10;2009 90.2 66.6 72.2&#10;2010 90.2 69.0 75.2&#10;2011 95.1 72.1 79.1&#10;2012 95.1  &#10;2013 100.0  &#10;2014 100.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Year State ELA Performance Targets Lowell  ELA Annual CPI Lowell  ELA Gain Targets&#10;2004 75.6 70.4 73.1&#10;2005 80.5 64.2 67.8&#10;2006 80.5 63.8 67.9&#10;2007 85.4 66.9 71.0&#10;2008 85.4 64.5 69.6&#10;2009 90.2 66.6 72.2&#10;2010 90.2 69.0 75.2&#10;2011 95.1 72.1 79.1&#10;2012 95.1  &#10;2013 100.0  &#10;2014 100.0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0425" cy="2419350"/>
                          </a:xfrm>
                          <a:prstGeom prst="rect">
                            <a:avLst/>
                          </a:prstGeom>
                          <a:noFill/>
                          <a:ln>
                            <a:noFill/>
                          </a:ln>
                        </pic:spPr>
                      </pic:pic>
                    </a:graphicData>
                  </a:graphic>
                </wp:inline>
              </w:drawing>
            </w:r>
          </w:p>
        </w:tc>
        <w:tc>
          <w:tcPr>
            <w:tcW w:w="5389" w:type="dxa"/>
          </w:tcPr>
          <w:p w:rsidR="00FF0943" w:rsidRPr="00445962" w:rsidRDefault="0097522F" w:rsidP="00545005">
            <w:pPr>
              <w:jc w:val="center"/>
              <w:rPr>
                <w:rFonts w:ascii="Arial" w:hAnsi="Arial" w:cs="Arial"/>
                <w:b/>
                <w:bCs/>
                <w:color w:val="000000"/>
                <w:sz w:val="20"/>
              </w:rPr>
            </w:pPr>
            <w:r>
              <w:rPr>
                <w:rFonts w:ascii="Arial" w:hAnsi="Arial" w:cs="Arial"/>
                <w:b/>
                <w:bCs/>
                <w:noProof/>
                <w:snapToGrid/>
                <w:color w:val="000000"/>
                <w:sz w:val="20"/>
                <w:lang w:eastAsia="zh-CN"/>
              </w:rPr>
              <w:drawing>
                <wp:inline distT="0" distB="0" distL="0" distR="0">
                  <wp:extent cx="3495675" cy="2486025"/>
                  <wp:effectExtent l="19050" t="0" r="9525" b="0"/>
                  <wp:docPr id="3" name="Picture 1" descr="Year State Math Performance Targets Lowell  Math Annual CPI Lowell  Math Gain Targets&#10;2004 60.8 57.2 61.1&#10;2005 68.7 53.2 57.9&#10;2006 68.7 49.4 55.1&#10;2007 76.5 56.5 61.9&#10;2008 76.5 58.9 64.8&#10;2009 84.3 57.1 64.3&#10;2010 84.3 62.7 70.1&#10;2011 92.2 72.7 79.5&#10;2012 92.2  &#10;2013 100.0  &#10;2014 100.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495675" cy="2486025"/>
                          </a:xfrm>
                          <a:prstGeom prst="rect">
                            <a:avLst/>
                          </a:prstGeom>
                          <a:noFill/>
                          <a:ln w="9525">
                            <a:noFill/>
                            <a:miter lim="800000"/>
                            <a:headEnd/>
                            <a:tailEnd/>
                          </a:ln>
                        </pic:spPr>
                      </pic:pic>
                    </a:graphicData>
                  </a:graphic>
                </wp:inline>
              </w:drawing>
            </w:r>
          </w:p>
        </w:tc>
      </w:tr>
    </w:tbl>
    <w:p w:rsidR="00FF0943" w:rsidRPr="00971343" w:rsidRDefault="00FF0943" w:rsidP="00FF0943">
      <w:pPr>
        <w:pStyle w:val="BodyText"/>
        <w:ind w:left="360" w:right="-360"/>
      </w:pPr>
    </w:p>
    <w:tbl>
      <w:tblPr>
        <w:tblW w:w="8860" w:type="dxa"/>
        <w:tblInd w:w="93" w:type="dxa"/>
        <w:tblLook w:val="0000"/>
      </w:tblPr>
      <w:tblGrid>
        <w:gridCol w:w="621"/>
        <w:gridCol w:w="1320"/>
        <w:gridCol w:w="560"/>
        <w:gridCol w:w="560"/>
        <w:gridCol w:w="560"/>
        <w:gridCol w:w="560"/>
        <w:gridCol w:w="560"/>
        <w:gridCol w:w="560"/>
        <w:gridCol w:w="560"/>
        <w:gridCol w:w="560"/>
        <w:gridCol w:w="2439"/>
      </w:tblGrid>
      <w:tr w:rsidR="00FF0943" w:rsidTr="00545005">
        <w:trPr>
          <w:trHeight w:val="255"/>
        </w:trPr>
        <w:tc>
          <w:tcPr>
            <w:tcW w:w="6420" w:type="dxa"/>
            <w:gridSpan w:val="10"/>
            <w:tcBorders>
              <w:top w:val="single" w:sz="4" w:space="0" w:color="000000"/>
              <w:left w:val="single" w:sz="4" w:space="0" w:color="000000"/>
              <w:bottom w:val="single" w:sz="4" w:space="0" w:color="000000"/>
              <w:right w:val="single" w:sz="4" w:space="0" w:color="000000"/>
            </w:tcBorders>
            <w:shd w:val="clear" w:color="auto" w:fill="C0C0C0"/>
            <w:vAlign w:val="center"/>
          </w:tcPr>
          <w:p w:rsidR="00FF0943" w:rsidRDefault="00FF0943" w:rsidP="00545005">
            <w:pPr>
              <w:jc w:val="center"/>
              <w:rPr>
                <w:rFonts w:ascii="Arial" w:hAnsi="Arial" w:cs="Arial"/>
                <w:b/>
                <w:bCs/>
                <w:sz w:val="14"/>
                <w:szCs w:val="14"/>
              </w:rPr>
            </w:pPr>
            <w:r>
              <w:rPr>
                <w:rFonts w:ascii="Arial" w:hAnsi="Arial" w:cs="Arial"/>
                <w:b/>
                <w:bCs/>
                <w:sz w:val="14"/>
                <w:szCs w:val="14"/>
              </w:rPr>
              <w:t>Adequate Yearly Progress History</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FF0943" w:rsidRDefault="00FF0943" w:rsidP="00545005">
            <w:pPr>
              <w:jc w:val="center"/>
              <w:rPr>
                <w:rFonts w:ascii="Arial" w:hAnsi="Arial" w:cs="Arial"/>
                <w:b/>
                <w:bCs/>
                <w:sz w:val="14"/>
                <w:szCs w:val="14"/>
              </w:rPr>
            </w:pPr>
            <w:r>
              <w:rPr>
                <w:rFonts w:ascii="Arial" w:hAnsi="Arial" w:cs="Arial"/>
                <w:b/>
                <w:bCs/>
                <w:sz w:val="14"/>
                <w:szCs w:val="14"/>
              </w:rPr>
              <w:t>NCLB Accountability Status</w:t>
            </w:r>
          </w:p>
        </w:tc>
      </w:tr>
      <w:tr w:rsidR="00FF0943" w:rsidTr="00545005">
        <w:trPr>
          <w:trHeight w:val="255"/>
        </w:trPr>
        <w:tc>
          <w:tcPr>
            <w:tcW w:w="194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FF0943" w:rsidRDefault="00FF0943" w:rsidP="00545005">
            <w:pPr>
              <w:jc w:val="center"/>
              <w:rPr>
                <w:rFonts w:ascii="Arial" w:hAnsi="Arial" w:cs="Arial"/>
                <w:b/>
                <w:bCs/>
                <w:sz w:val="14"/>
                <w:szCs w:val="14"/>
              </w:rPr>
            </w:pPr>
            <w:r>
              <w:rPr>
                <w:rFonts w:ascii="Arial" w:hAnsi="Arial" w:cs="Arial"/>
                <w:b/>
                <w:bCs/>
                <w:sz w:val="14"/>
                <w:szCs w:val="14"/>
              </w:rPr>
              <w:t> </w:t>
            </w:r>
          </w:p>
        </w:tc>
        <w:tc>
          <w:tcPr>
            <w:tcW w:w="560" w:type="dxa"/>
            <w:tcBorders>
              <w:top w:val="nil"/>
              <w:left w:val="nil"/>
              <w:bottom w:val="single" w:sz="4" w:space="0" w:color="000000"/>
              <w:right w:val="single" w:sz="4" w:space="0" w:color="000000"/>
            </w:tcBorders>
            <w:shd w:val="clear" w:color="auto" w:fill="C0C0C0"/>
            <w:vAlign w:val="center"/>
          </w:tcPr>
          <w:p w:rsidR="00FF0943" w:rsidRDefault="00FF0943" w:rsidP="00545005">
            <w:pPr>
              <w:jc w:val="center"/>
              <w:rPr>
                <w:rFonts w:ascii="Arial" w:hAnsi="Arial" w:cs="Arial"/>
                <w:b/>
                <w:bCs/>
                <w:sz w:val="14"/>
                <w:szCs w:val="14"/>
              </w:rPr>
            </w:pPr>
            <w:r>
              <w:rPr>
                <w:rFonts w:ascii="Arial" w:hAnsi="Arial" w:cs="Arial"/>
                <w:b/>
                <w:bCs/>
                <w:sz w:val="14"/>
                <w:szCs w:val="14"/>
              </w:rPr>
              <w:t>2004</w:t>
            </w:r>
          </w:p>
        </w:tc>
        <w:tc>
          <w:tcPr>
            <w:tcW w:w="560" w:type="dxa"/>
            <w:tcBorders>
              <w:top w:val="nil"/>
              <w:left w:val="nil"/>
              <w:bottom w:val="single" w:sz="4" w:space="0" w:color="000000"/>
              <w:right w:val="single" w:sz="4" w:space="0" w:color="000000"/>
            </w:tcBorders>
            <w:shd w:val="clear" w:color="auto" w:fill="C0C0C0"/>
            <w:vAlign w:val="center"/>
          </w:tcPr>
          <w:p w:rsidR="00FF0943" w:rsidRDefault="00FF0943" w:rsidP="00545005">
            <w:pPr>
              <w:jc w:val="center"/>
              <w:rPr>
                <w:rFonts w:ascii="Arial" w:hAnsi="Arial" w:cs="Arial"/>
                <w:b/>
                <w:bCs/>
                <w:sz w:val="14"/>
                <w:szCs w:val="14"/>
              </w:rPr>
            </w:pPr>
            <w:r>
              <w:rPr>
                <w:rFonts w:ascii="Arial" w:hAnsi="Arial" w:cs="Arial"/>
                <w:b/>
                <w:bCs/>
                <w:sz w:val="14"/>
                <w:szCs w:val="14"/>
              </w:rPr>
              <w:t>2005</w:t>
            </w:r>
          </w:p>
        </w:tc>
        <w:tc>
          <w:tcPr>
            <w:tcW w:w="560" w:type="dxa"/>
            <w:tcBorders>
              <w:top w:val="nil"/>
              <w:left w:val="nil"/>
              <w:bottom w:val="single" w:sz="4" w:space="0" w:color="000000"/>
              <w:right w:val="single" w:sz="4" w:space="0" w:color="000000"/>
            </w:tcBorders>
            <w:shd w:val="clear" w:color="auto" w:fill="C0C0C0"/>
            <w:vAlign w:val="center"/>
          </w:tcPr>
          <w:p w:rsidR="00FF0943" w:rsidRDefault="00FF0943" w:rsidP="00545005">
            <w:pPr>
              <w:jc w:val="center"/>
              <w:rPr>
                <w:rFonts w:ascii="Arial" w:hAnsi="Arial" w:cs="Arial"/>
                <w:b/>
                <w:bCs/>
                <w:sz w:val="14"/>
                <w:szCs w:val="14"/>
              </w:rPr>
            </w:pPr>
            <w:r>
              <w:rPr>
                <w:rFonts w:ascii="Arial" w:hAnsi="Arial" w:cs="Arial"/>
                <w:b/>
                <w:bCs/>
                <w:sz w:val="14"/>
                <w:szCs w:val="14"/>
              </w:rPr>
              <w:t>2006</w:t>
            </w:r>
          </w:p>
        </w:tc>
        <w:tc>
          <w:tcPr>
            <w:tcW w:w="560" w:type="dxa"/>
            <w:tcBorders>
              <w:top w:val="nil"/>
              <w:left w:val="nil"/>
              <w:bottom w:val="single" w:sz="4" w:space="0" w:color="000000"/>
              <w:right w:val="single" w:sz="4" w:space="0" w:color="000000"/>
            </w:tcBorders>
            <w:shd w:val="clear" w:color="auto" w:fill="C0C0C0"/>
            <w:vAlign w:val="center"/>
          </w:tcPr>
          <w:p w:rsidR="00FF0943" w:rsidRDefault="00FF0943" w:rsidP="00545005">
            <w:pPr>
              <w:jc w:val="center"/>
              <w:rPr>
                <w:rFonts w:ascii="Arial" w:hAnsi="Arial" w:cs="Arial"/>
                <w:b/>
                <w:bCs/>
                <w:sz w:val="14"/>
                <w:szCs w:val="14"/>
              </w:rPr>
            </w:pPr>
            <w:r>
              <w:rPr>
                <w:rFonts w:ascii="Arial" w:hAnsi="Arial" w:cs="Arial"/>
                <w:b/>
                <w:bCs/>
                <w:sz w:val="14"/>
                <w:szCs w:val="14"/>
              </w:rPr>
              <w:t>2007</w:t>
            </w:r>
          </w:p>
        </w:tc>
        <w:tc>
          <w:tcPr>
            <w:tcW w:w="560" w:type="dxa"/>
            <w:tcBorders>
              <w:top w:val="nil"/>
              <w:left w:val="nil"/>
              <w:bottom w:val="single" w:sz="4" w:space="0" w:color="000000"/>
              <w:right w:val="single" w:sz="4" w:space="0" w:color="000000"/>
            </w:tcBorders>
            <w:shd w:val="clear" w:color="auto" w:fill="C0C0C0"/>
            <w:vAlign w:val="center"/>
          </w:tcPr>
          <w:p w:rsidR="00FF0943" w:rsidRDefault="00FF0943" w:rsidP="00545005">
            <w:pPr>
              <w:jc w:val="center"/>
              <w:rPr>
                <w:rFonts w:ascii="Arial" w:hAnsi="Arial" w:cs="Arial"/>
                <w:b/>
                <w:bCs/>
                <w:sz w:val="14"/>
                <w:szCs w:val="14"/>
              </w:rPr>
            </w:pPr>
            <w:r>
              <w:rPr>
                <w:rFonts w:ascii="Arial" w:hAnsi="Arial" w:cs="Arial"/>
                <w:b/>
                <w:bCs/>
                <w:sz w:val="14"/>
                <w:szCs w:val="14"/>
              </w:rPr>
              <w:t>2008</w:t>
            </w:r>
          </w:p>
        </w:tc>
        <w:tc>
          <w:tcPr>
            <w:tcW w:w="560" w:type="dxa"/>
            <w:tcBorders>
              <w:top w:val="nil"/>
              <w:left w:val="nil"/>
              <w:bottom w:val="single" w:sz="4" w:space="0" w:color="000000"/>
              <w:right w:val="single" w:sz="4" w:space="0" w:color="000000"/>
            </w:tcBorders>
            <w:shd w:val="clear" w:color="auto" w:fill="C0C0C0"/>
            <w:vAlign w:val="center"/>
          </w:tcPr>
          <w:p w:rsidR="00FF0943" w:rsidRDefault="00FF0943" w:rsidP="00545005">
            <w:pPr>
              <w:jc w:val="center"/>
              <w:rPr>
                <w:rFonts w:ascii="Arial" w:hAnsi="Arial" w:cs="Arial"/>
                <w:b/>
                <w:bCs/>
                <w:sz w:val="14"/>
                <w:szCs w:val="14"/>
              </w:rPr>
            </w:pPr>
            <w:r>
              <w:rPr>
                <w:rFonts w:ascii="Arial" w:hAnsi="Arial" w:cs="Arial"/>
                <w:b/>
                <w:bCs/>
                <w:sz w:val="14"/>
                <w:szCs w:val="14"/>
              </w:rPr>
              <w:t>2009</w:t>
            </w:r>
          </w:p>
        </w:tc>
        <w:tc>
          <w:tcPr>
            <w:tcW w:w="560" w:type="dxa"/>
            <w:tcBorders>
              <w:top w:val="nil"/>
              <w:left w:val="nil"/>
              <w:bottom w:val="single" w:sz="4" w:space="0" w:color="000000"/>
              <w:right w:val="single" w:sz="4" w:space="0" w:color="000000"/>
            </w:tcBorders>
            <w:shd w:val="clear" w:color="auto" w:fill="C0C0C0"/>
            <w:vAlign w:val="center"/>
          </w:tcPr>
          <w:p w:rsidR="00FF0943" w:rsidRDefault="00FF0943" w:rsidP="00545005">
            <w:pPr>
              <w:jc w:val="center"/>
              <w:rPr>
                <w:rFonts w:ascii="Arial" w:hAnsi="Arial" w:cs="Arial"/>
                <w:b/>
                <w:bCs/>
                <w:sz w:val="14"/>
                <w:szCs w:val="14"/>
              </w:rPr>
            </w:pPr>
            <w:r>
              <w:rPr>
                <w:rFonts w:ascii="Arial" w:hAnsi="Arial" w:cs="Arial"/>
                <w:b/>
                <w:bCs/>
                <w:sz w:val="14"/>
                <w:szCs w:val="14"/>
              </w:rPr>
              <w:t>2010</w:t>
            </w:r>
          </w:p>
        </w:tc>
        <w:tc>
          <w:tcPr>
            <w:tcW w:w="560" w:type="dxa"/>
            <w:tcBorders>
              <w:top w:val="nil"/>
              <w:left w:val="nil"/>
              <w:bottom w:val="single" w:sz="4" w:space="0" w:color="000000"/>
              <w:right w:val="single" w:sz="4" w:space="0" w:color="000000"/>
            </w:tcBorders>
            <w:shd w:val="clear" w:color="auto" w:fill="C0C0C0"/>
            <w:vAlign w:val="center"/>
          </w:tcPr>
          <w:p w:rsidR="00FF0943" w:rsidRDefault="00FF0943" w:rsidP="00545005">
            <w:pPr>
              <w:jc w:val="center"/>
              <w:rPr>
                <w:rFonts w:ascii="Arial" w:hAnsi="Arial" w:cs="Arial"/>
                <w:b/>
                <w:bCs/>
                <w:sz w:val="14"/>
                <w:szCs w:val="14"/>
              </w:rPr>
            </w:pPr>
            <w:r>
              <w:rPr>
                <w:rFonts w:ascii="Arial" w:hAnsi="Arial" w:cs="Arial"/>
                <w:b/>
                <w:bCs/>
                <w:sz w:val="14"/>
                <w:szCs w:val="14"/>
              </w:rPr>
              <w:t>2011</w:t>
            </w:r>
          </w:p>
        </w:tc>
        <w:tc>
          <w:tcPr>
            <w:tcW w:w="2440" w:type="dxa"/>
            <w:vMerge/>
            <w:tcBorders>
              <w:top w:val="single" w:sz="4" w:space="0" w:color="000000"/>
              <w:left w:val="single" w:sz="4" w:space="0" w:color="000000"/>
              <w:bottom w:val="single" w:sz="4" w:space="0" w:color="000000"/>
              <w:right w:val="single" w:sz="4" w:space="0" w:color="000000"/>
            </w:tcBorders>
            <w:vAlign w:val="center"/>
          </w:tcPr>
          <w:p w:rsidR="00FF0943" w:rsidRDefault="00FF0943" w:rsidP="00545005">
            <w:pPr>
              <w:rPr>
                <w:rFonts w:ascii="Arial" w:hAnsi="Arial" w:cs="Arial"/>
                <w:b/>
                <w:bCs/>
                <w:sz w:val="14"/>
                <w:szCs w:val="14"/>
              </w:rPr>
            </w:pPr>
          </w:p>
        </w:tc>
      </w:tr>
      <w:tr w:rsidR="00FF0943" w:rsidTr="00545005">
        <w:trPr>
          <w:trHeight w:val="255"/>
        </w:trPr>
        <w:tc>
          <w:tcPr>
            <w:tcW w:w="620" w:type="dxa"/>
            <w:vMerge w:val="restart"/>
            <w:tcBorders>
              <w:top w:val="nil"/>
              <w:left w:val="single" w:sz="4" w:space="0" w:color="000000"/>
              <w:bottom w:val="single" w:sz="4" w:space="0" w:color="000000"/>
              <w:right w:val="single" w:sz="4" w:space="0" w:color="000000"/>
            </w:tcBorders>
            <w:shd w:val="clear" w:color="auto" w:fill="FFCC99"/>
            <w:vAlign w:val="center"/>
          </w:tcPr>
          <w:p w:rsidR="00FF0943" w:rsidRDefault="00FF0943" w:rsidP="00545005">
            <w:pPr>
              <w:rPr>
                <w:rFonts w:ascii="Arial" w:hAnsi="Arial" w:cs="Arial"/>
                <w:b/>
                <w:bCs/>
                <w:sz w:val="14"/>
                <w:szCs w:val="14"/>
              </w:rPr>
            </w:pPr>
            <w:r>
              <w:rPr>
                <w:rFonts w:ascii="Arial" w:hAnsi="Arial" w:cs="Arial"/>
                <w:b/>
                <w:bCs/>
                <w:sz w:val="14"/>
                <w:szCs w:val="14"/>
              </w:rPr>
              <w:t>ELA</w:t>
            </w:r>
          </w:p>
        </w:tc>
        <w:tc>
          <w:tcPr>
            <w:tcW w:w="1320" w:type="dxa"/>
            <w:tcBorders>
              <w:top w:val="nil"/>
              <w:left w:val="nil"/>
              <w:bottom w:val="single" w:sz="4" w:space="0" w:color="000000"/>
              <w:right w:val="single" w:sz="4" w:space="0" w:color="000000"/>
            </w:tcBorders>
            <w:shd w:val="clear" w:color="auto" w:fill="FFCC99"/>
            <w:vAlign w:val="center"/>
          </w:tcPr>
          <w:p w:rsidR="00FF0943" w:rsidRDefault="00FF0943" w:rsidP="00545005">
            <w:pPr>
              <w:rPr>
                <w:rFonts w:ascii="Arial" w:hAnsi="Arial" w:cs="Arial"/>
                <w:b/>
                <w:bCs/>
                <w:sz w:val="14"/>
                <w:szCs w:val="14"/>
              </w:rPr>
            </w:pPr>
            <w:r>
              <w:rPr>
                <w:rFonts w:ascii="Arial" w:hAnsi="Arial" w:cs="Arial"/>
                <w:b/>
                <w:bCs/>
                <w:sz w:val="14"/>
                <w:szCs w:val="14"/>
              </w:rPr>
              <w:t>Aggregate</w:t>
            </w:r>
          </w:p>
        </w:tc>
        <w:tc>
          <w:tcPr>
            <w:tcW w:w="560" w:type="dxa"/>
            <w:tcBorders>
              <w:top w:val="nil"/>
              <w:left w:val="nil"/>
              <w:bottom w:val="single" w:sz="4" w:space="0" w:color="000000"/>
              <w:right w:val="single" w:sz="4" w:space="0" w:color="000000"/>
            </w:tcBorders>
            <w:shd w:val="clear" w:color="auto" w:fill="FFCC99"/>
            <w:vAlign w:val="center"/>
          </w:tcPr>
          <w:p w:rsidR="00FF0943" w:rsidRDefault="00FF0943" w:rsidP="00545005">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FFCC99"/>
            <w:vAlign w:val="center"/>
          </w:tcPr>
          <w:p w:rsidR="00FF0943" w:rsidRDefault="00FF0943" w:rsidP="00545005">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FFCC99"/>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rsidR="00FF0943" w:rsidRDefault="00FF0943" w:rsidP="00545005">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FFCC99"/>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rsidR="00FF0943" w:rsidRDefault="00FF0943" w:rsidP="00545005">
            <w:pPr>
              <w:jc w:val="center"/>
              <w:rPr>
                <w:rFonts w:ascii="Arial" w:hAnsi="Arial" w:cs="Arial"/>
                <w:sz w:val="14"/>
                <w:szCs w:val="14"/>
              </w:rPr>
            </w:pPr>
            <w:r>
              <w:rPr>
                <w:rFonts w:ascii="Arial" w:hAnsi="Arial" w:cs="Arial"/>
                <w:sz w:val="14"/>
                <w:szCs w:val="14"/>
              </w:rPr>
              <w:t>Yes </w:t>
            </w:r>
          </w:p>
        </w:tc>
        <w:tc>
          <w:tcPr>
            <w:tcW w:w="2440" w:type="dxa"/>
            <w:vMerge w:val="restart"/>
            <w:tcBorders>
              <w:top w:val="nil"/>
              <w:left w:val="single" w:sz="4" w:space="0" w:color="000000"/>
              <w:bottom w:val="single" w:sz="4" w:space="0" w:color="000000"/>
              <w:right w:val="single" w:sz="4" w:space="0" w:color="000000"/>
            </w:tcBorders>
            <w:shd w:val="clear" w:color="auto" w:fill="FFCC99"/>
            <w:vAlign w:val="center"/>
          </w:tcPr>
          <w:p w:rsidR="00FF0943" w:rsidRDefault="00FF0943" w:rsidP="00545005">
            <w:pPr>
              <w:jc w:val="center"/>
              <w:rPr>
                <w:rFonts w:ascii="Arial" w:hAnsi="Arial" w:cs="Arial"/>
                <w:sz w:val="14"/>
                <w:szCs w:val="14"/>
              </w:rPr>
            </w:pPr>
            <w:r>
              <w:rPr>
                <w:rFonts w:ascii="Arial" w:hAnsi="Arial" w:cs="Arial"/>
                <w:sz w:val="14"/>
                <w:szCs w:val="14"/>
              </w:rPr>
              <w:t>Restructuring Year 2 - Subgroups </w:t>
            </w:r>
          </w:p>
        </w:tc>
      </w:tr>
      <w:tr w:rsidR="00FF0943" w:rsidTr="00545005">
        <w:trPr>
          <w:trHeight w:val="255"/>
        </w:trPr>
        <w:tc>
          <w:tcPr>
            <w:tcW w:w="620" w:type="dxa"/>
            <w:vMerge/>
            <w:tcBorders>
              <w:top w:val="nil"/>
              <w:left w:val="single" w:sz="4" w:space="0" w:color="000000"/>
              <w:bottom w:val="single" w:sz="4" w:space="0" w:color="000000"/>
              <w:right w:val="single" w:sz="4" w:space="0" w:color="000000"/>
            </w:tcBorders>
            <w:vAlign w:val="center"/>
          </w:tcPr>
          <w:p w:rsidR="00FF0943" w:rsidRDefault="00FF0943" w:rsidP="00545005">
            <w:pPr>
              <w:rPr>
                <w:rFonts w:ascii="Arial" w:hAnsi="Arial" w:cs="Arial"/>
                <w:b/>
                <w:bCs/>
                <w:sz w:val="14"/>
                <w:szCs w:val="14"/>
              </w:rPr>
            </w:pPr>
          </w:p>
        </w:tc>
        <w:tc>
          <w:tcPr>
            <w:tcW w:w="1320" w:type="dxa"/>
            <w:tcBorders>
              <w:top w:val="nil"/>
              <w:left w:val="nil"/>
              <w:bottom w:val="single" w:sz="4" w:space="0" w:color="000000"/>
              <w:right w:val="single" w:sz="4" w:space="0" w:color="000000"/>
            </w:tcBorders>
            <w:shd w:val="clear" w:color="auto" w:fill="FFCC99"/>
            <w:vAlign w:val="center"/>
          </w:tcPr>
          <w:p w:rsidR="00FF0943" w:rsidRDefault="00FF0943" w:rsidP="00545005">
            <w:pPr>
              <w:rPr>
                <w:rFonts w:ascii="Arial" w:hAnsi="Arial" w:cs="Arial"/>
                <w:b/>
                <w:bCs/>
                <w:sz w:val="14"/>
                <w:szCs w:val="14"/>
              </w:rPr>
            </w:pPr>
            <w:r>
              <w:rPr>
                <w:rFonts w:ascii="Arial" w:hAnsi="Arial" w:cs="Arial"/>
                <w:b/>
                <w:bCs/>
                <w:sz w:val="14"/>
                <w:szCs w:val="14"/>
              </w:rPr>
              <w:t>All Subgroups</w:t>
            </w:r>
          </w:p>
        </w:tc>
        <w:tc>
          <w:tcPr>
            <w:tcW w:w="560" w:type="dxa"/>
            <w:tcBorders>
              <w:top w:val="nil"/>
              <w:left w:val="nil"/>
              <w:bottom w:val="single" w:sz="4" w:space="0" w:color="000000"/>
              <w:right w:val="single" w:sz="4" w:space="0" w:color="000000"/>
            </w:tcBorders>
            <w:shd w:val="clear" w:color="auto" w:fill="FFCC99"/>
            <w:vAlign w:val="center"/>
          </w:tcPr>
          <w:p w:rsidR="00FF0943" w:rsidRDefault="00FF0943" w:rsidP="00545005">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FFCC99"/>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FFCC99"/>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2440" w:type="dxa"/>
            <w:vMerge/>
            <w:tcBorders>
              <w:top w:val="nil"/>
              <w:left w:val="single" w:sz="4" w:space="0" w:color="000000"/>
              <w:bottom w:val="single" w:sz="4" w:space="0" w:color="000000"/>
              <w:right w:val="single" w:sz="4" w:space="0" w:color="000000"/>
            </w:tcBorders>
            <w:vAlign w:val="center"/>
          </w:tcPr>
          <w:p w:rsidR="00FF0943" w:rsidRDefault="00FF0943" w:rsidP="00545005">
            <w:pPr>
              <w:rPr>
                <w:rFonts w:ascii="Arial" w:hAnsi="Arial" w:cs="Arial"/>
                <w:sz w:val="14"/>
                <w:szCs w:val="14"/>
              </w:rPr>
            </w:pPr>
          </w:p>
        </w:tc>
      </w:tr>
      <w:tr w:rsidR="00FF0943" w:rsidTr="00545005">
        <w:trPr>
          <w:trHeight w:val="255"/>
        </w:trPr>
        <w:tc>
          <w:tcPr>
            <w:tcW w:w="620" w:type="dxa"/>
            <w:vMerge w:val="restart"/>
            <w:tcBorders>
              <w:top w:val="nil"/>
              <w:left w:val="single" w:sz="4" w:space="0" w:color="000000"/>
              <w:bottom w:val="single" w:sz="4" w:space="0" w:color="000000"/>
              <w:right w:val="single" w:sz="4" w:space="0" w:color="000000"/>
            </w:tcBorders>
            <w:shd w:val="clear" w:color="auto" w:fill="CCFFFF"/>
            <w:vAlign w:val="center"/>
          </w:tcPr>
          <w:p w:rsidR="00FF0943" w:rsidRDefault="00FF0943" w:rsidP="00545005">
            <w:pPr>
              <w:rPr>
                <w:rFonts w:ascii="Arial" w:hAnsi="Arial" w:cs="Arial"/>
                <w:b/>
                <w:bCs/>
                <w:sz w:val="14"/>
                <w:szCs w:val="14"/>
              </w:rPr>
            </w:pPr>
            <w:r>
              <w:rPr>
                <w:rFonts w:ascii="Arial" w:hAnsi="Arial" w:cs="Arial"/>
                <w:b/>
                <w:bCs/>
                <w:sz w:val="14"/>
                <w:szCs w:val="14"/>
              </w:rPr>
              <w:t>MATH</w:t>
            </w:r>
          </w:p>
        </w:tc>
        <w:tc>
          <w:tcPr>
            <w:tcW w:w="1320" w:type="dxa"/>
            <w:tcBorders>
              <w:top w:val="nil"/>
              <w:left w:val="nil"/>
              <w:bottom w:val="single" w:sz="4" w:space="0" w:color="000000"/>
              <w:right w:val="single" w:sz="4" w:space="0" w:color="000000"/>
            </w:tcBorders>
            <w:shd w:val="clear" w:color="auto" w:fill="CCFFFF"/>
            <w:vAlign w:val="center"/>
          </w:tcPr>
          <w:p w:rsidR="00FF0943" w:rsidRDefault="00FF0943" w:rsidP="00545005">
            <w:pPr>
              <w:rPr>
                <w:rFonts w:ascii="Arial" w:hAnsi="Arial" w:cs="Arial"/>
                <w:b/>
                <w:bCs/>
                <w:sz w:val="14"/>
                <w:szCs w:val="14"/>
              </w:rPr>
            </w:pPr>
            <w:r>
              <w:rPr>
                <w:rFonts w:ascii="Arial" w:hAnsi="Arial" w:cs="Arial"/>
                <w:b/>
                <w:bCs/>
                <w:sz w:val="14"/>
                <w:szCs w:val="14"/>
              </w:rPr>
              <w:t>Aggregate</w:t>
            </w:r>
          </w:p>
        </w:tc>
        <w:tc>
          <w:tcPr>
            <w:tcW w:w="560" w:type="dxa"/>
            <w:tcBorders>
              <w:top w:val="nil"/>
              <w:left w:val="nil"/>
              <w:bottom w:val="single" w:sz="4" w:space="0" w:color="000000"/>
              <w:right w:val="single" w:sz="4" w:space="0" w:color="000000"/>
            </w:tcBorders>
            <w:shd w:val="clear" w:color="auto" w:fill="CCFFFF"/>
            <w:vAlign w:val="center"/>
          </w:tcPr>
          <w:p w:rsidR="00FF0943" w:rsidRDefault="00FF0943" w:rsidP="00545005">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CCFFFF"/>
            <w:vAlign w:val="center"/>
          </w:tcPr>
          <w:p w:rsidR="00FF0943" w:rsidRDefault="00FF0943" w:rsidP="00545005">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CCFFFF"/>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rsidR="00FF0943" w:rsidRDefault="00FF0943" w:rsidP="00545005">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CCFFFF"/>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rsidR="00FF0943" w:rsidRDefault="00FF0943" w:rsidP="00545005">
            <w:pPr>
              <w:jc w:val="center"/>
              <w:rPr>
                <w:rFonts w:ascii="Arial" w:hAnsi="Arial" w:cs="Arial"/>
                <w:sz w:val="14"/>
                <w:szCs w:val="14"/>
              </w:rPr>
            </w:pPr>
            <w:r>
              <w:rPr>
                <w:rFonts w:ascii="Arial" w:hAnsi="Arial" w:cs="Arial"/>
                <w:sz w:val="14"/>
                <w:szCs w:val="14"/>
              </w:rPr>
              <w:t>Yes </w:t>
            </w:r>
          </w:p>
        </w:tc>
        <w:tc>
          <w:tcPr>
            <w:tcW w:w="2440" w:type="dxa"/>
            <w:vMerge w:val="restart"/>
            <w:tcBorders>
              <w:top w:val="nil"/>
              <w:left w:val="single" w:sz="4" w:space="0" w:color="000000"/>
              <w:bottom w:val="single" w:sz="4" w:space="0" w:color="000000"/>
              <w:right w:val="single" w:sz="4" w:space="0" w:color="000000"/>
            </w:tcBorders>
            <w:shd w:val="clear" w:color="auto" w:fill="CCFFFF"/>
            <w:vAlign w:val="center"/>
          </w:tcPr>
          <w:p w:rsidR="00FF0943" w:rsidRDefault="00FF0943" w:rsidP="00545005">
            <w:pPr>
              <w:jc w:val="center"/>
              <w:rPr>
                <w:rFonts w:ascii="Arial" w:hAnsi="Arial" w:cs="Arial"/>
                <w:sz w:val="14"/>
                <w:szCs w:val="14"/>
              </w:rPr>
            </w:pPr>
            <w:r>
              <w:rPr>
                <w:rFonts w:ascii="Arial" w:hAnsi="Arial" w:cs="Arial"/>
                <w:sz w:val="14"/>
                <w:szCs w:val="14"/>
              </w:rPr>
              <w:t>Restructuring Year 2 - Subgroups </w:t>
            </w:r>
          </w:p>
        </w:tc>
      </w:tr>
      <w:tr w:rsidR="00FF0943" w:rsidTr="00545005">
        <w:trPr>
          <w:trHeight w:val="255"/>
        </w:trPr>
        <w:tc>
          <w:tcPr>
            <w:tcW w:w="620" w:type="dxa"/>
            <w:vMerge/>
            <w:tcBorders>
              <w:top w:val="nil"/>
              <w:left w:val="single" w:sz="4" w:space="0" w:color="000000"/>
              <w:bottom w:val="single" w:sz="4" w:space="0" w:color="000000"/>
              <w:right w:val="single" w:sz="4" w:space="0" w:color="000000"/>
            </w:tcBorders>
            <w:vAlign w:val="center"/>
          </w:tcPr>
          <w:p w:rsidR="00FF0943" w:rsidRDefault="00FF0943" w:rsidP="00545005">
            <w:pPr>
              <w:rPr>
                <w:rFonts w:ascii="Arial" w:hAnsi="Arial" w:cs="Arial"/>
                <w:b/>
                <w:bCs/>
                <w:sz w:val="14"/>
                <w:szCs w:val="14"/>
              </w:rPr>
            </w:pPr>
          </w:p>
        </w:tc>
        <w:tc>
          <w:tcPr>
            <w:tcW w:w="1320" w:type="dxa"/>
            <w:tcBorders>
              <w:top w:val="nil"/>
              <w:left w:val="nil"/>
              <w:bottom w:val="single" w:sz="4" w:space="0" w:color="000000"/>
              <w:right w:val="single" w:sz="4" w:space="0" w:color="000000"/>
            </w:tcBorders>
            <w:shd w:val="clear" w:color="auto" w:fill="CCFFFF"/>
            <w:vAlign w:val="center"/>
          </w:tcPr>
          <w:p w:rsidR="00FF0943" w:rsidRDefault="00FF0943" w:rsidP="00545005">
            <w:pPr>
              <w:rPr>
                <w:rFonts w:ascii="Arial" w:hAnsi="Arial" w:cs="Arial"/>
                <w:b/>
                <w:bCs/>
                <w:sz w:val="14"/>
                <w:szCs w:val="14"/>
              </w:rPr>
            </w:pPr>
            <w:r>
              <w:rPr>
                <w:rFonts w:ascii="Arial" w:hAnsi="Arial" w:cs="Arial"/>
                <w:b/>
                <w:bCs/>
                <w:sz w:val="14"/>
                <w:szCs w:val="14"/>
              </w:rPr>
              <w:t>All Subgroups</w:t>
            </w:r>
          </w:p>
        </w:tc>
        <w:tc>
          <w:tcPr>
            <w:tcW w:w="560" w:type="dxa"/>
            <w:tcBorders>
              <w:top w:val="nil"/>
              <w:left w:val="nil"/>
              <w:bottom w:val="single" w:sz="4" w:space="0" w:color="000000"/>
              <w:right w:val="single" w:sz="4" w:space="0" w:color="000000"/>
            </w:tcBorders>
            <w:shd w:val="clear" w:color="auto" w:fill="CCFFFF"/>
            <w:vAlign w:val="center"/>
          </w:tcPr>
          <w:p w:rsidR="00FF0943" w:rsidRDefault="00FF0943" w:rsidP="00545005">
            <w:pPr>
              <w:jc w:val="center"/>
              <w:rPr>
                <w:rFonts w:ascii="Arial" w:hAnsi="Arial" w:cs="Arial"/>
                <w:sz w:val="14"/>
                <w:szCs w:val="14"/>
              </w:rPr>
            </w:pPr>
            <w:r>
              <w:rPr>
                <w:rFonts w:ascii="Arial" w:hAnsi="Arial" w:cs="Arial"/>
                <w:sz w:val="14"/>
                <w:szCs w:val="14"/>
              </w:rPr>
              <w:t>- </w:t>
            </w:r>
          </w:p>
        </w:tc>
        <w:tc>
          <w:tcPr>
            <w:tcW w:w="560" w:type="dxa"/>
            <w:tcBorders>
              <w:top w:val="nil"/>
              <w:left w:val="nil"/>
              <w:bottom w:val="single" w:sz="4" w:space="0" w:color="000000"/>
              <w:right w:val="single" w:sz="4" w:space="0" w:color="000000"/>
            </w:tcBorders>
            <w:shd w:val="clear" w:color="auto" w:fill="CCFFFF"/>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rsidR="00FF0943" w:rsidRDefault="00FF0943" w:rsidP="00545005">
            <w:pPr>
              <w:jc w:val="center"/>
              <w:rPr>
                <w:rFonts w:ascii="Arial" w:hAnsi="Arial" w:cs="Arial"/>
                <w:sz w:val="14"/>
                <w:szCs w:val="14"/>
              </w:rPr>
            </w:pPr>
            <w:r>
              <w:rPr>
                <w:rFonts w:ascii="Arial" w:hAnsi="Arial" w:cs="Arial"/>
                <w:sz w:val="14"/>
                <w:szCs w:val="14"/>
              </w:rPr>
              <w:t>Yes </w:t>
            </w:r>
          </w:p>
        </w:tc>
        <w:tc>
          <w:tcPr>
            <w:tcW w:w="560" w:type="dxa"/>
            <w:tcBorders>
              <w:top w:val="nil"/>
              <w:left w:val="nil"/>
              <w:bottom w:val="single" w:sz="4" w:space="0" w:color="000000"/>
              <w:right w:val="single" w:sz="4" w:space="0" w:color="000000"/>
            </w:tcBorders>
            <w:shd w:val="clear" w:color="auto" w:fill="CCFFFF"/>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560" w:type="dxa"/>
            <w:tcBorders>
              <w:top w:val="nil"/>
              <w:left w:val="nil"/>
              <w:bottom w:val="single" w:sz="4" w:space="0" w:color="000000"/>
              <w:right w:val="single" w:sz="4" w:space="0" w:color="000000"/>
            </w:tcBorders>
            <w:shd w:val="clear" w:color="auto" w:fill="CCFFFF"/>
            <w:vAlign w:val="center"/>
          </w:tcPr>
          <w:p w:rsidR="00FF0943" w:rsidRDefault="00FF0943" w:rsidP="00545005">
            <w:pPr>
              <w:jc w:val="center"/>
              <w:rPr>
                <w:rFonts w:ascii="Arial" w:hAnsi="Arial" w:cs="Arial"/>
                <w:sz w:val="14"/>
                <w:szCs w:val="14"/>
              </w:rPr>
            </w:pPr>
            <w:r>
              <w:rPr>
                <w:rFonts w:ascii="Arial" w:hAnsi="Arial" w:cs="Arial"/>
                <w:sz w:val="14"/>
                <w:szCs w:val="14"/>
              </w:rPr>
              <w:t>No </w:t>
            </w:r>
          </w:p>
        </w:tc>
        <w:tc>
          <w:tcPr>
            <w:tcW w:w="2440" w:type="dxa"/>
            <w:vMerge/>
            <w:tcBorders>
              <w:top w:val="nil"/>
              <w:left w:val="single" w:sz="4" w:space="0" w:color="000000"/>
              <w:bottom w:val="single" w:sz="4" w:space="0" w:color="000000"/>
              <w:right w:val="single" w:sz="4" w:space="0" w:color="000000"/>
            </w:tcBorders>
            <w:vAlign w:val="center"/>
          </w:tcPr>
          <w:p w:rsidR="00FF0943" w:rsidRDefault="00FF0943" w:rsidP="00545005">
            <w:pPr>
              <w:rPr>
                <w:rFonts w:ascii="Arial" w:hAnsi="Arial" w:cs="Arial"/>
                <w:sz w:val="14"/>
                <w:szCs w:val="14"/>
              </w:rPr>
            </w:pPr>
          </w:p>
        </w:tc>
      </w:tr>
    </w:tbl>
    <w:p w:rsidR="00FF0943" w:rsidRDefault="00FF0943" w:rsidP="00FF0943">
      <w:pPr>
        <w:rPr>
          <w:b/>
        </w:rPr>
      </w:pPr>
    </w:p>
    <w:p w:rsidR="00FF0943" w:rsidRDefault="00FF0943" w:rsidP="00FF0943">
      <w:pPr>
        <w:widowControl/>
        <w:autoSpaceDE w:val="0"/>
        <w:autoSpaceDN w:val="0"/>
        <w:adjustRightInd w:val="0"/>
        <w:rPr>
          <w:b/>
        </w:rPr>
      </w:pPr>
      <w:r>
        <w:rPr>
          <w:b/>
        </w:rPr>
        <w:t>Site Visit Summary</w:t>
      </w:r>
    </w:p>
    <w:p w:rsidR="00FF0943" w:rsidRDefault="00FF0943" w:rsidP="00FF0943">
      <w:pPr>
        <w:widowControl/>
        <w:autoSpaceDE w:val="0"/>
        <w:autoSpaceDN w:val="0"/>
        <w:adjustRightInd w:val="0"/>
        <w:rPr>
          <w:b/>
        </w:rPr>
      </w:pPr>
    </w:p>
    <w:p w:rsidR="00FF0943" w:rsidRDefault="00FF0943" w:rsidP="00FF0943">
      <w:pPr>
        <w:widowControl/>
        <w:autoSpaceDE w:val="0"/>
        <w:autoSpaceDN w:val="0"/>
        <w:adjustRightInd w:val="0"/>
      </w:pPr>
      <w:r>
        <w:t>In December 2011, a team from the Department’s Charter School Office conducted a Year Twelve Site Visit in order to assess the school’s progress in terms of its conditions and as a normal part of the charter school accountability cycle. A copy of the Year Twelve Site Visit Report is attached to this memo and the team’s findings are summarized below in the three areas of accountability: faithfulness to charter, academic success, and organizational viability.</w:t>
      </w:r>
    </w:p>
    <w:p w:rsidR="00FF0943" w:rsidRDefault="00FF0943" w:rsidP="00FF0943">
      <w:pPr>
        <w:widowControl/>
        <w:autoSpaceDE w:val="0"/>
        <w:autoSpaceDN w:val="0"/>
        <w:adjustRightInd w:val="0"/>
      </w:pPr>
    </w:p>
    <w:p w:rsidR="00FF0943" w:rsidRPr="002A065B" w:rsidRDefault="00FF0943" w:rsidP="00FF0943">
      <w:pPr>
        <w:widowControl/>
        <w:autoSpaceDE w:val="0"/>
        <w:autoSpaceDN w:val="0"/>
        <w:adjustRightInd w:val="0"/>
        <w:rPr>
          <w:u w:val="single"/>
        </w:rPr>
      </w:pPr>
      <w:r w:rsidRPr="002A065B">
        <w:rPr>
          <w:u w:val="single"/>
        </w:rPr>
        <w:t>Faithfulness to Charter</w:t>
      </w:r>
    </w:p>
    <w:p w:rsidR="00FF0943" w:rsidRDefault="00FF0943" w:rsidP="00FF0943">
      <w:pPr>
        <w:pStyle w:val="ListParagraph"/>
        <w:numPr>
          <w:ilvl w:val="0"/>
          <w:numId w:val="15"/>
        </w:numPr>
        <w:autoSpaceDE w:val="0"/>
        <w:autoSpaceDN w:val="0"/>
        <w:adjustRightInd w:val="0"/>
        <w:spacing w:after="120"/>
      </w:pPr>
      <w:r w:rsidRPr="00CF4838">
        <w:t xml:space="preserve">During the summer of 2011, the school terminated its relationship with its former Educational Management Organization. </w:t>
      </w:r>
      <w:r>
        <w:t>As required by the school’s probationary conditions, LCCPS’s board of trustees is in the process of contracting with a new external partner, the Center for Collaborative Education, to provide assistance in the school’s improvement efforts.</w:t>
      </w:r>
    </w:p>
    <w:p w:rsidR="00FF0943" w:rsidRDefault="00FF0943" w:rsidP="00FF0943">
      <w:pPr>
        <w:pStyle w:val="ListParagraph"/>
        <w:numPr>
          <w:ilvl w:val="0"/>
          <w:numId w:val="15"/>
        </w:numPr>
        <w:autoSpaceDE w:val="0"/>
        <w:autoSpaceDN w:val="0"/>
        <w:adjustRightInd w:val="0"/>
        <w:spacing w:after="120"/>
      </w:pPr>
      <w:r>
        <w:lastRenderedPageBreak/>
        <w:t>The school’s recent focus has emphasized the academic achievement aspects of the mission.</w:t>
      </w:r>
    </w:p>
    <w:p w:rsidR="00FF0943" w:rsidRDefault="00FF0943" w:rsidP="00FF0943">
      <w:pPr>
        <w:widowControl/>
        <w:autoSpaceDE w:val="0"/>
        <w:autoSpaceDN w:val="0"/>
        <w:adjustRightInd w:val="0"/>
        <w:rPr>
          <w:u w:val="single"/>
        </w:rPr>
      </w:pPr>
      <w:r w:rsidRPr="002A065B">
        <w:rPr>
          <w:u w:val="single"/>
        </w:rPr>
        <w:t>Academic Success</w:t>
      </w:r>
    </w:p>
    <w:p w:rsidR="00FF0943" w:rsidRDefault="00FF0943" w:rsidP="00FF0943">
      <w:pPr>
        <w:pStyle w:val="Body"/>
        <w:numPr>
          <w:ilvl w:val="0"/>
          <w:numId w:val="16"/>
        </w:numPr>
      </w:pPr>
      <w:r>
        <w:t xml:space="preserve">In general, site visitors noted that instructional practice was rich and varied. Site visitors observed a majority of classes that transitioned between multiple groupings, collaborative and student centered activities, and a variety of activities and methods that created a productive and enjoyable learning environment. </w:t>
      </w:r>
    </w:p>
    <w:p w:rsidR="00FF0943" w:rsidRDefault="00FF0943" w:rsidP="00FF0943">
      <w:pPr>
        <w:pStyle w:val="Body"/>
        <w:numPr>
          <w:ilvl w:val="0"/>
          <w:numId w:val="16"/>
        </w:numPr>
      </w:pPr>
      <w:r>
        <w:t xml:space="preserve">Site visitors noted that most classrooms had posted objectives and clearly articulated agendas, making learning explicit to visitor and student alike. </w:t>
      </w:r>
    </w:p>
    <w:p w:rsidR="00FF0943" w:rsidRDefault="00FF0943" w:rsidP="00FF0943">
      <w:pPr>
        <w:pStyle w:val="Body"/>
        <w:numPr>
          <w:ilvl w:val="0"/>
          <w:numId w:val="16"/>
        </w:numPr>
      </w:pPr>
      <w:r>
        <w:t xml:space="preserve">In a majority of classrooms, instruction was found to be clear, reinforced, and effective. Lesson plans with varied groupings and activities kept students engaged. </w:t>
      </w:r>
    </w:p>
    <w:p w:rsidR="00FF0943" w:rsidRDefault="00FF0943" w:rsidP="00FF0943">
      <w:pPr>
        <w:pStyle w:val="Body"/>
        <w:numPr>
          <w:ilvl w:val="0"/>
          <w:numId w:val="16"/>
        </w:numPr>
      </w:pPr>
      <w:r>
        <w:t>The school continues to refine and modify its documented curriculum.</w:t>
      </w:r>
    </w:p>
    <w:p w:rsidR="00FF0943" w:rsidRDefault="00FF0943" w:rsidP="00FF0943">
      <w:pPr>
        <w:pStyle w:val="Body"/>
        <w:numPr>
          <w:ilvl w:val="0"/>
          <w:numId w:val="16"/>
        </w:numPr>
      </w:pPr>
      <w:r>
        <w:t>This year, the school has begun using new curriculum: Pearson’s Envision Math, Fundations phonics program, and a new writing program using two commercial curriculums.</w:t>
      </w:r>
    </w:p>
    <w:p w:rsidR="00FF0943" w:rsidRDefault="00FF0943" w:rsidP="00FF0943">
      <w:pPr>
        <w:pStyle w:val="Body"/>
        <w:numPr>
          <w:ilvl w:val="0"/>
          <w:numId w:val="16"/>
        </w:numPr>
      </w:pPr>
      <w:r w:rsidRPr="00C25900">
        <w:t xml:space="preserve">A large majority of classrooms were orderly and supported student learning. Site visitors </w:t>
      </w:r>
      <w:proofErr w:type="gramStart"/>
      <w:r w:rsidRPr="00C25900">
        <w:t>observed</w:t>
      </w:r>
      <w:proofErr w:type="gramEnd"/>
      <w:r w:rsidRPr="00C25900">
        <w:t xml:space="preserve"> elements of </w:t>
      </w:r>
      <w:r>
        <w:t xml:space="preserve">the </w:t>
      </w:r>
      <w:r w:rsidRPr="00C25900">
        <w:t>Responsive Classroom</w:t>
      </w:r>
      <w:r>
        <w:t xml:space="preserve"> management method</w:t>
      </w:r>
      <w:r w:rsidRPr="00C25900">
        <w:t>. These were effectively employed by teachers.</w:t>
      </w:r>
    </w:p>
    <w:p w:rsidR="00FF0943" w:rsidRDefault="00FF0943" w:rsidP="00FF0943">
      <w:pPr>
        <w:pStyle w:val="Body"/>
        <w:numPr>
          <w:ilvl w:val="0"/>
          <w:numId w:val="16"/>
        </w:numPr>
      </w:pPr>
      <w:r w:rsidRPr="003072F3">
        <w:t>The entire school, including classrooms</w:t>
      </w:r>
      <w:r>
        <w:t xml:space="preserve"> and common spaces</w:t>
      </w:r>
      <w:r w:rsidRPr="003072F3">
        <w:t xml:space="preserve">, </w:t>
      </w:r>
      <w:r>
        <w:t>was</w:t>
      </w:r>
      <w:r w:rsidRPr="003072F3">
        <w:t xml:space="preserve"> found to be clean, bright, and orderly, providing a rich environment for student learning.</w:t>
      </w:r>
      <w:r w:rsidRPr="005135A6">
        <w:t xml:space="preserve"> </w:t>
      </w:r>
    </w:p>
    <w:p w:rsidR="00FF0943" w:rsidRDefault="00FF0943" w:rsidP="00FF0943">
      <w:pPr>
        <w:pStyle w:val="Body"/>
        <w:numPr>
          <w:ilvl w:val="0"/>
          <w:numId w:val="16"/>
        </w:numPr>
      </w:pPr>
      <w:r>
        <w:t>Processes for formal teacher evaluation are being revised. All teachers report receiving ample informal feedback and guidance this year.</w:t>
      </w:r>
    </w:p>
    <w:p w:rsidR="00FF0943" w:rsidRDefault="00FF0943" w:rsidP="00FF0943">
      <w:pPr>
        <w:pStyle w:val="Body"/>
        <w:numPr>
          <w:ilvl w:val="0"/>
          <w:numId w:val="16"/>
        </w:numPr>
      </w:pPr>
      <w:r>
        <w:t>LCCPS teachers and administrators report that the school has maintained and improved the systems and structures for the collection, analysis, and use of data that were put in place last year. Site visitors determined that the use of data to drive instruction, make adjustment to curriculum, and provide supports to students is an essential aspect of the school’s culture.</w:t>
      </w:r>
    </w:p>
    <w:p w:rsidR="00FF0943" w:rsidRPr="00D50849" w:rsidRDefault="00FF0943" w:rsidP="00FF0943">
      <w:pPr>
        <w:widowControl/>
        <w:autoSpaceDE w:val="0"/>
        <w:autoSpaceDN w:val="0"/>
        <w:adjustRightInd w:val="0"/>
        <w:rPr>
          <w:u w:val="single"/>
        </w:rPr>
      </w:pPr>
      <w:r w:rsidRPr="00D50849">
        <w:rPr>
          <w:u w:val="single"/>
        </w:rPr>
        <w:t>Organizational Viability</w:t>
      </w:r>
    </w:p>
    <w:p w:rsidR="00FF0943" w:rsidRDefault="00FF0943" w:rsidP="00FF0943">
      <w:pPr>
        <w:pStyle w:val="ListParagraph"/>
        <w:numPr>
          <w:ilvl w:val="0"/>
          <w:numId w:val="17"/>
        </w:numPr>
        <w:autoSpaceDE w:val="0"/>
        <w:autoSpaceDN w:val="0"/>
        <w:adjustRightInd w:val="0"/>
        <w:spacing w:after="120"/>
      </w:pPr>
      <w:r>
        <w:t>The board of trustees continues to develop its capacity. It has recently added four new members. All other board members joined the board after August 2010.</w:t>
      </w:r>
    </w:p>
    <w:p w:rsidR="00FF0943" w:rsidRPr="00F41704" w:rsidRDefault="00FF0943" w:rsidP="00FF0943">
      <w:pPr>
        <w:pStyle w:val="ListParagraph"/>
        <w:numPr>
          <w:ilvl w:val="0"/>
          <w:numId w:val="17"/>
        </w:numPr>
        <w:spacing w:after="120"/>
      </w:pPr>
      <w:r w:rsidRPr="005B123D">
        <w:t>The school has established systems and structures to review the effectiveness of the academic program as driven by academic data.</w:t>
      </w:r>
      <w:r>
        <w:t xml:space="preserve">  </w:t>
      </w:r>
    </w:p>
    <w:p w:rsidR="00FF0943" w:rsidRPr="005135A6" w:rsidRDefault="00FF0943" w:rsidP="00FF0943">
      <w:pPr>
        <w:pStyle w:val="ListParagraph"/>
        <w:numPr>
          <w:ilvl w:val="0"/>
          <w:numId w:val="17"/>
        </w:numPr>
        <w:spacing w:after="120"/>
        <w:rPr>
          <w:b/>
        </w:rPr>
      </w:pPr>
      <w:r w:rsidRPr="006A3221">
        <w:t>The board</w:t>
      </w:r>
      <w:r>
        <w:t xml:space="preserve"> of trustees</w:t>
      </w:r>
      <w:r w:rsidRPr="006A3221">
        <w:t xml:space="preserve"> provides oversight and leadership in key areas of the school</w:t>
      </w:r>
      <w:r>
        <w:t>.</w:t>
      </w:r>
    </w:p>
    <w:p w:rsidR="00FF0943" w:rsidRDefault="00FF0943" w:rsidP="00FF0943">
      <w:pPr>
        <w:pStyle w:val="ListParagraph"/>
        <w:numPr>
          <w:ilvl w:val="0"/>
          <w:numId w:val="17"/>
        </w:numPr>
        <w:autoSpaceDE w:val="0"/>
        <w:autoSpaceDN w:val="0"/>
        <w:adjustRightInd w:val="0"/>
        <w:spacing w:after="120"/>
      </w:pPr>
      <w:r>
        <w:t>Community members reported high levels of satisfaction with the school.</w:t>
      </w:r>
    </w:p>
    <w:p w:rsidR="00FF0943" w:rsidRPr="002A065B" w:rsidRDefault="00FF0943" w:rsidP="00FF0943">
      <w:pPr>
        <w:pStyle w:val="ListParagraph"/>
        <w:numPr>
          <w:ilvl w:val="0"/>
          <w:numId w:val="17"/>
        </w:numPr>
        <w:autoSpaceDE w:val="0"/>
        <w:autoSpaceDN w:val="0"/>
        <w:adjustRightInd w:val="0"/>
      </w:pPr>
      <w:r>
        <w:t xml:space="preserve">School community members all expressed </w:t>
      </w:r>
      <w:r w:rsidR="00BA0BA2">
        <w:t xml:space="preserve">concern </w:t>
      </w:r>
      <w:r>
        <w:t>about the school’s ability to weather a further reduction of enrollment as required by the current conditions. All stakeholders noted that the reduction would cause financial and academic hardship for the school.</w:t>
      </w:r>
    </w:p>
    <w:p w:rsidR="00FF0943" w:rsidRDefault="00FF0943" w:rsidP="00FF0943">
      <w:pPr>
        <w:rPr>
          <w:b/>
        </w:rPr>
      </w:pPr>
    </w:p>
    <w:p w:rsidR="00FF0943" w:rsidRDefault="00FF0943" w:rsidP="00FF0943">
      <w:pPr>
        <w:rPr>
          <w:b/>
        </w:rPr>
      </w:pPr>
      <w:r>
        <w:rPr>
          <w:b/>
        </w:rPr>
        <w:t>Request to Amend the Conditions</w:t>
      </w:r>
    </w:p>
    <w:p w:rsidR="00FF0943" w:rsidRDefault="00FF0943" w:rsidP="00FF0943">
      <w:pPr>
        <w:rPr>
          <w:b/>
        </w:rPr>
      </w:pPr>
    </w:p>
    <w:p w:rsidR="00FF0943" w:rsidRDefault="00FF0943" w:rsidP="00FF0943">
      <w:r>
        <w:t>In January 2012, LCCPS’s board of trustees submitted a request to amend or remove the enrollment conditions that were placed upon the school. LCCPS has requested to add grade seven during the 2012-13 school year, and grade eight during the 2013-14 school year. Additionally, the school has requested a change to its maximum enrollment from 610 to 700 students by 2017-18. In order to accommodate an “enrollment bubble” in the school’s current grades three and four, LCCPS requested a temporary maximum enrollment of 750 students for the 2012-13 and 2013-14 school years, after which it will begin the process of evening out classes to reach its target maximum enrollment of 700 students.</w:t>
      </w:r>
    </w:p>
    <w:p w:rsidR="00FF0943" w:rsidRPr="00B96D23" w:rsidRDefault="00FF0943" w:rsidP="00FF0943"/>
    <w:p w:rsidR="00FF0943" w:rsidRPr="002C2816" w:rsidRDefault="00FF0943" w:rsidP="00FF0943">
      <w:pPr>
        <w:rPr>
          <w:b/>
        </w:rPr>
      </w:pPr>
      <w:r>
        <w:rPr>
          <w:b/>
        </w:rPr>
        <w:t>Recommendation</w:t>
      </w:r>
    </w:p>
    <w:p w:rsidR="00FF0943" w:rsidRDefault="00FF0943" w:rsidP="00FF0943"/>
    <w:p w:rsidR="00FF0943" w:rsidRDefault="00FF0943" w:rsidP="00FF0943">
      <w:r>
        <w:t xml:space="preserve">While the school has made strides in improving academic performance and establishing systems and structures to operate a viable organization, LCCPS has yet to demonstrate a sustained track record of academic success and strong organizational competence. For this reason, I am not prepared to recommend an additional expansion of grade levels served and a further increase in its maximum enrollment. </w:t>
      </w:r>
    </w:p>
    <w:p w:rsidR="00FF0943" w:rsidRDefault="00FF0943" w:rsidP="00FF0943"/>
    <w:p w:rsidR="00FF0943" w:rsidRDefault="00FF0943" w:rsidP="00FF0943">
      <w:pPr>
        <w:jc w:val="center"/>
      </w:pPr>
      <w:r>
        <w:t>***************************</w:t>
      </w:r>
    </w:p>
    <w:p w:rsidR="00FF0943" w:rsidRDefault="00FF0943" w:rsidP="00FF0943"/>
    <w:p w:rsidR="00FF0943" w:rsidRDefault="00FF0943" w:rsidP="00FF0943">
      <w:r>
        <w:t xml:space="preserve">If you have any questions or require additional information, please contact Barry Barnett, Acting Director of Charter Schools, Innovation, and Redesign, at 781-338-3225; or Jeff </w:t>
      </w:r>
      <w:proofErr w:type="spellStart"/>
      <w:r>
        <w:t>Wulfson</w:t>
      </w:r>
      <w:proofErr w:type="spellEnd"/>
      <w:r>
        <w:t>, Deputy Commissioner</w:t>
      </w:r>
      <w:r w:rsidR="00D37E28">
        <w:t>,</w:t>
      </w:r>
      <w:r>
        <w:t xml:space="preserve"> at 781-338-6500; or me. </w:t>
      </w:r>
    </w:p>
    <w:p w:rsidR="00FF0943" w:rsidRDefault="00FF0943" w:rsidP="00FF0943"/>
    <w:p w:rsidR="00FF0943" w:rsidRDefault="00FF0943" w:rsidP="00FF0943">
      <w:r>
        <w:t>Enclosures:</w:t>
      </w:r>
      <w:r>
        <w:tab/>
        <w:t>Amendment request letter from LCCPS</w:t>
      </w:r>
    </w:p>
    <w:p w:rsidR="00FF0943" w:rsidRDefault="00FF0943" w:rsidP="00FF0943">
      <w:r>
        <w:tab/>
      </w:r>
      <w:r>
        <w:tab/>
        <w:t>Year Twelve Site Visit Report for LCCPS</w:t>
      </w:r>
    </w:p>
    <w:p w:rsidR="00FF0943" w:rsidRDefault="00FF0943" w:rsidP="00FF0943">
      <w:r>
        <w:tab/>
      </w:r>
      <w:r>
        <w:tab/>
      </w:r>
    </w:p>
    <w:p w:rsidR="00FF0943" w:rsidRDefault="00FF0943" w:rsidP="00FF0943">
      <w:pPr>
        <w:widowControl/>
        <w:autoSpaceDE w:val="0"/>
        <w:autoSpaceDN w:val="0"/>
        <w:adjustRightInd w:val="0"/>
      </w:pPr>
    </w:p>
    <w:p w:rsidR="00FF0943" w:rsidRDefault="00FF0943" w:rsidP="00FF0943">
      <w:pPr>
        <w:widowControl/>
        <w:autoSpaceDE w:val="0"/>
        <w:autoSpaceDN w:val="0"/>
        <w:adjustRightInd w:val="0"/>
      </w:pPr>
    </w:p>
    <w:p w:rsidR="00FF0943" w:rsidRDefault="00FF0943" w:rsidP="00FF0943">
      <w:pPr>
        <w:widowControl/>
        <w:autoSpaceDE w:val="0"/>
        <w:autoSpaceDN w:val="0"/>
        <w:adjustRightInd w:val="0"/>
      </w:pPr>
    </w:p>
    <w:p w:rsidR="00FF0943" w:rsidRDefault="00FF0943" w:rsidP="00FF0943">
      <w:pPr>
        <w:widowControl/>
        <w:autoSpaceDE w:val="0"/>
        <w:autoSpaceDN w:val="0"/>
        <w:adjustRightInd w:val="0"/>
      </w:pPr>
    </w:p>
    <w:p w:rsidR="00FF0943" w:rsidRPr="007379AC" w:rsidRDefault="00FF0943" w:rsidP="00FF0943">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sectPr w:rsidR="007379AC"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4F6" w:rsidRDefault="00B814F6">
      <w:r>
        <w:separator/>
      </w:r>
    </w:p>
  </w:endnote>
  <w:endnote w:type="continuationSeparator" w:id="0">
    <w:p w:rsidR="00B814F6" w:rsidRDefault="00B81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4B" w:rsidRDefault="00946E21">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rsidR="002B014B" w:rsidRDefault="002B01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E4" w:rsidRDefault="00946E21">
    <w:pPr>
      <w:pStyle w:val="Footer"/>
      <w:jc w:val="right"/>
    </w:pPr>
    <w:r>
      <w:fldChar w:fldCharType="begin"/>
    </w:r>
    <w:r w:rsidR="004A16E4">
      <w:instrText xml:space="preserve"> PAGE   \* MERGEFORMAT </w:instrText>
    </w:r>
    <w:r>
      <w:fldChar w:fldCharType="separate"/>
    </w:r>
    <w:r w:rsidR="0097522F">
      <w:rPr>
        <w:noProof/>
      </w:rPr>
      <w:t>3</w:t>
    </w:r>
    <w:r>
      <w:rPr>
        <w:noProof/>
      </w:rPr>
      <w:fldChar w:fldCharType="end"/>
    </w:r>
  </w:p>
  <w:p w:rsidR="002B014B" w:rsidRDefault="002B01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4F6" w:rsidRDefault="00B814F6">
      <w:r>
        <w:separator/>
      </w:r>
    </w:p>
  </w:footnote>
  <w:footnote w:type="continuationSeparator" w:id="0">
    <w:p w:rsidR="00B814F6" w:rsidRDefault="00B81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E1883"/>
    <w:multiLevelType w:val="hybridMultilevel"/>
    <w:tmpl w:val="3CC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7A6A60"/>
    <w:multiLevelType w:val="hybridMultilevel"/>
    <w:tmpl w:val="77E6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E442837"/>
    <w:multiLevelType w:val="hybridMultilevel"/>
    <w:tmpl w:val="14D4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5"/>
  </w:num>
  <w:num w:numId="2">
    <w:abstractNumId w:val="9"/>
  </w:num>
  <w:num w:numId="3">
    <w:abstractNumId w:val="0"/>
  </w:num>
  <w:num w:numId="4">
    <w:abstractNumId w:val="13"/>
  </w:num>
  <w:num w:numId="5">
    <w:abstractNumId w:val="12"/>
  </w:num>
  <w:num w:numId="6">
    <w:abstractNumId w:val="1"/>
  </w:num>
  <w:num w:numId="7">
    <w:abstractNumId w:val="8"/>
  </w:num>
  <w:num w:numId="8">
    <w:abstractNumId w:val="10"/>
  </w:num>
  <w:num w:numId="9">
    <w:abstractNumId w:val="5"/>
  </w:num>
  <w:num w:numId="10">
    <w:abstractNumId w:val="14"/>
  </w:num>
  <w:num w:numId="11">
    <w:abstractNumId w:val="3"/>
  </w:num>
  <w:num w:numId="12">
    <w:abstractNumId w:val="7"/>
  </w:num>
  <w:num w:numId="13">
    <w:abstractNumId w:val="6"/>
  </w:num>
  <w:num w:numId="14">
    <w:abstractNumId w:val="16"/>
  </w:num>
  <w:num w:numId="15">
    <w:abstractNumId w:val="4"/>
  </w:num>
  <w:num w:numId="16">
    <w:abstractNumId w:val="2"/>
  </w:num>
  <w:num w:numId="1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
  <w:rsids>
    <w:rsidRoot w:val="00D37E28"/>
    <w:rsid w:val="00001329"/>
    <w:rsid w:val="000063B9"/>
    <w:rsid w:val="000072AA"/>
    <w:rsid w:val="0001606C"/>
    <w:rsid w:val="00027086"/>
    <w:rsid w:val="00030DD3"/>
    <w:rsid w:val="00034C92"/>
    <w:rsid w:val="00043474"/>
    <w:rsid w:val="00053AA3"/>
    <w:rsid w:val="00055A3D"/>
    <w:rsid w:val="00056B96"/>
    <w:rsid w:val="00063782"/>
    <w:rsid w:val="0007158E"/>
    <w:rsid w:val="0007250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7EAB"/>
    <w:rsid w:val="00102267"/>
    <w:rsid w:val="00103AB9"/>
    <w:rsid w:val="001160EA"/>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0C8C"/>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45F8"/>
    <w:rsid w:val="002A70A7"/>
    <w:rsid w:val="002B014B"/>
    <w:rsid w:val="002B359D"/>
    <w:rsid w:val="002C2E4F"/>
    <w:rsid w:val="002C337A"/>
    <w:rsid w:val="002C7591"/>
    <w:rsid w:val="002D1039"/>
    <w:rsid w:val="002E102C"/>
    <w:rsid w:val="002E41B2"/>
    <w:rsid w:val="002E51BC"/>
    <w:rsid w:val="002F061C"/>
    <w:rsid w:val="002F71C2"/>
    <w:rsid w:val="00305463"/>
    <w:rsid w:val="00313422"/>
    <w:rsid w:val="003149DE"/>
    <w:rsid w:val="00317064"/>
    <w:rsid w:val="00324E4C"/>
    <w:rsid w:val="00330A7E"/>
    <w:rsid w:val="00334D40"/>
    <w:rsid w:val="00353491"/>
    <w:rsid w:val="00356545"/>
    <w:rsid w:val="003625A9"/>
    <w:rsid w:val="003641D0"/>
    <w:rsid w:val="00364FF1"/>
    <w:rsid w:val="0037790E"/>
    <w:rsid w:val="00387541"/>
    <w:rsid w:val="003906C7"/>
    <w:rsid w:val="00391E0B"/>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528BB"/>
    <w:rsid w:val="004628FA"/>
    <w:rsid w:val="00467314"/>
    <w:rsid w:val="00472450"/>
    <w:rsid w:val="00474C34"/>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512093"/>
    <w:rsid w:val="00512A29"/>
    <w:rsid w:val="00526BBE"/>
    <w:rsid w:val="00531C9F"/>
    <w:rsid w:val="00534010"/>
    <w:rsid w:val="00540887"/>
    <w:rsid w:val="00545005"/>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42DA"/>
    <w:rsid w:val="005E2191"/>
    <w:rsid w:val="005E4844"/>
    <w:rsid w:val="005E5D8E"/>
    <w:rsid w:val="005F1874"/>
    <w:rsid w:val="00613BF0"/>
    <w:rsid w:val="006345E9"/>
    <w:rsid w:val="00636AC7"/>
    <w:rsid w:val="00641DFD"/>
    <w:rsid w:val="0066491A"/>
    <w:rsid w:val="0066511D"/>
    <w:rsid w:val="00666BEC"/>
    <w:rsid w:val="00676217"/>
    <w:rsid w:val="00676769"/>
    <w:rsid w:val="00685AD0"/>
    <w:rsid w:val="00690654"/>
    <w:rsid w:val="00692A67"/>
    <w:rsid w:val="00693BC1"/>
    <w:rsid w:val="0069716C"/>
    <w:rsid w:val="006A3BCD"/>
    <w:rsid w:val="006B5DD1"/>
    <w:rsid w:val="006C60B0"/>
    <w:rsid w:val="006D4CBC"/>
    <w:rsid w:val="006E2CAD"/>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2B58"/>
    <w:rsid w:val="00766272"/>
    <w:rsid w:val="007709BB"/>
    <w:rsid w:val="00770F7B"/>
    <w:rsid w:val="007718AD"/>
    <w:rsid w:val="0078028D"/>
    <w:rsid w:val="007965D9"/>
    <w:rsid w:val="007966DA"/>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1638"/>
    <w:rsid w:val="00814B5D"/>
    <w:rsid w:val="00820F63"/>
    <w:rsid w:val="00821C27"/>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6332"/>
    <w:rsid w:val="008B4475"/>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6E21"/>
    <w:rsid w:val="009475FC"/>
    <w:rsid w:val="0095696F"/>
    <w:rsid w:val="00957155"/>
    <w:rsid w:val="00963B70"/>
    <w:rsid w:val="00970D92"/>
    <w:rsid w:val="0097243C"/>
    <w:rsid w:val="0097522F"/>
    <w:rsid w:val="00980B43"/>
    <w:rsid w:val="00991317"/>
    <w:rsid w:val="00991B9B"/>
    <w:rsid w:val="009A3651"/>
    <w:rsid w:val="009B4876"/>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1C27"/>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14F6"/>
    <w:rsid w:val="00B82F0A"/>
    <w:rsid w:val="00B87612"/>
    <w:rsid w:val="00B92842"/>
    <w:rsid w:val="00BA0BA2"/>
    <w:rsid w:val="00BA3BBC"/>
    <w:rsid w:val="00BA3DED"/>
    <w:rsid w:val="00BA4316"/>
    <w:rsid w:val="00BB0169"/>
    <w:rsid w:val="00BB0A92"/>
    <w:rsid w:val="00BB5EA5"/>
    <w:rsid w:val="00BB6D04"/>
    <w:rsid w:val="00BC47EE"/>
    <w:rsid w:val="00BC7C35"/>
    <w:rsid w:val="00BD52B8"/>
    <w:rsid w:val="00BE2AD9"/>
    <w:rsid w:val="00BE6925"/>
    <w:rsid w:val="00BF06B2"/>
    <w:rsid w:val="00BF4F8E"/>
    <w:rsid w:val="00C02C99"/>
    <w:rsid w:val="00C02E92"/>
    <w:rsid w:val="00C0735A"/>
    <w:rsid w:val="00C12A11"/>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0B54"/>
    <w:rsid w:val="00C91411"/>
    <w:rsid w:val="00C9397B"/>
    <w:rsid w:val="00CA2D7A"/>
    <w:rsid w:val="00CA46AA"/>
    <w:rsid w:val="00CA57EB"/>
    <w:rsid w:val="00CA7396"/>
    <w:rsid w:val="00CB5098"/>
    <w:rsid w:val="00CB6E14"/>
    <w:rsid w:val="00CB7517"/>
    <w:rsid w:val="00CD2E04"/>
    <w:rsid w:val="00CE0A55"/>
    <w:rsid w:val="00CE739F"/>
    <w:rsid w:val="00CE76B7"/>
    <w:rsid w:val="00CF4B25"/>
    <w:rsid w:val="00CF4F03"/>
    <w:rsid w:val="00D07B9A"/>
    <w:rsid w:val="00D229F5"/>
    <w:rsid w:val="00D22BBA"/>
    <w:rsid w:val="00D2338F"/>
    <w:rsid w:val="00D30764"/>
    <w:rsid w:val="00D32426"/>
    <w:rsid w:val="00D34B7E"/>
    <w:rsid w:val="00D372F5"/>
    <w:rsid w:val="00D37E28"/>
    <w:rsid w:val="00D40BD2"/>
    <w:rsid w:val="00D5037F"/>
    <w:rsid w:val="00D5524E"/>
    <w:rsid w:val="00D71AFA"/>
    <w:rsid w:val="00D8267B"/>
    <w:rsid w:val="00D84D0A"/>
    <w:rsid w:val="00DA0850"/>
    <w:rsid w:val="00DA0FF8"/>
    <w:rsid w:val="00DA2496"/>
    <w:rsid w:val="00DB7F7C"/>
    <w:rsid w:val="00DC5246"/>
    <w:rsid w:val="00DD5420"/>
    <w:rsid w:val="00DE18A3"/>
    <w:rsid w:val="00DF1633"/>
    <w:rsid w:val="00E01EFC"/>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69F"/>
    <w:rsid w:val="00FC1EF6"/>
    <w:rsid w:val="00FC2278"/>
    <w:rsid w:val="00FD23FE"/>
    <w:rsid w:val="00FE1348"/>
    <w:rsid w:val="00FE2208"/>
    <w:rsid w:val="00FF0943"/>
    <w:rsid w:val="00FF1D4C"/>
    <w:rsid w:val="00FF200D"/>
    <w:rsid w:val="00FF479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946E21"/>
    <w:pPr>
      <w:keepNext/>
      <w:tabs>
        <w:tab w:val="center" w:pos="4680"/>
      </w:tabs>
      <w:jc w:val="center"/>
      <w:outlineLvl w:val="0"/>
    </w:pPr>
    <w:rPr>
      <w:b/>
    </w:rPr>
  </w:style>
  <w:style w:type="paragraph" w:styleId="Heading2">
    <w:name w:val="heading 2"/>
    <w:basedOn w:val="Normal"/>
    <w:next w:val="Normal"/>
    <w:qFormat/>
    <w:rsid w:val="00946E21"/>
    <w:pPr>
      <w:keepNext/>
      <w:ind w:left="720"/>
      <w:jc w:val="right"/>
      <w:outlineLvl w:val="1"/>
    </w:pPr>
    <w:rPr>
      <w:rFonts w:ascii="Arial" w:hAnsi="Arial"/>
      <w:i/>
      <w:sz w:val="18"/>
    </w:rPr>
  </w:style>
  <w:style w:type="paragraph" w:styleId="Heading3">
    <w:name w:val="heading 3"/>
    <w:basedOn w:val="Normal"/>
    <w:next w:val="Normal"/>
    <w:qFormat/>
    <w:rsid w:val="00946E21"/>
    <w:pPr>
      <w:keepNext/>
      <w:tabs>
        <w:tab w:val="left" w:pos="5400"/>
      </w:tabs>
      <w:ind w:left="720"/>
      <w:outlineLvl w:val="2"/>
    </w:pPr>
    <w:rPr>
      <w:rFonts w:ascii="Arial" w:hAnsi="Arial"/>
      <w:i/>
      <w:sz w:val="18"/>
    </w:rPr>
  </w:style>
  <w:style w:type="paragraph" w:styleId="Heading4">
    <w:name w:val="heading 4"/>
    <w:basedOn w:val="Normal"/>
    <w:next w:val="Normal"/>
    <w:qFormat/>
    <w:rsid w:val="00946E21"/>
    <w:pPr>
      <w:keepNext/>
      <w:outlineLvl w:val="3"/>
    </w:pPr>
    <w:rPr>
      <w:b/>
      <w:bCs/>
    </w:rPr>
  </w:style>
  <w:style w:type="paragraph" w:styleId="Heading5">
    <w:name w:val="heading 5"/>
    <w:basedOn w:val="Normal"/>
    <w:next w:val="Normal"/>
    <w:qFormat/>
    <w:rsid w:val="00946E21"/>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46E21"/>
  </w:style>
  <w:style w:type="paragraph" w:styleId="Footer">
    <w:name w:val="footer"/>
    <w:basedOn w:val="Normal"/>
    <w:link w:val="FooterChar"/>
    <w:uiPriority w:val="99"/>
    <w:rsid w:val="00946E21"/>
    <w:pPr>
      <w:widowControl/>
      <w:tabs>
        <w:tab w:val="center" w:pos="4320"/>
        <w:tab w:val="right" w:pos="8640"/>
      </w:tabs>
    </w:pPr>
    <w:rPr>
      <w:snapToGrid/>
      <w:szCs w:val="24"/>
      <w:lang/>
    </w:rPr>
  </w:style>
  <w:style w:type="paragraph" w:styleId="BodyText">
    <w:name w:val="Body Text"/>
    <w:basedOn w:val="Normal"/>
    <w:link w:val="BodyTextChar"/>
    <w:rsid w:val="00946E21"/>
    <w:pPr>
      <w:widowControl/>
    </w:pPr>
    <w:rPr>
      <w:rFonts w:ascii="Times" w:hAnsi="Times"/>
      <w:color w:val="000000"/>
    </w:rPr>
  </w:style>
  <w:style w:type="character" w:styleId="Hyperlink">
    <w:name w:val="Hyperlink"/>
    <w:rsid w:val="00946E21"/>
    <w:rPr>
      <w:color w:val="0000FF"/>
      <w:u w:val="single"/>
    </w:rPr>
  </w:style>
  <w:style w:type="paragraph" w:styleId="BodyText2">
    <w:name w:val="Body Text 2"/>
    <w:basedOn w:val="Normal"/>
    <w:rsid w:val="00946E21"/>
    <w:rPr>
      <w:i/>
      <w:iCs/>
    </w:rPr>
  </w:style>
  <w:style w:type="paragraph" w:styleId="BodyTextIndent">
    <w:name w:val="Body Text Indent"/>
    <w:basedOn w:val="Normal"/>
    <w:rsid w:val="00946E21"/>
    <w:pPr>
      <w:autoSpaceDE w:val="0"/>
      <w:autoSpaceDN w:val="0"/>
      <w:adjustRightInd w:val="0"/>
      <w:ind w:left="-360"/>
    </w:pPr>
    <w:rPr>
      <w:snapToGrid/>
      <w:szCs w:val="24"/>
    </w:rPr>
  </w:style>
  <w:style w:type="character" w:styleId="PageNumber">
    <w:name w:val="page number"/>
    <w:basedOn w:val="DefaultParagraphFont"/>
    <w:rsid w:val="00946E21"/>
  </w:style>
  <w:style w:type="paragraph" w:styleId="BodyTextIndent3">
    <w:name w:val="Body Text Indent 3"/>
    <w:basedOn w:val="Normal"/>
    <w:rsid w:val="00946E21"/>
    <w:pPr>
      <w:widowControl/>
      <w:ind w:left="360" w:hanging="360"/>
    </w:pPr>
    <w:rPr>
      <w:szCs w:val="24"/>
    </w:rPr>
  </w:style>
  <w:style w:type="paragraph" w:styleId="BodyText3">
    <w:name w:val="Body Text 3"/>
    <w:basedOn w:val="Normal"/>
    <w:rsid w:val="00946E21"/>
    <w:pPr>
      <w:autoSpaceDE w:val="0"/>
      <w:autoSpaceDN w:val="0"/>
      <w:adjustRightInd w:val="0"/>
    </w:pPr>
    <w:rPr>
      <w:b/>
      <w:bCs/>
    </w:rPr>
  </w:style>
  <w:style w:type="character" w:styleId="FollowedHyperlink">
    <w:name w:val="FollowedHyperlink"/>
    <w:rsid w:val="00946E21"/>
    <w:rPr>
      <w:color w:val="800080"/>
      <w:u w:val="single"/>
    </w:rPr>
  </w:style>
  <w:style w:type="character" w:styleId="Strong">
    <w:name w:val="Strong"/>
    <w:qFormat/>
    <w:rsid w:val="00946E21"/>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rPr>
      <w:lang/>
    </w:r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BodyTextChar">
    <w:name w:val="Body Text Char"/>
    <w:basedOn w:val="DefaultParagraphFont"/>
    <w:link w:val="BodyText"/>
    <w:rsid w:val="00FF0943"/>
    <w:rPr>
      <w:rFonts w:ascii="Times" w:hAnsi="Times"/>
      <w:snapToGrid w:val="0"/>
      <w:color w:val="000000"/>
      <w:sz w:val="24"/>
    </w:rPr>
  </w:style>
  <w:style w:type="paragraph" w:styleId="ListParagraph">
    <w:name w:val="List Paragraph"/>
    <w:basedOn w:val="Normal"/>
    <w:uiPriority w:val="34"/>
    <w:qFormat/>
    <w:rsid w:val="00FF0943"/>
    <w:pPr>
      <w:widowControl/>
      <w:ind w:left="720"/>
    </w:pPr>
    <w:rPr>
      <w:snapToGrid/>
      <w:szCs w:val="24"/>
    </w:rPr>
  </w:style>
  <w:style w:type="paragraph" w:customStyle="1" w:styleId="Body">
    <w:name w:val="Body"/>
    <w:basedOn w:val="Normal"/>
    <w:link w:val="BodyChar"/>
    <w:rsid w:val="00FF0943"/>
    <w:pPr>
      <w:widowControl/>
      <w:spacing w:after="120"/>
    </w:pPr>
    <w:rPr>
      <w:snapToGrid/>
      <w:szCs w:val="24"/>
    </w:rPr>
  </w:style>
  <w:style w:type="character" w:customStyle="1" w:styleId="BodyChar">
    <w:name w:val="Body Char"/>
    <w:basedOn w:val="DefaultParagraphFont"/>
    <w:link w:val="Body"/>
    <w:rsid w:val="00FF09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lang w:val="x-none" w:eastAsia="x-none"/>
    </w:rPr>
  </w:style>
  <w:style w:type="paragraph" w:styleId="BodyText">
    <w:name w:val="Body Text"/>
    <w:basedOn w:val="Normal"/>
    <w:link w:val="BodyTextChar"/>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rPr>
      <w:lang w:val="x-none" w:eastAsia="x-none"/>
    </w:r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BodyTextChar">
    <w:name w:val="Body Text Char"/>
    <w:basedOn w:val="DefaultParagraphFont"/>
    <w:link w:val="BodyText"/>
    <w:rsid w:val="00FF0943"/>
    <w:rPr>
      <w:rFonts w:ascii="Times" w:hAnsi="Times"/>
      <w:snapToGrid w:val="0"/>
      <w:color w:val="000000"/>
      <w:sz w:val="24"/>
    </w:rPr>
  </w:style>
  <w:style w:type="paragraph" w:styleId="ListParagraph">
    <w:name w:val="List Paragraph"/>
    <w:basedOn w:val="Normal"/>
    <w:uiPriority w:val="34"/>
    <w:qFormat/>
    <w:rsid w:val="00FF0943"/>
    <w:pPr>
      <w:widowControl/>
      <w:ind w:left="720"/>
    </w:pPr>
    <w:rPr>
      <w:snapToGrid/>
      <w:szCs w:val="24"/>
    </w:rPr>
  </w:style>
  <w:style w:type="paragraph" w:customStyle="1" w:styleId="Body">
    <w:name w:val="Body"/>
    <w:basedOn w:val="Normal"/>
    <w:link w:val="BodyChar"/>
    <w:rsid w:val="00FF0943"/>
    <w:pPr>
      <w:widowControl/>
      <w:spacing w:after="120"/>
    </w:pPr>
    <w:rPr>
      <w:snapToGrid/>
      <w:szCs w:val="24"/>
    </w:rPr>
  </w:style>
  <w:style w:type="character" w:customStyle="1" w:styleId="BodyChar">
    <w:name w:val="Body Char"/>
    <w:basedOn w:val="DefaultParagraphFont"/>
    <w:link w:val="Body"/>
    <w:rsid w:val="00FF0943"/>
    <w:rPr>
      <w:sz w:val="24"/>
      <w:szCs w:val="24"/>
    </w:rPr>
  </w:style>
</w:styles>
</file>

<file path=word/webSettings.xml><?xml version="1.0" encoding="utf-8"?>
<w:webSettings xmlns:r="http://schemas.openxmlformats.org/officeDocument/2006/relationships" xmlns:w="http://schemas.openxmlformats.org/wordprocessingml/2006/main">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B0CEA-8545-42F9-A040-3AFA2211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Board memorandum, Lowell Community Charter Public School - Report on Conditions and School's Request to Modify Conditions, March 2012</vt:lpstr>
    </vt:vector>
  </TitlesOfParts>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Lowell Community Charter Public School - Report on Conditions and School's Request to Modify Conditions, March 2012</dc:title>
  <dc:creator/>
  <cp:lastModifiedBy/>
  <cp:revision>1</cp:revision>
  <cp:lastPrinted>2011-01-14T19:54:00Z</cp:lastPrinted>
  <dcterms:created xsi:type="dcterms:W3CDTF">2012-03-16T16:54:00Z</dcterms:created>
  <dcterms:modified xsi:type="dcterms:W3CDTF">2017-06-28T21:14:00Z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2012</vt:lpwstr>
  </property>
</Properties>
</file>