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3FE" w:rsidRDefault="0085082D">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8"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bookmarkEnd w:id="0"/>
      <w:r w:rsidR="00FD23FE">
        <w:rPr>
          <w:rFonts w:ascii="Arial" w:hAnsi="Arial"/>
          <w:b/>
          <w:i/>
          <w:sz w:val="40"/>
        </w:rPr>
        <w:t>Massachusetts Department of</w:t>
      </w:r>
    </w:p>
    <w:p w:rsidR="00FD23FE" w:rsidRDefault="00FD23FE">
      <w:pPr>
        <w:outlineLvl w:val="0"/>
        <w:rPr>
          <w:rFonts w:ascii="Arial" w:hAnsi="Arial"/>
          <w:b/>
          <w:i/>
          <w:sz w:val="50"/>
        </w:rPr>
      </w:pPr>
      <w:r>
        <w:rPr>
          <w:rFonts w:ascii="Arial" w:hAnsi="Arial"/>
          <w:b/>
          <w:i/>
          <w:sz w:val="40"/>
        </w:rPr>
        <w:t>Elementary and Secondary Education</w:t>
      </w:r>
    </w:p>
    <w:p w:rsidR="00FD23FE" w:rsidRDefault="000E37A2">
      <w:pPr>
        <w:rPr>
          <w:rFonts w:ascii="Arial" w:hAnsi="Arial"/>
          <w:i/>
        </w:rPr>
      </w:pPr>
      <w:r>
        <w:rPr>
          <w:rFonts w:ascii="Arial" w:hAnsi="Arial"/>
          <w:i/>
          <w:noProof/>
          <w:snapToGrid/>
        </w:rPr>
        <mc:AlternateContent>
          <mc:Choice Requires="wps">
            <w:drawing>
              <wp:anchor distT="0" distB="0" distL="114300" distR="114300" simplePos="0" relativeHeight="251658240" behindDoc="0" locked="0" layoutInCell="0" allowOverlap="1">
                <wp:simplePos x="0" y="0"/>
                <wp:positionH relativeFrom="column">
                  <wp:posOffset>24765</wp:posOffset>
                </wp:positionH>
                <wp:positionV relativeFrom="paragraph">
                  <wp:posOffset>64770</wp:posOffset>
                </wp:positionV>
                <wp:extent cx="5066030" cy="0"/>
                <wp:effectExtent l="15240" t="7620" r="1460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rsidR="00FD23FE" w:rsidRDefault="00FD23FE">
      <w:pPr>
        <w:pStyle w:val="Heading3"/>
        <w:tabs>
          <w:tab w:val="right" w:pos="9360"/>
        </w:tabs>
        <w:rPr>
          <w:sz w:val="16"/>
          <w:szCs w:val="16"/>
        </w:rPr>
      </w:pPr>
      <w:r>
        <w:rPr>
          <w:sz w:val="16"/>
          <w:szCs w:val="16"/>
        </w:rPr>
        <w:t xml:space="preserve">75 Pleasant Street, </w:t>
      </w:r>
      <w:smartTag w:uri="urn:schemas-microsoft-com:office:smarttags" w:element="place">
        <w:smartTag w:uri="urn:schemas-microsoft-com:office:smarttags" w:element="City">
          <w:r>
            <w:rPr>
              <w:sz w:val="16"/>
              <w:szCs w:val="16"/>
            </w:rPr>
            <w:t>Malden</w:t>
          </w:r>
        </w:smartTag>
        <w:r>
          <w:rPr>
            <w:sz w:val="16"/>
            <w:szCs w:val="16"/>
          </w:rPr>
          <w:t xml:space="preserve">, </w:t>
        </w:r>
        <w:smartTag w:uri="urn:schemas-microsoft-com:office:smarttags" w:element="State">
          <w:r>
            <w:rPr>
              <w:sz w:val="16"/>
              <w:szCs w:val="16"/>
            </w:rPr>
            <w:t>Massachusetts</w:t>
          </w:r>
        </w:smartTag>
        <w:r>
          <w:rPr>
            <w:sz w:val="16"/>
            <w:szCs w:val="16"/>
          </w:rPr>
          <w:t xml:space="preserve"> </w:t>
        </w:r>
        <w:smartTag w:uri="urn:schemas-microsoft-com:office:smarttags" w:element="PostalCode">
          <w:r>
            <w:rPr>
              <w:sz w:val="16"/>
              <w:szCs w:val="16"/>
            </w:rPr>
            <w:t>02148</w:t>
          </w:r>
        </w:smartTag>
      </w:smartTag>
      <w:r>
        <w:rPr>
          <w:sz w:val="16"/>
          <w:szCs w:val="16"/>
        </w:rPr>
        <w:t xml:space="preserve">-4906 </w:t>
      </w:r>
      <w:r>
        <w:rPr>
          <w:sz w:val="16"/>
          <w:szCs w:val="16"/>
        </w:rPr>
        <w:tab/>
        <w:t>Telephone: (781) 338-3000</w:t>
      </w:r>
    </w:p>
    <w:p w:rsidR="00FD23FE" w:rsidRDefault="00FD23FE">
      <w:pPr>
        <w:pStyle w:val="Heading2"/>
        <w:tabs>
          <w:tab w:val="right" w:pos="9000"/>
        </w:tabs>
        <w:jc w:val="left"/>
        <w:rPr>
          <w:sz w:val="16"/>
          <w:szCs w:val="16"/>
        </w:rPr>
      </w:pPr>
      <w:r>
        <w:rPr>
          <w:sz w:val="16"/>
          <w:szCs w:val="16"/>
        </w:rPr>
        <w:t xml:space="preserve">                                                                                                                 TTY: N.E.T. Relay 1-800-439-2370</w:t>
      </w:r>
    </w:p>
    <w:p w:rsidR="00FD23FE" w:rsidRDefault="00FD23FE">
      <w:pPr>
        <w:ind w:left="720"/>
        <w:rPr>
          <w:rFonts w:ascii="Arial" w:hAnsi="Arial"/>
          <w:i/>
          <w:sz w:val="16"/>
          <w:szCs w:val="16"/>
        </w:rPr>
      </w:pPr>
    </w:p>
    <w:p w:rsidR="00FD23FE" w:rsidRDefault="00FD23FE">
      <w:pPr>
        <w:ind w:left="720"/>
        <w:rPr>
          <w:rFonts w:ascii="Arial" w:hAnsi="Arial"/>
          <w:i/>
          <w:sz w:val="18"/>
        </w:rPr>
        <w:sectPr w:rsidR="00FD23FE">
          <w:footerReference w:type="even" r:id="rId9"/>
          <w:footerReference w:type="default" r:id="rId10"/>
          <w:endnotePr>
            <w:numFmt w:val="decimal"/>
          </w:endnotePr>
          <w:pgSz w:w="12240" w:h="15840"/>
          <w:pgMar w:top="864" w:right="1080" w:bottom="1440" w:left="1800" w:header="1440" w:footer="1440" w:gutter="0"/>
          <w:cols w:space="720"/>
          <w:noEndnote/>
          <w:titlePg/>
        </w:sectPr>
      </w:pPr>
    </w:p>
    <w:p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FD23FE">
        <w:tc>
          <w:tcPr>
            <w:tcW w:w="2988" w:type="dxa"/>
          </w:tcPr>
          <w:p w:rsidR="00FD23FE" w:rsidRDefault="00FD23FE">
            <w:pPr>
              <w:jc w:val="center"/>
              <w:rPr>
                <w:rFonts w:ascii="Arial" w:hAnsi="Arial" w:cs="Arial"/>
                <w:sz w:val="16"/>
                <w:szCs w:val="16"/>
              </w:rPr>
            </w:pPr>
            <w:r>
              <w:rPr>
                <w:rFonts w:ascii="Arial" w:hAnsi="Arial" w:cs="Arial"/>
                <w:sz w:val="16"/>
                <w:szCs w:val="16"/>
              </w:rPr>
              <w:t>Mitchell D. Chester, Ed.D.</w:t>
            </w:r>
          </w:p>
          <w:p w:rsidR="00FD23FE" w:rsidRDefault="00FD23FE">
            <w:pPr>
              <w:jc w:val="center"/>
              <w:rPr>
                <w:rFonts w:ascii="Arial" w:hAnsi="Arial"/>
                <w:i/>
                <w:sz w:val="16"/>
                <w:szCs w:val="16"/>
              </w:rPr>
            </w:pPr>
            <w:r>
              <w:rPr>
                <w:rFonts w:ascii="Arial" w:hAnsi="Arial"/>
                <w:i/>
                <w:sz w:val="16"/>
                <w:szCs w:val="16"/>
              </w:rPr>
              <w:t>Commissioner</w:t>
            </w:r>
          </w:p>
        </w:tc>
        <w:tc>
          <w:tcPr>
            <w:tcW w:w="8604" w:type="dxa"/>
          </w:tcPr>
          <w:p w:rsidR="00FD23FE" w:rsidRDefault="00FD23FE">
            <w:pPr>
              <w:jc w:val="center"/>
              <w:rPr>
                <w:rFonts w:ascii="Arial" w:hAnsi="Arial"/>
                <w:i/>
                <w:sz w:val="16"/>
                <w:szCs w:val="16"/>
              </w:rPr>
            </w:pPr>
          </w:p>
        </w:tc>
      </w:tr>
    </w:tbl>
    <w:p w:rsidR="00FD23FE" w:rsidRDefault="00FD23FE">
      <w:pPr>
        <w:rPr>
          <w:rFonts w:ascii="Arial" w:hAnsi="Arial"/>
          <w:i/>
          <w:sz w:val="18"/>
        </w:rPr>
      </w:pPr>
    </w:p>
    <w:p w:rsidR="00FD23FE" w:rsidRDefault="00FD23FE">
      <w:pPr>
        <w:sectPr w:rsidR="00FD23FE">
          <w:endnotePr>
            <w:numFmt w:val="decimal"/>
          </w:endnotePr>
          <w:type w:val="continuous"/>
          <w:pgSz w:w="12240" w:h="15840"/>
          <w:pgMar w:top="864" w:right="432" w:bottom="1440" w:left="432" w:header="1440" w:footer="1440" w:gutter="0"/>
          <w:cols w:space="720"/>
          <w:noEndnote/>
        </w:sectPr>
      </w:pPr>
    </w:p>
    <w:p w:rsidR="00FD23FE" w:rsidRDefault="00FD23FE">
      <w:pPr>
        <w:pStyle w:val="Heading1"/>
        <w:tabs>
          <w:tab w:val="clear" w:pos="4680"/>
        </w:tabs>
      </w:pPr>
      <w:r>
        <w:lastRenderedPageBreak/>
        <w:t>MEMORANDUM</w:t>
      </w:r>
    </w:p>
    <w:p w:rsidR="00FD23FE" w:rsidRDefault="00FD23FE">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8"/>
        <w:gridCol w:w="8388"/>
      </w:tblGrid>
      <w:tr w:rsidR="00FD23FE">
        <w:tc>
          <w:tcPr>
            <w:tcW w:w="1188" w:type="dxa"/>
          </w:tcPr>
          <w:p w:rsidR="00FD23FE" w:rsidRDefault="00FD23FE">
            <w:pPr>
              <w:rPr>
                <w:b/>
              </w:rPr>
            </w:pPr>
            <w:r>
              <w:rPr>
                <w:b/>
              </w:rPr>
              <w:t>To:</w:t>
            </w:r>
          </w:p>
        </w:tc>
        <w:tc>
          <w:tcPr>
            <w:tcW w:w="8388" w:type="dxa"/>
          </w:tcPr>
          <w:p w:rsidR="00FD23FE" w:rsidRDefault="00FD23FE">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FD23FE">
        <w:tc>
          <w:tcPr>
            <w:tcW w:w="1188" w:type="dxa"/>
          </w:tcPr>
          <w:p w:rsidR="00FD23FE" w:rsidRDefault="00FD23FE">
            <w:pPr>
              <w:rPr>
                <w:b/>
              </w:rPr>
            </w:pPr>
            <w:r>
              <w:rPr>
                <w:b/>
              </w:rPr>
              <w:t>From:</w:t>
            </w:r>
            <w:r>
              <w:tab/>
            </w:r>
          </w:p>
        </w:tc>
        <w:tc>
          <w:tcPr>
            <w:tcW w:w="8388" w:type="dxa"/>
          </w:tcPr>
          <w:p w:rsidR="00FD23FE" w:rsidRDefault="00FD23FE">
            <w:pPr>
              <w:pStyle w:val="Footer"/>
              <w:widowControl w:val="0"/>
              <w:tabs>
                <w:tab w:val="clear" w:pos="4320"/>
                <w:tab w:val="clear" w:pos="8640"/>
              </w:tabs>
              <w:rPr>
                <w:bCs/>
                <w:snapToGrid w:val="0"/>
                <w:szCs w:val="20"/>
              </w:rPr>
            </w:pPr>
            <w:r>
              <w:rPr>
                <w:bCs/>
                <w:snapToGrid w:val="0"/>
                <w:szCs w:val="20"/>
              </w:rPr>
              <w:t>Mitchell D. Chester, Ed.D., Commissioner</w:t>
            </w:r>
          </w:p>
        </w:tc>
      </w:tr>
      <w:tr w:rsidR="00FD23FE">
        <w:tc>
          <w:tcPr>
            <w:tcW w:w="1188" w:type="dxa"/>
          </w:tcPr>
          <w:p w:rsidR="00FD23FE" w:rsidRDefault="00FD23FE">
            <w:pPr>
              <w:rPr>
                <w:b/>
              </w:rPr>
            </w:pPr>
            <w:r>
              <w:rPr>
                <w:b/>
              </w:rPr>
              <w:t>Date:</w:t>
            </w:r>
            <w:r>
              <w:tab/>
            </w:r>
          </w:p>
        </w:tc>
        <w:tc>
          <w:tcPr>
            <w:tcW w:w="8388" w:type="dxa"/>
          </w:tcPr>
          <w:p w:rsidR="00FD23FE" w:rsidRDefault="001D5E40">
            <w:pPr>
              <w:pStyle w:val="Footer"/>
              <w:widowControl w:val="0"/>
              <w:tabs>
                <w:tab w:val="clear" w:pos="4320"/>
                <w:tab w:val="clear" w:pos="8640"/>
              </w:tabs>
              <w:rPr>
                <w:bCs/>
                <w:snapToGrid w:val="0"/>
                <w:szCs w:val="20"/>
              </w:rPr>
            </w:pPr>
            <w:r>
              <w:rPr>
                <w:bCs/>
                <w:snapToGrid w:val="0"/>
                <w:szCs w:val="20"/>
              </w:rPr>
              <w:t>September 13, 2013</w:t>
            </w:r>
          </w:p>
        </w:tc>
      </w:tr>
      <w:tr w:rsidR="00FD23FE" w:rsidTr="00B06468">
        <w:trPr>
          <w:trHeight w:val="414"/>
        </w:trPr>
        <w:tc>
          <w:tcPr>
            <w:tcW w:w="1188" w:type="dxa"/>
          </w:tcPr>
          <w:p w:rsidR="00FD23FE" w:rsidRDefault="00FD23FE">
            <w:pPr>
              <w:rPr>
                <w:b/>
              </w:rPr>
            </w:pPr>
            <w:r>
              <w:rPr>
                <w:b/>
              </w:rPr>
              <w:t>Subject:</w:t>
            </w:r>
          </w:p>
        </w:tc>
        <w:tc>
          <w:tcPr>
            <w:tcW w:w="8388" w:type="dxa"/>
          </w:tcPr>
          <w:p w:rsidR="004E02B6" w:rsidRPr="00DD5420" w:rsidRDefault="00EC3811" w:rsidP="00EC3811">
            <w:pPr>
              <w:rPr>
                <w:bCs/>
                <w:i/>
              </w:rPr>
            </w:pPr>
            <w:bookmarkStart w:id="1" w:name="OLE_LINK1"/>
            <w:bookmarkStart w:id="2" w:name="OLE_LINK2"/>
            <w:r w:rsidRPr="00EC3811">
              <w:rPr>
                <w:szCs w:val="24"/>
              </w:rPr>
              <w:t>Initial Discussion of Plan for Administering MCAS and PARCC Student Assessments</w:t>
            </w:r>
            <w:bookmarkEnd w:id="1"/>
            <w:bookmarkEnd w:id="2"/>
          </w:p>
        </w:tc>
      </w:tr>
    </w:tbl>
    <w:p w:rsidR="00FD23FE" w:rsidRDefault="00FD23FE">
      <w:pPr>
        <w:pBdr>
          <w:bottom w:val="single" w:sz="4" w:space="1" w:color="auto"/>
        </w:pBdr>
      </w:pPr>
      <w:bookmarkStart w:id="3" w:name="TO"/>
      <w:bookmarkStart w:id="4" w:name="FROM"/>
      <w:bookmarkStart w:id="5" w:name="DATE"/>
      <w:bookmarkStart w:id="6" w:name="RE"/>
      <w:bookmarkEnd w:id="3"/>
      <w:bookmarkEnd w:id="4"/>
      <w:bookmarkEnd w:id="5"/>
      <w:bookmarkEnd w:id="6"/>
    </w:p>
    <w:p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rsidR="00B06468" w:rsidRDefault="00B06468" w:rsidP="00B06468">
      <w:pPr>
        <w:spacing w:before="100" w:beforeAutospacing="1" w:after="100" w:afterAutospacing="1"/>
        <w:rPr>
          <w:szCs w:val="24"/>
        </w:rPr>
      </w:pPr>
      <w:r w:rsidRPr="00F85EFF">
        <w:rPr>
          <w:szCs w:val="24"/>
        </w:rPr>
        <w:lastRenderedPageBreak/>
        <w:t>At the September 24, 2013</w:t>
      </w:r>
      <w:r>
        <w:rPr>
          <w:szCs w:val="24"/>
        </w:rPr>
        <w:t>,</w:t>
      </w:r>
      <w:r w:rsidRPr="00F85EFF">
        <w:rPr>
          <w:szCs w:val="24"/>
        </w:rPr>
        <w:t xml:space="preserve"> meeting of the Board of Elementary and Secondary Education, I will update the Board on </w:t>
      </w:r>
      <w:r>
        <w:rPr>
          <w:szCs w:val="24"/>
        </w:rPr>
        <w:t xml:space="preserve">our progress in transitioning our English language arts (ELA) and mathematics tests </w:t>
      </w:r>
      <w:r w:rsidRPr="00F85EFF">
        <w:rPr>
          <w:szCs w:val="24"/>
        </w:rPr>
        <w:t xml:space="preserve">from our </w:t>
      </w:r>
      <w:r>
        <w:rPr>
          <w:szCs w:val="24"/>
        </w:rPr>
        <w:t xml:space="preserve">current </w:t>
      </w:r>
      <w:r w:rsidRPr="00F85EFF">
        <w:rPr>
          <w:szCs w:val="24"/>
        </w:rPr>
        <w:t>assessment</w:t>
      </w:r>
      <w:r>
        <w:rPr>
          <w:szCs w:val="24"/>
        </w:rPr>
        <w:t>s</w:t>
      </w:r>
      <w:r w:rsidRPr="00F85EFF">
        <w:rPr>
          <w:szCs w:val="24"/>
        </w:rPr>
        <w:t>, the Massachusetts Comprehensive Assessment System (MCAS), to the next generation of student assessments being developed by the Partnership for Assessment of Readiness for College and Careers (PARCC) consortium. This memorandum provides</w:t>
      </w:r>
      <w:r>
        <w:rPr>
          <w:szCs w:val="24"/>
        </w:rPr>
        <w:t xml:space="preserve"> the following</w:t>
      </w:r>
      <w:r w:rsidRPr="00F85EFF">
        <w:rPr>
          <w:szCs w:val="24"/>
        </w:rPr>
        <w:t xml:space="preserve"> information</w:t>
      </w:r>
      <w:r>
        <w:rPr>
          <w:szCs w:val="24"/>
        </w:rPr>
        <w:t>:</w:t>
      </w:r>
    </w:p>
    <w:p w:rsidR="00B06468" w:rsidRDefault="00B06468" w:rsidP="00B06468">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287182">
        <w:rPr>
          <w:rFonts w:ascii="Times New Roman" w:eastAsia="Times New Roman" w:hAnsi="Times New Roman" w:cs="Times New Roman"/>
          <w:sz w:val="24"/>
          <w:szCs w:val="24"/>
        </w:rPr>
        <w:t xml:space="preserve">brief </w:t>
      </w:r>
      <w:r>
        <w:rPr>
          <w:rFonts w:ascii="Times New Roman" w:eastAsia="Times New Roman" w:hAnsi="Times New Roman" w:cs="Times New Roman"/>
          <w:sz w:val="24"/>
          <w:szCs w:val="24"/>
        </w:rPr>
        <w:t xml:space="preserve">history </w:t>
      </w:r>
      <w:r w:rsidRPr="00287182">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MCAS and the high school graduation “Competency Determination”</w:t>
      </w:r>
    </w:p>
    <w:p w:rsidR="00B06468" w:rsidRDefault="00B06468" w:rsidP="00B06468">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87182">
        <w:rPr>
          <w:rFonts w:ascii="Times New Roman" w:eastAsia="Times New Roman" w:hAnsi="Times New Roman" w:cs="Times New Roman"/>
          <w:sz w:val="24"/>
          <w:szCs w:val="24"/>
        </w:rPr>
        <w:t xml:space="preserve">a summary of the adoption of </w:t>
      </w:r>
      <w:r>
        <w:rPr>
          <w:rFonts w:ascii="Times New Roman" w:eastAsia="Times New Roman" w:hAnsi="Times New Roman" w:cs="Times New Roman"/>
          <w:sz w:val="24"/>
          <w:szCs w:val="24"/>
        </w:rPr>
        <w:t xml:space="preserve">content </w:t>
      </w:r>
      <w:r w:rsidRPr="00287182">
        <w:rPr>
          <w:rFonts w:ascii="Times New Roman" w:eastAsia="Times New Roman" w:hAnsi="Times New Roman" w:cs="Times New Roman"/>
          <w:sz w:val="24"/>
          <w:szCs w:val="24"/>
        </w:rPr>
        <w:t xml:space="preserve">standards and </w:t>
      </w:r>
      <w:r>
        <w:rPr>
          <w:rFonts w:ascii="Times New Roman" w:eastAsia="Times New Roman" w:hAnsi="Times New Roman" w:cs="Times New Roman"/>
          <w:sz w:val="24"/>
          <w:szCs w:val="24"/>
        </w:rPr>
        <w:t xml:space="preserve">curriculum </w:t>
      </w:r>
      <w:r w:rsidRPr="00287182">
        <w:rPr>
          <w:rFonts w:ascii="Times New Roman" w:eastAsia="Times New Roman" w:hAnsi="Times New Roman" w:cs="Times New Roman"/>
          <w:sz w:val="24"/>
          <w:szCs w:val="24"/>
        </w:rPr>
        <w:t>frameworks</w:t>
      </w:r>
      <w:r>
        <w:rPr>
          <w:rFonts w:ascii="Times New Roman" w:eastAsia="Times New Roman" w:hAnsi="Times New Roman" w:cs="Times New Roman"/>
          <w:sz w:val="24"/>
          <w:szCs w:val="24"/>
        </w:rPr>
        <w:t xml:space="preserve"> in the Commonwealth</w:t>
      </w:r>
    </w:p>
    <w:p w:rsidR="00B06468" w:rsidRDefault="00B06468" w:rsidP="00B06468">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overview of the PARCC consortium and PARCC assessment design</w:t>
      </w:r>
    </w:p>
    <w:p w:rsidR="00B06468" w:rsidRDefault="00B06468" w:rsidP="00B06468">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summary of our two-year transition plan from MCAS to PARCC, including decision points for the Board</w:t>
      </w:r>
    </w:p>
    <w:p w:rsidR="00B06468" w:rsidRDefault="00B06468" w:rsidP="00B06468">
      <w:pPr>
        <w:spacing w:before="100" w:beforeAutospacing="1" w:after="100" w:afterAutospacing="1"/>
        <w:rPr>
          <w:szCs w:val="24"/>
        </w:rPr>
      </w:pPr>
      <w:r>
        <w:rPr>
          <w:szCs w:val="24"/>
        </w:rPr>
        <w:t xml:space="preserve">This presentation is the first in a series of presentations on this topic that we will be conducting throughout the fall. In October we will provide an in-depth look at the PARCC assessments and the details of the transition plan; we may hold a special meeting during October as well. In November we will be asking the Board to endorse the two-year transition plan from MCAS to PARCC. This transition approach will provide for a robust comparison of MCAS and PARCC, the basis of which will inform the decision by the Board in fall 2015 about sunsetting some of our legacy assessments and employing PARCC as our state testing program for ELA and mathematics beginning in spring 2016. </w:t>
      </w:r>
    </w:p>
    <w:p w:rsidR="00B06468" w:rsidRPr="003E7CD5" w:rsidRDefault="00B06468" w:rsidP="00B06468">
      <w:pPr>
        <w:spacing w:before="100" w:beforeAutospacing="1" w:after="100" w:afterAutospacing="1"/>
        <w:rPr>
          <w:szCs w:val="24"/>
        </w:rPr>
      </w:pPr>
      <w:r>
        <w:rPr>
          <w:szCs w:val="24"/>
        </w:rPr>
        <w:t xml:space="preserve">With regard to the Competency Determination required for high school graduation, at least through the class of </w:t>
      </w:r>
      <w:r w:rsidR="00EC3811">
        <w:rPr>
          <w:szCs w:val="24"/>
        </w:rPr>
        <w:t>2018</w:t>
      </w:r>
      <w:r>
        <w:rPr>
          <w:szCs w:val="24"/>
        </w:rPr>
        <w:t xml:space="preserve"> (this year’s </w:t>
      </w:r>
      <w:r w:rsidR="00EC3811">
        <w:rPr>
          <w:szCs w:val="24"/>
        </w:rPr>
        <w:t>eighth</w:t>
      </w:r>
      <w:r>
        <w:rPr>
          <w:szCs w:val="24"/>
        </w:rPr>
        <w:t xml:space="preserve"> graders), students in high school will continue to take MCAS tests to meet the CD requirement. Any changes to the CD requirement will be determined at a later time in the transition process. </w:t>
      </w:r>
    </w:p>
    <w:p w:rsidR="00B06468" w:rsidRPr="00B06468" w:rsidRDefault="00B06468" w:rsidP="00B06468">
      <w:pPr>
        <w:pStyle w:val="Heading3"/>
        <w:spacing w:before="100" w:beforeAutospacing="1" w:after="100" w:afterAutospacing="1"/>
        <w:ind w:left="0"/>
        <w:rPr>
          <w:rFonts w:ascii="Times New Roman" w:hAnsi="Times New Roman"/>
          <w:b/>
          <w:i w:val="0"/>
          <w:sz w:val="24"/>
          <w:szCs w:val="24"/>
        </w:rPr>
      </w:pPr>
      <w:r w:rsidRPr="00B06468">
        <w:rPr>
          <w:rFonts w:ascii="Times New Roman" w:hAnsi="Times New Roman"/>
          <w:b/>
          <w:i w:val="0"/>
          <w:sz w:val="24"/>
          <w:szCs w:val="24"/>
        </w:rPr>
        <w:lastRenderedPageBreak/>
        <w:t>History of the MCAS Program</w:t>
      </w:r>
    </w:p>
    <w:p w:rsidR="00B06468" w:rsidRPr="00F85EFF" w:rsidRDefault="00B06468" w:rsidP="00B06468">
      <w:pPr>
        <w:spacing w:before="100" w:beforeAutospacing="1" w:after="100" w:afterAutospacing="1"/>
        <w:rPr>
          <w:szCs w:val="24"/>
        </w:rPr>
      </w:pPr>
      <w:r w:rsidRPr="00F85EFF">
        <w:rPr>
          <w:szCs w:val="24"/>
        </w:rPr>
        <w:t xml:space="preserve">The Massachusetts Comprehensive Assessment System (MCAS) </w:t>
      </w:r>
      <w:r>
        <w:rPr>
          <w:szCs w:val="24"/>
        </w:rPr>
        <w:t xml:space="preserve">was developed to fulfill a major component of </w:t>
      </w:r>
      <w:r w:rsidRPr="00F85EFF">
        <w:rPr>
          <w:szCs w:val="24"/>
        </w:rPr>
        <w:t xml:space="preserve">the Education Reform </w:t>
      </w:r>
      <w:r>
        <w:rPr>
          <w:szCs w:val="24"/>
        </w:rPr>
        <w:t>Act</w:t>
      </w:r>
      <w:r w:rsidRPr="00F85EFF">
        <w:rPr>
          <w:szCs w:val="24"/>
        </w:rPr>
        <w:t xml:space="preserve"> of 1993. </w:t>
      </w:r>
      <w:r>
        <w:rPr>
          <w:szCs w:val="24"/>
        </w:rPr>
        <w:t>The act established a foundation budget supported by significantly increased state funding, with accompanying provisions that the state, through the Department of Elementary and Secondary Education, would assume a greater role in establishing standards and a system of accountability for public K–12 education to meet the standards. The act</w:t>
      </w:r>
      <w:r w:rsidRPr="00F85EFF">
        <w:rPr>
          <w:szCs w:val="24"/>
        </w:rPr>
        <w:t xml:space="preserve"> specifies </w:t>
      </w:r>
      <w:r>
        <w:rPr>
          <w:szCs w:val="24"/>
        </w:rPr>
        <w:t xml:space="preserve">the adoption of a </w:t>
      </w:r>
      <w:r w:rsidRPr="00F85EFF">
        <w:rPr>
          <w:szCs w:val="24"/>
        </w:rPr>
        <w:t xml:space="preserve">testing program </w:t>
      </w:r>
      <w:r>
        <w:rPr>
          <w:szCs w:val="24"/>
        </w:rPr>
        <w:t xml:space="preserve">that </w:t>
      </w:r>
      <w:r w:rsidRPr="00F85EFF">
        <w:rPr>
          <w:szCs w:val="24"/>
        </w:rPr>
        <w:t>must</w:t>
      </w:r>
      <w:r>
        <w:rPr>
          <w:szCs w:val="24"/>
        </w:rPr>
        <w:t>:</w:t>
      </w:r>
    </w:p>
    <w:p w:rsidR="00B06468" w:rsidRPr="00F85EFF" w:rsidRDefault="00B06468" w:rsidP="00B06468">
      <w:pPr>
        <w:widowControl/>
        <w:numPr>
          <w:ilvl w:val="0"/>
          <w:numId w:val="19"/>
        </w:numPr>
        <w:tabs>
          <w:tab w:val="left" w:pos="720"/>
        </w:tabs>
        <w:ind w:left="720"/>
        <w:rPr>
          <w:szCs w:val="24"/>
        </w:rPr>
      </w:pPr>
      <w:r w:rsidRPr="00F85EFF">
        <w:rPr>
          <w:szCs w:val="24"/>
        </w:rPr>
        <w:t xml:space="preserve">test </w:t>
      </w:r>
      <w:r w:rsidRPr="00F85EFF">
        <w:rPr>
          <w:i/>
          <w:szCs w:val="24"/>
        </w:rPr>
        <w:t>all</w:t>
      </w:r>
      <w:r w:rsidRPr="00F85EFF">
        <w:rPr>
          <w:szCs w:val="24"/>
        </w:rPr>
        <w:t xml:space="preserve"> students who are educated with Massachusetts public funds, including students with disabilities and limited English proficient students;</w:t>
      </w:r>
    </w:p>
    <w:p w:rsidR="00B06468" w:rsidRPr="00F85EFF" w:rsidRDefault="00B06468" w:rsidP="00B06468">
      <w:pPr>
        <w:widowControl/>
        <w:numPr>
          <w:ilvl w:val="0"/>
          <w:numId w:val="19"/>
        </w:numPr>
        <w:tabs>
          <w:tab w:val="left" w:pos="720"/>
        </w:tabs>
        <w:ind w:left="720"/>
        <w:rPr>
          <w:szCs w:val="24"/>
        </w:rPr>
      </w:pPr>
      <w:r w:rsidRPr="00F85EFF">
        <w:rPr>
          <w:szCs w:val="24"/>
        </w:rPr>
        <w:t xml:space="preserve">measure performance based on learning standards </w:t>
      </w:r>
      <w:r>
        <w:rPr>
          <w:szCs w:val="24"/>
        </w:rPr>
        <w:t xml:space="preserve">in </w:t>
      </w:r>
      <w:r w:rsidRPr="00F85EFF">
        <w:rPr>
          <w:szCs w:val="24"/>
        </w:rPr>
        <w:t xml:space="preserve">the Massachusetts </w:t>
      </w:r>
      <w:r w:rsidRPr="00F85EFF">
        <w:rPr>
          <w:i/>
          <w:szCs w:val="24"/>
        </w:rPr>
        <w:t>Curriculum Framework</w:t>
      </w:r>
      <w:r>
        <w:rPr>
          <w:i/>
          <w:szCs w:val="24"/>
        </w:rPr>
        <w:t>s</w:t>
      </w:r>
      <w:r w:rsidRPr="00F85EFF">
        <w:rPr>
          <w:szCs w:val="24"/>
        </w:rPr>
        <w:t>;</w:t>
      </w:r>
      <w:r>
        <w:rPr>
          <w:szCs w:val="24"/>
        </w:rPr>
        <w:t xml:space="preserve"> and</w:t>
      </w:r>
    </w:p>
    <w:p w:rsidR="00B06468" w:rsidRPr="00AA2A86" w:rsidRDefault="00B06468" w:rsidP="00B06468">
      <w:pPr>
        <w:widowControl/>
        <w:numPr>
          <w:ilvl w:val="0"/>
          <w:numId w:val="19"/>
        </w:numPr>
        <w:tabs>
          <w:tab w:val="left" w:pos="720"/>
        </w:tabs>
        <w:ind w:left="720"/>
        <w:rPr>
          <w:szCs w:val="24"/>
        </w:rPr>
      </w:pPr>
      <w:r w:rsidRPr="00F85EFF">
        <w:rPr>
          <w:szCs w:val="24"/>
        </w:rPr>
        <w:t>report on the performance of individual students, schools, and districts.</w:t>
      </w:r>
    </w:p>
    <w:p w:rsidR="00B06468" w:rsidRPr="00F85EFF" w:rsidRDefault="00B06468" w:rsidP="00B06468">
      <w:pPr>
        <w:spacing w:before="100" w:beforeAutospacing="1" w:after="100" w:afterAutospacing="1"/>
        <w:rPr>
          <w:szCs w:val="24"/>
        </w:rPr>
      </w:pPr>
      <w:r w:rsidRPr="00F85EFF">
        <w:rPr>
          <w:szCs w:val="24"/>
        </w:rPr>
        <w:t>MCAS is a custom-designed program owned by the Commonwealth</w:t>
      </w:r>
      <w:r>
        <w:rPr>
          <w:szCs w:val="24"/>
        </w:rPr>
        <w:t xml:space="preserve">. </w:t>
      </w:r>
      <w:r w:rsidRPr="00F85EFF">
        <w:rPr>
          <w:szCs w:val="24"/>
        </w:rPr>
        <w:t xml:space="preserve">The ongoing development and implementation of MCAS is managed by staff of the Department with assistance and support from an assessment contractor. </w:t>
      </w:r>
    </w:p>
    <w:p w:rsidR="00B06468" w:rsidRPr="00B06468" w:rsidRDefault="00B06468" w:rsidP="00B06468">
      <w:pPr>
        <w:spacing w:before="100" w:beforeAutospacing="1" w:after="100" w:afterAutospacing="1"/>
        <w:rPr>
          <w:sz w:val="6"/>
          <w:szCs w:val="24"/>
        </w:rPr>
      </w:pPr>
      <w:r w:rsidRPr="00F85EFF">
        <w:rPr>
          <w:szCs w:val="24"/>
        </w:rPr>
        <w:t xml:space="preserve">MCAS tests have been administered to students in Massachusetts since 1998, when students were assessed in ELA and </w:t>
      </w:r>
      <w:r>
        <w:rPr>
          <w:szCs w:val="24"/>
        </w:rPr>
        <w:t>m</w:t>
      </w:r>
      <w:r w:rsidRPr="00F85EFF">
        <w:rPr>
          <w:szCs w:val="24"/>
        </w:rPr>
        <w:t>athematics at grades 4, 8, and 10. In subsequent years, additional grades and content areas were added to the testing program</w:t>
      </w:r>
      <w:r>
        <w:rPr>
          <w:szCs w:val="24"/>
        </w:rPr>
        <w:t>.</w:t>
      </w:r>
      <w:r w:rsidRPr="00F85EFF">
        <w:rPr>
          <w:szCs w:val="24"/>
        </w:rPr>
        <w:t xml:space="preserve"> To fulfill the requirements of </w:t>
      </w:r>
      <w:r>
        <w:rPr>
          <w:szCs w:val="24"/>
        </w:rPr>
        <w:t xml:space="preserve">the federally reauthorized Elementary and Secondary Education Act (a.k.a., “No Child Left Behind” – </w:t>
      </w:r>
      <w:r w:rsidRPr="00F85EFF">
        <w:rPr>
          <w:szCs w:val="24"/>
        </w:rPr>
        <w:t>NCLB</w:t>
      </w:r>
      <w:r>
        <w:rPr>
          <w:szCs w:val="24"/>
        </w:rPr>
        <w:t>)</w:t>
      </w:r>
      <w:r w:rsidRPr="00F85EFF">
        <w:rPr>
          <w:szCs w:val="24"/>
        </w:rPr>
        <w:t>,</w:t>
      </w:r>
      <w:r>
        <w:rPr>
          <w:szCs w:val="24"/>
        </w:rPr>
        <w:t xml:space="preserve"> </w:t>
      </w:r>
      <w:r w:rsidRPr="00F85EFF">
        <w:rPr>
          <w:szCs w:val="24"/>
        </w:rPr>
        <w:t xml:space="preserve">tests for several new grades and content areas were added </w:t>
      </w:r>
      <w:r>
        <w:rPr>
          <w:szCs w:val="24"/>
        </w:rPr>
        <w:t>in 2006</w:t>
      </w:r>
      <w:r w:rsidRPr="00F85EFF">
        <w:rPr>
          <w:szCs w:val="24"/>
        </w:rPr>
        <w:t xml:space="preserve">. As a result, all students in grades 3 through 8 are assessed in both ELA and </w:t>
      </w:r>
      <w:r>
        <w:rPr>
          <w:szCs w:val="24"/>
        </w:rPr>
        <w:t>m</w:t>
      </w:r>
      <w:r w:rsidRPr="00F85EFF">
        <w:rPr>
          <w:szCs w:val="24"/>
        </w:rPr>
        <w:t>athematics.</w:t>
      </w:r>
      <w:r>
        <w:rPr>
          <w:szCs w:val="24"/>
        </w:rPr>
        <w:t xml:space="preserve"> Operational testing in science and technology/engineering began in 2003 in grades 5 and 8 and in 2007 for high school. </w:t>
      </w:r>
      <w:r w:rsidRPr="00F85EFF">
        <w:rPr>
          <w:szCs w:val="24"/>
        </w:rPr>
        <w:t xml:space="preserve">Tests in </w:t>
      </w:r>
      <w:r>
        <w:rPr>
          <w:szCs w:val="24"/>
        </w:rPr>
        <w:t>h</w:t>
      </w:r>
      <w:r w:rsidRPr="00F85EFF">
        <w:rPr>
          <w:szCs w:val="24"/>
        </w:rPr>
        <w:t xml:space="preserve">istory and </w:t>
      </w:r>
      <w:r>
        <w:rPr>
          <w:szCs w:val="24"/>
        </w:rPr>
        <w:t>s</w:t>
      </w:r>
      <w:r w:rsidRPr="00F85EFF">
        <w:rPr>
          <w:szCs w:val="24"/>
        </w:rPr>
        <w:t xml:space="preserve">ocial </w:t>
      </w:r>
      <w:r>
        <w:rPr>
          <w:szCs w:val="24"/>
        </w:rPr>
        <w:t>s</w:t>
      </w:r>
      <w:r w:rsidRPr="00F85EFF">
        <w:rPr>
          <w:szCs w:val="24"/>
        </w:rPr>
        <w:t xml:space="preserve">cience were developed and piloted, but the </w:t>
      </w:r>
      <w:r>
        <w:rPr>
          <w:szCs w:val="24"/>
        </w:rPr>
        <w:t>testing component was suspended for budgetary reasons in 2009. The table below lists MCAS tests offered in 2013 by grade and subject.</w:t>
      </w:r>
      <w:r>
        <w:rPr>
          <w:szCs w:val="24"/>
        </w:rPr>
        <w:br/>
      </w:r>
    </w:p>
    <w:tbl>
      <w:tblPr>
        <w:tblW w:w="8204" w:type="dxa"/>
        <w:tblInd w:w="94"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15"/>
        <w:gridCol w:w="816"/>
        <w:gridCol w:w="832"/>
        <w:gridCol w:w="1194"/>
        <w:gridCol w:w="936"/>
        <w:gridCol w:w="1169"/>
        <w:gridCol w:w="1018"/>
        <w:gridCol w:w="1124"/>
      </w:tblGrid>
      <w:tr w:rsidR="00B06468" w:rsidRPr="0072578B" w:rsidTr="00B06468">
        <w:trPr>
          <w:trHeight w:val="345"/>
        </w:trPr>
        <w:tc>
          <w:tcPr>
            <w:tcW w:w="8204" w:type="dxa"/>
            <w:gridSpan w:val="8"/>
            <w:shd w:val="clear" w:color="auto" w:fill="auto"/>
            <w:vAlign w:val="center"/>
            <w:hideMark/>
          </w:tcPr>
          <w:p w:rsidR="00B06468" w:rsidRPr="006114C2" w:rsidRDefault="00B06468" w:rsidP="004018B5">
            <w:pPr>
              <w:jc w:val="center"/>
              <w:rPr>
                <w:rFonts w:ascii="Garamond" w:hAnsi="Garamond"/>
                <w:b/>
                <w:color w:val="000000"/>
                <w:szCs w:val="24"/>
              </w:rPr>
            </w:pPr>
            <w:r w:rsidRPr="006114C2">
              <w:rPr>
                <w:rFonts w:ascii="Garamond" w:hAnsi="Garamond"/>
                <w:b/>
                <w:color w:val="000000"/>
                <w:szCs w:val="24"/>
              </w:rPr>
              <w:t xml:space="preserve">MCAS Tests </w:t>
            </w:r>
            <w:r>
              <w:rPr>
                <w:rFonts w:ascii="Garamond" w:hAnsi="Garamond"/>
                <w:b/>
                <w:color w:val="000000"/>
                <w:szCs w:val="24"/>
              </w:rPr>
              <w:t xml:space="preserve">Offered </w:t>
            </w:r>
            <w:r w:rsidRPr="006114C2">
              <w:rPr>
                <w:rFonts w:ascii="Garamond" w:hAnsi="Garamond"/>
                <w:b/>
                <w:color w:val="000000"/>
                <w:szCs w:val="24"/>
              </w:rPr>
              <w:t>by Grade and Subject, 2013</w:t>
            </w:r>
          </w:p>
        </w:tc>
      </w:tr>
      <w:tr w:rsidR="00B06468" w:rsidRPr="0072578B" w:rsidTr="00B06468">
        <w:trPr>
          <w:trHeight w:val="345"/>
        </w:trPr>
        <w:tc>
          <w:tcPr>
            <w:tcW w:w="1115" w:type="dxa"/>
            <w:vMerge w:val="restart"/>
            <w:shd w:val="clear" w:color="auto" w:fill="auto"/>
            <w:vAlign w:val="center"/>
            <w:hideMark/>
          </w:tcPr>
          <w:p w:rsidR="00B06468" w:rsidRPr="00B06468" w:rsidRDefault="00B06468" w:rsidP="004018B5">
            <w:pPr>
              <w:jc w:val="center"/>
              <w:rPr>
                <w:rFonts w:ascii="Garamond" w:hAnsi="Garamond"/>
                <w:b/>
                <w:bCs/>
                <w:color w:val="000000"/>
                <w:sz w:val="22"/>
                <w:szCs w:val="22"/>
              </w:rPr>
            </w:pPr>
            <w:r w:rsidRPr="00B06468">
              <w:rPr>
                <w:rFonts w:ascii="Garamond" w:hAnsi="Garamond"/>
                <w:b/>
                <w:bCs/>
                <w:color w:val="000000"/>
                <w:sz w:val="22"/>
                <w:szCs w:val="22"/>
              </w:rPr>
              <w:t>Grade Tested</w:t>
            </w:r>
            <w:r w:rsidRPr="00B06468">
              <w:rPr>
                <w:rFonts w:ascii="Garamond" w:hAnsi="Garamond"/>
                <w:color w:val="000000"/>
                <w:sz w:val="22"/>
                <w:szCs w:val="22"/>
              </w:rPr>
              <w:t xml:space="preserve"> </w:t>
            </w:r>
          </w:p>
        </w:tc>
        <w:tc>
          <w:tcPr>
            <w:tcW w:w="816" w:type="dxa"/>
            <w:vMerge w:val="restart"/>
            <w:shd w:val="clear" w:color="auto" w:fill="auto"/>
            <w:vAlign w:val="center"/>
            <w:hideMark/>
          </w:tcPr>
          <w:p w:rsidR="00B06468" w:rsidRPr="00B06468" w:rsidRDefault="00B06468" w:rsidP="004018B5">
            <w:pPr>
              <w:jc w:val="center"/>
              <w:rPr>
                <w:rFonts w:ascii="Garamond" w:hAnsi="Garamond"/>
                <w:color w:val="000000"/>
                <w:sz w:val="22"/>
                <w:szCs w:val="22"/>
              </w:rPr>
            </w:pPr>
            <w:r w:rsidRPr="00B06468">
              <w:rPr>
                <w:rFonts w:ascii="Garamond" w:hAnsi="Garamond"/>
                <w:color w:val="000000"/>
                <w:sz w:val="22"/>
                <w:szCs w:val="22"/>
              </w:rPr>
              <w:t>ELA</w:t>
            </w:r>
          </w:p>
        </w:tc>
        <w:tc>
          <w:tcPr>
            <w:tcW w:w="832" w:type="dxa"/>
            <w:vMerge w:val="restart"/>
            <w:shd w:val="clear" w:color="auto" w:fill="auto"/>
            <w:vAlign w:val="center"/>
            <w:hideMark/>
          </w:tcPr>
          <w:p w:rsidR="00B06468" w:rsidRPr="00B06468" w:rsidRDefault="00B06468" w:rsidP="004018B5">
            <w:pPr>
              <w:jc w:val="center"/>
              <w:rPr>
                <w:rFonts w:ascii="Garamond" w:hAnsi="Garamond"/>
                <w:color w:val="000000"/>
                <w:sz w:val="22"/>
                <w:szCs w:val="22"/>
              </w:rPr>
            </w:pPr>
            <w:r w:rsidRPr="00B06468">
              <w:rPr>
                <w:rFonts w:ascii="Garamond" w:hAnsi="Garamond"/>
                <w:color w:val="000000"/>
                <w:sz w:val="22"/>
                <w:szCs w:val="22"/>
              </w:rPr>
              <w:t>Math</w:t>
            </w:r>
          </w:p>
        </w:tc>
        <w:tc>
          <w:tcPr>
            <w:tcW w:w="1194" w:type="dxa"/>
            <w:vMerge w:val="restart"/>
            <w:shd w:val="clear" w:color="auto" w:fill="auto"/>
            <w:vAlign w:val="center"/>
            <w:hideMark/>
          </w:tcPr>
          <w:p w:rsidR="00B06468" w:rsidRPr="00B06468" w:rsidRDefault="00B06468" w:rsidP="004018B5">
            <w:pPr>
              <w:jc w:val="center"/>
              <w:rPr>
                <w:rFonts w:ascii="Garamond" w:hAnsi="Garamond"/>
                <w:color w:val="000000"/>
                <w:sz w:val="22"/>
                <w:szCs w:val="22"/>
              </w:rPr>
            </w:pPr>
            <w:r w:rsidRPr="00B06468">
              <w:rPr>
                <w:rFonts w:ascii="Garamond" w:hAnsi="Garamond"/>
                <w:color w:val="000000"/>
                <w:sz w:val="22"/>
                <w:szCs w:val="22"/>
              </w:rPr>
              <w:t>Science &amp; Tech/Eng</w:t>
            </w:r>
          </w:p>
        </w:tc>
        <w:tc>
          <w:tcPr>
            <w:tcW w:w="936" w:type="dxa"/>
            <w:vMerge w:val="restart"/>
            <w:shd w:val="clear" w:color="auto" w:fill="auto"/>
            <w:vAlign w:val="center"/>
            <w:hideMark/>
          </w:tcPr>
          <w:p w:rsidR="00B06468" w:rsidRPr="00B06468" w:rsidRDefault="00B06468" w:rsidP="004018B5">
            <w:pPr>
              <w:jc w:val="center"/>
              <w:rPr>
                <w:rFonts w:ascii="Garamond" w:hAnsi="Garamond"/>
                <w:color w:val="000000"/>
                <w:sz w:val="22"/>
                <w:szCs w:val="22"/>
              </w:rPr>
            </w:pPr>
            <w:r w:rsidRPr="00B06468">
              <w:rPr>
                <w:rFonts w:ascii="Garamond" w:hAnsi="Garamond"/>
                <w:color w:val="000000"/>
                <w:sz w:val="22"/>
                <w:szCs w:val="22"/>
              </w:rPr>
              <w:t>HS Biology</w:t>
            </w:r>
          </w:p>
        </w:tc>
        <w:tc>
          <w:tcPr>
            <w:tcW w:w="1169" w:type="dxa"/>
            <w:vMerge w:val="restart"/>
            <w:shd w:val="clear" w:color="auto" w:fill="auto"/>
            <w:vAlign w:val="center"/>
            <w:hideMark/>
          </w:tcPr>
          <w:p w:rsidR="00B06468" w:rsidRPr="00B06468" w:rsidRDefault="00B06468" w:rsidP="004018B5">
            <w:pPr>
              <w:jc w:val="center"/>
              <w:rPr>
                <w:rFonts w:ascii="Garamond" w:hAnsi="Garamond"/>
                <w:color w:val="000000"/>
                <w:sz w:val="22"/>
                <w:szCs w:val="22"/>
              </w:rPr>
            </w:pPr>
            <w:r w:rsidRPr="00B06468">
              <w:rPr>
                <w:rFonts w:ascii="Garamond" w:hAnsi="Garamond"/>
                <w:color w:val="000000"/>
                <w:sz w:val="22"/>
                <w:szCs w:val="22"/>
              </w:rPr>
              <w:t>HS Chemistry</w:t>
            </w:r>
          </w:p>
        </w:tc>
        <w:tc>
          <w:tcPr>
            <w:tcW w:w="1018" w:type="dxa"/>
            <w:vMerge w:val="restart"/>
            <w:shd w:val="clear" w:color="auto" w:fill="auto"/>
            <w:vAlign w:val="center"/>
            <w:hideMark/>
          </w:tcPr>
          <w:p w:rsidR="00B06468" w:rsidRPr="00B06468" w:rsidRDefault="00B06468" w:rsidP="004018B5">
            <w:pPr>
              <w:jc w:val="center"/>
              <w:rPr>
                <w:rFonts w:ascii="Garamond" w:hAnsi="Garamond"/>
                <w:color w:val="000000"/>
                <w:sz w:val="22"/>
                <w:szCs w:val="22"/>
              </w:rPr>
            </w:pPr>
            <w:r w:rsidRPr="00B06468">
              <w:rPr>
                <w:rFonts w:ascii="Garamond" w:hAnsi="Garamond"/>
                <w:color w:val="000000"/>
                <w:sz w:val="22"/>
                <w:szCs w:val="22"/>
              </w:rPr>
              <w:t>HS Intro Physics</w:t>
            </w:r>
          </w:p>
        </w:tc>
        <w:tc>
          <w:tcPr>
            <w:tcW w:w="1124" w:type="dxa"/>
            <w:vMerge w:val="restart"/>
            <w:shd w:val="clear" w:color="auto" w:fill="auto"/>
            <w:vAlign w:val="center"/>
            <w:hideMark/>
          </w:tcPr>
          <w:p w:rsidR="00B06468" w:rsidRPr="00B06468" w:rsidRDefault="00B06468" w:rsidP="004018B5">
            <w:pPr>
              <w:jc w:val="center"/>
              <w:rPr>
                <w:rFonts w:ascii="Garamond" w:hAnsi="Garamond"/>
                <w:color w:val="000000"/>
                <w:sz w:val="22"/>
                <w:szCs w:val="22"/>
              </w:rPr>
            </w:pPr>
            <w:r w:rsidRPr="00B06468">
              <w:rPr>
                <w:rFonts w:ascii="Garamond" w:hAnsi="Garamond"/>
                <w:color w:val="000000"/>
                <w:sz w:val="22"/>
                <w:szCs w:val="22"/>
              </w:rPr>
              <w:t>HS Tech/Eng</w:t>
            </w:r>
          </w:p>
        </w:tc>
      </w:tr>
      <w:tr w:rsidR="00B06468" w:rsidRPr="0072578B" w:rsidTr="00B06468">
        <w:trPr>
          <w:trHeight w:val="270"/>
        </w:trPr>
        <w:tc>
          <w:tcPr>
            <w:tcW w:w="1115" w:type="dxa"/>
            <w:vMerge/>
            <w:vAlign w:val="center"/>
            <w:hideMark/>
          </w:tcPr>
          <w:p w:rsidR="00B06468" w:rsidRPr="0072578B" w:rsidRDefault="00B06468" w:rsidP="004018B5">
            <w:pPr>
              <w:rPr>
                <w:rFonts w:ascii="Garamond" w:hAnsi="Garamond"/>
                <w:b/>
                <w:bCs/>
                <w:color w:val="000000"/>
                <w:szCs w:val="24"/>
              </w:rPr>
            </w:pPr>
          </w:p>
        </w:tc>
        <w:tc>
          <w:tcPr>
            <w:tcW w:w="816" w:type="dxa"/>
            <w:vMerge/>
            <w:vAlign w:val="center"/>
            <w:hideMark/>
          </w:tcPr>
          <w:p w:rsidR="00B06468" w:rsidRPr="0072578B" w:rsidRDefault="00B06468" w:rsidP="004018B5">
            <w:pPr>
              <w:rPr>
                <w:rFonts w:ascii="Garamond" w:hAnsi="Garamond"/>
                <w:color w:val="000000"/>
                <w:szCs w:val="24"/>
              </w:rPr>
            </w:pPr>
          </w:p>
        </w:tc>
        <w:tc>
          <w:tcPr>
            <w:tcW w:w="832" w:type="dxa"/>
            <w:vMerge/>
            <w:vAlign w:val="center"/>
            <w:hideMark/>
          </w:tcPr>
          <w:p w:rsidR="00B06468" w:rsidRPr="0072578B" w:rsidRDefault="00B06468" w:rsidP="004018B5">
            <w:pPr>
              <w:rPr>
                <w:rFonts w:ascii="Garamond" w:hAnsi="Garamond"/>
                <w:color w:val="000000"/>
                <w:szCs w:val="24"/>
              </w:rPr>
            </w:pPr>
          </w:p>
        </w:tc>
        <w:tc>
          <w:tcPr>
            <w:tcW w:w="1194" w:type="dxa"/>
            <w:vMerge/>
            <w:vAlign w:val="center"/>
            <w:hideMark/>
          </w:tcPr>
          <w:p w:rsidR="00B06468" w:rsidRPr="0072578B" w:rsidRDefault="00B06468" w:rsidP="004018B5">
            <w:pPr>
              <w:rPr>
                <w:rFonts w:ascii="Garamond" w:hAnsi="Garamond"/>
                <w:color w:val="000000"/>
                <w:szCs w:val="24"/>
              </w:rPr>
            </w:pPr>
          </w:p>
        </w:tc>
        <w:tc>
          <w:tcPr>
            <w:tcW w:w="936" w:type="dxa"/>
            <w:vMerge/>
            <w:vAlign w:val="center"/>
            <w:hideMark/>
          </w:tcPr>
          <w:p w:rsidR="00B06468" w:rsidRPr="0072578B" w:rsidRDefault="00B06468" w:rsidP="004018B5">
            <w:pPr>
              <w:rPr>
                <w:rFonts w:ascii="Garamond" w:hAnsi="Garamond"/>
                <w:color w:val="000000"/>
                <w:szCs w:val="24"/>
              </w:rPr>
            </w:pPr>
          </w:p>
        </w:tc>
        <w:tc>
          <w:tcPr>
            <w:tcW w:w="1169" w:type="dxa"/>
            <w:vMerge/>
            <w:vAlign w:val="center"/>
            <w:hideMark/>
          </w:tcPr>
          <w:p w:rsidR="00B06468" w:rsidRPr="0072578B" w:rsidRDefault="00B06468" w:rsidP="004018B5">
            <w:pPr>
              <w:rPr>
                <w:rFonts w:ascii="Garamond" w:hAnsi="Garamond"/>
                <w:color w:val="000000"/>
                <w:szCs w:val="24"/>
              </w:rPr>
            </w:pPr>
          </w:p>
        </w:tc>
        <w:tc>
          <w:tcPr>
            <w:tcW w:w="1018" w:type="dxa"/>
            <w:vMerge/>
            <w:vAlign w:val="center"/>
            <w:hideMark/>
          </w:tcPr>
          <w:p w:rsidR="00B06468" w:rsidRPr="0072578B" w:rsidRDefault="00B06468" w:rsidP="004018B5">
            <w:pPr>
              <w:rPr>
                <w:rFonts w:ascii="Garamond" w:hAnsi="Garamond"/>
                <w:color w:val="000000"/>
                <w:szCs w:val="24"/>
              </w:rPr>
            </w:pPr>
          </w:p>
        </w:tc>
        <w:tc>
          <w:tcPr>
            <w:tcW w:w="1124" w:type="dxa"/>
            <w:vMerge/>
            <w:vAlign w:val="center"/>
            <w:hideMark/>
          </w:tcPr>
          <w:p w:rsidR="00B06468" w:rsidRPr="0072578B" w:rsidRDefault="00B06468" w:rsidP="004018B5">
            <w:pPr>
              <w:rPr>
                <w:rFonts w:ascii="Garamond" w:hAnsi="Garamond"/>
                <w:color w:val="000000"/>
                <w:szCs w:val="24"/>
              </w:rPr>
            </w:pPr>
          </w:p>
        </w:tc>
      </w:tr>
      <w:tr w:rsidR="00B06468" w:rsidRPr="0072578B" w:rsidTr="00B06468">
        <w:trPr>
          <w:trHeight w:val="315"/>
        </w:trPr>
        <w:tc>
          <w:tcPr>
            <w:tcW w:w="1115" w:type="dxa"/>
            <w:shd w:val="clear" w:color="auto" w:fill="auto"/>
            <w:vAlign w:val="center"/>
            <w:hideMark/>
          </w:tcPr>
          <w:p w:rsidR="00B06468" w:rsidRPr="0072578B" w:rsidRDefault="00B06468" w:rsidP="004018B5">
            <w:pPr>
              <w:jc w:val="center"/>
              <w:rPr>
                <w:rFonts w:ascii="Garamond" w:hAnsi="Garamond"/>
                <w:b/>
                <w:bCs/>
                <w:color w:val="000000"/>
                <w:szCs w:val="24"/>
              </w:rPr>
            </w:pPr>
            <w:r w:rsidRPr="0072578B">
              <w:rPr>
                <w:rFonts w:ascii="Garamond" w:hAnsi="Garamond"/>
                <w:b/>
                <w:bCs/>
                <w:color w:val="000000"/>
                <w:szCs w:val="24"/>
              </w:rPr>
              <w:t>3</w:t>
            </w:r>
          </w:p>
        </w:tc>
        <w:tc>
          <w:tcPr>
            <w:tcW w:w="816" w:type="dxa"/>
            <w:shd w:val="clear" w:color="auto" w:fill="auto"/>
            <w:vAlign w:val="center"/>
            <w:hideMark/>
          </w:tcPr>
          <w:p w:rsidR="00B06468" w:rsidRPr="0072578B" w:rsidRDefault="00B06468" w:rsidP="004018B5">
            <w:pPr>
              <w:jc w:val="center"/>
              <w:rPr>
                <w:rFonts w:ascii="Wingdings" w:hAnsi="Wingdings"/>
                <w:color w:val="000000"/>
                <w:szCs w:val="24"/>
              </w:rPr>
            </w:pPr>
            <w:r w:rsidRPr="0072578B">
              <w:rPr>
                <w:rFonts w:ascii="Wingdings" w:hAnsi="Wingdings"/>
                <w:color w:val="000000"/>
                <w:szCs w:val="24"/>
              </w:rPr>
              <w:t></w:t>
            </w:r>
            <w:r w:rsidRPr="0072578B">
              <w:rPr>
                <w:rFonts w:ascii="Garamond" w:hAnsi="Garamond"/>
                <w:color w:val="000000"/>
                <w:szCs w:val="24"/>
              </w:rPr>
              <w:t xml:space="preserve"> </w:t>
            </w:r>
          </w:p>
        </w:tc>
        <w:tc>
          <w:tcPr>
            <w:tcW w:w="832" w:type="dxa"/>
            <w:shd w:val="clear" w:color="auto" w:fill="auto"/>
            <w:vAlign w:val="center"/>
            <w:hideMark/>
          </w:tcPr>
          <w:p w:rsidR="00B06468" w:rsidRPr="0072578B" w:rsidRDefault="00B06468" w:rsidP="004018B5">
            <w:pPr>
              <w:jc w:val="center"/>
              <w:rPr>
                <w:rFonts w:ascii="Wingdings" w:hAnsi="Wingdings"/>
                <w:color w:val="000000"/>
                <w:szCs w:val="24"/>
              </w:rPr>
            </w:pPr>
            <w:r w:rsidRPr="0072578B">
              <w:rPr>
                <w:rFonts w:ascii="Wingdings" w:hAnsi="Wingdings"/>
                <w:color w:val="000000"/>
                <w:szCs w:val="24"/>
              </w:rPr>
              <w:t></w:t>
            </w:r>
            <w:r w:rsidRPr="0072578B">
              <w:rPr>
                <w:rFonts w:ascii="Garamond" w:hAnsi="Garamond"/>
                <w:color w:val="000000"/>
                <w:szCs w:val="24"/>
              </w:rPr>
              <w:t xml:space="preserve"> </w:t>
            </w:r>
          </w:p>
        </w:tc>
        <w:tc>
          <w:tcPr>
            <w:tcW w:w="1194"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Garamond" w:hAnsi="Garamond"/>
                <w:color w:val="000000"/>
                <w:szCs w:val="24"/>
              </w:rPr>
              <w:t> </w:t>
            </w:r>
          </w:p>
        </w:tc>
        <w:tc>
          <w:tcPr>
            <w:tcW w:w="936"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Garamond" w:hAnsi="Garamond"/>
                <w:color w:val="000000"/>
                <w:szCs w:val="24"/>
              </w:rPr>
              <w:t> </w:t>
            </w:r>
          </w:p>
        </w:tc>
        <w:tc>
          <w:tcPr>
            <w:tcW w:w="1169"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Garamond" w:hAnsi="Garamond"/>
                <w:color w:val="000000"/>
                <w:szCs w:val="24"/>
              </w:rPr>
              <w:t> </w:t>
            </w:r>
          </w:p>
        </w:tc>
        <w:tc>
          <w:tcPr>
            <w:tcW w:w="1018"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Garamond" w:hAnsi="Garamond"/>
                <w:color w:val="000000"/>
                <w:szCs w:val="24"/>
              </w:rPr>
              <w:t> </w:t>
            </w:r>
          </w:p>
        </w:tc>
        <w:tc>
          <w:tcPr>
            <w:tcW w:w="1124"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Garamond" w:hAnsi="Garamond"/>
                <w:color w:val="000000"/>
                <w:szCs w:val="24"/>
              </w:rPr>
              <w:t> </w:t>
            </w:r>
          </w:p>
        </w:tc>
      </w:tr>
      <w:tr w:rsidR="00B06468" w:rsidRPr="0072578B" w:rsidTr="00B06468">
        <w:trPr>
          <w:trHeight w:val="315"/>
        </w:trPr>
        <w:tc>
          <w:tcPr>
            <w:tcW w:w="1115" w:type="dxa"/>
            <w:shd w:val="clear" w:color="auto" w:fill="auto"/>
            <w:vAlign w:val="center"/>
            <w:hideMark/>
          </w:tcPr>
          <w:p w:rsidR="00B06468" w:rsidRPr="0072578B" w:rsidRDefault="00B06468" w:rsidP="004018B5">
            <w:pPr>
              <w:jc w:val="center"/>
              <w:rPr>
                <w:rFonts w:ascii="Garamond" w:hAnsi="Garamond"/>
                <w:b/>
                <w:bCs/>
                <w:color w:val="000000"/>
                <w:szCs w:val="24"/>
              </w:rPr>
            </w:pPr>
            <w:r w:rsidRPr="0072578B">
              <w:rPr>
                <w:rFonts w:ascii="Garamond" w:hAnsi="Garamond"/>
                <w:b/>
                <w:bCs/>
                <w:color w:val="000000"/>
                <w:szCs w:val="24"/>
              </w:rPr>
              <w:t>4</w:t>
            </w:r>
          </w:p>
        </w:tc>
        <w:tc>
          <w:tcPr>
            <w:tcW w:w="816" w:type="dxa"/>
            <w:shd w:val="clear" w:color="auto" w:fill="auto"/>
            <w:vAlign w:val="center"/>
            <w:hideMark/>
          </w:tcPr>
          <w:p w:rsidR="00B06468" w:rsidRPr="00006379" w:rsidRDefault="00B06468" w:rsidP="004018B5">
            <w:pPr>
              <w:jc w:val="center"/>
              <w:rPr>
                <w:rFonts w:ascii="Wingdings" w:hAnsi="Wingdings"/>
                <w:b/>
                <w:color w:val="000000"/>
                <w:szCs w:val="24"/>
              </w:rPr>
            </w:pPr>
            <w:r w:rsidRPr="00006379">
              <w:rPr>
                <w:rFonts w:ascii="Wingdings" w:hAnsi="Wingdings"/>
                <w:b/>
                <w:color w:val="000000"/>
                <w:szCs w:val="24"/>
              </w:rPr>
              <w:t></w:t>
            </w:r>
            <w:r>
              <w:rPr>
                <w:b/>
                <w:color w:val="000000"/>
                <w:szCs w:val="24"/>
                <w:vertAlign w:val="superscript"/>
              </w:rPr>
              <w:t>*</w:t>
            </w:r>
            <w:r w:rsidRPr="00006379">
              <w:rPr>
                <w:rFonts w:ascii="Garamond" w:hAnsi="Garamond"/>
                <w:b/>
                <w:color w:val="000000"/>
                <w:szCs w:val="24"/>
              </w:rPr>
              <w:t xml:space="preserve"> </w:t>
            </w:r>
          </w:p>
        </w:tc>
        <w:tc>
          <w:tcPr>
            <w:tcW w:w="832" w:type="dxa"/>
            <w:shd w:val="clear" w:color="auto" w:fill="auto"/>
            <w:vAlign w:val="center"/>
            <w:hideMark/>
          </w:tcPr>
          <w:p w:rsidR="00B06468" w:rsidRPr="0072578B" w:rsidRDefault="00B06468" w:rsidP="004018B5">
            <w:pPr>
              <w:jc w:val="center"/>
              <w:rPr>
                <w:rFonts w:ascii="Wingdings" w:hAnsi="Wingdings"/>
                <w:color w:val="000000"/>
                <w:szCs w:val="24"/>
              </w:rPr>
            </w:pPr>
            <w:r w:rsidRPr="0072578B">
              <w:rPr>
                <w:rFonts w:ascii="Wingdings" w:hAnsi="Wingdings"/>
                <w:color w:val="000000"/>
                <w:szCs w:val="24"/>
              </w:rPr>
              <w:t></w:t>
            </w:r>
            <w:r w:rsidRPr="0072578B">
              <w:rPr>
                <w:rFonts w:ascii="Garamond" w:hAnsi="Garamond"/>
                <w:color w:val="000000"/>
                <w:szCs w:val="24"/>
              </w:rPr>
              <w:t xml:space="preserve"> </w:t>
            </w:r>
          </w:p>
        </w:tc>
        <w:tc>
          <w:tcPr>
            <w:tcW w:w="1194"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Garamond" w:hAnsi="Garamond"/>
                <w:color w:val="000000"/>
                <w:szCs w:val="24"/>
              </w:rPr>
              <w:t> </w:t>
            </w:r>
          </w:p>
        </w:tc>
        <w:tc>
          <w:tcPr>
            <w:tcW w:w="936"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Garamond" w:hAnsi="Garamond"/>
                <w:color w:val="000000"/>
                <w:szCs w:val="24"/>
              </w:rPr>
              <w:t> </w:t>
            </w:r>
          </w:p>
        </w:tc>
        <w:tc>
          <w:tcPr>
            <w:tcW w:w="1169"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Garamond" w:hAnsi="Garamond"/>
                <w:color w:val="000000"/>
                <w:szCs w:val="24"/>
              </w:rPr>
              <w:t> </w:t>
            </w:r>
          </w:p>
        </w:tc>
        <w:tc>
          <w:tcPr>
            <w:tcW w:w="1018"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Garamond" w:hAnsi="Garamond"/>
                <w:color w:val="000000"/>
                <w:szCs w:val="24"/>
              </w:rPr>
              <w:t> </w:t>
            </w:r>
          </w:p>
        </w:tc>
        <w:tc>
          <w:tcPr>
            <w:tcW w:w="1124"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Garamond" w:hAnsi="Garamond"/>
                <w:color w:val="000000"/>
                <w:szCs w:val="24"/>
              </w:rPr>
              <w:t> </w:t>
            </w:r>
          </w:p>
        </w:tc>
      </w:tr>
      <w:tr w:rsidR="00B06468" w:rsidRPr="0072578B" w:rsidTr="00B06468">
        <w:trPr>
          <w:trHeight w:val="315"/>
        </w:trPr>
        <w:tc>
          <w:tcPr>
            <w:tcW w:w="1115" w:type="dxa"/>
            <w:shd w:val="clear" w:color="auto" w:fill="auto"/>
            <w:vAlign w:val="center"/>
            <w:hideMark/>
          </w:tcPr>
          <w:p w:rsidR="00B06468" w:rsidRPr="0072578B" w:rsidRDefault="00B06468" w:rsidP="004018B5">
            <w:pPr>
              <w:jc w:val="center"/>
              <w:rPr>
                <w:rFonts w:ascii="Garamond" w:hAnsi="Garamond"/>
                <w:b/>
                <w:bCs/>
                <w:color w:val="000000"/>
                <w:szCs w:val="24"/>
              </w:rPr>
            </w:pPr>
            <w:r w:rsidRPr="0072578B">
              <w:rPr>
                <w:rFonts w:ascii="Garamond" w:hAnsi="Garamond"/>
                <w:b/>
                <w:bCs/>
                <w:color w:val="000000"/>
                <w:szCs w:val="24"/>
              </w:rPr>
              <w:t>5</w:t>
            </w:r>
          </w:p>
        </w:tc>
        <w:tc>
          <w:tcPr>
            <w:tcW w:w="816" w:type="dxa"/>
            <w:shd w:val="clear" w:color="auto" w:fill="auto"/>
            <w:vAlign w:val="center"/>
            <w:hideMark/>
          </w:tcPr>
          <w:p w:rsidR="00B06468" w:rsidRPr="0072578B" w:rsidRDefault="00B06468" w:rsidP="004018B5">
            <w:pPr>
              <w:jc w:val="center"/>
              <w:rPr>
                <w:rFonts w:ascii="Wingdings" w:hAnsi="Wingdings"/>
                <w:color w:val="000000"/>
                <w:szCs w:val="24"/>
              </w:rPr>
            </w:pPr>
            <w:r w:rsidRPr="0072578B">
              <w:rPr>
                <w:rFonts w:ascii="Wingdings" w:hAnsi="Wingdings"/>
                <w:color w:val="000000"/>
                <w:szCs w:val="24"/>
              </w:rPr>
              <w:t></w:t>
            </w:r>
            <w:r w:rsidRPr="0072578B">
              <w:rPr>
                <w:rFonts w:ascii="Garamond" w:hAnsi="Garamond"/>
                <w:color w:val="000000"/>
                <w:szCs w:val="24"/>
              </w:rPr>
              <w:t xml:space="preserve"> </w:t>
            </w:r>
          </w:p>
        </w:tc>
        <w:tc>
          <w:tcPr>
            <w:tcW w:w="832" w:type="dxa"/>
            <w:shd w:val="clear" w:color="auto" w:fill="auto"/>
            <w:vAlign w:val="center"/>
            <w:hideMark/>
          </w:tcPr>
          <w:p w:rsidR="00B06468" w:rsidRPr="0072578B" w:rsidRDefault="00B06468" w:rsidP="004018B5">
            <w:pPr>
              <w:jc w:val="center"/>
              <w:rPr>
                <w:rFonts w:ascii="Wingdings" w:hAnsi="Wingdings"/>
                <w:color w:val="000000"/>
                <w:szCs w:val="24"/>
              </w:rPr>
            </w:pPr>
            <w:r w:rsidRPr="0072578B">
              <w:rPr>
                <w:rFonts w:ascii="Wingdings" w:hAnsi="Wingdings"/>
                <w:color w:val="000000"/>
                <w:szCs w:val="24"/>
              </w:rPr>
              <w:t></w:t>
            </w:r>
            <w:r w:rsidRPr="0072578B">
              <w:rPr>
                <w:rFonts w:ascii="Garamond" w:hAnsi="Garamond"/>
                <w:color w:val="000000"/>
                <w:szCs w:val="24"/>
              </w:rPr>
              <w:t xml:space="preserve"> </w:t>
            </w:r>
          </w:p>
        </w:tc>
        <w:tc>
          <w:tcPr>
            <w:tcW w:w="1194" w:type="dxa"/>
            <w:shd w:val="clear" w:color="auto" w:fill="auto"/>
            <w:vAlign w:val="center"/>
            <w:hideMark/>
          </w:tcPr>
          <w:p w:rsidR="00B06468" w:rsidRPr="0072578B" w:rsidRDefault="00B06468" w:rsidP="004018B5">
            <w:pPr>
              <w:jc w:val="center"/>
              <w:rPr>
                <w:rFonts w:ascii="Wingdings" w:hAnsi="Wingdings"/>
                <w:color w:val="000000"/>
                <w:szCs w:val="24"/>
              </w:rPr>
            </w:pPr>
            <w:r w:rsidRPr="0072578B">
              <w:rPr>
                <w:rFonts w:ascii="Wingdings" w:hAnsi="Wingdings"/>
                <w:color w:val="000000"/>
                <w:szCs w:val="24"/>
              </w:rPr>
              <w:t></w:t>
            </w:r>
            <w:r w:rsidRPr="0072578B">
              <w:rPr>
                <w:rFonts w:ascii="Garamond" w:hAnsi="Garamond"/>
                <w:color w:val="000000"/>
                <w:szCs w:val="24"/>
              </w:rPr>
              <w:t xml:space="preserve"> </w:t>
            </w:r>
          </w:p>
        </w:tc>
        <w:tc>
          <w:tcPr>
            <w:tcW w:w="936"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Garamond" w:hAnsi="Garamond"/>
                <w:color w:val="000000"/>
                <w:szCs w:val="24"/>
              </w:rPr>
              <w:t> </w:t>
            </w:r>
          </w:p>
        </w:tc>
        <w:tc>
          <w:tcPr>
            <w:tcW w:w="1169"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Garamond" w:hAnsi="Garamond"/>
                <w:color w:val="000000"/>
                <w:szCs w:val="24"/>
              </w:rPr>
              <w:t> </w:t>
            </w:r>
          </w:p>
        </w:tc>
        <w:tc>
          <w:tcPr>
            <w:tcW w:w="1018"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Garamond" w:hAnsi="Garamond"/>
                <w:color w:val="000000"/>
                <w:szCs w:val="24"/>
              </w:rPr>
              <w:t> </w:t>
            </w:r>
          </w:p>
        </w:tc>
        <w:tc>
          <w:tcPr>
            <w:tcW w:w="1124"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Garamond" w:hAnsi="Garamond"/>
                <w:color w:val="000000"/>
                <w:szCs w:val="24"/>
              </w:rPr>
              <w:t> </w:t>
            </w:r>
          </w:p>
        </w:tc>
      </w:tr>
      <w:tr w:rsidR="00B06468" w:rsidRPr="0072578B" w:rsidTr="00B06468">
        <w:trPr>
          <w:trHeight w:val="315"/>
        </w:trPr>
        <w:tc>
          <w:tcPr>
            <w:tcW w:w="1115" w:type="dxa"/>
            <w:shd w:val="clear" w:color="auto" w:fill="auto"/>
            <w:vAlign w:val="center"/>
            <w:hideMark/>
          </w:tcPr>
          <w:p w:rsidR="00B06468" w:rsidRPr="0072578B" w:rsidRDefault="00B06468" w:rsidP="004018B5">
            <w:pPr>
              <w:jc w:val="center"/>
              <w:rPr>
                <w:rFonts w:ascii="Garamond" w:hAnsi="Garamond"/>
                <w:b/>
                <w:bCs/>
                <w:color w:val="000000"/>
                <w:szCs w:val="24"/>
              </w:rPr>
            </w:pPr>
            <w:r w:rsidRPr="0072578B">
              <w:rPr>
                <w:rFonts w:ascii="Garamond" w:hAnsi="Garamond"/>
                <w:b/>
                <w:bCs/>
                <w:color w:val="000000"/>
                <w:szCs w:val="24"/>
              </w:rPr>
              <w:t>6</w:t>
            </w:r>
          </w:p>
        </w:tc>
        <w:tc>
          <w:tcPr>
            <w:tcW w:w="816" w:type="dxa"/>
            <w:shd w:val="clear" w:color="auto" w:fill="auto"/>
            <w:vAlign w:val="center"/>
            <w:hideMark/>
          </w:tcPr>
          <w:p w:rsidR="00B06468" w:rsidRPr="0072578B" w:rsidRDefault="00B06468" w:rsidP="004018B5">
            <w:pPr>
              <w:jc w:val="center"/>
              <w:rPr>
                <w:rFonts w:ascii="Wingdings" w:hAnsi="Wingdings"/>
                <w:color w:val="000000"/>
                <w:szCs w:val="24"/>
              </w:rPr>
            </w:pPr>
            <w:r w:rsidRPr="0072578B">
              <w:rPr>
                <w:rFonts w:ascii="Wingdings" w:hAnsi="Wingdings"/>
                <w:color w:val="000000"/>
                <w:szCs w:val="24"/>
              </w:rPr>
              <w:t></w:t>
            </w:r>
            <w:r w:rsidRPr="0072578B">
              <w:rPr>
                <w:rFonts w:ascii="Garamond" w:hAnsi="Garamond"/>
                <w:color w:val="000000"/>
                <w:szCs w:val="24"/>
              </w:rPr>
              <w:t xml:space="preserve"> </w:t>
            </w:r>
          </w:p>
        </w:tc>
        <w:tc>
          <w:tcPr>
            <w:tcW w:w="832" w:type="dxa"/>
            <w:shd w:val="clear" w:color="auto" w:fill="auto"/>
            <w:vAlign w:val="center"/>
            <w:hideMark/>
          </w:tcPr>
          <w:p w:rsidR="00B06468" w:rsidRPr="0072578B" w:rsidRDefault="00B06468" w:rsidP="004018B5">
            <w:pPr>
              <w:jc w:val="center"/>
              <w:rPr>
                <w:rFonts w:ascii="Wingdings" w:hAnsi="Wingdings"/>
                <w:color w:val="000000"/>
                <w:szCs w:val="24"/>
              </w:rPr>
            </w:pPr>
            <w:r w:rsidRPr="0072578B">
              <w:rPr>
                <w:rFonts w:ascii="Wingdings" w:hAnsi="Wingdings"/>
                <w:color w:val="000000"/>
                <w:szCs w:val="24"/>
              </w:rPr>
              <w:t></w:t>
            </w:r>
            <w:r w:rsidRPr="0072578B">
              <w:rPr>
                <w:rFonts w:ascii="Garamond" w:hAnsi="Garamond"/>
                <w:color w:val="000000"/>
                <w:szCs w:val="24"/>
              </w:rPr>
              <w:t xml:space="preserve"> </w:t>
            </w:r>
          </w:p>
        </w:tc>
        <w:tc>
          <w:tcPr>
            <w:tcW w:w="1194"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Garamond" w:hAnsi="Garamond"/>
                <w:color w:val="000000"/>
                <w:szCs w:val="24"/>
              </w:rPr>
              <w:t> </w:t>
            </w:r>
          </w:p>
        </w:tc>
        <w:tc>
          <w:tcPr>
            <w:tcW w:w="936"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Garamond" w:hAnsi="Garamond"/>
                <w:color w:val="000000"/>
                <w:szCs w:val="24"/>
              </w:rPr>
              <w:t> </w:t>
            </w:r>
          </w:p>
        </w:tc>
        <w:tc>
          <w:tcPr>
            <w:tcW w:w="1169"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Garamond" w:hAnsi="Garamond"/>
                <w:color w:val="000000"/>
                <w:szCs w:val="24"/>
              </w:rPr>
              <w:t> </w:t>
            </w:r>
          </w:p>
        </w:tc>
        <w:tc>
          <w:tcPr>
            <w:tcW w:w="1018"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Garamond" w:hAnsi="Garamond"/>
                <w:color w:val="000000"/>
                <w:szCs w:val="24"/>
              </w:rPr>
              <w:t> </w:t>
            </w:r>
          </w:p>
        </w:tc>
        <w:tc>
          <w:tcPr>
            <w:tcW w:w="1124"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Garamond" w:hAnsi="Garamond"/>
                <w:color w:val="000000"/>
                <w:szCs w:val="24"/>
              </w:rPr>
              <w:t> </w:t>
            </w:r>
          </w:p>
        </w:tc>
      </w:tr>
      <w:tr w:rsidR="00B06468" w:rsidRPr="0072578B" w:rsidTr="00B06468">
        <w:trPr>
          <w:trHeight w:val="315"/>
        </w:trPr>
        <w:tc>
          <w:tcPr>
            <w:tcW w:w="1115" w:type="dxa"/>
            <w:shd w:val="clear" w:color="auto" w:fill="auto"/>
            <w:vAlign w:val="center"/>
            <w:hideMark/>
          </w:tcPr>
          <w:p w:rsidR="00B06468" w:rsidRPr="0072578B" w:rsidRDefault="00B06468" w:rsidP="004018B5">
            <w:pPr>
              <w:jc w:val="center"/>
              <w:rPr>
                <w:rFonts w:ascii="Garamond" w:hAnsi="Garamond"/>
                <w:b/>
                <w:bCs/>
                <w:color w:val="000000"/>
                <w:szCs w:val="24"/>
              </w:rPr>
            </w:pPr>
            <w:r w:rsidRPr="0072578B">
              <w:rPr>
                <w:rFonts w:ascii="Garamond" w:hAnsi="Garamond"/>
                <w:b/>
                <w:bCs/>
                <w:color w:val="000000"/>
                <w:szCs w:val="24"/>
              </w:rPr>
              <w:t>7</w:t>
            </w:r>
          </w:p>
        </w:tc>
        <w:tc>
          <w:tcPr>
            <w:tcW w:w="816" w:type="dxa"/>
            <w:shd w:val="clear" w:color="auto" w:fill="auto"/>
            <w:vAlign w:val="center"/>
            <w:hideMark/>
          </w:tcPr>
          <w:p w:rsidR="00B06468" w:rsidRPr="00006379" w:rsidRDefault="00B06468" w:rsidP="004018B5">
            <w:pPr>
              <w:jc w:val="center"/>
              <w:rPr>
                <w:rFonts w:ascii="Wingdings" w:hAnsi="Wingdings"/>
                <w:b/>
                <w:color w:val="000000"/>
                <w:szCs w:val="24"/>
              </w:rPr>
            </w:pPr>
            <w:r w:rsidRPr="00006379">
              <w:rPr>
                <w:rFonts w:ascii="Wingdings" w:hAnsi="Wingdings"/>
                <w:b/>
                <w:color w:val="000000"/>
                <w:szCs w:val="24"/>
              </w:rPr>
              <w:t></w:t>
            </w:r>
            <w:r>
              <w:rPr>
                <w:b/>
                <w:color w:val="000000"/>
                <w:szCs w:val="24"/>
                <w:vertAlign w:val="superscript"/>
              </w:rPr>
              <w:t>*</w:t>
            </w:r>
            <w:r w:rsidRPr="00006379">
              <w:rPr>
                <w:rFonts w:ascii="Garamond" w:hAnsi="Garamond"/>
                <w:b/>
                <w:color w:val="000000"/>
                <w:szCs w:val="24"/>
              </w:rPr>
              <w:t xml:space="preserve"> </w:t>
            </w:r>
          </w:p>
        </w:tc>
        <w:tc>
          <w:tcPr>
            <w:tcW w:w="832" w:type="dxa"/>
            <w:shd w:val="clear" w:color="auto" w:fill="auto"/>
            <w:vAlign w:val="center"/>
            <w:hideMark/>
          </w:tcPr>
          <w:p w:rsidR="00B06468" w:rsidRPr="0072578B" w:rsidRDefault="00B06468" w:rsidP="004018B5">
            <w:pPr>
              <w:jc w:val="center"/>
              <w:rPr>
                <w:rFonts w:ascii="Wingdings" w:hAnsi="Wingdings"/>
                <w:color w:val="000000"/>
                <w:szCs w:val="24"/>
              </w:rPr>
            </w:pPr>
            <w:r w:rsidRPr="0072578B">
              <w:rPr>
                <w:rFonts w:ascii="Wingdings" w:hAnsi="Wingdings"/>
                <w:color w:val="000000"/>
                <w:szCs w:val="24"/>
              </w:rPr>
              <w:t></w:t>
            </w:r>
            <w:r w:rsidRPr="0072578B">
              <w:rPr>
                <w:rFonts w:ascii="Garamond" w:hAnsi="Garamond"/>
                <w:color w:val="000000"/>
                <w:szCs w:val="24"/>
              </w:rPr>
              <w:t xml:space="preserve"> </w:t>
            </w:r>
          </w:p>
        </w:tc>
        <w:tc>
          <w:tcPr>
            <w:tcW w:w="1194"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Garamond" w:hAnsi="Garamond"/>
                <w:color w:val="000000"/>
                <w:szCs w:val="24"/>
              </w:rPr>
              <w:t> </w:t>
            </w:r>
          </w:p>
        </w:tc>
        <w:tc>
          <w:tcPr>
            <w:tcW w:w="936"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Garamond" w:hAnsi="Garamond"/>
                <w:color w:val="000000"/>
                <w:szCs w:val="24"/>
              </w:rPr>
              <w:t> </w:t>
            </w:r>
          </w:p>
        </w:tc>
        <w:tc>
          <w:tcPr>
            <w:tcW w:w="1169"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Garamond" w:hAnsi="Garamond"/>
                <w:color w:val="000000"/>
                <w:szCs w:val="24"/>
              </w:rPr>
              <w:t> </w:t>
            </w:r>
          </w:p>
        </w:tc>
        <w:tc>
          <w:tcPr>
            <w:tcW w:w="1018"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Garamond" w:hAnsi="Garamond"/>
                <w:color w:val="000000"/>
                <w:szCs w:val="24"/>
              </w:rPr>
              <w:t> </w:t>
            </w:r>
          </w:p>
        </w:tc>
        <w:tc>
          <w:tcPr>
            <w:tcW w:w="1124"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Garamond" w:hAnsi="Garamond"/>
                <w:color w:val="000000"/>
                <w:szCs w:val="24"/>
              </w:rPr>
              <w:t> </w:t>
            </w:r>
          </w:p>
        </w:tc>
      </w:tr>
      <w:tr w:rsidR="00B06468" w:rsidRPr="0072578B" w:rsidTr="00B06468">
        <w:trPr>
          <w:trHeight w:val="315"/>
        </w:trPr>
        <w:tc>
          <w:tcPr>
            <w:tcW w:w="1115" w:type="dxa"/>
            <w:shd w:val="clear" w:color="auto" w:fill="auto"/>
            <w:vAlign w:val="center"/>
            <w:hideMark/>
          </w:tcPr>
          <w:p w:rsidR="00B06468" w:rsidRPr="0072578B" w:rsidRDefault="00B06468" w:rsidP="004018B5">
            <w:pPr>
              <w:jc w:val="center"/>
              <w:rPr>
                <w:rFonts w:ascii="Garamond" w:hAnsi="Garamond"/>
                <w:b/>
                <w:bCs/>
                <w:color w:val="000000"/>
                <w:szCs w:val="24"/>
              </w:rPr>
            </w:pPr>
            <w:r w:rsidRPr="0072578B">
              <w:rPr>
                <w:rFonts w:ascii="Garamond" w:hAnsi="Garamond"/>
                <w:b/>
                <w:bCs/>
                <w:color w:val="000000"/>
                <w:szCs w:val="24"/>
              </w:rPr>
              <w:t>8</w:t>
            </w:r>
          </w:p>
        </w:tc>
        <w:tc>
          <w:tcPr>
            <w:tcW w:w="816" w:type="dxa"/>
            <w:shd w:val="clear" w:color="auto" w:fill="auto"/>
            <w:vAlign w:val="center"/>
            <w:hideMark/>
          </w:tcPr>
          <w:p w:rsidR="00B06468" w:rsidRPr="0072578B" w:rsidRDefault="00B06468" w:rsidP="004018B5">
            <w:pPr>
              <w:jc w:val="center"/>
              <w:rPr>
                <w:rFonts w:ascii="Wingdings" w:hAnsi="Wingdings"/>
                <w:color w:val="000000"/>
                <w:szCs w:val="24"/>
              </w:rPr>
            </w:pPr>
            <w:r w:rsidRPr="0072578B">
              <w:rPr>
                <w:rFonts w:ascii="Wingdings" w:hAnsi="Wingdings"/>
                <w:color w:val="000000"/>
                <w:szCs w:val="24"/>
              </w:rPr>
              <w:t></w:t>
            </w:r>
            <w:r w:rsidRPr="0072578B">
              <w:rPr>
                <w:rFonts w:ascii="Garamond" w:hAnsi="Garamond"/>
                <w:color w:val="000000"/>
                <w:szCs w:val="24"/>
              </w:rPr>
              <w:t xml:space="preserve"> </w:t>
            </w:r>
          </w:p>
        </w:tc>
        <w:tc>
          <w:tcPr>
            <w:tcW w:w="832" w:type="dxa"/>
            <w:shd w:val="clear" w:color="auto" w:fill="auto"/>
            <w:vAlign w:val="center"/>
            <w:hideMark/>
          </w:tcPr>
          <w:p w:rsidR="00B06468" w:rsidRPr="0072578B" w:rsidRDefault="00B06468" w:rsidP="004018B5">
            <w:pPr>
              <w:jc w:val="center"/>
              <w:rPr>
                <w:rFonts w:ascii="Wingdings" w:hAnsi="Wingdings"/>
                <w:color w:val="000000"/>
                <w:szCs w:val="24"/>
              </w:rPr>
            </w:pPr>
            <w:r w:rsidRPr="0072578B">
              <w:rPr>
                <w:rFonts w:ascii="Wingdings" w:hAnsi="Wingdings"/>
                <w:color w:val="000000"/>
                <w:szCs w:val="24"/>
              </w:rPr>
              <w:t></w:t>
            </w:r>
            <w:r w:rsidRPr="0072578B">
              <w:rPr>
                <w:rFonts w:ascii="Garamond" w:hAnsi="Garamond"/>
                <w:color w:val="000000"/>
                <w:szCs w:val="24"/>
              </w:rPr>
              <w:t xml:space="preserve"> </w:t>
            </w:r>
          </w:p>
        </w:tc>
        <w:tc>
          <w:tcPr>
            <w:tcW w:w="1194" w:type="dxa"/>
            <w:shd w:val="clear" w:color="auto" w:fill="auto"/>
            <w:vAlign w:val="center"/>
            <w:hideMark/>
          </w:tcPr>
          <w:p w:rsidR="00B06468" w:rsidRPr="0072578B" w:rsidRDefault="00B06468" w:rsidP="004018B5">
            <w:pPr>
              <w:jc w:val="center"/>
              <w:rPr>
                <w:rFonts w:ascii="Wingdings" w:hAnsi="Wingdings"/>
                <w:color w:val="000000"/>
                <w:szCs w:val="24"/>
              </w:rPr>
            </w:pPr>
            <w:r w:rsidRPr="0072578B">
              <w:rPr>
                <w:rFonts w:ascii="Wingdings" w:hAnsi="Wingdings"/>
                <w:color w:val="000000"/>
                <w:szCs w:val="24"/>
              </w:rPr>
              <w:t></w:t>
            </w:r>
            <w:r w:rsidRPr="0072578B">
              <w:rPr>
                <w:rFonts w:ascii="Garamond" w:hAnsi="Garamond"/>
                <w:color w:val="000000"/>
                <w:szCs w:val="24"/>
              </w:rPr>
              <w:t xml:space="preserve"> </w:t>
            </w:r>
          </w:p>
        </w:tc>
        <w:tc>
          <w:tcPr>
            <w:tcW w:w="936"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Garamond" w:hAnsi="Garamond"/>
                <w:color w:val="000000"/>
                <w:szCs w:val="24"/>
              </w:rPr>
              <w:t> </w:t>
            </w:r>
          </w:p>
        </w:tc>
        <w:tc>
          <w:tcPr>
            <w:tcW w:w="1169"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Garamond" w:hAnsi="Garamond"/>
                <w:color w:val="000000"/>
                <w:szCs w:val="24"/>
              </w:rPr>
              <w:t> </w:t>
            </w:r>
          </w:p>
        </w:tc>
        <w:tc>
          <w:tcPr>
            <w:tcW w:w="1018"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Garamond" w:hAnsi="Garamond"/>
                <w:color w:val="000000"/>
                <w:szCs w:val="24"/>
              </w:rPr>
              <w:t> </w:t>
            </w:r>
          </w:p>
        </w:tc>
        <w:tc>
          <w:tcPr>
            <w:tcW w:w="1124"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Garamond" w:hAnsi="Garamond"/>
                <w:color w:val="000000"/>
                <w:szCs w:val="24"/>
              </w:rPr>
              <w:t> </w:t>
            </w:r>
          </w:p>
        </w:tc>
      </w:tr>
      <w:tr w:rsidR="00B06468" w:rsidRPr="0072578B" w:rsidTr="00B06468">
        <w:trPr>
          <w:trHeight w:val="315"/>
        </w:trPr>
        <w:tc>
          <w:tcPr>
            <w:tcW w:w="1115" w:type="dxa"/>
            <w:shd w:val="clear" w:color="auto" w:fill="auto"/>
            <w:vAlign w:val="center"/>
            <w:hideMark/>
          </w:tcPr>
          <w:p w:rsidR="00B06468" w:rsidRPr="0072578B" w:rsidRDefault="00B06468" w:rsidP="004018B5">
            <w:pPr>
              <w:jc w:val="center"/>
              <w:rPr>
                <w:rFonts w:ascii="Garamond" w:hAnsi="Garamond"/>
                <w:b/>
                <w:bCs/>
                <w:color w:val="000000"/>
                <w:szCs w:val="24"/>
              </w:rPr>
            </w:pPr>
            <w:r>
              <w:rPr>
                <w:rFonts w:ascii="Garamond" w:hAnsi="Garamond"/>
                <w:b/>
                <w:bCs/>
                <w:color w:val="000000"/>
                <w:szCs w:val="24"/>
              </w:rPr>
              <w:t>9</w:t>
            </w:r>
          </w:p>
        </w:tc>
        <w:tc>
          <w:tcPr>
            <w:tcW w:w="816" w:type="dxa"/>
            <w:shd w:val="clear" w:color="auto" w:fill="auto"/>
            <w:vAlign w:val="center"/>
            <w:hideMark/>
          </w:tcPr>
          <w:p w:rsidR="00B06468" w:rsidRPr="0072578B" w:rsidRDefault="00B06468" w:rsidP="004018B5">
            <w:pPr>
              <w:jc w:val="center"/>
              <w:rPr>
                <w:rFonts w:ascii="Wingdings" w:hAnsi="Wingdings"/>
                <w:color w:val="000000"/>
                <w:szCs w:val="24"/>
              </w:rPr>
            </w:pPr>
          </w:p>
        </w:tc>
        <w:tc>
          <w:tcPr>
            <w:tcW w:w="832" w:type="dxa"/>
            <w:shd w:val="clear" w:color="auto" w:fill="auto"/>
            <w:vAlign w:val="center"/>
            <w:hideMark/>
          </w:tcPr>
          <w:p w:rsidR="00B06468" w:rsidRPr="0072578B" w:rsidRDefault="00B06468" w:rsidP="004018B5">
            <w:pPr>
              <w:jc w:val="center"/>
              <w:rPr>
                <w:rFonts w:ascii="Wingdings" w:hAnsi="Wingdings"/>
                <w:color w:val="000000"/>
                <w:szCs w:val="24"/>
              </w:rPr>
            </w:pPr>
          </w:p>
        </w:tc>
        <w:tc>
          <w:tcPr>
            <w:tcW w:w="1194" w:type="dxa"/>
            <w:shd w:val="clear" w:color="auto" w:fill="auto"/>
            <w:vAlign w:val="center"/>
            <w:hideMark/>
          </w:tcPr>
          <w:p w:rsidR="00B06468" w:rsidRPr="0072578B" w:rsidRDefault="00B06468" w:rsidP="004018B5">
            <w:pPr>
              <w:jc w:val="center"/>
              <w:rPr>
                <w:rFonts w:ascii="Garamond" w:hAnsi="Garamond"/>
                <w:color w:val="000000"/>
                <w:szCs w:val="24"/>
              </w:rPr>
            </w:pPr>
          </w:p>
        </w:tc>
        <w:tc>
          <w:tcPr>
            <w:tcW w:w="936"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Wingdings" w:hAnsi="Wingdings"/>
                <w:color w:val="000000"/>
                <w:szCs w:val="24"/>
              </w:rPr>
              <w:t></w:t>
            </w:r>
          </w:p>
        </w:tc>
        <w:tc>
          <w:tcPr>
            <w:tcW w:w="1169"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Wingdings" w:hAnsi="Wingdings"/>
                <w:color w:val="000000"/>
                <w:szCs w:val="24"/>
              </w:rPr>
              <w:t></w:t>
            </w:r>
          </w:p>
        </w:tc>
        <w:tc>
          <w:tcPr>
            <w:tcW w:w="1018"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Wingdings" w:hAnsi="Wingdings"/>
                <w:color w:val="000000"/>
                <w:szCs w:val="24"/>
              </w:rPr>
              <w:t></w:t>
            </w:r>
          </w:p>
        </w:tc>
        <w:tc>
          <w:tcPr>
            <w:tcW w:w="1124"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Wingdings" w:hAnsi="Wingdings"/>
                <w:color w:val="000000"/>
                <w:szCs w:val="24"/>
              </w:rPr>
              <w:t></w:t>
            </w:r>
          </w:p>
        </w:tc>
      </w:tr>
      <w:tr w:rsidR="00B06468" w:rsidRPr="0072578B" w:rsidTr="00B06468">
        <w:trPr>
          <w:trHeight w:val="315"/>
        </w:trPr>
        <w:tc>
          <w:tcPr>
            <w:tcW w:w="1115" w:type="dxa"/>
            <w:shd w:val="clear" w:color="auto" w:fill="auto"/>
            <w:vAlign w:val="center"/>
            <w:hideMark/>
          </w:tcPr>
          <w:p w:rsidR="00B06468" w:rsidRPr="0072578B" w:rsidRDefault="00B06468" w:rsidP="004018B5">
            <w:pPr>
              <w:jc w:val="center"/>
              <w:rPr>
                <w:rFonts w:ascii="Garamond" w:hAnsi="Garamond"/>
                <w:b/>
                <w:bCs/>
                <w:color w:val="000000"/>
                <w:szCs w:val="24"/>
              </w:rPr>
            </w:pPr>
            <w:r w:rsidRPr="0072578B">
              <w:rPr>
                <w:rFonts w:ascii="Garamond" w:hAnsi="Garamond"/>
                <w:b/>
                <w:bCs/>
                <w:color w:val="000000"/>
                <w:szCs w:val="24"/>
              </w:rPr>
              <w:t>10</w:t>
            </w:r>
          </w:p>
        </w:tc>
        <w:tc>
          <w:tcPr>
            <w:tcW w:w="816" w:type="dxa"/>
            <w:shd w:val="clear" w:color="auto" w:fill="auto"/>
            <w:vAlign w:val="center"/>
            <w:hideMark/>
          </w:tcPr>
          <w:p w:rsidR="00B06468" w:rsidRPr="00006379" w:rsidRDefault="00B06468" w:rsidP="004018B5">
            <w:pPr>
              <w:jc w:val="center"/>
              <w:rPr>
                <w:rFonts w:ascii="Wingdings" w:hAnsi="Wingdings"/>
                <w:b/>
                <w:color w:val="000000"/>
                <w:szCs w:val="24"/>
              </w:rPr>
            </w:pPr>
            <w:r w:rsidRPr="00006379">
              <w:rPr>
                <w:rFonts w:ascii="Wingdings" w:hAnsi="Wingdings"/>
                <w:b/>
                <w:color w:val="000000"/>
                <w:szCs w:val="24"/>
              </w:rPr>
              <w:t></w:t>
            </w:r>
            <w:r>
              <w:rPr>
                <w:b/>
                <w:color w:val="000000"/>
                <w:szCs w:val="24"/>
                <w:vertAlign w:val="superscript"/>
              </w:rPr>
              <w:t>*</w:t>
            </w:r>
            <w:r w:rsidRPr="00006379">
              <w:rPr>
                <w:rFonts w:ascii="Garamond" w:hAnsi="Garamond"/>
                <w:b/>
                <w:color w:val="000000"/>
                <w:szCs w:val="24"/>
              </w:rPr>
              <w:t xml:space="preserve"> </w:t>
            </w:r>
          </w:p>
        </w:tc>
        <w:tc>
          <w:tcPr>
            <w:tcW w:w="832" w:type="dxa"/>
            <w:shd w:val="clear" w:color="auto" w:fill="auto"/>
            <w:vAlign w:val="center"/>
            <w:hideMark/>
          </w:tcPr>
          <w:p w:rsidR="00B06468" w:rsidRPr="0072578B" w:rsidRDefault="00B06468" w:rsidP="004018B5">
            <w:pPr>
              <w:jc w:val="center"/>
              <w:rPr>
                <w:rFonts w:ascii="Wingdings" w:hAnsi="Wingdings"/>
                <w:color w:val="000000"/>
                <w:szCs w:val="24"/>
              </w:rPr>
            </w:pPr>
            <w:r w:rsidRPr="0072578B">
              <w:rPr>
                <w:rFonts w:ascii="Wingdings" w:hAnsi="Wingdings"/>
                <w:color w:val="000000"/>
                <w:szCs w:val="24"/>
              </w:rPr>
              <w:t></w:t>
            </w:r>
            <w:r w:rsidRPr="0072578B">
              <w:rPr>
                <w:rFonts w:ascii="Garamond" w:hAnsi="Garamond"/>
                <w:color w:val="000000"/>
                <w:szCs w:val="24"/>
              </w:rPr>
              <w:t xml:space="preserve"> </w:t>
            </w:r>
          </w:p>
        </w:tc>
        <w:tc>
          <w:tcPr>
            <w:tcW w:w="1194"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Garamond" w:hAnsi="Garamond"/>
                <w:color w:val="000000"/>
                <w:szCs w:val="24"/>
              </w:rPr>
              <w:t> </w:t>
            </w:r>
          </w:p>
        </w:tc>
        <w:tc>
          <w:tcPr>
            <w:tcW w:w="936"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Wingdings" w:hAnsi="Wingdings"/>
                <w:color w:val="000000"/>
                <w:szCs w:val="24"/>
              </w:rPr>
              <w:t></w:t>
            </w:r>
            <w:r w:rsidRPr="0072578B">
              <w:rPr>
                <w:rFonts w:ascii="Garamond" w:hAnsi="Garamond"/>
                <w:color w:val="000000"/>
                <w:szCs w:val="24"/>
              </w:rPr>
              <w:t xml:space="preserve"> </w:t>
            </w:r>
          </w:p>
        </w:tc>
        <w:tc>
          <w:tcPr>
            <w:tcW w:w="1169"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Wingdings" w:hAnsi="Wingdings"/>
                <w:color w:val="000000"/>
                <w:szCs w:val="24"/>
              </w:rPr>
              <w:t></w:t>
            </w:r>
            <w:r w:rsidRPr="0072578B">
              <w:rPr>
                <w:rFonts w:ascii="Garamond" w:hAnsi="Garamond"/>
                <w:color w:val="000000"/>
                <w:szCs w:val="24"/>
              </w:rPr>
              <w:t xml:space="preserve"> </w:t>
            </w:r>
          </w:p>
        </w:tc>
        <w:tc>
          <w:tcPr>
            <w:tcW w:w="1018"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Wingdings" w:hAnsi="Wingdings"/>
                <w:color w:val="000000"/>
                <w:szCs w:val="24"/>
              </w:rPr>
              <w:t></w:t>
            </w:r>
            <w:r w:rsidRPr="0072578B">
              <w:rPr>
                <w:rFonts w:ascii="Garamond" w:hAnsi="Garamond"/>
                <w:color w:val="000000"/>
                <w:szCs w:val="24"/>
              </w:rPr>
              <w:t xml:space="preserve"> </w:t>
            </w:r>
          </w:p>
        </w:tc>
        <w:tc>
          <w:tcPr>
            <w:tcW w:w="1124"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Wingdings" w:hAnsi="Wingdings"/>
                <w:color w:val="000000"/>
                <w:szCs w:val="24"/>
              </w:rPr>
              <w:t></w:t>
            </w:r>
            <w:r w:rsidRPr="0072578B">
              <w:rPr>
                <w:rFonts w:ascii="Garamond" w:hAnsi="Garamond"/>
                <w:color w:val="000000"/>
                <w:szCs w:val="24"/>
              </w:rPr>
              <w:t xml:space="preserve"> </w:t>
            </w:r>
          </w:p>
        </w:tc>
      </w:tr>
      <w:tr w:rsidR="00B06468" w:rsidRPr="0072578B" w:rsidTr="00B06468">
        <w:trPr>
          <w:trHeight w:val="315"/>
        </w:trPr>
        <w:tc>
          <w:tcPr>
            <w:tcW w:w="1115" w:type="dxa"/>
            <w:shd w:val="clear" w:color="auto" w:fill="auto"/>
            <w:vAlign w:val="center"/>
            <w:hideMark/>
          </w:tcPr>
          <w:p w:rsidR="00B06468" w:rsidRPr="0072578B" w:rsidRDefault="00B06468" w:rsidP="004018B5">
            <w:pPr>
              <w:jc w:val="center"/>
              <w:rPr>
                <w:rFonts w:ascii="Garamond" w:hAnsi="Garamond"/>
                <w:b/>
                <w:bCs/>
                <w:color w:val="000000"/>
                <w:szCs w:val="24"/>
              </w:rPr>
            </w:pPr>
            <w:r>
              <w:rPr>
                <w:rFonts w:ascii="Garamond" w:hAnsi="Garamond"/>
                <w:b/>
                <w:bCs/>
                <w:color w:val="000000"/>
                <w:szCs w:val="24"/>
              </w:rPr>
              <w:t>11</w:t>
            </w:r>
          </w:p>
        </w:tc>
        <w:tc>
          <w:tcPr>
            <w:tcW w:w="816" w:type="dxa"/>
            <w:shd w:val="clear" w:color="auto" w:fill="auto"/>
            <w:vAlign w:val="center"/>
            <w:hideMark/>
          </w:tcPr>
          <w:p w:rsidR="00B06468" w:rsidRPr="006114C2" w:rsidRDefault="00B06468" w:rsidP="004018B5">
            <w:pPr>
              <w:jc w:val="center"/>
              <w:rPr>
                <w:rFonts w:ascii="Garamond" w:hAnsi="Garamond"/>
                <w:color w:val="000000"/>
                <w:sz w:val="20"/>
                <w:szCs w:val="24"/>
              </w:rPr>
            </w:pPr>
            <w:r w:rsidRPr="006114C2">
              <w:rPr>
                <w:rFonts w:ascii="Garamond" w:hAnsi="Garamond"/>
                <w:color w:val="000000"/>
                <w:sz w:val="20"/>
                <w:szCs w:val="24"/>
              </w:rPr>
              <w:t>Retest </w:t>
            </w:r>
          </w:p>
        </w:tc>
        <w:tc>
          <w:tcPr>
            <w:tcW w:w="832" w:type="dxa"/>
            <w:shd w:val="clear" w:color="auto" w:fill="auto"/>
            <w:vAlign w:val="center"/>
            <w:hideMark/>
          </w:tcPr>
          <w:p w:rsidR="00B06468" w:rsidRPr="006114C2" w:rsidRDefault="00B06468" w:rsidP="004018B5">
            <w:pPr>
              <w:jc w:val="center"/>
              <w:rPr>
                <w:rFonts w:ascii="Garamond" w:hAnsi="Garamond"/>
                <w:color w:val="000000"/>
                <w:sz w:val="20"/>
                <w:szCs w:val="24"/>
              </w:rPr>
            </w:pPr>
            <w:r w:rsidRPr="006114C2">
              <w:rPr>
                <w:rFonts w:ascii="Garamond" w:hAnsi="Garamond"/>
                <w:color w:val="000000"/>
                <w:sz w:val="20"/>
                <w:szCs w:val="24"/>
              </w:rPr>
              <w:t>Retest</w:t>
            </w:r>
          </w:p>
        </w:tc>
        <w:tc>
          <w:tcPr>
            <w:tcW w:w="1194"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Garamond" w:hAnsi="Garamond"/>
                <w:color w:val="000000"/>
                <w:szCs w:val="24"/>
              </w:rPr>
              <w:t> </w:t>
            </w:r>
          </w:p>
        </w:tc>
        <w:tc>
          <w:tcPr>
            <w:tcW w:w="936" w:type="dxa"/>
            <w:shd w:val="clear" w:color="auto" w:fill="auto"/>
            <w:vAlign w:val="center"/>
            <w:hideMark/>
          </w:tcPr>
          <w:p w:rsidR="00B06468" w:rsidRPr="0072578B" w:rsidRDefault="00B06468" w:rsidP="004018B5">
            <w:pPr>
              <w:jc w:val="center"/>
              <w:rPr>
                <w:rFonts w:ascii="Wingdings" w:hAnsi="Wingdings"/>
                <w:color w:val="000000"/>
                <w:szCs w:val="24"/>
              </w:rPr>
            </w:pPr>
            <w:r w:rsidRPr="0072578B">
              <w:rPr>
                <w:rFonts w:ascii="Wingdings" w:hAnsi="Wingdings"/>
                <w:color w:val="000000"/>
                <w:szCs w:val="24"/>
              </w:rPr>
              <w:t></w:t>
            </w:r>
            <w:r>
              <w:rPr>
                <w:b/>
                <w:color w:val="000000"/>
                <w:szCs w:val="24"/>
                <w:vertAlign w:val="superscript"/>
              </w:rPr>
              <w:t>**</w:t>
            </w:r>
          </w:p>
        </w:tc>
        <w:tc>
          <w:tcPr>
            <w:tcW w:w="1169" w:type="dxa"/>
            <w:shd w:val="clear" w:color="auto" w:fill="auto"/>
            <w:vAlign w:val="center"/>
            <w:hideMark/>
          </w:tcPr>
          <w:p w:rsidR="00B06468" w:rsidRPr="0072578B" w:rsidRDefault="00B06468" w:rsidP="004018B5">
            <w:pPr>
              <w:jc w:val="center"/>
              <w:rPr>
                <w:rFonts w:ascii="Wingdings" w:hAnsi="Wingdings"/>
                <w:color w:val="000000"/>
                <w:szCs w:val="24"/>
              </w:rPr>
            </w:pPr>
            <w:r w:rsidRPr="0072578B">
              <w:rPr>
                <w:rFonts w:ascii="Wingdings" w:hAnsi="Wingdings"/>
                <w:color w:val="000000"/>
                <w:szCs w:val="24"/>
              </w:rPr>
              <w:t></w:t>
            </w:r>
            <w:r>
              <w:rPr>
                <w:b/>
                <w:color w:val="000000"/>
                <w:szCs w:val="24"/>
                <w:vertAlign w:val="superscript"/>
              </w:rPr>
              <w:t>**</w:t>
            </w:r>
          </w:p>
        </w:tc>
        <w:tc>
          <w:tcPr>
            <w:tcW w:w="1018" w:type="dxa"/>
            <w:shd w:val="clear" w:color="auto" w:fill="auto"/>
            <w:vAlign w:val="center"/>
            <w:hideMark/>
          </w:tcPr>
          <w:p w:rsidR="00B06468" w:rsidRPr="0072578B" w:rsidRDefault="00B06468" w:rsidP="004018B5">
            <w:pPr>
              <w:jc w:val="center"/>
              <w:rPr>
                <w:rFonts w:ascii="Wingdings" w:hAnsi="Wingdings"/>
                <w:color w:val="000000"/>
                <w:szCs w:val="24"/>
              </w:rPr>
            </w:pPr>
            <w:r w:rsidRPr="0072578B">
              <w:rPr>
                <w:rFonts w:ascii="Wingdings" w:hAnsi="Wingdings"/>
                <w:color w:val="000000"/>
                <w:szCs w:val="24"/>
              </w:rPr>
              <w:t></w:t>
            </w:r>
            <w:r>
              <w:rPr>
                <w:b/>
                <w:color w:val="000000"/>
                <w:szCs w:val="24"/>
                <w:vertAlign w:val="superscript"/>
              </w:rPr>
              <w:t>**</w:t>
            </w:r>
          </w:p>
        </w:tc>
        <w:tc>
          <w:tcPr>
            <w:tcW w:w="1124" w:type="dxa"/>
            <w:shd w:val="clear" w:color="auto" w:fill="auto"/>
            <w:vAlign w:val="center"/>
            <w:hideMark/>
          </w:tcPr>
          <w:p w:rsidR="00B06468" w:rsidRPr="0072578B" w:rsidRDefault="00B06468" w:rsidP="004018B5">
            <w:pPr>
              <w:jc w:val="center"/>
              <w:rPr>
                <w:rFonts w:ascii="Wingdings" w:hAnsi="Wingdings"/>
                <w:color w:val="000000"/>
                <w:szCs w:val="24"/>
              </w:rPr>
            </w:pPr>
            <w:r w:rsidRPr="0072578B">
              <w:rPr>
                <w:rFonts w:ascii="Wingdings" w:hAnsi="Wingdings"/>
                <w:color w:val="000000"/>
                <w:szCs w:val="24"/>
              </w:rPr>
              <w:t></w:t>
            </w:r>
            <w:r>
              <w:rPr>
                <w:b/>
                <w:color w:val="000000"/>
                <w:szCs w:val="24"/>
                <w:vertAlign w:val="superscript"/>
              </w:rPr>
              <w:t>**</w:t>
            </w:r>
          </w:p>
        </w:tc>
      </w:tr>
      <w:tr w:rsidR="00B06468" w:rsidRPr="0072578B" w:rsidTr="00B06468">
        <w:trPr>
          <w:trHeight w:val="330"/>
        </w:trPr>
        <w:tc>
          <w:tcPr>
            <w:tcW w:w="1115" w:type="dxa"/>
            <w:shd w:val="clear" w:color="auto" w:fill="auto"/>
            <w:vAlign w:val="center"/>
            <w:hideMark/>
          </w:tcPr>
          <w:p w:rsidR="00B06468" w:rsidRPr="0072578B" w:rsidRDefault="00B06468" w:rsidP="004018B5">
            <w:pPr>
              <w:jc w:val="center"/>
              <w:rPr>
                <w:rFonts w:ascii="Garamond" w:hAnsi="Garamond"/>
                <w:b/>
                <w:bCs/>
                <w:color w:val="000000"/>
                <w:szCs w:val="24"/>
              </w:rPr>
            </w:pPr>
            <w:r>
              <w:rPr>
                <w:rFonts w:ascii="Garamond" w:hAnsi="Garamond"/>
                <w:b/>
                <w:bCs/>
                <w:color w:val="000000"/>
                <w:szCs w:val="24"/>
              </w:rPr>
              <w:t>12</w:t>
            </w:r>
          </w:p>
        </w:tc>
        <w:tc>
          <w:tcPr>
            <w:tcW w:w="816" w:type="dxa"/>
            <w:shd w:val="clear" w:color="auto" w:fill="auto"/>
            <w:vAlign w:val="center"/>
            <w:hideMark/>
          </w:tcPr>
          <w:p w:rsidR="00B06468" w:rsidRPr="0072578B" w:rsidRDefault="00B06468" w:rsidP="004018B5">
            <w:pPr>
              <w:jc w:val="center"/>
              <w:rPr>
                <w:rFonts w:ascii="Garamond" w:hAnsi="Garamond"/>
                <w:color w:val="000000"/>
                <w:szCs w:val="24"/>
              </w:rPr>
            </w:pPr>
            <w:r w:rsidRPr="006114C2">
              <w:rPr>
                <w:rFonts w:ascii="Garamond" w:hAnsi="Garamond"/>
                <w:color w:val="000000"/>
                <w:sz w:val="20"/>
                <w:szCs w:val="24"/>
              </w:rPr>
              <w:t>Retest </w:t>
            </w:r>
          </w:p>
        </w:tc>
        <w:tc>
          <w:tcPr>
            <w:tcW w:w="832" w:type="dxa"/>
            <w:shd w:val="clear" w:color="auto" w:fill="auto"/>
            <w:vAlign w:val="center"/>
            <w:hideMark/>
          </w:tcPr>
          <w:p w:rsidR="00B06468" w:rsidRPr="0072578B" w:rsidRDefault="00B06468" w:rsidP="004018B5">
            <w:pPr>
              <w:jc w:val="center"/>
              <w:rPr>
                <w:rFonts w:ascii="Garamond" w:hAnsi="Garamond"/>
                <w:color w:val="000000"/>
                <w:szCs w:val="24"/>
              </w:rPr>
            </w:pPr>
            <w:r w:rsidRPr="006114C2">
              <w:rPr>
                <w:rFonts w:ascii="Garamond" w:hAnsi="Garamond"/>
                <w:color w:val="000000"/>
                <w:sz w:val="20"/>
                <w:szCs w:val="24"/>
              </w:rPr>
              <w:t>Retest</w:t>
            </w:r>
          </w:p>
        </w:tc>
        <w:tc>
          <w:tcPr>
            <w:tcW w:w="1194"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Garamond" w:hAnsi="Garamond"/>
                <w:color w:val="000000"/>
                <w:szCs w:val="24"/>
              </w:rPr>
              <w:t> </w:t>
            </w:r>
          </w:p>
        </w:tc>
        <w:tc>
          <w:tcPr>
            <w:tcW w:w="936"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Wingdings" w:hAnsi="Wingdings"/>
                <w:color w:val="000000"/>
                <w:szCs w:val="24"/>
              </w:rPr>
              <w:t></w:t>
            </w:r>
            <w:r>
              <w:rPr>
                <w:b/>
                <w:color w:val="000000"/>
                <w:szCs w:val="24"/>
                <w:vertAlign w:val="superscript"/>
              </w:rPr>
              <w:t>**</w:t>
            </w:r>
          </w:p>
        </w:tc>
        <w:tc>
          <w:tcPr>
            <w:tcW w:w="1169"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Wingdings" w:hAnsi="Wingdings"/>
                <w:color w:val="000000"/>
                <w:szCs w:val="24"/>
              </w:rPr>
              <w:t></w:t>
            </w:r>
            <w:r>
              <w:rPr>
                <w:b/>
                <w:color w:val="000000"/>
                <w:szCs w:val="24"/>
                <w:vertAlign w:val="superscript"/>
              </w:rPr>
              <w:t>**</w:t>
            </w:r>
          </w:p>
        </w:tc>
        <w:tc>
          <w:tcPr>
            <w:tcW w:w="1018"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Wingdings" w:hAnsi="Wingdings"/>
                <w:color w:val="000000"/>
                <w:szCs w:val="24"/>
              </w:rPr>
              <w:t></w:t>
            </w:r>
            <w:r>
              <w:rPr>
                <w:b/>
                <w:color w:val="000000"/>
                <w:szCs w:val="24"/>
                <w:vertAlign w:val="superscript"/>
              </w:rPr>
              <w:t>**</w:t>
            </w:r>
          </w:p>
        </w:tc>
        <w:tc>
          <w:tcPr>
            <w:tcW w:w="1124" w:type="dxa"/>
            <w:shd w:val="clear" w:color="auto" w:fill="auto"/>
            <w:vAlign w:val="center"/>
            <w:hideMark/>
          </w:tcPr>
          <w:p w:rsidR="00B06468" w:rsidRPr="0072578B" w:rsidRDefault="00B06468" w:rsidP="004018B5">
            <w:pPr>
              <w:jc w:val="center"/>
              <w:rPr>
                <w:rFonts w:ascii="Garamond" w:hAnsi="Garamond"/>
                <w:color w:val="000000"/>
                <w:szCs w:val="24"/>
              </w:rPr>
            </w:pPr>
            <w:r w:rsidRPr="0072578B">
              <w:rPr>
                <w:rFonts w:ascii="Wingdings" w:hAnsi="Wingdings"/>
                <w:color w:val="000000"/>
                <w:szCs w:val="24"/>
              </w:rPr>
              <w:t></w:t>
            </w:r>
            <w:r>
              <w:rPr>
                <w:b/>
                <w:color w:val="000000"/>
                <w:szCs w:val="24"/>
                <w:vertAlign w:val="superscript"/>
              </w:rPr>
              <w:t>**</w:t>
            </w:r>
            <w:r w:rsidRPr="0072578B">
              <w:rPr>
                <w:rFonts w:ascii="Garamond" w:hAnsi="Garamond"/>
                <w:color w:val="000000"/>
                <w:szCs w:val="24"/>
              </w:rPr>
              <w:t> </w:t>
            </w:r>
          </w:p>
        </w:tc>
      </w:tr>
      <w:tr w:rsidR="00B06468" w:rsidRPr="0072578B" w:rsidTr="00B06468">
        <w:trPr>
          <w:trHeight w:val="330"/>
        </w:trPr>
        <w:tc>
          <w:tcPr>
            <w:tcW w:w="8204" w:type="dxa"/>
            <w:gridSpan w:val="8"/>
            <w:shd w:val="clear" w:color="auto" w:fill="auto"/>
            <w:vAlign w:val="center"/>
            <w:hideMark/>
          </w:tcPr>
          <w:p w:rsidR="00B06468" w:rsidRDefault="00B06468" w:rsidP="004018B5">
            <w:pPr>
              <w:rPr>
                <w:rFonts w:ascii="Garamond" w:hAnsi="Garamond"/>
                <w:color w:val="000000"/>
                <w:sz w:val="20"/>
                <w:szCs w:val="24"/>
              </w:rPr>
            </w:pPr>
            <w:r>
              <w:rPr>
                <w:rFonts w:ascii="Garamond" w:hAnsi="Garamond"/>
                <w:color w:val="000000"/>
                <w:sz w:val="20"/>
                <w:szCs w:val="24"/>
              </w:rPr>
              <w:t>*  Includes assessment of writing</w:t>
            </w:r>
          </w:p>
          <w:p w:rsidR="00B06468" w:rsidRPr="006114C2" w:rsidRDefault="00B06468" w:rsidP="004018B5">
            <w:pPr>
              <w:rPr>
                <w:rFonts w:ascii="Garamond" w:hAnsi="Garamond"/>
                <w:color w:val="000000"/>
                <w:sz w:val="20"/>
                <w:szCs w:val="24"/>
              </w:rPr>
            </w:pPr>
            <w:r>
              <w:rPr>
                <w:rFonts w:ascii="Garamond" w:hAnsi="Garamond"/>
                <w:color w:val="000000"/>
                <w:sz w:val="20"/>
                <w:szCs w:val="24"/>
              </w:rPr>
              <w:t xml:space="preserve">**Additional testing opportunities are offered in all four HS STE content areas in grades 11 and 12. </w:t>
            </w:r>
          </w:p>
        </w:tc>
      </w:tr>
    </w:tbl>
    <w:p w:rsidR="00B06468" w:rsidRDefault="00B06468" w:rsidP="00B06468">
      <w:pPr>
        <w:spacing w:before="100" w:beforeAutospacing="1" w:after="100" w:afterAutospacing="1"/>
        <w:rPr>
          <w:szCs w:val="24"/>
        </w:rPr>
      </w:pPr>
      <w:r>
        <w:rPr>
          <w:szCs w:val="24"/>
        </w:rPr>
        <w:lastRenderedPageBreak/>
        <w:t>Student performance on MCAS tests is reported based on the general performance level descriptors listed in the table below.</w:t>
      </w:r>
      <w:r>
        <w:rPr>
          <w:szCs w:val="24"/>
        </w:rPr>
        <w:br/>
      </w:r>
    </w:p>
    <w:tbl>
      <w:tblPr>
        <w:tblW w:w="8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6588"/>
      </w:tblGrid>
      <w:tr w:rsidR="00B06468" w:rsidRPr="00CA071B" w:rsidTr="00B06468">
        <w:trPr>
          <w:trHeight w:val="377"/>
        </w:trPr>
        <w:tc>
          <w:tcPr>
            <w:tcW w:w="2289" w:type="dxa"/>
            <w:vAlign w:val="center"/>
          </w:tcPr>
          <w:p w:rsidR="00B06468" w:rsidRPr="00B06468" w:rsidRDefault="00B06468" w:rsidP="004018B5">
            <w:pPr>
              <w:rPr>
                <w:rFonts w:ascii="Garamond" w:hAnsi="Garamond"/>
                <w:b/>
                <w:bCs/>
              </w:rPr>
            </w:pPr>
            <w:r w:rsidRPr="00B06468">
              <w:rPr>
                <w:rFonts w:ascii="Garamond" w:hAnsi="Garamond"/>
                <w:b/>
                <w:bCs/>
              </w:rPr>
              <w:t>Performance Level</w:t>
            </w:r>
          </w:p>
        </w:tc>
        <w:tc>
          <w:tcPr>
            <w:tcW w:w="6588" w:type="dxa"/>
            <w:vAlign w:val="center"/>
          </w:tcPr>
          <w:p w:rsidR="00B06468" w:rsidRPr="00B06468" w:rsidRDefault="00B06468" w:rsidP="004018B5">
            <w:pPr>
              <w:rPr>
                <w:rFonts w:ascii="Garamond" w:hAnsi="Garamond"/>
                <w:b/>
                <w:bCs/>
              </w:rPr>
            </w:pPr>
            <w:r w:rsidRPr="00B06468">
              <w:rPr>
                <w:rFonts w:ascii="Garamond" w:hAnsi="Garamond"/>
                <w:b/>
                <w:bCs/>
              </w:rPr>
              <w:t>General Description of Associated Student Performance</w:t>
            </w:r>
          </w:p>
        </w:tc>
      </w:tr>
      <w:tr w:rsidR="00B06468" w:rsidRPr="00CA071B" w:rsidTr="00B06468">
        <w:tc>
          <w:tcPr>
            <w:tcW w:w="2289" w:type="dxa"/>
          </w:tcPr>
          <w:p w:rsidR="00B06468" w:rsidRPr="00B06468" w:rsidRDefault="00B06468" w:rsidP="00B06468">
            <w:pPr>
              <w:jc w:val="center"/>
              <w:rPr>
                <w:rFonts w:ascii="Garamond" w:hAnsi="Garamond"/>
                <w:b/>
                <w:iCs/>
              </w:rPr>
            </w:pPr>
            <w:r w:rsidRPr="00B06468">
              <w:rPr>
                <w:rFonts w:ascii="Garamond" w:hAnsi="Garamond"/>
                <w:b/>
                <w:iCs/>
              </w:rPr>
              <w:t>Advanced</w:t>
            </w:r>
          </w:p>
          <w:p w:rsidR="00B06468" w:rsidRPr="00B06468" w:rsidRDefault="00B06468" w:rsidP="00B06468">
            <w:pPr>
              <w:jc w:val="center"/>
              <w:rPr>
                <w:rFonts w:ascii="Garamond" w:hAnsi="Garamond"/>
                <w:i/>
                <w:iCs/>
                <w:sz w:val="20"/>
              </w:rPr>
            </w:pPr>
            <w:r w:rsidRPr="00B06468">
              <w:rPr>
                <w:rFonts w:ascii="Garamond" w:hAnsi="Garamond"/>
                <w:i/>
                <w:iCs/>
                <w:sz w:val="20"/>
              </w:rPr>
              <w:t>(scaled score of 260 or higher)</w:t>
            </w:r>
          </w:p>
        </w:tc>
        <w:tc>
          <w:tcPr>
            <w:tcW w:w="6588" w:type="dxa"/>
            <w:vAlign w:val="center"/>
          </w:tcPr>
          <w:p w:rsidR="00B06468" w:rsidRPr="00B06468" w:rsidRDefault="00B06468" w:rsidP="004018B5">
            <w:pPr>
              <w:rPr>
                <w:rFonts w:ascii="Garamond" w:hAnsi="Garamond"/>
              </w:rPr>
            </w:pPr>
            <w:r w:rsidRPr="00B06468">
              <w:rPr>
                <w:rFonts w:ascii="Garamond" w:hAnsi="Garamond"/>
              </w:rPr>
              <w:t xml:space="preserve">Students at this level demonstrate a comprehensive and in-depth understanding of rigorous subject matter, and provide sophisticated solutions to complex problems. </w:t>
            </w:r>
          </w:p>
        </w:tc>
      </w:tr>
      <w:tr w:rsidR="00B06468" w:rsidRPr="00CA071B" w:rsidTr="00B06468">
        <w:tc>
          <w:tcPr>
            <w:tcW w:w="2289" w:type="dxa"/>
          </w:tcPr>
          <w:p w:rsidR="00B06468" w:rsidRPr="00B06468" w:rsidRDefault="00B06468" w:rsidP="00B06468">
            <w:pPr>
              <w:jc w:val="center"/>
              <w:rPr>
                <w:rFonts w:ascii="Garamond" w:hAnsi="Garamond"/>
                <w:b/>
                <w:iCs/>
              </w:rPr>
            </w:pPr>
            <w:r w:rsidRPr="00B06468">
              <w:rPr>
                <w:rFonts w:ascii="Garamond" w:hAnsi="Garamond"/>
                <w:b/>
                <w:iCs/>
              </w:rPr>
              <w:t>Proficient</w:t>
            </w:r>
          </w:p>
          <w:p w:rsidR="00B06468" w:rsidRPr="00B06468" w:rsidRDefault="00B06468" w:rsidP="00B06468">
            <w:pPr>
              <w:jc w:val="center"/>
              <w:rPr>
                <w:rFonts w:ascii="Garamond" w:hAnsi="Garamond"/>
                <w:iCs/>
                <w:sz w:val="20"/>
              </w:rPr>
            </w:pPr>
            <w:r w:rsidRPr="00B06468">
              <w:rPr>
                <w:rFonts w:ascii="Garamond" w:hAnsi="Garamond"/>
                <w:iCs/>
                <w:sz w:val="20"/>
              </w:rPr>
              <w:t>(</w:t>
            </w:r>
            <w:r w:rsidRPr="00B06468">
              <w:rPr>
                <w:rFonts w:ascii="Garamond" w:hAnsi="Garamond"/>
                <w:i/>
                <w:iCs/>
                <w:sz w:val="20"/>
              </w:rPr>
              <w:t>scaled score from 240 to 258)</w:t>
            </w:r>
          </w:p>
          <w:p w:rsidR="00B06468" w:rsidRPr="00B06468" w:rsidRDefault="00B06468" w:rsidP="00B06468">
            <w:pPr>
              <w:jc w:val="center"/>
              <w:rPr>
                <w:rFonts w:ascii="Garamond" w:hAnsi="Garamond"/>
                <w:iCs/>
              </w:rPr>
            </w:pPr>
          </w:p>
        </w:tc>
        <w:tc>
          <w:tcPr>
            <w:tcW w:w="6588" w:type="dxa"/>
            <w:vAlign w:val="center"/>
          </w:tcPr>
          <w:p w:rsidR="00B06468" w:rsidRPr="00B06468" w:rsidRDefault="00B06468" w:rsidP="004018B5">
            <w:pPr>
              <w:pStyle w:val="NormalWeb"/>
              <w:rPr>
                <w:rFonts w:ascii="Garamond" w:hAnsi="Garamond"/>
              </w:rPr>
            </w:pPr>
            <w:r w:rsidRPr="00B06468">
              <w:rPr>
                <w:rFonts w:ascii="Garamond" w:hAnsi="Garamond"/>
              </w:rPr>
              <w:t xml:space="preserve">Students at this level demonstrate a solid understanding of challenging subject matter and solve a wide variety of problems. </w:t>
            </w:r>
          </w:p>
        </w:tc>
      </w:tr>
      <w:tr w:rsidR="00B06468" w:rsidRPr="00CA071B" w:rsidTr="00B06468">
        <w:trPr>
          <w:trHeight w:val="683"/>
        </w:trPr>
        <w:tc>
          <w:tcPr>
            <w:tcW w:w="2289" w:type="dxa"/>
          </w:tcPr>
          <w:p w:rsidR="00B06468" w:rsidRPr="00B06468" w:rsidRDefault="00B06468" w:rsidP="00B06468">
            <w:pPr>
              <w:jc w:val="center"/>
              <w:rPr>
                <w:rFonts w:ascii="Garamond" w:hAnsi="Garamond"/>
                <w:b/>
                <w:iCs/>
              </w:rPr>
            </w:pPr>
            <w:r w:rsidRPr="00B06468">
              <w:rPr>
                <w:rFonts w:ascii="Garamond" w:hAnsi="Garamond"/>
                <w:b/>
                <w:iCs/>
              </w:rPr>
              <w:t>Needs Improvement</w:t>
            </w:r>
          </w:p>
          <w:p w:rsidR="00B06468" w:rsidRPr="00B06468" w:rsidRDefault="00B06468" w:rsidP="00B06468">
            <w:pPr>
              <w:jc w:val="center"/>
              <w:rPr>
                <w:rFonts w:ascii="Garamond" w:hAnsi="Garamond"/>
                <w:i/>
                <w:iCs/>
                <w:sz w:val="20"/>
              </w:rPr>
            </w:pPr>
            <w:r w:rsidRPr="00B06468">
              <w:rPr>
                <w:rFonts w:ascii="Garamond" w:hAnsi="Garamond"/>
                <w:i/>
                <w:iCs/>
                <w:sz w:val="20"/>
              </w:rPr>
              <w:t>(scaled score from 220 to 238)</w:t>
            </w:r>
          </w:p>
        </w:tc>
        <w:tc>
          <w:tcPr>
            <w:tcW w:w="6588" w:type="dxa"/>
            <w:vAlign w:val="center"/>
          </w:tcPr>
          <w:p w:rsidR="00B06468" w:rsidRPr="00B06468" w:rsidRDefault="00B06468" w:rsidP="004018B5">
            <w:pPr>
              <w:pStyle w:val="NormalWeb"/>
              <w:rPr>
                <w:rFonts w:ascii="Garamond" w:hAnsi="Garamond"/>
              </w:rPr>
            </w:pPr>
            <w:r w:rsidRPr="00B06468">
              <w:rPr>
                <w:rFonts w:ascii="Garamond" w:hAnsi="Garamond"/>
              </w:rPr>
              <w:t>Students at this level demonstrate a partial understanding of subject matter and solve some simple problems.</w:t>
            </w:r>
          </w:p>
        </w:tc>
      </w:tr>
      <w:tr w:rsidR="00B06468" w:rsidRPr="00CA071B" w:rsidTr="00B06468">
        <w:trPr>
          <w:trHeight w:val="710"/>
        </w:trPr>
        <w:tc>
          <w:tcPr>
            <w:tcW w:w="2289" w:type="dxa"/>
          </w:tcPr>
          <w:p w:rsidR="00B06468" w:rsidRPr="00B06468" w:rsidRDefault="00B06468" w:rsidP="00B06468">
            <w:pPr>
              <w:jc w:val="center"/>
              <w:rPr>
                <w:rFonts w:ascii="Garamond" w:hAnsi="Garamond"/>
                <w:b/>
                <w:iCs/>
              </w:rPr>
            </w:pPr>
            <w:r w:rsidRPr="00B06468">
              <w:rPr>
                <w:rFonts w:ascii="Garamond" w:hAnsi="Garamond"/>
                <w:b/>
                <w:iCs/>
              </w:rPr>
              <w:t>Failing/Warning</w:t>
            </w:r>
          </w:p>
          <w:p w:rsidR="00B06468" w:rsidRPr="00B06468" w:rsidRDefault="00B06468" w:rsidP="00B06468">
            <w:pPr>
              <w:jc w:val="center"/>
              <w:rPr>
                <w:rFonts w:ascii="Garamond" w:hAnsi="Garamond"/>
                <w:i/>
                <w:iCs/>
                <w:sz w:val="20"/>
              </w:rPr>
            </w:pPr>
            <w:r w:rsidRPr="00B06468">
              <w:rPr>
                <w:rFonts w:ascii="Garamond" w:hAnsi="Garamond"/>
                <w:i/>
                <w:iCs/>
                <w:sz w:val="20"/>
              </w:rPr>
              <w:t>(scaled score of 218 or below)</w:t>
            </w:r>
          </w:p>
        </w:tc>
        <w:tc>
          <w:tcPr>
            <w:tcW w:w="6588" w:type="dxa"/>
            <w:vAlign w:val="center"/>
          </w:tcPr>
          <w:p w:rsidR="00B06468" w:rsidRPr="00B06468" w:rsidRDefault="00B06468" w:rsidP="004018B5">
            <w:pPr>
              <w:pStyle w:val="NormalWeb"/>
              <w:rPr>
                <w:rFonts w:ascii="Garamond" w:hAnsi="Garamond"/>
              </w:rPr>
            </w:pPr>
            <w:r w:rsidRPr="00B06468">
              <w:rPr>
                <w:rFonts w:ascii="Garamond" w:hAnsi="Garamond"/>
              </w:rPr>
              <w:t xml:space="preserve">Students at this level demonstrate a minimal understanding of subject matter and do not solve simple problems. </w:t>
            </w:r>
          </w:p>
        </w:tc>
      </w:tr>
    </w:tbl>
    <w:p w:rsidR="00B06468" w:rsidRDefault="00B06468" w:rsidP="00B06468">
      <w:pPr>
        <w:spacing w:before="100" w:beforeAutospacing="1" w:after="100" w:afterAutospacing="1"/>
        <w:rPr>
          <w:b/>
          <w:szCs w:val="24"/>
        </w:rPr>
      </w:pPr>
      <w:r>
        <w:rPr>
          <w:b/>
          <w:szCs w:val="24"/>
        </w:rPr>
        <w:br/>
        <w:t xml:space="preserve">Competency Determination </w:t>
      </w:r>
    </w:p>
    <w:p w:rsidR="00B06468" w:rsidRPr="006C3786" w:rsidRDefault="00B06468" w:rsidP="00B06468">
      <w:pPr>
        <w:rPr>
          <w:color w:val="000000" w:themeColor="text1"/>
          <w:szCs w:val="24"/>
        </w:rPr>
      </w:pPr>
      <w:r>
        <w:rPr>
          <w:szCs w:val="24"/>
        </w:rPr>
        <w:t xml:space="preserve">The Massachusetts Education Reform Act also stipulates that meeting a “Competency Determination” (CD) standard must be among the requirements for students to qualify for a high </w:t>
      </w:r>
      <w:r w:rsidRPr="006C3786">
        <w:rPr>
          <w:szCs w:val="24"/>
        </w:rPr>
        <w:t>school diploma</w:t>
      </w:r>
      <w:r>
        <w:rPr>
          <w:color w:val="000000" w:themeColor="text1"/>
          <w:szCs w:val="24"/>
        </w:rPr>
        <w:t>:</w:t>
      </w:r>
      <w:r w:rsidRPr="006C3786">
        <w:rPr>
          <w:color w:val="000000" w:themeColor="text1"/>
          <w:szCs w:val="24"/>
        </w:rPr>
        <w:t xml:space="preserve"> </w:t>
      </w:r>
      <w:r>
        <w:rPr>
          <w:color w:val="000000" w:themeColor="text1"/>
          <w:szCs w:val="24"/>
        </w:rPr>
        <w:br/>
      </w:r>
    </w:p>
    <w:p w:rsidR="00B06468" w:rsidRDefault="00B06468" w:rsidP="00B06468">
      <w:pPr>
        <w:tabs>
          <w:tab w:val="left" w:pos="360"/>
        </w:tabs>
        <w:ind w:left="360"/>
        <w:rPr>
          <w:szCs w:val="24"/>
        </w:rPr>
      </w:pPr>
      <w:r w:rsidRPr="006C3786">
        <w:rPr>
          <w:i/>
          <w:color w:val="000000" w:themeColor="text1"/>
        </w:rPr>
        <w:t xml:space="preserve">The “competency determination” shall be based on the academic standards and curriculum frameworks for tenth graders in the areas of mathematics, science and technology, history and social science, foreign languages, and English, and shall represent a determination that a particular student has demonstrated mastery of a common core of skills, competencies and knowledge in these areas, as measured by the assessment instruments described in section one I. Satisfaction of the requirements of the competency determination shall be a condition for high </w:t>
      </w:r>
      <w:r w:rsidRPr="00960140">
        <w:rPr>
          <w:i/>
          <w:color w:val="000000" w:themeColor="text1"/>
        </w:rPr>
        <w:t>school graduation.</w:t>
      </w:r>
      <w:r w:rsidRPr="00960140">
        <w:rPr>
          <w:color w:val="000000" w:themeColor="text1"/>
          <w:szCs w:val="24"/>
        </w:rPr>
        <w:t xml:space="preserve"> </w:t>
      </w:r>
      <w:r>
        <w:rPr>
          <w:color w:val="000000" w:themeColor="text1"/>
          <w:szCs w:val="24"/>
        </w:rPr>
        <w:t xml:space="preserve">                             </w:t>
      </w:r>
      <w:r>
        <w:rPr>
          <w:color w:val="000000" w:themeColor="text1"/>
          <w:szCs w:val="24"/>
        </w:rPr>
        <w:tab/>
      </w:r>
      <w:r>
        <w:rPr>
          <w:color w:val="000000" w:themeColor="text1"/>
          <w:szCs w:val="24"/>
        </w:rPr>
        <w:tab/>
      </w:r>
      <w:r>
        <w:rPr>
          <w:color w:val="000000" w:themeColor="text1"/>
          <w:szCs w:val="24"/>
        </w:rPr>
        <w:tab/>
      </w:r>
      <w:r>
        <w:rPr>
          <w:color w:val="000000" w:themeColor="text1"/>
          <w:szCs w:val="24"/>
        </w:rPr>
        <w:tab/>
        <w:t xml:space="preserve">            </w:t>
      </w:r>
      <w:r w:rsidRPr="00960140">
        <w:rPr>
          <w:color w:val="000000" w:themeColor="text1"/>
          <w:szCs w:val="24"/>
        </w:rPr>
        <w:t>M.G.L. c. 69, §1(d)(i)</w:t>
      </w:r>
      <w:r>
        <w:rPr>
          <w:color w:val="000000" w:themeColor="text1"/>
          <w:szCs w:val="24"/>
        </w:rPr>
        <w:br/>
      </w:r>
    </w:p>
    <w:p w:rsidR="00B06468" w:rsidRPr="00C94C54" w:rsidRDefault="00B06468" w:rsidP="00B06468">
      <w:pPr>
        <w:spacing w:before="100" w:beforeAutospacing="1" w:after="100" w:afterAutospacing="1"/>
        <w:rPr>
          <w:szCs w:val="24"/>
        </w:rPr>
      </w:pPr>
      <w:r>
        <w:rPr>
          <w:szCs w:val="24"/>
        </w:rPr>
        <w:t>Through the regulations adopted by the Board in 1999–2000, s</w:t>
      </w:r>
      <w:r w:rsidRPr="00F85EFF">
        <w:rPr>
          <w:szCs w:val="24"/>
        </w:rPr>
        <w:t xml:space="preserve">tudents in the graduating class of 2003 were the first students required to earn a </w:t>
      </w:r>
      <w:r>
        <w:rPr>
          <w:szCs w:val="24"/>
        </w:rPr>
        <w:t>CD</w:t>
      </w:r>
      <w:r w:rsidRPr="00F85EFF">
        <w:rPr>
          <w:szCs w:val="24"/>
        </w:rPr>
        <w:t xml:space="preserve"> in ELA and </w:t>
      </w:r>
      <w:r>
        <w:rPr>
          <w:szCs w:val="24"/>
        </w:rPr>
        <w:t>m</w:t>
      </w:r>
      <w:r w:rsidRPr="00F85EFF">
        <w:rPr>
          <w:szCs w:val="24"/>
        </w:rPr>
        <w:t>athematics as a condition for receiving a high school diploma.</w:t>
      </w:r>
      <w:r>
        <w:rPr>
          <w:szCs w:val="24"/>
        </w:rPr>
        <w:t xml:space="preserve"> In the years preceding the implementation of the CD as a graduation requirement, the Board and the Department ensured that school districts, educators, students, and their families had sufficient notice to prepare for this new requirement, and provided assistance to school districts to strengthen teaching and learning. The Board also recognized the importance of providing additional academic support to students struggling to meet the new standards. This additional support was realized in F</w:t>
      </w:r>
      <w:r w:rsidR="00D52B35">
        <w:rPr>
          <w:szCs w:val="24"/>
        </w:rPr>
        <w:t>Y 1999</w:t>
      </w:r>
      <w:r>
        <w:rPr>
          <w:szCs w:val="24"/>
        </w:rPr>
        <w:t xml:space="preserve"> when the Governor and Legislature authorized such a program with an appropriation of $</w:t>
      </w:r>
      <w:r w:rsidR="00D52B35">
        <w:rPr>
          <w:szCs w:val="24"/>
        </w:rPr>
        <w:t>20</w:t>
      </w:r>
      <w:r>
        <w:rPr>
          <w:szCs w:val="24"/>
        </w:rPr>
        <w:t xml:space="preserve"> million</w:t>
      </w:r>
      <w:r w:rsidR="003E34D1">
        <w:rPr>
          <w:szCs w:val="24"/>
        </w:rPr>
        <w:t xml:space="preserve"> and that increased to $50 million by FY 2002</w:t>
      </w:r>
      <w:r>
        <w:rPr>
          <w:szCs w:val="24"/>
        </w:rPr>
        <w:t>.</w:t>
      </w:r>
      <w:r w:rsidRPr="00B06468">
        <w:rPr>
          <w:rStyle w:val="FootnoteReference"/>
          <w:szCs w:val="24"/>
          <w:vertAlign w:val="superscript"/>
        </w:rPr>
        <w:footnoteReference w:id="1"/>
      </w:r>
      <w:r>
        <w:rPr>
          <w:szCs w:val="24"/>
        </w:rPr>
        <w:t xml:space="preserve"> In addition, students are provided with retest opportunities throughout and beyond high </w:t>
      </w:r>
      <w:r>
        <w:rPr>
          <w:szCs w:val="24"/>
        </w:rPr>
        <w:lastRenderedPageBreak/>
        <w:t xml:space="preserve">school to help them earn a CD. </w:t>
      </w:r>
      <w:r w:rsidRPr="00C94C54">
        <w:rPr>
          <w:szCs w:val="24"/>
        </w:rPr>
        <w:t xml:space="preserve">The Board also established an MCAS </w:t>
      </w:r>
      <w:r>
        <w:rPr>
          <w:szCs w:val="24"/>
        </w:rPr>
        <w:t xml:space="preserve">performance </w:t>
      </w:r>
      <w:r w:rsidRPr="00C94C54">
        <w:rPr>
          <w:szCs w:val="24"/>
        </w:rPr>
        <w:t xml:space="preserve">appeals process </w:t>
      </w:r>
      <w:r>
        <w:rPr>
          <w:szCs w:val="24"/>
        </w:rPr>
        <w:t xml:space="preserve">so that </w:t>
      </w:r>
      <w:r w:rsidRPr="00C94C54">
        <w:rPr>
          <w:szCs w:val="24"/>
        </w:rPr>
        <w:t xml:space="preserve">eligible high school students who have been unable to pass the required tests </w:t>
      </w:r>
      <w:r>
        <w:rPr>
          <w:szCs w:val="24"/>
        </w:rPr>
        <w:t xml:space="preserve">have </w:t>
      </w:r>
      <w:r w:rsidRPr="00C94C54">
        <w:rPr>
          <w:szCs w:val="24"/>
        </w:rPr>
        <w:t xml:space="preserve">an additional opportunity to demonstrate through their coursework that they meet or exceed the </w:t>
      </w:r>
      <w:r>
        <w:rPr>
          <w:szCs w:val="24"/>
        </w:rPr>
        <w:t>CD</w:t>
      </w:r>
      <w:r w:rsidRPr="00C94C54">
        <w:rPr>
          <w:szCs w:val="24"/>
        </w:rPr>
        <w:t xml:space="preserve"> standard.</w:t>
      </w:r>
    </w:p>
    <w:p w:rsidR="00B06468" w:rsidRDefault="00B06468" w:rsidP="00B06468">
      <w:pPr>
        <w:spacing w:before="100" w:beforeAutospacing="1" w:after="100" w:afterAutospacing="1"/>
        <w:rPr>
          <w:szCs w:val="24"/>
        </w:rPr>
      </w:pPr>
      <w:r>
        <w:rPr>
          <w:szCs w:val="24"/>
        </w:rPr>
        <w:t>The implementation of a graduation requirement based on assessments was opposed by some individuals and groups, particularly when the first MCAS ELA and mathematics tests for “high stakes” were administered to 10</w:t>
      </w:r>
      <w:r w:rsidRPr="003F18FE">
        <w:rPr>
          <w:szCs w:val="24"/>
          <w:vertAlign w:val="superscript"/>
        </w:rPr>
        <w:t>th</w:t>
      </w:r>
      <w:r>
        <w:rPr>
          <w:szCs w:val="24"/>
        </w:rPr>
        <w:t xml:space="preserve"> grade students in 2001, and only </w:t>
      </w:r>
      <w:r w:rsidRPr="00567194">
        <w:rPr>
          <w:szCs w:val="24"/>
        </w:rPr>
        <w:t>68%</w:t>
      </w:r>
      <w:r>
        <w:rPr>
          <w:szCs w:val="24"/>
        </w:rPr>
        <w:t xml:space="preserve"> of students qualified for the CD by scoring at the </w:t>
      </w:r>
      <w:r w:rsidRPr="0086146B">
        <w:rPr>
          <w:i/>
          <w:szCs w:val="24"/>
        </w:rPr>
        <w:t>Needs Improvement</w:t>
      </w:r>
      <w:r>
        <w:rPr>
          <w:szCs w:val="24"/>
        </w:rPr>
        <w:t xml:space="preserve"> level or higher. With the full support of the Board, the Governor, and leaders of both houses of the legislature, the CD requirement remained in place. By their senior year, 95% of the class of 2003 had earned a CD in ELA and mathematics.  </w:t>
      </w:r>
    </w:p>
    <w:p w:rsidR="00B06468" w:rsidRPr="00F85EFF" w:rsidRDefault="00B06468" w:rsidP="00B06468">
      <w:pPr>
        <w:spacing w:before="100" w:beforeAutospacing="1" w:after="100" w:afterAutospacing="1"/>
        <w:rPr>
          <w:szCs w:val="24"/>
        </w:rPr>
      </w:pPr>
      <w:r>
        <w:rPr>
          <w:szCs w:val="24"/>
        </w:rPr>
        <w:t>The Board has amended the regulations at various times since 2000 to strengthen the standards and the performance appeals process. Beginning with</w:t>
      </w:r>
      <w:r w:rsidRPr="00F85EFF">
        <w:rPr>
          <w:szCs w:val="24"/>
        </w:rPr>
        <w:t xml:space="preserve"> the class of 2010</w:t>
      </w:r>
      <w:r>
        <w:rPr>
          <w:szCs w:val="24"/>
        </w:rPr>
        <w:t xml:space="preserve">, to earn the CD students must meet a requirement </w:t>
      </w:r>
      <w:r w:rsidRPr="00F85EFF">
        <w:rPr>
          <w:szCs w:val="24"/>
        </w:rPr>
        <w:t xml:space="preserve">in </w:t>
      </w:r>
      <w:r>
        <w:rPr>
          <w:szCs w:val="24"/>
        </w:rPr>
        <w:t>s</w:t>
      </w:r>
      <w:r w:rsidRPr="00F85EFF">
        <w:rPr>
          <w:szCs w:val="24"/>
        </w:rPr>
        <w:t xml:space="preserve">cience and </w:t>
      </w:r>
      <w:r>
        <w:rPr>
          <w:szCs w:val="24"/>
        </w:rPr>
        <w:t>t</w:t>
      </w:r>
      <w:r w:rsidRPr="00F85EFF">
        <w:rPr>
          <w:szCs w:val="24"/>
        </w:rPr>
        <w:t>echnology/</w:t>
      </w:r>
      <w:r>
        <w:rPr>
          <w:szCs w:val="24"/>
        </w:rPr>
        <w:t>e</w:t>
      </w:r>
      <w:r w:rsidRPr="00F85EFF">
        <w:rPr>
          <w:szCs w:val="24"/>
        </w:rPr>
        <w:t>ngineering</w:t>
      </w:r>
      <w:r>
        <w:rPr>
          <w:szCs w:val="24"/>
        </w:rPr>
        <w:t xml:space="preserve"> (STE) and also score at the </w:t>
      </w:r>
      <w:r w:rsidRPr="0086146B">
        <w:rPr>
          <w:i/>
          <w:szCs w:val="24"/>
        </w:rPr>
        <w:t>Proficient</w:t>
      </w:r>
      <w:r>
        <w:rPr>
          <w:i/>
          <w:szCs w:val="24"/>
        </w:rPr>
        <w:t xml:space="preserve"> </w:t>
      </w:r>
      <w:r>
        <w:rPr>
          <w:szCs w:val="24"/>
        </w:rPr>
        <w:t>level or higher (scaled score ≥ 240) in ELA and mathematics.</w:t>
      </w:r>
      <w:r w:rsidRPr="00B06468">
        <w:rPr>
          <w:rStyle w:val="FootnoteReference"/>
          <w:szCs w:val="24"/>
          <w:vertAlign w:val="superscript"/>
        </w:rPr>
        <w:footnoteReference w:id="2"/>
      </w:r>
      <w:r>
        <w:rPr>
          <w:szCs w:val="24"/>
        </w:rPr>
        <w:t xml:space="preserve"> In 2013, 88% of students earned their CD in ELA, mathematics, and science and technology/engineering by the end of grade 10, and 96% of students in the graduating class of 2013 had earned their CD in all three subjects by the end of grade 12. </w:t>
      </w:r>
    </w:p>
    <w:p w:rsidR="00B06468" w:rsidRPr="00F85EFF" w:rsidRDefault="00B06468" w:rsidP="00B06468">
      <w:pPr>
        <w:spacing w:before="100" w:beforeAutospacing="1" w:after="100" w:afterAutospacing="1"/>
        <w:rPr>
          <w:b/>
          <w:szCs w:val="24"/>
        </w:rPr>
      </w:pPr>
      <w:r w:rsidRPr="00F85EFF">
        <w:rPr>
          <w:b/>
          <w:szCs w:val="24"/>
        </w:rPr>
        <w:t>Adoption of the Common Core State Standards and New Curriculum Frameworks in ELA/Literacy and Mathematics</w:t>
      </w:r>
    </w:p>
    <w:p w:rsidR="00B06468" w:rsidRPr="00F85EFF" w:rsidRDefault="00B06468" w:rsidP="00B06468">
      <w:pPr>
        <w:tabs>
          <w:tab w:val="left" w:pos="2533"/>
          <w:tab w:val="left" w:pos="8398"/>
        </w:tabs>
        <w:spacing w:before="100" w:beforeAutospacing="1" w:after="100" w:afterAutospacing="1"/>
        <w:rPr>
          <w:szCs w:val="24"/>
        </w:rPr>
      </w:pPr>
      <w:r w:rsidRPr="00F85EFF">
        <w:rPr>
          <w:szCs w:val="24"/>
        </w:rPr>
        <w:t xml:space="preserve">In 2007–2008, the </w:t>
      </w:r>
      <w:r>
        <w:rPr>
          <w:szCs w:val="24"/>
        </w:rPr>
        <w:t xml:space="preserve">Department </w:t>
      </w:r>
      <w:r w:rsidRPr="00F85EFF">
        <w:rPr>
          <w:szCs w:val="24"/>
        </w:rPr>
        <w:t xml:space="preserve">convened teams of educators </w:t>
      </w:r>
      <w:r>
        <w:rPr>
          <w:szCs w:val="24"/>
        </w:rPr>
        <w:t xml:space="preserve">and other content experts </w:t>
      </w:r>
      <w:r w:rsidRPr="00F85EFF">
        <w:rPr>
          <w:szCs w:val="24"/>
        </w:rPr>
        <w:t xml:space="preserve">to revise </w:t>
      </w:r>
      <w:r>
        <w:rPr>
          <w:szCs w:val="24"/>
        </w:rPr>
        <w:t xml:space="preserve">our </w:t>
      </w:r>
      <w:r w:rsidRPr="00F85EFF">
        <w:rPr>
          <w:szCs w:val="24"/>
        </w:rPr>
        <w:t xml:space="preserve">existing curriculum frameworks in </w:t>
      </w:r>
      <w:r>
        <w:rPr>
          <w:szCs w:val="24"/>
        </w:rPr>
        <w:t>ELA and mathematics</w:t>
      </w:r>
      <w:r w:rsidRPr="00F85EFF">
        <w:rPr>
          <w:szCs w:val="24"/>
        </w:rPr>
        <w:t>. In 2009, these efforts were merged with a concurrent effort, led by the Council of Chief State School Officers (CCSSO) and the National Governors Association (NGA), to develop multi-state standards. The new standards call on students to have not only solid content knowledge but also the skills to apply their knowledge in ways demanded by colleges, careers, and citizenship in the 21st century.</w:t>
      </w:r>
    </w:p>
    <w:p w:rsidR="00B06468" w:rsidRPr="00F85EFF" w:rsidRDefault="00B06468" w:rsidP="00B06468">
      <w:pPr>
        <w:tabs>
          <w:tab w:val="left" w:pos="2533"/>
          <w:tab w:val="left" w:pos="8398"/>
        </w:tabs>
        <w:spacing w:before="100" w:beforeAutospacing="1" w:after="100" w:afterAutospacing="1"/>
        <w:rPr>
          <w:noProof/>
          <w:szCs w:val="24"/>
        </w:rPr>
      </w:pPr>
      <w:r w:rsidRPr="00F85EFF">
        <w:rPr>
          <w:szCs w:val="24"/>
        </w:rPr>
        <w:t xml:space="preserve">After review and discussion by the Board, a period of public comment, a third-party review by the Massachusetts Business Alliance for Education, </w:t>
      </w:r>
      <w:r>
        <w:rPr>
          <w:szCs w:val="24"/>
        </w:rPr>
        <w:t xml:space="preserve">and analyses by teams of Massachusetts educators, </w:t>
      </w:r>
      <w:r w:rsidRPr="00F85EFF">
        <w:rPr>
          <w:szCs w:val="24"/>
        </w:rPr>
        <w:t>t</w:t>
      </w:r>
      <w:r w:rsidRPr="00F85EFF">
        <w:rPr>
          <w:noProof/>
          <w:szCs w:val="24"/>
        </w:rPr>
        <w:t>he Common Core State Standards</w:t>
      </w:r>
      <w:r>
        <w:rPr>
          <w:noProof/>
          <w:szCs w:val="24"/>
        </w:rPr>
        <w:t xml:space="preserve"> (CCSS)</w:t>
      </w:r>
      <w:r w:rsidRPr="00F85EFF">
        <w:rPr>
          <w:noProof/>
          <w:szCs w:val="24"/>
        </w:rPr>
        <w:t xml:space="preserve"> were </w:t>
      </w:r>
      <w:r>
        <w:rPr>
          <w:noProof/>
          <w:szCs w:val="24"/>
        </w:rPr>
        <w:t xml:space="preserve">initially </w:t>
      </w:r>
      <w:r w:rsidRPr="00F85EFF">
        <w:rPr>
          <w:noProof/>
          <w:szCs w:val="24"/>
        </w:rPr>
        <w:t xml:space="preserve">adopted by the Board on July 21, 2010. Subsequently, the Massachusetts curriculum frameworks were revised to incorporate the </w:t>
      </w:r>
      <w:r>
        <w:rPr>
          <w:noProof/>
          <w:szCs w:val="24"/>
        </w:rPr>
        <w:t>CCSS as well as incorporate a limited number of Massachusetts-specific augmentations</w:t>
      </w:r>
      <w:r w:rsidRPr="00F85EFF">
        <w:rPr>
          <w:noProof/>
          <w:szCs w:val="24"/>
        </w:rPr>
        <w:t xml:space="preserve">, and the new </w:t>
      </w:r>
      <w:r>
        <w:rPr>
          <w:noProof/>
          <w:szCs w:val="24"/>
        </w:rPr>
        <w:t xml:space="preserve">Massachusetts </w:t>
      </w:r>
      <w:r w:rsidRPr="00F85EFF">
        <w:rPr>
          <w:noProof/>
          <w:szCs w:val="24"/>
        </w:rPr>
        <w:t>frameworks in ELA/</w:t>
      </w:r>
      <w:r>
        <w:rPr>
          <w:noProof/>
          <w:szCs w:val="24"/>
        </w:rPr>
        <w:t>l</w:t>
      </w:r>
      <w:r w:rsidRPr="00F85EFF">
        <w:rPr>
          <w:noProof/>
          <w:szCs w:val="24"/>
        </w:rPr>
        <w:t xml:space="preserve">iteracy and </w:t>
      </w:r>
      <w:r>
        <w:rPr>
          <w:noProof/>
          <w:szCs w:val="24"/>
        </w:rPr>
        <w:t>m</w:t>
      </w:r>
      <w:r w:rsidRPr="00F85EFF">
        <w:rPr>
          <w:noProof/>
          <w:szCs w:val="24"/>
        </w:rPr>
        <w:t xml:space="preserve">athematics were </w:t>
      </w:r>
      <w:r>
        <w:rPr>
          <w:noProof/>
          <w:szCs w:val="24"/>
        </w:rPr>
        <w:t>adopted by the Board</w:t>
      </w:r>
      <w:r w:rsidRPr="00F85EFF">
        <w:rPr>
          <w:noProof/>
          <w:szCs w:val="24"/>
        </w:rPr>
        <w:t xml:space="preserve"> in </w:t>
      </w:r>
      <w:r>
        <w:rPr>
          <w:noProof/>
          <w:szCs w:val="24"/>
        </w:rPr>
        <w:t xml:space="preserve">December 2010 and widely disseminated to K–12 educators across the state. </w:t>
      </w:r>
    </w:p>
    <w:p w:rsidR="00B06468" w:rsidRDefault="00B06468" w:rsidP="00B06468">
      <w:pPr>
        <w:spacing w:before="100" w:beforeAutospacing="1" w:after="100" w:afterAutospacing="1"/>
        <w:rPr>
          <w:szCs w:val="24"/>
        </w:rPr>
      </w:pPr>
      <w:r w:rsidRPr="00F85EFF">
        <w:rPr>
          <w:szCs w:val="24"/>
        </w:rPr>
        <w:t>Following the adoption o</w:t>
      </w:r>
      <w:r>
        <w:rPr>
          <w:szCs w:val="24"/>
        </w:rPr>
        <w:t>f</w:t>
      </w:r>
      <w:r w:rsidRPr="00F85EFF">
        <w:rPr>
          <w:szCs w:val="24"/>
        </w:rPr>
        <w:t xml:space="preserve"> the new curriculum frameworks, </w:t>
      </w:r>
      <w:r>
        <w:rPr>
          <w:szCs w:val="24"/>
        </w:rPr>
        <w:t xml:space="preserve">the Department developed and disseminated its plan for </w:t>
      </w:r>
      <w:r w:rsidRPr="00F85EFF">
        <w:rPr>
          <w:szCs w:val="24"/>
        </w:rPr>
        <w:t xml:space="preserve">schools and districts </w:t>
      </w:r>
      <w:r>
        <w:rPr>
          <w:szCs w:val="24"/>
        </w:rPr>
        <w:t xml:space="preserve">to transition to the new standards beginning in fall 2011 and culminating in full adoption by the 2013–14 school year. Districts and schools were provided with information on how MCAS would transition (e.g., which standards would be assessed in each year of the transition period), culminating in the 2014–15 school year when the </w:t>
      </w:r>
      <w:r>
        <w:rPr>
          <w:szCs w:val="24"/>
        </w:rPr>
        <w:lastRenderedPageBreak/>
        <w:t>MCAS tests will assess a full range of the 2011 standards.</w:t>
      </w:r>
    </w:p>
    <w:p w:rsidR="00B06468" w:rsidRPr="00F85EFF" w:rsidRDefault="00B06468" w:rsidP="00B06468">
      <w:pPr>
        <w:spacing w:before="100" w:beforeAutospacing="1" w:after="100" w:afterAutospacing="1"/>
        <w:rPr>
          <w:b/>
          <w:szCs w:val="24"/>
        </w:rPr>
      </w:pPr>
      <w:r>
        <w:rPr>
          <w:b/>
          <w:szCs w:val="24"/>
        </w:rPr>
        <w:t xml:space="preserve">The </w:t>
      </w:r>
      <w:r w:rsidRPr="00F85EFF">
        <w:rPr>
          <w:b/>
          <w:szCs w:val="24"/>
        </w:rPr>
        <w:t>PARCC</w:t>
      </w:r>
      <w:r>
        <w:rPr>
          <w:b/>
          <w:szCs w:val="24"/>
        </w:rPr>
        <w:t xml:space="preserve"> Consortium</w:t>
      </w:r>
    </w:p>
    <w:p w:rsidR="00B06468" w:rsidRDefault="00B06468" w:rsidP="00EF081E">
      <w:pPr>
        <w:spacing w:before="100" w:beforeAutospacing="1" w:after="100" w:afterAutospacing="1"/>
        <w:rPr>
          <w:szCs w:val="24"/>
        </w:rPr>
      </w:pPr>
      <w:r>
        <w:rPr>
          <w:szCs w:val="24"/>
        </w:rPr>
        <w:t>In the fall of 2008, with our assessment contract coming to a conclusion, we executed a procurement process to secure the next multi-year assessment contract. Among the components that we included in the Request for Proposals were a number of new development efforts to augment the existing MCAS. These included the development and piloting of online assessment administration, expanded performance-based components, and implementation of a history/social studies assessment. The fiscal downturn of FY 2009 and beyond resulted in substantial cuts to DESE’s budget, including the MCAS budget. The resulting diminished budget was just enough to support the core MCAS assessment and was not sufficient to support the development of new components or expanded performance tasks.</w:t>
      </w:r>
    </w:p>
    <w:p w:rsidR="00B06468" w:rsidRDefault="00B06468" w:rsidP="00B06468">
      <w:pPr>
        <w:spacing w:before="100" w:beforeAutospacing="1" w:after="100" w:afterAutospacing="1"/>
        <w:rPr>
          <w:szCs w:val="24"/>
        </w:rPr>
      </w:pPr>
      <w:r>
        <w:rPr>
          <w:szCs w:val="24"/>
        </w:rPr>
        <w:t xml:space="preserve">A priority of the CCSS effort was to develop a set of common standards so that states could make use of an unprecedented opportunity to use federal funds for assessment with the Race to the Top assessment grant program. Two multi-state consortia were launched: PARCC and Smarter Balanced Assessment Consortium (known as “SBAC”). </w:t>
      </w:r>
    </w:p>
    <w:p w:rsidR="00B06468" w:rsidRDefault="00B06468" w:rsidP="00B06468">
      <w:pPr>
        <w:spacing w:before="100" w:beforeAutospacing="1" w:after="100" w:afterAutospacing="1"/>
        <w:rPr>
          <w:szCs w:val="24"/>
        </w:rPr>
      </w:pPr>
      <w:r>
        <w:rPr>
          <w:szCs w:val="24"/>
        </w:rPr>
        <w:t xml:space="preserve">In 2010, after a careful review of both consortia and the needs of the state, Massachusetts joined PARCC as a “governing state” through a memorandum of agreement (MOA) jointly signed by Governor Patrick, former Secretary of Education Reville, and myself as Commissioner of Elementary and Secondary Education. </w:t>
      </w:r>
    </w:p>
    <w:p w:rsidR="00B06468" w:rsidRPr="00F85EFF" w:rsidRDefault="00B06468" w:rsidP="00B06468">
      <w:pPr>
        <w:spacing w:before="100" w:beforeAutospacing="1" w:after="100" w:afterAutospacing="1"/>
        <w:rPr>
          <w:szCs w:val="24"/>
        </w:rPr>
      </w:pPr>
      <w:r w:rsidRPr="00F85EFF">
        <w:rPr>
          <w:szCs w:val="24"/>
        </w:rPr>
        <w:t>PARCC is a multi-state alliance working to create next</w:t>
      </w:r>
      <w:r>
        <w:rPr>
          <w:szCs w:val="24"/>
        </w:rPr>
        <w:t>-</w:t>
      </w:r>
      <w:r w:rsidRPr="00F85EFF">
        <w:rPr>
          <w:szCs w:val="24"/>
        </w:rPr>
        <w:t xml:space="preserve">generation assessments in English language arts/literacy and mathematics aligned to the </w:t>
      </w:r>
      <w:r>
        <w:rPr>
          <w:szCs w:val="24"/>
        </w:rPr>
        <w:t>CCSS</w:t>
      </w:r>
      <w:r w:rsidRPr="00F85EFF">
        <w:rPr>
          <w:szCs w:val="24"/>
        </w:rPr>
        <w:t xml:space="preserve"> and anchored in what students need to be ready for college and careers. The consortium's work is funded by a four-year</w:t>
      </w:r>
      <w:r w:rsidR="00EC3811">
        <w:rPr>
          <w:szCs w:val="24"/>
        </w:rPr>
        <w:t>,</w:t>
      </w:r>
      <w:r w:rsidRPr="00F85EFF">
        <w:rPr>
          <w:szCs w:val="24"/>
        </w:rPr>
        <w:t xml:space="preserve"> $186 million </w:t>
      </w:r>
      <w:r>
        <w:rPr>
          <w:szCs w:val="24"/>
        </w:rPr>
        <w:t xml:space="preserve">federal </w:t>
      </w:r>
      <w:r w:rsidRPr="00F85EFF">
        <w:rPr>
          <w:szCs w:val="24"/>
        </w:rPr>
        <w:t xml:space="preserve">Race to the Top Assessment </w:t>
      </w:r>
      <w:r>
        <w:rPr>
          <w:szCs w:val="24"/>
        </w:rPr>
        <w:t>Grant.</w:t>
      </w:r>
    </w:p>
    <w:p w:rsidR="00B06468" w:rsidRPr="0041711A" w:rsidRDefault="00B06468" w:rsidP="0041711A">
      <w:pPr>
        <w:spacing w:before="100" w:beforeAutospacing="1" w:after="100" w:afterAutospacing="1"/>
        <w:rPr>
          <w:szCs w:val="24"/>
        </w:rPr>
      </w:pPr>
      <w:r w:rsidRPr="00F85EFF">
        <w:rPr>
          <w:szCs w:val="24"/>
        </w:rPr>
        <w:t xml:space="preserve">PARCC is a state-led enterprise composed of “governing states" and "participating states." Governing states are committed to active involvement in the governance of the consortium and the development of the PARCC assessments. Massachusetts is a governing state in PARCC, and I serve as the chair of the PARCC Governing Board. </w:t>
      </w:r>
      <w:r>
        <w:rPr>
          <w:szCs w:val="24"/>
        </w:rPr>
        <w:t>The MOA we submitt</w:t>
      </w:r>
      <w:r w:rsidRPr="003809D8">
        <w:rPr>
          <w:szCs w:val="24"/>
        </w:rPr>
        <w:t xml:space="preserve">ed stipulated that Massachusetts will adopt the PARCC ELA and mathematics assessments provided they are </w:t>
      </w:r>
      <w:r>
        <w:rPr>
          <w:szCs w:val="24"/>
        </w:rPr>
        <w:t xml:space="preserve">at least </w:t>
      </w:r>
      <w:r w:rsidRPr="003809D8">
        <w:rPr>
          <w:szCs w:val="24"/>
        </w:rPr>
        <w:t>as comprehensive and rigorous as</w:t>
      </w:r>
      <w:r>
        <w:rPr>
          <w:szCs w:val="24"/>
        </w:rPr>
        <w:t xml:space="preserve"> </w:t>
      </w:r>
      <w:r w:rsidRPr="003809D8">
        <w:rPr>
          <w:szCs w:val="24"/>
        </w:rPr>
        <w:t xml:space="preserve">our current MCAS assessments, if not more </w:t>
      </w:r>
      <w:r>
        <w:rPr>
          <w:szCs w:val="24"/>
        </w:rPr>
        <w:t>so</w:t>
      </w:r>
      <w:r w:rsidRPr="003809D8">
        <w:rPr>
          <w:szCs w:val="24"/>
        </w:rPr>
        <w:t>.</w:t>
      </w:r>
      <w:r>
        <w:rPr>
          <w:szCs w:val="24"/>
        </w:rPr>
        <w:br/>
      </w:r>
      <w:r w:rsidR="0041711A">
        <w:rPr>
          <w:szCs w:val="24"/>
        </w:rPr>
        <w:br/>
      </w:r>
      <w:r>
        <w:rPr>
          <w:b/>
          <w:szCs w:val="24"/>
        </w:rPr>
        <w:t>PARCC Assessment Design</w:t>
      </w:r>
    </w:p>
    <w:p w:rsidR="00B06468" w:rsidRPr="00F85EFF" w:rsidRDefault="00B06468" w:rsidP="00B06468">
      <w:pPr>
        <w:spacing w:before="100" w:beforeAutospacing="1" w:after="100" w:afterAutospacing="1"/>
        <w:rPr>
          <w:szCs w:val="24"/>
        </w:rPr>
      </w:pPr>
      <w:r w:rsidRPr="00F85EFF">
        <w:rPr>
          <w:szCs w:val="24"/>
        </w:rPr>
        <w:t>The PARCC assessment system has several components. Each component will be computer-based and will use technology to incorporate innovations:</w:t>
      </w:r>
    </w:p>
    <w:p w:rsidR="00B06468" w:rsidRPr="00F85EFF" w:rsidRDefault="00B06468" w:rsidP="00B06468">
      <w:pPr>
        <w:widowControl/>
        <w:numPr>
          <w:ilvl w:val="0"/>
          <w:numId w:val="14"/>
        </w:numPr>
        <w:spacing w:before="100" w:beforeAutospacing="1" w:after="100" w:afterAutospacing="1"/>
        <w:rPr>
          <w:szCs w:val="24"/>
        </w:rPr>
      </w:pPr>
      <w:r>
        <w:rPr>
          <w:szCs w:val="24"/>
        </w:rPr>
        <w:t xml:space="preserve">SUMMATIVE ASSESSMENTS: A </w:t>
      </w:r>
      <w:r w:rsidRPr="00A06C93">
        <w:rPr>
          <w:b/>
          <w:szCs w:val="24"/>
        </w:rPr>
        <w:t>performance-based assessment</w:t>
      </w:r>
      <w:r>
        <w:rPr>
          <w:szCs w:val="24"/>
        </w:rPr>
        <w:t xml:space="preserve"> administered after three quarters of the school year has been completed and a </w:t>
      </w:r>
      <w:r w:rsidRPr="00A06C93">
        <w:rPr>
          <w:b/>
          <w:szCs w:val="24"/>
        </w:rPr>
        <w:t>computer-scored end-of-year</w:t>
      </w:r>
      <w:r>
        <w:rPr>
          <w:szCs w:val="24"/>
        </w:rPr>
        <w:t xml:space="preserve"> </w:t>
      </w:r>
      <w:r w:rsidRPr="00A06C93">
        <w:rPr>
          <w:b/>
          <w:szCs w:val="24"/>
        </w:rPr>
        <w:t>assessment</w:t>
      </w:r>
      <w:r>
        <w:rPr>
          <w:szCs w:val="24"/>
        </w:rPr>
        <w:t xml:space="preserve"> for both ELA and mathematics </w:t>
      </w:r>
      <w:r w:rsidRPr="00F85EFF">
        <w:rPr>
          <w:szCs w:val="24"/>
        </w:rPr>
        <w:t>in grades 3</w:t>
      </w:r>
      <w:r>
        <w:rPr>
          <w:szCs w:val="24"/>
        </w:rPr>
        <w:t>–</w:t>
      </w:r>
      <w:r w:rsidRPr="00F85EFF">
        <w:rPr>
          <w:szCs w:val="24"/>
        </w:rPr>
        <w:t xml:space="preserve">11 designed to: </w:t>
      </w:r>
      <w:r w:rsidR="00EF081E">
        <w:rPr>
          <w:szCs w:val="24"/>
        </w:rPr>
        <w:br/>
      </w:r>
    </w:p>
    <w:p w:rsidR="00B06468" w:rsidRPr="00F85EFF" w:rsidRDefault="00B06468" w:rsidP="00EF081E">
      <w:pPr>
        <w:widowControl/>
        <w:numPr>
          <w:ilvl w:val="1"/>
          <w:numId w:val="14"/>
        </w:numPr>
        <w:spacing w:before="120" w:after="120"/>
        <w:rPr>
          <w:szCs w:val="24"/>
        </w:rPr>
      </w:pPr>
      <w:r>
        <w:rPr>
          <w:szCs w:val="24"/>
        </w:rPr>
        <w:lastRenderedPageBreak/>
        <w:t>m</w:t>
      </w:r>
      <w:r w:rsidRPr="00F85EFF">
        <w:rPr>
          <w:szCs w:val="24"/>
        </w:rPr>
        <w:t xml:space="preserve">ake college- and career-readiness </w:t>
      </w:r>
      <w:r>
        <w:rPr>
          <w:szCs w:val="24"/>
        </w:rPr>
        <w:t xml:space="preserve">(CCR) </w:t>
      </w:r>
      <w:r w:rsidRPr="00F85EFF">
        <w:rPr>
          <w:szCs w:val="24"/>
        </w:rPr>
        <w:t>and on-track</w:t>
      </w:r>
      <w:r>
        <w:rPr>
          <w:szCs w:val="24"/>
        </w:rPr>
        <w:t xml:space="preserve">-to-achieve-CCR </w:t>
      </w:r>
      <w:r w:rsidRPr="00F85EFF">
        <w:rPr>
          <w:szCs w:val="24"/>
        </w:rPr>
        <w:t>determinations</w:t>
      </w:r>
      <w:r>
        <w:rPr>
          <w:szCs w:val="24"/>
        </w:rPr>
        <w:t>;</w:t>
      </w:r>
    </w:p>
    <w:p w:rsidR="00B06468" w:rsidRPr="00F85EFF" w:rsidRDefault="00B06468" w:rsidP="00EF081E">
      <w:pPr>
        <w:widowControl/>
        <w:numPr>
          <w:ilvl w:val="1"/>
          <w:numId w:val="14"/>
        </w:numPr>
        <w:spacing w:before="120" w:after="120"/>
        <w:rPr>
          <w:szCs w:val="24"/>
        </w:rPr>
      </w:pPr>
      <w:r>
        <w:rPr>
          <w:szCs w:val="24"/>
        </w:rPr>
        <w:t>m</w:t>
      </w:r>
      <w:r w:rsidRPr="00F85EFF">
        <w:rPr>
          <w:szCs w:val="24"/>
        </w:rPr>
        <w:t xml:space="preserve">easure the full range of standards and </w:t>
      </w:r>
      <w:r>
        <w:rPr>
          <w:szCs w:val="24"/>
        </w:rPr>
        <w:t xml:space="preserve">the </w:t>
      </w:r>
      <w:r w:rsidRPr="00F85EFF">
        <w:rPr>
          <w:szCs w:val="24"/>
        </w:rPr>
        <w:t>full continuum</w:t>
      </w:r>
      <w:r>
        <w:rPr>
          <w:szCs w:val="24"/>
        </w:rPr>
        <w:t xml:space="preserve"> of student performance;</w:t>
      </w:r>
    </w:p>
    <w:p w:rsidR="00B06468" w:rsidRPr="00F85EFF" w:rsidRDefault="00B06468" w:rsidP="00EF081E">
      <w:pPr>
        <w:widowControl/>
        <w:numPr>
          <w:ilvl w:val="1"/>
          <w:numId w:val="14"/>
        </w:numPr>
        <w:spacing w:before="120" w:after="120"/>
        <w:rPr>
          <w:szCs w:val="24"/>
        </w:rPr>
      </w:pPr>
      <w:r>
        <w:rPr>
          <w:szCs w:val="24"/>
        </w:rPr>
        <w:t>p</w:t>
      </w:r>
      <w:r w:rsidRPr="00F85EFF">
        <w:rPr>
          <w:szCs w:val="24"/>
        </w:rPr>
        <w:t>rovide data for accountability uses, including measures of growth.</w:t>
      </w:r>
      <w:r>
        <w:rPr>
          <w:szCs w:val="24"/>
        </w:rPr>
        <w:br/>
      </w:r>
    </w:p>
    <w:p w:rsidR="00B06468" w:rsidRPr="00F85EFF" w:rsidRDefault="00B06468" w:rsidP="00B06468">
      <w:pPr>
        <w:widowControl/>
        <w:numPr>
          <w:ilvl w:val="0"/>
          <w:numId w:val="14"/>
        </w:numPr>
        <w:spacing w:before="100" w:beforeAutospacing="1" w:after="100" w:afterAutospacing="1"/>
        <w:rPr>
          <w:szCs w:val="24"/>
        </w:rPr>
      </w:pPr>
      <w:r>
        <w:rPr>
          <w:szCs w:val="24"/>
        </w:rPr>
        <w:t xml:space="preserve">NON-SUMMATIVE ASSESSMENTS: </w:t>
      </w:r>
      <w:r w:rsidRPr="00F85EFF">
        <w:rPr>
          <w:szCs w:val="24"/>
        </w:rPr>
        <w:t>T</w:t>
      </w:r>
      <w:r>
        <w:rPr>
          <w:szCs w:val="24"/>
        </w:rPr>
        <w:t>hree</w:t>
      </w:r>
      <w:r w:rsidRPr="00F85EFF">
        <w:rPr>
          <w:szCs w:val="24"/>
        </w:rPr>
        <w:t xml:space="preserve"> non-summative</w:t>
      </w:r>
      <w:r>
        <w:rPr>
          <w:szCs w:val="24"/>
        </w:rPr>
        <w:t xml:space="preserve"> </w:t>
      </w:r>
      <w:r w:rsidRPr="00F85EFF">
        <w:rPr>
          <w:szCs w:val="24"/>
        </w:rPr>
        <w:t xml:space="preserve">assessment components designed to generate timely information for informing instruction, interventions, and professional development during the school </w:t>
      </w:r>
      <w:r>
        <w:rPr>
          <w:szCs w:val="24"/>
        </w:rPr>
        <w:t>year:</w:t>
      </w:r>
      <w:r w:rsidR="00EF081E">
        <w:rPr>
          <w:szCs w:val="24"/>
        </w:rPr>
        <w:br/>
      </w:r>
    </w:p>
    <w:p w:rsidR="00B06468" w:rsidRDefault="00B06468" w:rsidP="00EF081E">
      <w:pPr>
        <w:widowControl/>
        <w:numPr>
          <w:ilvl w:val="1"/>
          <w:numId w:val="14"/>
        </w:numPr>
        <w:spacing w:before="120" w:after="120"/>
        <w:rPr>
          <w:szCs w:val="24"/>
        </w:rPr>
      </w:pPr>
      <w:r>
        <w:rPr>
          <w:szCs w:val="24"/>
        </w:rPr>
        <w:t>a</w:t>
      </w:r>
      <w:r w:rsidRPr="00F85EFF">
        <w:rPr>
          <w:szCs w:val="24"/>
        </w:rPr>
        <w:t xml:space="preserve"> </w:t>
      </w:r>
      <w:r>
        <w:rPr>
          <w:szCs w:val="24"/>
        </w:rPr>
        <w:t>required</w:t>
      </w:r>
      <w:r w:rsidRPr="00F85EFF">
        <w:rPr>
          <w:szCs w:val="24"/>
        </w:rPr>
        <w:t xml:space="preserve"> assess</w:t>
      </w:r>
      <w:r>
        <w:rPr>
          <w:szCs w:val="24"/>
        </w:rPr>
        <w:t>ment of</w:t>
      </w:r>
      <w:r w:rsidRPr="00F85EFF">
        <w:rPr>
          <w:szCs w:val="24"/>
        </w:rPr>
        <w:t xml:space="preserve"> students' speaking and listening skills</w:t>
      </w:r>
    </w:p>
    <w:p w:rsidR="00B06468" w:rsidRDefault="00B06468" w:rsidP="00EF081E">
      <w:pPr>
        <w:widowControl/>
        <w:numPr>
          <w:ilvl w:val="1"/>
          <w:numId w:val="14"/>
        </w:numPr>
        <w:spacing w:before="120" w:after="120"/>
        <w:rPr>
          <w:szCs w:val="24"/>
        </w:rPr>
      </w:pPr>
      <w:r>
        <w:rPr>
          <w:szCs w:val="24"/>
        </w:rPr>
        <w:t>an optional diagnostic assessment</w:t>
      </w:r>
    </w:p>
    <w:p w:rsidR="00B06468" w:rsidRPr="00F85EFF" w:rsidRDefault="00B06468" w:rsidP="00EF081E">
      <w:pPr>
        <w:widowControl/>
        <w:numPr>
          <w:ilvl w:val="1"/>
          <w:numId w:val="14"/>
        </w:numPr>
        <w:spacing w:before="120" w:after="120"/>
        <w:rPr>
          <w:szCs w:val="24"/>
        </w:rPr>
      </w:pPr>
      <w:r>
        <w:rPr>
          <w:szCs w:val="24"/>
        </w:rPr>
        <w:t>an optional mid-year performance-based assessment</w:t>
      </w:r>
    </w:p>
    <w:p w:rsidR="00B06468" w:rsidRDefault="00B06468" w:rsidP="00B06468">
      <w:pPr>
        <w:spacing w:before="100" w:beforeAutospacing="1" w:after="100" w:afterAutospacing="1"/>
        <w:rPr>
          <w:szCs w:val="24"/>
        </w:rPr>
      </w:pPr>
      <w:r w:rsidRPr="00F85EFF">
        <w:rPr>
          <w:szCs w:val="24"/>
        </w:rPr>
        <w:t xml:space="preserve">Particularly </w:t>
      </w:r>
      <w:r>
        <w:rPr>
          <w:szCs w:val="24"/>
        </w:rPr>
        <w:t xml:space="preserve">significant for Massachusetts is that </w:t>
      </w:r>
      <w:r w:rsidRPr="00F85EFF">
        <w:rPr>
          <w:szCs w:val="24"/>
        </w:rPr>
        <w:t>PARCC</w:t>
      </w:r>
      <w:r>
        <w:rPr>
          <w:szCs w:val="24"/>
        </w:rPr>
        <w:t xml:space="preserve"> will</w:t>
      </w:r>
      <w:r w:rsidRPr="00F85EFF">
        <w:rPr>
          <w:szCs w:val="24"/>
        </w:rPr>
        <w:t xml:space="preserve"> assess writing at all grade levels (compared to grades 4, 7, and 10 </w:t>
      </w:r>
      <w:r>
        <w:rPr>
          <w:szCs w:val="24"/>
        </w:rPr>
        <w:t xml:space="preserve">with </w:t>
      </w:r>
      <w:r w:rsidRPr="00F85EFF">
        <w:rPr>
          <w:szCs w:val="24"/>
        </w:rPr>
        <w:t xml:space="preserve">MCAS) and </w:t>
      </w:r>
      <w:r>
        <w:rPr>
          <w:szCs w:val="24"/>
        </w:rPr>
        <w:t>will include</w:t>
      </w:r>
      <w:r w:rsidRPr="00F85EFF">
        <w:rPr>
          <w:szCs w:val="24"/>
        </w:rPr>
        <w:t xml:space="preserve"> rigorous performance-based assessments that will better measure the knowledge, skills, and practices required for success in college and the workplace. </w:t>
      </w:r>
    </w:p>
    <w:p w:rsidR="00B06468" w:rsidRDefault="00B06468" w:rsidP="00B06468">
      <w:pPr>
        <w:spacing w:before="100" w:beforeAutospacing="1" w:after="100" w:afterAutospacing="1"/>
        <w:rPr>
          <w:b/>
          <w:szCs w:val="24"/>
        </w:rPr>
      </w:pPr>
      <w:r w:rsidRPr="00F85EFF">
        <w:rPr>
          <w:szCs w:val="24"/>
        </w:rPr>
        <w:t xml:space="preserve">Because the </w:t>
      </w:r>
      <w:r>
        <w:rPr>
          <w:szCs w:val="24"/>
        </w:rPr>
        <w:t xml:space="preserve">PARCC </w:t>
      </w:r>
      <w:r w:rsidRPr="00F85EFF">
        <w:rPr>
          <w:szCs w:val="24"/>
        </w:rPr>
        <w:t xml:space="preserve">assessments will be computer-based, they will </w:t>
      </w:r>
      <w:r>
        <w:rPr>
          <w:szCs w:val="24"/>
        </w:rPr>
        <w:t xml:space="preserve">provide opportunities to include innovative constructed-response items that promise to </w:t>
      </w:r>
      <w:r w:rsidRPr="00F85EFF">
        <w:rPr>
          <w:szCs w:val="24"/>
        </w:rPr>
        <w:t>be more authentic and engaging for students</w:t>
      </w:r>
      <w:r>
        <w:rPr>
          <w:szCs w:val="24"/>
        </w:rPr>
        <w:t>. PARCC</w:t>
      </w:r>
      <w:r w:rsidRPr="00F85EFF">
        <w:rPr>
          <w:szCs w:val="24"/>
        </w:rPr>
        <w:t xml:space="preserve"> will produce more timely results for educators, and have the potential to reduce our costs for English language arts and mathematics assessments.</w:t>
      </w:r>
    </w:p>
    <w:p w:rsidR="00B06468" w:rsidRDefault="00B06468" w:rsidP="00B06468">
      <w:pPr>
        <w:spacing w:before="100" w:beforeAutospacing="1" w:after="100" w:afterAutospacing="1"/>
        <w:rPr>
          <w:b/>
          <w:szCs w:val="24"/>
        </w:rPr>
      </w:pPr>
      <w:r>
        <w:rPr>
          <w:b/>
          <w:szCs w:val="24"/>
        </w:rPr>
        <w:t>T</w:t>
      </w:r>
      <w:r w:rsidRPr="00F85EFF">
        <w:rPr>
          <w:b/>
          <w:szCs w:val="24"/>
        </w:rPr>
        <w:t>ime</w:t>
      </w:r>
      <w:r>
        <w:rPr>
          <w:b/>
          <w:szCs w:val="24"/>
        </w:rPr>
        <w:t xml:space="preserve"> L</w:t>
      </w:r>
      <w:r w:rsidRPr="00F85EFF">
        <w:rPr>
          <w:b/>
          <w:szCs w:val="24"/>
        </w:rPr>
        <w:t xml:space="preserve">ine for </w:t>
      </w:r>
      <w:r>
        <w:rPr>
          <w:b/>
          <w:szCs w:val="24"/>
        </w:rPr>
        <w:t>Two-Year T</w:t>
      </w:r>
      <w:r w:rsidRPr="00F85EFF">
        <w:rPr>
          <w:b/>
          <w:szCs w:val="24"/>
        </w:rPr>
        <w:t>ransition from MCAS to PARC</w:t>
      </w:r>
      <w:r>
        <w:rPr>
          <w:b/>
          <w:szCs w:val="24"/>
        </w:rPr>
        <w:t>C</w:t>
      </w:r>
    </w:p>
    <w:p w:rsidR="00B06468" w:rsidRDefault="00B06468" w:rsidP="00B06468">
      <w:pPr>
        <w:spacing w:before="100" w:beforeAutospacing="1" w:after="100" w:afterAutospacing="1"/>
        <w:rPr>
          <w:szCs w:val="24"/>
        </w:rPr>
      </w:pPr>
      <w:r>
        <w:rPr>
          <w:szCs w:val="24"/>
        </w:rPr>
        <w:t xml:space="preserve">The Department envisions a two-year transition period to move from MCAS to PARCC. This will afford our teachers and schools additional time to refine their implementation of the 2011 frameworks in ELA and mathematics and to become acclimated to new online test administration procedures prior to the full-scale implementation of PARCC. </w:t>
      </w:r>
    </w:p>
    <w:p w:rsidR="0085082D" w:rsidRDefault="0085082D" w:rsidP="00B06468">
      <w:pPr>
        <w:spacing w:before="100" w:beforeAutospacing="1" w:after="100" w:afterAutospacing="1"/>
        <w:rPr>
          <w:szCs w:val="24"/>
        </w:rPr>
      </w:pPr>
      <w:r>
        <w:rPr>
          <w:szCs w:val="24"/>
        </w:rPr>
        <w:t>Following</w:t>
      </w:r>
      <w:r w:rsidR="00B06468">
        <w:rPr>
          <w:szCs w:val="24"/>
        </w:rPr>
        <w:t xml:space="preserve"> is a time line of major milestones, with anticipated Board actions indicated by a check mark. </w:t>
      </w:r>
    </w:p>
    <w:tbl>
      <w:tblPr>
        <w:tblW w:w="0" w:type="auto"/>
        <w:tblLook w:val="04A0" w:firstRow="1" w:lastRow="0" w:firstColumn="1" w:lastColumn="0" w:noHBand="0" w:noVBand="1"/>
      </w:tblPr>
      <w:tblGrid>
        <w:gridCol w:w="400"/>
        <w:gridCol w:w="2808"/>
        <w:gridCol w:w="6368"/>
      </w:tblGrid>
      <w:tr w:rsidR="00B06468" w:rsidTr="00B06468">
        <w:trPr>
          <w:trHeight w:val="323"/>
        </w:trPr>
        <w:tc>
          <w:tcPr>
            <w:tcW w:w="3208" w:type="dxa"/>
            <w:gridSpan w:val="2"/>
            <w:tcBorders>
              <w:top w:val="single" w:sz="4" w:space="0" w:color="auto"/>
            </w:tcBorders>
          </w:tcPr>
          <w:p w:rsidR="00B06468" w:rsidRPr="00B06468" w:rsidRDefault="00B06468" w:rsidP="00B06468">
            <w:pPr>
              <w:spacing w:before="100" w:beforeAutospacing="1" w:after="100" w:afterAutospacing="1"/>
              <w:rPr>
                <w:szCs w:val="24"/>
              </w:rPr>
            </w:pPr>
            <w:r w:rsidRPr="00B06468">
              <w:rPr>
                <w:b/>
                <w:szCs w:val="24"/>
              </w:rPr>
              <w:t>2013–2014 School Year</w:t>
            </w:r>
          </w:p>
        </w:tc>
        <w:tc>
          <w:tcPr>
            <w:tcW w:w="6368" w:type="dxa"/>
            <w:tcBorders>
              <w:top w:val="single" w:sz="4" w:space="0" w:color="auto"/>
            </w:tcBorders>
          </w:tcPr>
          <w:p w:rsidR="00B06468" w:rsidRPr="00B06468" w:rsidRDefault="00B06468" w:rsidP="00B06468">
            <w:pPr>
              <w:spacing w:before="100" w:beforeAutospacing="1" w:after="100" w:afterAutospacing="1"/>
              <w:rPr>
                <w:szCs w:val="24"/>
              </w:rPr>
            </w:pPr>
          </w:p>
        </w:tc>
      </w:tr>
      <w:tr w:rsidR="00B06468" w:rsidTr="00B06468">
        <w:trPr>
          <w:trHeight w:val="396"/>
        </w:trPr>
        <w:tc>
          <w:tcPr>
            <w:tcW w:w="400" w:type="dxa"/>
          </w:tcPr>
          <w:p w:rsidR="00B06468" w:rsidRPr="00B06468" w:rsidRDefault="00B06468" w:rsidP="00B06468">
            <w:pPr>
              <w:spacing w:before="100" w:beforeAutospacing="1" w:after="100" w:afterAutospacing="1"/>
              <w:rPr>
                <w:szCs w:val="24"/>
              </w:rPr>
            </w:pPr>
            <w:r w:rsidRPr="00B06468">
              <w:rPr>
                <w:b/>
                <w:szCs w:val="24"/>
              </w:rPr>
              <w:sym w:font="Wingdings 2" w:char="F050"/>
            </w:r>
          </w:p>
        </w:tc>
        <w:tc>
          <w:tcPr>
            <w:tcW w:w="2808" w:type="dxa"/>
          </w:tcPr>
          <w:p w:rsidR="00B06468" w:rsidRPr="00B06468" w:rsidRDefault="00B06468" w:rsidP="00B06468">
            <w:pPr>
              <w:spacing w:before="100" w:beforeAutospacing="1" w:after="100" w:afterAutospacing="1"/>
              <w:rPr>
                <w:szCs w:val="24"/>
              </w:rPr>
            </w:pPr>
            <w:r w:rsidRPr="00B06468">
              <w:rPr>
                <w:szCs w:val="24"/>
              </w:rPr>
              <w:t xml:space="preserve">October or November 2013: </w:t>
            </w:r>
          </w:p>
        </w:tc>
        <w:tc>
          <w:tcPr>
            <w:tcW w:w="6368" w:type="dxa"/>
          </w:tcPr>
          <w:p w:rsidR="00B06468" w:rsidRPr="00B06468" w:rsidRDefault="00B06468" w:rsidP="00EF081E">
            <w:pPr>
              <w:spacing w:before="100" w:beforeAutospacing="1" w:after="100" w:afterAutospacing="1"/>
              <w:rPr>
                <w:szCs w:val="24"/>
              </w:rPr>
            </w:pPr>
            <w:r w:rsidRPr="00B06468">
              <w:rPr>
                <w:szCs w:val="24"/>
              </w:rPr>
              <w:t>Following discussion in September, Board votes on plan for two-year transition from MCAS to PARCC</w:t>
            </w:r>
          </w:p>
        </w:tc>
      </w:tr>
      <w:tr w:rsidR="00B06468" w:rsidTr="00EF081E">
        <w:trPr>
          <w:trHeight w:val="585"/>
        </w:trPr>
        <w:tc>
          <w:tcPr>
            <w:tcW w:w="400" w:type="dxa"/>
            <w:tcBorders>
              <w:bottom w:val="single" w:sz="4" w:space="0" w:color="auto"/>
            </w:tcBorders>
          </w:tcPr>
          <w:p w:rsidR="00B06468" w:rsidRPr="00B06468" w:rsidRDefault="00B06468" w:rsidP="00B06468">
            <w:pPr>
              <w:spacing w:before="100" w:beforeAutospacing="1" w:after="100" w:afterAutospacing="1"/>
              <w:rPr>
                <w:szCs w:val="24"/>
              </w:rPr>
            </w:pPr>
          </w:p>
        </w:tc>
        <w:tc>
          <w:tcPr>
            <w:tcW w:w="2808" w:type="dxa"/>
            <w:tcBorders>
              <w:bottom w:val="single" w:sz="4" w:space="0" w:color="auto"/>
            </w:tcBorders>
          </w:tcPr>
          <w:p w:rsidR="00B06468" w:rsidRPr="00B06468" w:rsidRDefault="00B06468" w:rsidP="00B06468">
            <w:pPr>
              <w:pStyle w:val="NoSpacing"/>
              <w:widowControl w:val="0"/>
              <w:rPr>
                <w:rFonts w:ascii="Times New Roman" w:hAnsi="Times New Roman" w:cs="Times New Roman"/>
                <w:snapToGrid w:val="0"/>
                <w:sz w:val="24"/>
                <w:szCs w:val="24"/>
              </w:rPr>
            </w:pPr>
          </w:p>
          <w:p w:rsidR="00B06468" w:rsidRPr="00B06468" w:rsidRDefault="00B06468" w:rsidP="00B06468">
            <w:pPr>
              <w:pStyle w:val="NoSpacing"/>
              <w:widowControl w:val="0"/>
              <w:rPr>
                <w:rFonts w:ascii="Times New Roman" w:hAnsi="Times New Roman" w:cs="Times New Roman"/>
                <w:snapToGrid w:val="0"/>
                <w:sz w:val="24"/>
                <w:szCs w:val="24"/>
              </w:rPr>
            </w:pPr>
            <w:r w:rsidRPr="00B06468">
              <w:rPr>
                <w:rFonts w:ascii="Times New Roman" w:hAnsi="Times New Roman" w:cs="Times New Roman"/>
                <w:snapToGrid w:val="0"/>
                <w:sz w:val="24"/>
                <w:szCs w:val="24"/>
              </w:rPr>
              <w:t xml:space="preserve">Spring 2014: </w:t>
            </w:r>
          </w:p>
        </w:tc>
        <w:tc>
          <w:tcPr>
            <w:tcW w:w="6368" w:type="dxa"/>
            <w:tcBorders>
              <w:bottom w:val="single" w:sz="4" w:space="0" w:color="auto"/>
            </w:tcBorders>
          </w:tcPr>
          <w:p w:rsidR="00B06468" w:rsidRPr="00B06468" w:rsidRDefault="00B06468" w:rsidP="00B06468">
            <w:pPr>
              <w:pStyle w:val="NoSpacing"/>
              <w:widowControl w:val="0"/>
              <w:rPr>
                <w:rFonts w:ascii="Times New Roman" w:hAnsi="Times New Roman" w:cs="Times New Roman"/>
                <w:snapToGrid w:val="0"/>
                <w:sz w:val="24"/>
                <w:szCs w:val="24"/>
              </w:rPr>
            </w:pPr>
          </w:p>
          <w:p w:rsidR="0085082D" w:rsidRPr="00B06468" w:rsidRDefault="00B06468" w:rsidP="00B06468">
            <w:pPr>
              <w:pStyle w:val="NoSpacing"/>
              <w:widowControl w:val="0"/>
              <w:rPr>
                <w:rFonts w:ascii="Times New Roman" w:hAnsi="Times New Roman" w:cs="Times New Roman"/>
                <w:snapToGrid w:val="0"/>
                <w:sz w:val="24"/>
                <w:szCs w:val="24"/>
              </w:rPr>
            </w:pPr>
            <w:r w:rsidRPr="00B06468">
              <w:rPr>
                <w:rFonts w:ascii="Times New Roman" w:hAnsi="Times New Roman" w:cs="Times New Roman"/>
                <w:snapToGrid w:val="0"/>
                <w:sz w:val="24"/>
                <w:szCs w:val="24"/>
              </w:rPr>
              <w:t>PARCC field test administered in randomly selected Massachusetts schools/classrooms (and in 13 other states)</w:t>
            </w:r>
          </w:p>
        </w:tc>
      </w:tr>
      <w:tr w:rsidR="00B06468" w:rsidTr="00EF081E">
        <w:trPr>
          <w:trHeight w:val="350"/>
        </w:trPr>
        <w:tc>
          <w:tcPr>
            <w:tcW w:w="3208" w:type="dxa"/>
            <w:gridSpan w:val="2"/>
            <w:tcBorders>
              <w:top w:val="single" w:sz="4" w:space="0" w:color="auto"/>
            </w:tcBorders>
          </w:tcPr>
          <w:p w:rsidR="00B06468" w:rsidRPr="00B06468" w:rsidRDefault="00B06468" w:rsidP="00B06468">
            <w:pPr>
              <w:pStyle w:val="ListParagraph"/>
              <w:spacing w:before="100" w:beforeAutospacing="1" w:after="100" w:afterAutospacing="1"/>
              <w:ind w:left="0"/>
              <w:rPr>
                <w:rFonts w:ascii="Times New Roman" w:hAnsi="Times New Roman" w:cs="Times New Roman"/>
                <w:sz w:val="24"/>
                <w:szCs w:val="24"/>
              </w:rPr>
            </w:pPr>
            <w:r w:rsidRPr="00B06468">
              <w:rPr>
                <w:rFonts w:ascii="Times New Roman" w:hAnsi="Times New Roman" w:cs="Times New Roman"/>
                <w:b/>
                <w:sz w:val="24"/>
                <w:szCs w:val="24"/>
              </w:rPr>
              <w:t>2014–2015 School Year</w:t>
            </w:r>
          </w:p>
        </w:tc>
        <w:tc>
          <w:tcPr>
            <w:tcW w:w="6368" w:type="dxa"/>
            <w:tcBorders>
              <w:top w:val="single" w:sz="4" w:space="0" w:color="auto"/>
            </w:tcBorders>
          </w:tcPr>
          <w:p w:rsidR="00B06468" w:rsidRPr="00B06468" w:rsidRDefault="00B06468" w:rsidP="00B06468">
            <w:pPr>
              <w:spacing w:before="100" w:beforeAutospacing="1" w:after="100" w:afterAutospacing="1"/>
              <w:rPr>
                <w:szCs w:val="24"/>
              </w:rPr>
            </w:pPr>
          </w:p>
        </w:tc>
      </w:tr>
      <w:tr w:rsidR="00B06468" w:rsidTr="00B06468">
        <w:trPr>
          <w:trHeight w:val="414"/>
        </w:trPr>
        <w:tc>
          <w:tcPr>
            <w:tcW w:w="400" w:type="dxa"/>
          </w:tcPr>
          <w:p w:rsidR="00B06468" w:rsidRPr="00B06468" w:rsidRDefault="00B06468" w:rsidP="00B06468">
            <w:pPr>
              <w:spacing w:before="100" w:beforeAutospacing="1" w:after="100" w:afterAutospacing="1"/>
              <w:rPr>
                <w:szCs w:val="24"/>
              </w:rPr>
            </w:pPr>
          </w:p>
        </w:tc>
        <w:tc>
          <w:tcPr>
            <w:tcW w:w="2808" w:type="dxa"/>
          </w:tcPr>
          <w:p w:rsidR="00B06468" w:rsidRPr="00B06468" w:rsidRDefault="00B06468" w:rsidP="00B06468">
            <w:pPr>
              <w:spacing w:before="100" w:beforeAutospacing="1" w:after="100" w:afterAutospacing="1"/>
              <w:rPr>
                <w:szCs w:val="24"/>
              </w:rPr>
            </w:pPr>
            <w:r w:rsidRPr="00B06468">
              <w:rPr>
                <w:szCs w:val="24"/>
              </w:rPr>
              <w:t xml:space="preserve">Early fall 2014: </w:t>
            </w:r>
          </w:p>
        </w:tc>
        <w:tc>
          <w:tcPr>
            <w:tcW w:w="6368" w:type="dxa"/>
          </w:tcPr>
          <w:p w:rsidR="00B06468" w:rsidRPr="00B06468" w:rsidRDefault="00B06468" w:rsidP="00B06468">
            <w:pPr>
              <w:spacing w:before="100" w:beforeAutospacing="1" w:after="100" w:afterAutospacing="1"/>
              <w:rPr>
                <w:szCs w:val="24"/>
              </w:rPr>
            </w:pPr>
            <w:r w:rsidRPr="00B06468">
              <w:rPr>
                <w:szCs w:val="24"/>
              </w:rPr>
              <w:t>Analysis of PARCC field-test data by Department staff</w:t>
            </w:r>
          </w:p>
        </w:tc>
      </w:tr>
      <w:tr w:rsidR="00B06468" w:rsidTr="00B06468">
        <w:trPr>
          <w:trHeight w:val="432"/>
        </w:trPr>
        <w:tc>
          <w:tcPr>
            <w:tcW w:w="400" w:type="dxa"/>
          </w:tcPr>
          <w:p w:rsidR="00B06468" w:rsidRPr="00B06468" w:rsidRDefault="00B06468" w:rsidP="00B06468">
            <w:pPr>
              <w:spacing w:before="100" w:beforeAutospacing="1" w:after="100" w:afterAutospacing="1"/>
              <w:rPr>
                <w:b/>
                <w:szCs w:val="24"/>
              </w:rPr>
            </w:pPr>
            <w:r w:rsidRPr="00B06468">
              <w:rPr>
                <w:b/>
                <w:szCs w:val="24"/>
              </w:rPr>
              <w:sym w:font="Wingdings 2" w:char="F050"/>
            </w:r>
          </w:p>
        </w:tc>
        <w:tc>
          <w:tcPr>
            <w:tcW w:w="2808" w:type="dxa"/>
          </w:tcPr>
          <w:p w:rsidR="00B06468" w:rsidRPr="00B06468" w:rsidRDefault="00B06468" w:rsidP="00B06468">
            <w:pPr>
              <w:spacing w:before="100" w:beforeAutospacing="1" w:after="100" w:afterAutospacing="1"/>
              <w:rPr>
                <w:szCs w:val="24"/>
              </w:rPr>
            </w:pPr>
            <w:r w:rsidRPr="00B06468">
              <w:rPr>
                <w:szCs w:val="24"/>
              </w:rPr>
              <w:t xml:space="preserve">Late fall 2014: </w:t>
            </w:r>
          </w:p>
        </w:tc>
        <w:tc>
          <w:tcPr>
            <w:tcW w:w="6368" w:type="dxa"/>
          </w:tcPr>
          <w:p w:rsidR="00B06468" w:rsidRPr="00B06468" w:rsidRDefault="00B06468" w:rsidP="00B06468">
            <w:pPr>
              <w:spacing w:before="100" w:beforeAutospacing="1" w:after="100" w:afterAutospacing="1"/>
              <w:rPr>
                <w:szCs w:val="24"/>
              </w:rPr>
            </w:pPr>
            <w:r w:rsidRPr="00B06468">
              <w:rPr>
                <w:szCs w:val="24"/>
              </w:rPr>
              <w:t xml:space="preserve">Board receives update on PARCC field test and operational test that includes an assessment of whether PARCC is on track to </w:t>
            </w:r>
            <w:r w:rsidRPr="00B06468">
              <w:rPr>
                <w:szCs w:val="24"/>
              </w:rPr>
              <w:lastRenderedPageBreak/>
              <w:t>be as good as or better than MCAS</w:t>
            </w:r>
            <w:r w:rsidRPr="00B06468">
              <w:rPr>
                <w:szCs w:val="24"/>
              </w:rPr>
              <w:br/>
            </w:r>
          </w:p>
        </w:tc>
      </w:tr>
      <w:tr w:rsidR="00B06468" w:rsidTr="00B06468">
        <w:trPr>
          <w:trHeight w:val="927"/>
        </w:trPr>
        <w:tc>
          <w:tcPr>
            <w:tcW w:w="400" w:type="dxa"/>
            <w:tcBorders>
              <w:bottom w:val="single" w:sz="4" w:space="0" w:color="auto"/>
            </w:tcBorders>
          </w:tcPr>
          <w:p w:rsidR="00B06468" w:rsidRPr="00B06468" w:rsidRDefault="00B06468" w:rsidP="00B06468">
            <w:pPr>
              <w:spacing w:before="100" w:beforeAutospacing="1" w:after="100" w:afterAutospacing="1"/>
              <w:rPr>
                <w:b/>
                <w:szCs w:val="24"/>
              </w:rPr>
            </w:pPr>
          </w:p>
        </w:tc>
        <w:tc>
          <w:tcPr>
            <w:tcW w:w="2808" w:type="dxa"/>
            <w:tcBorders>
              <w:bottom w:val="single" w:sz="4" w:space="0" w:color="auto"/>
            </w:tcBorders>
          </w:tcPr>
          <w:p w:rsidR="00B06468" w:rsidRPr="00B06468" w:rsidRDefault="00B06468" w:rsidP="00B06468">
            <w:pPr>
              <w:spacing w:before="100" w:beforeAutospacing="1" w:after="100" w:afterAutospacing="1"/>
              <w:rPr>
                <w:b/>
                <w:szCs w:val="24"/>
              </w:rPr>
            </w:pPr>
            <w:r w:rsidRPr="00B06468">
              <w:rPr>
                <w:szCs w:val="24"/>
              </w:rPr>
              <w:t xml:space="preserve">Winter/spring 2014–2015: </w:t>
            </w:r>
          </w:p>
        </w:tc>
        <w:tc>
          <w:tcPr>
            <w:tcW w:w="6368" w:type="dxa"/>
            <w:tcBorders>
              <w:bottom w:val="single" w:sz="4" w:space="0" w:color="auto"/>
            </w:tcBorders>
          </w:tcPr>
          <w:p w:rsidR="00B06468" w:rsidRPr="00B06468" w:rsidRDefault="00B06468" w:rsidP="00B06468">
            <w:pPr>
              <w:spacing w:before="100" w:beforeAutospacing="1" w:after="100" w:afterAutospacing="1"/>
              <w:rPr>
                <w:szCs w:val="24"/>
              </w:rPr>
            </w:pPr>
            <w:r w:rsidRPr="00B06468">
              <w:rPr>
                <w:szCs w:val="24"/>
              </w:rPr>
              <w:t>Massachusetts</w:t>
            </w:r>
            <w:r w:rsidRPr="00B06468" w:rsidDel="00F856E5">
              <w:rPr>
                <w:szCs w:val="24"/>
              </w:rPr>
              <w:t xml:space="preserve"> </w:t>
            </w:r>
            <w:r w:rsidRPr="00B06468">
              <w:rPr>
                <w:szCs w:val="24"/>
              </w:rPr>
              <w:t xml:space="preserve">schools administer first operational PARCC </w:t>
            </w:r>
            <w:r w:rsidRPr="00B06468">
              <w:rPr>
                <w:b/>
                <w:szCs w:val="24"/>
              </w:rPr>
              <w:t xml:space="preserve">or </w:t>
            </w:r>
            <w:r w:rsidRPr="00B06468">
              <w:rPr>
                <w:szCs w:val="24"/>
              </w:rPr>
              <w:t>MCAS assessments, pending Board approval of plan for districts to choose between the two; all grade 10 students will continue to take MCAS in order to qualify for the Competency Determination</w:t>
            </w:r>
            <w:r w:rsidRPr="00B06468">
              <w:rPr>
                <w:szCs w:val="24"/>
              </w:rPr>
              <w:br/>
            </w:r>
          </w:p>
        </w:tc>
      </w:tr>
      <w:tr w:rsidR="00B06468" w:rsidTr="00B06468">
        <w:trPr>
          <w:trHeight w:val="341"/>
        </w:trPr>
        <w:tc>
          <w:tcPr>
            <w:tcW w:w="3208" w:type="dxa"/>
            <w:gridSpan w:val="2"/>
            <w:tcBorders>
              <w:top w:val="single" w:sz="4" w:space="0" w:color="auto"/>
            </w:tcBorders>
          </w:tcPr>
          <w:p w:rsidR="00B06468" w:rsidRPr="00B06468" w:rsidRDefault="00B06468" w:rsidP="00B06468">
            <w:pPr>
              <w:pStyle w:val="ListParagraph"/>
              <w:spacing w:before="100" w:beforeAutospacing="1" w:after="100" w:afterAutospacing="1"/>
              <w:ind w:left="0"/>
              <w:rPr>
                <w:rFonts w:ascii="Times New Roman" w:hAnsi="Times New Roman" w:cs="Times New Roman"/>
                <w:sz w:val="24"/>
                <w:szCs w:val="24"/>
              </w:rPr>
            </w:pPr>
            <w:r w:rsidRPr="00B06468">
              <w:rPr>
                <w:rFonts w:ascii="Times New Roman" w:hAnsi="Times New Roman" w:cs="Times New Roman"/>
                <w:b/>
                <w:sz w:val="24"/>
                <w:szCs w:val="24"/>
              </w:rPr>
              <w:t>2015–2016 School Year</w:t>
            </w:r>
          </w:p>
        </w:tc>
        <w:tc>
          <w:tcPr>
            <w:tcW w:w="6368" w:type="dxa"/>
            <w:tcBorders>
              <w:top w:val="single" w:sz="4" w:space="0" w:color="auto"/>
            </w:tcBorders>
          </w:tcPr>
          <w:p w:rsidR="00B06468" w:rsidRPr="00B06468" w:rsidRDefault="00B06468" w:rsidP="00B06468">
            <w:pPr>
              <w:spacing w:before="100" w:beforeAutospacing="1" w:after="100" w:afterAutospacing="1"/>
              <w:rPr>
                <w:szCs w:val="24"/>
              </w:rPr>
            </w:pPr>
          </w:p>
        </w:tc>
      </w:tr>
      <w:tr w:rsidR="00B06468" w:rsidTr="00B06468">
        <w:trPr>
          <w:trHeight w:val="387"/>
        </w:trPr>
        <w:tc>
          <w:tcPr>
            <w:tcW w:w="400" w:type="dxa"/>
          </w:tcPr>
          <w:p w:rsidR="00B06468" w:rsidRPr="00B06468" w:rsidRDefault="00B06468" w:rsidP="00B06468">
            <w:pPr>
              <w:spacing w:before="100" w:beforeAutospacing="1" w:after="100" w:afterAutospacing="1"/>
              <w:rPr>
                <w:szCs w:val="24"/>
              </w:rPr>
            </w:pPr>
          </w:p>
        </w:tc>
        <w:tc>
          <w:tcPr>
            <w:tcW w:w="2808" w:type="dxa"/>
          </w:tcPr>
          <w:p w:rsidR="00B06468" w:rsidRPr="00B06468" w:rsidRDefault="00B06468" w:rsidP="00B06468">
            <w:pPr>
              <w:spacing w:before="100" w:beforeAutospacing="1" w:after="100" w:afterAutospacing="1"/>
              <w:rPr>
                <w:szCs w:val="24"/>
              </w:rPr>
            </w:pPr>
            <w:r w:rsidRPr="00B06468">
              <w:rPr>
                <w:szCs w:val="24"/>
              </w:rPr>
              <w:t>Summer/early fall 2015:</w:t>
            </w:r>
          </w:p>
        </w:tc>
        <w:tc>
          <w:tcPr>
            <w:tcW w:w="6368" w:type="dxa"/>
          </w:tcPr>
          <w:p w:rsidR="00B06468" w:rsidRPr="00B06468" w:rsidRDefault="00B06468" w:rsidP="00B06468">
            <w:pPr>
              <w:spacing w:before="100" w:beforeAutospacing="1" w:after="100" w:afterAutospacing="1"/>
              <w:rPr>
                <w:szCs w:val="24"/>
              </w:rPr>
            </w:pPr>
            <w:r w:rsidRPr="00B06468">
              <w:rPr>
                <w:szCs w:val="24"/>
              </w:rPr>
              <w:t>Standard-setting for PARCC tests; analysis of operational data</w:t>
            </w:r>
          </w:p>
        </w:tc>
      </w:tr>
      <w:tr w:rsidR="00B06468" w:rsidTr="00B06468">
        <w:trPr>
          <w:trHeight w:val="630"/>
        </w:trPr>
        <w:tc>
          <w:tcPr>
            <w:tcW w:w="400" w:type="dxa"/>
          </w:tcPr>
          <w:p w:rsidR="00B06468" w:rsidRPr="00B06468" w:rsidRDefault="00B06468" w:rsidP="00B06468">
            <w:pPr>
              <w:spacing w:before="100" w:beforeAutospacing="1" w:after="100" w:afterAutospacing="1"/>
              <w:rPr>
                <w:b/>
                <w:szCs w:val="24"/>
              </w:rPr>
            </w:pPr>
            <w:r w:rsidRPr="00B06468">
              <w:rPr>
                <w:b/>
                <w:szCs w:val="24"/>
              </w:rPr>
              <w:sym w:font="Wingdings 2" w:char="F050"/>
            </w:r>
          </w:p>
        </w:tc>
        <w:tc>
          <w:tcPr>
            <w:tcW w:w="2808" w:type="dxa"/>
          </w:tcPr>
          <w:p w:rsidR="00B06468" w:rsidRPr="00B06468" w:rsidRDefault="00B06468" w:rsidP="00B06468">
            <w:pPr>
              <w:spacing w:before="100" w:beforeAutospacing="1" w:after="100" w:afterAutospacing="1"/>
              <w:rPr>
                <w:szCs w:val="24"/>
              </w:rPr>
            </w:pPr>
            <w:r w:rsidRPr="00B06468">
              <w:rPr>
                <w:szCs w:val="24"/>
              </w:rPr>
              <w:t xml:space="preserve">Late fall 2015: </w:t>
            </w:r>
          </w:p>
        </w:tc>
        <w:tc>
          <w:tcPr>
            <w:tcW w:w="6368" w:type="dxa"/>
          </w:tcPr>
          <w:p w:rsidR="00B06468" w:rsidRPr="00B06468" w:rsidRDefault="00B06468" w:rsidP="00B06468">
            <w:pPr>
              <w:spacing w:before="100" w:beforeAutospacing="1" w:after="100" w:afterAutospacing="1"/>
              <w:rPr>
                <w:szCs w:val="24"/>
              </w:rPr>
            </w:pPr>
            <w:r w:rsidRPr="00B06468">
              <w:rPr>
                <w:szCs w:val="24"/>
              </w:rPr>
              <w:t>Board votes on full adoption of PARCC based on a determination of it being “as good as or better than” MCAS</w:t>
            </w:r>
          </w:p>
        </w:tc>
      </w:tr>
      <w:tr w:rsidR="00B06468" w:rsidTr="00B06468">
        <w:trPr>
          <w:trHeight w:val="324"/>
        </w:trPr>
        <w:tc>
          <w:tcPr>
            <w:tcW w:w="400" w:type="dxa"/>
            <w:tcBorders>
              <w:bottom w:val="single" w:sz="4" w:space="0" w:color="auto"/>
            </w:tcBorders>
          </w:tcPr>
          <w:p w:rsidR="00B06468" w:rsidRPr="00B06468" w:rsidRDefault="00B06468" w:rsidP="00B06468">
            <w:pPr>
              <w:spacing w:before="100" w:beforeAutospacing="1" w:after="100" w:afterAutospacing="1"/>
              <w:rPr>
                <w:szCs w:val="24"/>
              </w:rPr>
            </w:pPr>
          </w:p>
        </w:tc>
        <w:tc>
          <w:tcPr>
            <w:tcW w:w="2808" w:type="dxa"/>
            <w:tcBorders>
              <w:bottom w:val="single" w:sz="4" w:space="0" w:color="auto"/>
            </w:tcBorders>
          </w:tcPr>
          <w:p w:rsidR="00B06468" w:rsidRPr="00B06468" w:rsidRDefault="00B06468" w:rsidP="00B06468">
            <w:pPr>
              <w:spacing w:before="100" w:beforeAutospacing="1" w:after="100" w:afterAutospacing="1"/>
              <w:rPr>
                <w:szCs w:val="24"/>
              </w:rPr>
            </w:pPr>
            <w:r w:rsidRPr="00B06468">
              <w:rPr>
                <w:szCs w:val="24"/>
              </w:rPr>
              <w:t xml:space="preserve">Spring 2016: </w:t>
            </w:r>
          </w:p>
        </w:tc>
        <w:tc>
          <w:tcPr>
            <w:tcW w:w="6368" w:type="dxa"/>
            <w:tcBorders>
              <w:bottom w:val="single" w:sz="4" w:space="0" w:color="auto"/>
            </w:tcBorders>
          </w:tcPr>
          <w:p w:rsidR="00B06468" w:rsidRPr="00B06468" w:rsidRDefault="00B06468" w:rsidP="00B06468">
            <w:pPr>
              <w:spacing w:before="100" w:beforeAutospacing="1" w:after="100" w:afterAutospacing="1"/>
              <w:rPr>
                <w:szCs w:val="24"/>
              </w:rPr>
            </w:pPr>
            <w:r w:rsidRPr="00B06468">
              <w:rPr>
                <w:szCs w:val="24"/>
              </w:rPr>
              <w:t>Administration of PARCC operational tests, with the exception of grade 10 students who will continue to take MCAS to qualify for the Competency Determination</w:t>
            </w:r>
          </w:p>
        </w:tc>
      </w:tr>
    </w:tbl>
    <w:p w:rsidR="00B06468" w:rsidRDefault="00B06468" w:rsidP="00B06468">
      <w:pPr>
        <w:spacing w:before="100" w:beforeAutospacing="1" w:after="100" w:afterAutospacing="1"/>
        <w:rPr>
          <w:b/>
          <w:szCs w:val="24"/>
        </w:rPr>
      </w:pPr>
      <w:r>
        <w:rPr>
          <w:b/>
          <w:szCs w:val="24"/>
        </w:rPr>
        <w:t>Considerations for the Board</w:t>
      </w:r>
    </w:p>
    <w:p w:rsidR="00B06468" w:rsidRDefault="00B06468" w:rsidP="00B06468">
      <w:pPr>
        <w:spacing w:before="100" w:beforeAutospacing="1" w:after="100" w:afterAutospacing="1"/>
        <w:rPr>
          <w:szCs w:val="24"/>
        </w:rPr>
      </w:pPr>
      <w:r>
        <w:rPr>
          <w:szCs w:val="24"/>
        </w:rPr>
        <w:t xml:space="preserve">Some of the major factors that the Board will need to consider include the following: </w:t>
      </w:r>
    </w:p>
    <w:p w:rsidR="00B06468" w:rsidRDefault="00B06468" w:rsidP="00B06468">
      <w:pPr>
        <w:pStyle w:val="ListParagraph"/>
        <w:numPr>
          <w:ilvl w:val="0"/>
          <w:numId w:val="16"/>
        </w:numPr>
        <w:spacing w:before="100" w:beforeAutospacing="1" w:after="100" w:afterAutospacing="1" w:line="240" w:lineRule="auto"/>
        <w:rPr>
          <w:rFonts w:ascii="Times New Roman" w:hAnsi="Times New Roman" w:cs="Times New Roman"/>
          <w:sz w:val="24"/>
          <w:szCs w:val="24"/>
        </w:rPr>
      </w:pPr>
      <w:r w:rsidRPr="0002623E">
        <w:rPr>
          <w:rFonts w:ascii="Times New Roman" w:hAnsi="Times New Roman" w:cs="Times New Roman"/>
          <w:b/>
          <w:sz w:val="24"/>
          <w:szCs w:val="24"/>
        </w:rPr>
        <w:t>Budget:</w:t>
      </w:r>
      <w:r w:rsidRPr="0002623E">
        <w:rPr>
          <w:rFonts w:ascii="Times New Roman" w:hAnsi="Times New Roman" w:cs="Times New Roman"/>
          <w:sz w:val="24"/>
          <w:szCs w:val="24"/>
        </w:rPr>
        <w:t xml:space="preserve"> </w:t>
      </w:r>
      <w:r>
        <w:rPr>
          <w:rFonts w:ascii="Times New Roman" w:hAnsi="Times New Roman" w:cs="Times New Roman"/>
          <w:sz w:val="24"/>
          <w:szCs w:val="24"/>
        </w:rPr>
        <w:t>Administering both MCAS and PARCC in spring 2015 based upon district choice will require additional funding (depending upon a combination of options selected and the terms of a contract extension with our MCAS vendor) and thus have implications for our FY 2015 budget recommendation.</w:t>
      </w:r>
    </w:p>
    <w:p w:rsidR="00B06468" w:rsidRDefault="00B06468" w:rsidP="00B06468">
      <w:pPr>
        <w:pStyle w:val="ListParagraph"/>
        <w:numPr>
          <w:ilvl w:val="0"/>
          <w:numId w:val="16"/>
        </w:numPr>
        <w:spacing w:before="100" w:beforeAutospacing="1" w:after="100" w:afterAutospacing="1" w:line="240" w:lineRule="auto"/>
        <w:rPr>
          <w:rFonts w:ascii="Times New Roman" w:hAnsi="Times New Roman" w:cs="Times New Roman"/>
          <w:sz w:val="24"/>
          <w:szCs w:val="24"/>
        </w:rPr>
      </w:pPr>
      <w:r w:rsidRPr="0002623E">
        <w:rPr>
          <w:rFonts w:ascii="Times New Roman" w:hAnsi="Times New Roman" w:cs="Times New Roman"/>
          <w:b/>
          <w:sz w:val="24"/>
          <w:szCs w:val="24"/>
        </w:rPr>
        <w:t>Competency Determination:</w:t>
      </w:r>
      <w:r>
        <w:rPr>
          <w:rFonts w:ascii="Times New Roman" w:hAnsi="Times New Roman" w:cs="Times New Roman"/>
          <w:sz w:val="24"/>
          <w:szCs w:val="24"/>
        </w:rPr>
        <w:t xml:space="preserve"> We will need to determine the combination of PARCC assessment</w:t>
      </w:r>
      <w:r w:rsidRPr="0002623E">
        <w:rPr>
          <w:rFonts w:ascii="Times New Roman" w:hAnsi="Times New Roman" w:cs="Times New Roman"/>
          <w:sz w:val="24"/>
          <w:szCs w:val="24"/>
        </w:rPr>
        <w:t xml:space="preserve">(s) </w:t>
      </w:r>
      <w:r>
        <w:rPr>
          <w:rFonts w:ascii="Times New Roman" w:hAnsi="Times New Roman" w:cs="Times New Roman"/>
          <w:sz w:val="24"/>
          <w:szCs w:val="24"/>
        </w:rPr>
        <w:t xml:space="preserve">that </w:t>
      </w:r>
      <w:r w:rsidRPr="0002623E">
        <w:rPr>
          <w:rFonts w:ascii="Times New Roman" w:hAnsi="Times New Roman" w:cs="Times New Roman"/>
          <w:sz w:val="24"/>
          <w:szCs w:val="24"/>
        </w:rPr>
        <w:t>high school students</w:t>
      </w:r>
      <w:r>
        <w:rPr>
          <w:rFonts w:ascii="Times New Roman" w:hAnsi="Times New Roman" w:cs="Times New Roman"/>
          <w:sz w:val="24"/>
          <w:szCs w:val="24"/>
        </w:rPr>
        <w:t xml:space="preserve"> will</w:t>
      </w:r>
      <w:r w:rsidRPr="0002623E">
        <w:rPr>
          <w:rFonts w:ascii="Times New Roman" w:hAnsi="Times New Roman" w:cs="Times New Roman"/>
          <w:sz w:val="24"/>
          <w:szCs w:val="24"/>
        </w:rPr>
        <w:t xml:space="preserve"> take to </w:t>
      </w:r>
      <w:r>
        <w:rPr>
          <w:rFonts w:ascii="Times New Roman" w:hAnsi="Times New Roman" w:cs="Times New Roman"/>
          <w:sz w:val="24"/>
          <w:szCs w:val="24"/>
        </w:rPr>
        <w:t xml:space="preserve">earn their CD for the classes of 2019 and beyond. </w:t>
      </w:r>
      <w:r w:rsidRPr="0002623E">
        <w:rPr>
          <w:rFonts w:ascii="Times New Roman" w:hAnsi="Times New Roman" w:cs="Times New Roman"/>
          <w:sz w:val="24"/>
          <w:szCs w:val="24"/>
        </w:rPr>
        <w:t>The current plan calls for students</w:t>
      </w:r>
      <w:r>
        <w:rPr>
          <w:rFonts w:ascii="Times New Roman" w:hAnsi="Times New Roman" w:cs="Times New Roman"/>
          <w:sz w:val="24"/>
          <w:szCs w:val="24"/>
        </w:rPr>
        <w:t xml:space="preserve"> at least through</w:t>
      </w:r>
      <w:r w:rsidRPr="0002623E">
        <w:rPr>
          <w:rFonts w:ascii="Times New Roman" w:hAnsi="Times New Roman" w:cs="Times New Roman"/>
          <w:sz w:val="24"/>
          <w:szCs w:val="24"/>
        </w:rPr>
        <w:t xml:space="preserve"> the class of 201</w:t>
      </w:r>
      <w:r>
        <w:rPr>
          <w:rFonts w:ascii="Times New Roman" w:hAnsi="Times New Roman" w:cs="Times New Roman"/>
          <w:sz w:val="24"/>
          <w:szCs w:val="24"/>
        </w:rPr>
        <w:t>8</w:t>
      </w:r>
      <w:r w:rsidRPr="0002623E">
        <w:rPr>
          <w:rFonts w:ascii="Times New Roman" w:hAnsi="Times New Roman" w:cs="Times New Roman"/>
          <w:sz w:val="24"/>
          <w:szCs w:val="24"/>
        </w:rPr>
        <w:t xml:space="preserve"> to </w:t>
      </w:r>
      <w:r>
        <w:rPr>
          <w:rFonts w:ascii="Times New Roman" w:hAnsi="Times New Roman" w:cs="Times New Roman"/>
          <w:sz w:val="24"/>
          <w:szCs w:val="24"/>
        </w:rPr>
        <w:t xml:space="preserve">continue to </w:t>
      </w:r>
      <w:r w:rsidRPr="0002623E">
        <w:rPr>
          <w:rFonts w:ascii="Times New Roman" w:hAnsi="Times New Roman" w:cs="Times New Roman"/>
          <w:sz w:val="24"/>
          <w:szCs w:val="24"/>
        </w:rPr>
        <w:t xml:space="preserve">take MCAS for their CD. </w:t>
      </w:r>
    </w:p>
    <w:p w:rsidR="00B06468" w:rsidRDefault="00B06468" w:rsidP="00B06468">
      <w:pPr>
        <w:pStyle w:val="ListParagraph"/>
        <w:numPr>
          <w:ilvl w:val="0"/>
          <w:numId w:val="16"/>
        </w:numPr>
        <w:spacing w:before="100" w:beforeAutospacing="1" w:after="100" w:afterAutospacing="1" w:line="240" w:lineRule="auto"/>
        <w:rPr>
          <w:rFonts w:ascii="Times New Roman" w:hAnsi="Times New Roman" w:cs="Times New Roman"/>
          <w:sz w:val="24"/>
          <w:szCs w:val="24"/>
        </w:rPr>
      </w:pPr>
      <w:r w:rsidRPr="0002623E">
        <w:rPr>
          <w:rFonts w:ascii="Times New Roman" w:hAnsi="Times New Roman" w:cs="Times New Roman"/>
          <w:b/>
          <w:sz w:val="24"/>
          <w:szCs w:val="24"/>
        </w:rPr>
        <w:t>Accountability:</w:t>
      </w:r>
      <w:r w:rsidRPr="0002623E">
        <w:rPr>
          <w:rFonts w:ascii="Times New Roman" w:hAnsi="Times New Roman" w:cs="Times New Roman"/>
          <w:sz w:val="24"/>
          <w:szCs w:val="24"/>
        </w:rPr>
        <w:t xml:space="preserve"> </w:t>
      </w:r>
      <w:r>
        <w:rPr>
          <w:rFonts w:ascii="Times New Roman" w:hAnsi="Times New Roman" w:cs="Times New Roman"/>
          <w:sz w:val="24"/>
          <w:szCs w:val="24"/>
        </w:rPr>
        <w:t>We are developing strategies for</w:t>
      </w:r>
      <w:r w:rsidRPr="0002623E">
        <w:rPr>
          <w:rFonts w:ascii="Times New Roman" w:hAnsi="Times New Roman" w:cs="Times New Roman"/>
          <w:sz w:val="24"/>
          <w:szCs w:val="24"/>
        </w:rPr>
        <w:t xml:space="preserve"> maintain</w:t>
      </w:r>
      <w:r>
        <w:rPr>
          <w:rFonts w:ascii="Times New Roman" w:hAnsi="Times New Roman" w:cs="Times New Roman"/>
          <w:sz w:val="24"/>
          <w:szCs w:val="24"/>
        </w:rPr>
        <w:t>ing</w:t>
      </w:r>
      <w:r w:rsidRPr="0002623E">
        <w:rPr>
          <w:rFonts w:ascii="Times New Roman" w:hAnsi="Times New Roman" w:cs="Times New Roman"/>
          <w:sz w:val="24"/>
          <w:szCs w:val="24"/>
        </w:rPr>
        <w:t xml:space="preserve"> a valid and reliable system of </w:t>
      </w:r>
      <w:r>
        <w:rPr>
          <w:rFonts w:ascii="Times New Roman" w:hAnsi="Times New Roman" w:cs="Times New Roman"/>
          <w:sz w:val="24"/>
          <w:szCs w:val="24"/>
        </w:rPr>
        <w:t xml:space="preserve">district, school, and educator </w:t>
      </w:r>
      <w:r w:rsidRPr="0002623E">
        <w:rPr>
          <w:rFonts w:ascii="Times New Roman" w:hAnsi="Times New Roman" w:cs="Times New Roman"/>
          <w:sz w:val="24"/>
          <w:szCs w:val="24"/>
        </w:rPr>
        <w:t>accountability during the transition period</w:t>
      </w:r>
      <w:r>
        <w:rPr>
          <w:rFonts w:ascii="Times New Roman" w:hAnsi="Times New Roman" w:cs="Times New Roman"/>
          <w:sz w:val="24"/>
          <w:szCs w:val="24"/>
        </w:rPr>
        <w:t xml:space="preserve">, as well as the ability to establish trends tied to legacy MCAS as we transition to the next generation assessments in ELA and mathematics. </w:t>
      </w:r>
    </w:p>
    <w:p w:rsidR="00B06468" w:rsidRDefault="00B06468" w:rsidP="00B06468">
      <w:pPr>
        <w:pStyle w:val="ListParagraph"/>
        <w:numPr>
          <w:ilvl w:val="0"/>
          <w:numId w:val="16"/>
        </w:numPr>
        <w:spacing w:before="100" w:beforeAutospacing="1" w:after="100" w:afterAutospacing="1" w:line="240" w:lineRule="auto"/>
        <w:rPr>
          <w:rFonts w:ascii="Times New Roman" w:hAnsi="Times New Roman" w:cs="Times New Roman"/>
          <w:sz w:val="24"/>
          <w:szCs w:val="24"/>
        </w:rPr>
      </w:pPr>
      <w:r w:rsidRPr="0002623E">
        <w:rPr>
          <w:rFonts w:ascii="Times New Roman" w:hAnsi="Times New Roman" w:cs="Times New Roman"/>
          <w:b/>
          <w:sz w:val="24"/>
          <w:szCs w:val="24"/>
        </w:rPr>
        <w:t>Technology:</w:t>
      </w:r>
      <w:r>
        <w:rPr>
          <w:rFonts w:ascii="Times New Roman" w:hAnsi="Times New Roman" w:cs="Times New Roman"/>
          <w:sz w:val="24"/>
          <w:szCs w:val="24"/>
        </w:rPr>
        <w:t xml:space="preserve"> We are advocating for funding to ensure that, first and foremost, the Commonwealth’s classrooms reflect 21</w:t>
      </w:r>
      <w:r w:rsidRPr="00640CDE">
        <w:rPr>
          <w:rFonts w:ascii="Times New Roman" w:hAnsi="Times New Roman" w:cs="Times New Roman"/>
          <w:sz w:val="24"/>
          <w:szCs w:val="24"/>
          <w:vertAlign w:val="superscript"/>
        </w:rPr>
        <w:t>st</w:t>
      </w:r>
      <w:r>
        <w:rPr>
          <w:rFonts w:ascii="Times New Roman" w:hAnsi="Times New Roman" w:cs="Times New Roman"/>
          <w:sz w:val="24"/>
          <w:szCs w:val="24"/>
        </w:rPr>
        <w:t>-century learning technologies, and, as a result, that our schools and districts have the capacity to administer online assessments in the coming years.</w:t>
      </w:r>
    </w:p>
    <w:p w:rsidR="007379AC" w:rsidRPr="007379AC" w:rsidRDefault="00B06468" w:rsidP="00E615E8">
      <w:pPr>
        <w:spacing w:before="100" w:beforeAutospacing="1" w:after="100" w:afterAutospacing="1"/>
      </w:pPr>
      <w:r>
        <w:rPr>
          <w:szCs w:val="24"/>
        </w:rPr>
        <w:t xml:space="preserve">Senior Associate Commissioner Bob Bickerton and Associate Commissioner Elizabeth Davis will be at the Board meeting on September 24 to answer your questions. I look forward to discussing these issues with you on September 24 and throughout the fall.  </w:t>
      </w:r>
    </w:p>
    <w:sectPr w:rsidR="007379AC" w:rsidRPr="007379AC" w:rsidSect="00EF081E">
      <w:endnotePr>
        <w:numFmt w:val="decimal"/>
      </w:endnotePr>
      <w:type w:val="continuous"/>
      <w:pgSz w:w="12240" w:h="15840" w:code="1"/>
      <w:pgMar w:top="1440" w:right="1296" w:bottom="1440" w:left="1296" w:header="1440" w:footer="576"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15E" w:rsidRDefault="00CE515E">
      <w:r>
        <w:separator/>
      </w:r>
    </w:p>
  </w:endnote>
  <w:endnote w:type="continuationSeparator" w:id="0">
    <w:p w:rsidR="00CE515E" w:rsidRDefault="00CE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14B" w:rsidRDefault="00AE0E9E">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rsidR="002B014B" w:rsidRDefault="002B01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6E4" w:rsidRDefault="000E37A2">
    <w:pPr>
      <w:pStyle w:val="Footer"/>
      <w:jc w:val="right"/>
    </w:pPr>
    <w:r>
      <w:fldChar w:fldCharType="begin"/>
    </w:r>
    <w:r>
      <w:instrText xml:space="preserve"> PAGE   \* MERGEFORMAT </w:instrText>
    </w:r>
    <w:r>
      <w:fldChar w:fldCharType="separate"/>
    </w:r>
    <w:r>
      <w:rPr>
        <w:noProof/>
      </w:rPr>
      <w:t>2</w:t>
    </w:r>
    <w:r>
      <w:rPr>
        <w:noProof/>
      </w:rPr>
      <w:fldChar w:fldCharType="end"/>
    </w:r>
  </w:p>
  <w:p w:rsidR="002B014B" w:rsidRDefault="002B01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15E" w:rsidRDefault="00CE515E">
      <w:r>
        <w:separator/>
      </w:r>
    </w:p>
  </w:footnote>
  <w:footnote w:type="continuationSeparator" w:id="0">
    <w:p w:rsidR="00CE515E" w:rsidRDefault="00CE515E">
      <w:r>
        <w:continuationSeparator/>
      </w:r>
    </w:p>
  </w:footnote>
  <w:footnote w:id="1">
    <w:p w:rsidR="00B06468" w:rsidRPr="00DB1477" w:rsidRDefault="00B06468" w:rsidP="00B06468">
      <w:pPr>
        <w:pStyle w:val="FootnoteText"/>
        <w:rPr>
          <w:b/>
        </w:rPr>
      </w:pPr>
      <w:r w:rsidRPr="00B06468">
        <w:rPr>
          <w:rStyle w:val="FootnoteReference"/>
          <w:snapToGrid w:val="0"/>
          <w:sz w:val="24"/>
          <w:szCs w:val="24"/>
          <w:vertAlign w:val="superscript"/>
        </w:rPr>
        <w:footnoteRef/>
      </w:r>
      <w:r>
        <w:t xml:space="preserve"> The Academic Support program has continued through today although the amount of funding appropriated has gradually been reduced to the current level of $</w:t>
      </w:r>
      <w:r w:rsidRPr="00DB1477">
        <w:t>9</w:t>
      </w:r>
      <w:r>
        <w:t xml:space="preserve"> million in FY 2014.  </w:t>
      </w:r>
    </w:p>
  </w:footnote>
  <w:footnote w:id="2">
    <w:p w:rsidR="00B06468" w:rsidRDefault="00B06468" w:rsidP="00B06468">
      <w:pPr>
        <w:pStyle w:val="FootnoteText"/>
      </w:pPr>
      <w:r w:rsidRPr="00B06468">
        <w:rPr>
          <w:rStyle w:val="FootnoteReference"/>
          <w:snapToGrid w:val="0"/>
          <w:sz w:val="24"/>
          <w:szCs w:val="24"/>
          <w:vertAlign w:val="superscript"/>
        </w:rPr>
        <w:footnoteRef/>
      </w:r>
      <w:r>
        <w:t xml:space="preserve"> Students in the class of 2010 and beyond who fall short of the 240 (</w:t>
      </w:r>
      <w:r>
        <w:rPr>
          <w:i/>
          <w:iCs/>
        </w:rPr>
        <w:t>Proficient</w:t>
      </w:r>
      <w:r>
        <w:t>) standard on the grade 10 tests have been required to fulfill an Educational Proficiency Plan (EPP) in ELA and Mathematics during 11</w:t>
      </w:r>
      <w:r>
        <w:rPr>
          <w:vertAlign w:val="superscript"/>
        </w:rPr>
        <w:t>th</w:t>
      </w:r>
      <w:r>
        <w:t xml:space="preserve"> and 12</w:t>
      </w:r>
      <w:r>
        <w:rPr>
          <w:vertAlign w:val="superscript"/>
        </w:rPr>
        <w:t>th</w:t>
      </w:r>
      <w:r>
        <w:t xml:space="preserve"> grade (</w:t>
      </w:r>
      <w:hyperlink r:id="rId1" w:history="1">
        <w:r>
          <w:rPr>
            <w:rStyle w:val="Hyperlink"/>
          </w:rPr>
          <w:t>http://www.doe.mass.edu/ccr/epp/qa.html</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7D7C12"/>
    <w:multiLevelType w:val="hybridMultilevel"/>
    <w:tmpl w:val="421C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F15C5"/>
    <w:multiLevelType w:val="hybridMultilevel"/>
    <w:tmpl w:val="B1689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780382"/>
    <w:multiLevelType w:val="hybridMultilevel"/>
    <w:tmpl w:val="A2BC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1274DB"/>
    <w:multiLevelType w:val="hybridMultilevel"/>
    <w:tmpl w:val="AB96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1">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421DAE"/>
    <w:multiLevelType w:val="multilevel"/>
    <w:tmpl w:val="A55EA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4078C5"/>
    <w:multiLevelType w:val="hybridMultilevel"/>
    <w:tmpl w:val="E5D81618"/>
    <w:lvl w:ilvl="0" w:tplc="19309902">
      <w:start w:val="1"/>
      <w:numFmt w:val="bullet"/>
      <w:lvlText w:val=""/>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11"/>
  </w:num>
  <w:num w:numId="3">
    <w:abstractNumId w:val="0"/>
  </w:num>
  <w:num w:numId="4">
    <w:abstractNumId w:val="14"/>
  </w:num>
  <w:num w:numId="5">
    <w:abstractNumId w:val="13"/>
  </w:num>
  <w:num w:numId="6">
    <w:abstractNumId w:val="1"/>
  </w:num>
  <w:num w:numId="7">
    <w:abstractNumId w:val="10"/>
  </w:num>
  <w:num w:numId="8">
    <w:abstractNumId w:val="12"/>
  </w:num>
  <w:num w:numId="9">
    <w:abstractNumId w:val="5"/>
  </w:num>
  <w:num w:numId="10">
    <w:abstractNumId w:val="15"/>
  </w:num>
  <w:num w:numId="11">
    <w:abstractNumId w:val="2"/>
  </w:num>
  <w:num w:numId="12">
    <w:abstractNumId w:val="9"/>
  </w:num>
  <w:num w:numId="13">
    <w:abstractNumId w:val="8"/>
  </w:num>
  <w:num w:numId="14">
    <w:abstractNumId w:val="16"/>
  </w:num>
  <w:num w:numId="15">
    <w:abstractNumId w:val="17"/>
  </w:num>
  <w:num w:numId="16">
    <w:abstractNumId w:val="6"/>
  </w:num>
  <w:num w:numId="17">
    <w:abstractNumId w:val="7"/>
  </w:num>
  <w:num w:numId="18">
    <w:abstractNumId w:val="3"/>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82D"/>
    <w:rsid w:val="00001329"/>
    <w:rsid w:val="000063B9"/>
    <w:rsid w:val="000072AA"/>
    <w:rsid w:val="0001606C"/>
    <w:rsid w:val="0002643E"/>
    <w:rsid w:val="00027086"/>
    <w:rsid w:val="00030DD3"/>
    <w:rsid w:val="00034C92"/>
    <w:rsid w:val="00043474"/>
    <w:rsid w:val="00053AA3"/>
    <w:rsid w:val="00055A3D"/>
    <w:rsid w:val="00056B96"/>
    <w:rsid w:val="00063782"/>
    <w:rsid w:val="0007158E"/>
    <w:rsid w:val="0007250C"/>
    <w:rsid w:val="00077595"/>
    <w:rsid w:val="000853D9"/>
    <w:rsid w:val="00090BBA"/>
    <w:rsid w:val="00097A70"/>
    <w:rsid w:val="000A0B86"/>
    <w:rsid w:val="000A1302"/>
    <w:rsid w:val="000A5AA5"/>
    <w:rsid w:val="000B2C99"/>
    <w:rsid w:val="000B63DE"/>
    <w:rsid w:val="000B6697"/>
    <w:rsid w:val="000D052C"/>
    <w:rsid w:val="000E1B88"/>
    <w:rsid w:val="000E1DFE"/>
    <w:rsid w:val="000E37A2"/>
    <w:rsid w:val="000E3F4E"/>
    <w:rsid w:val="000E3F88"/>
    <w:rsid w:val="000E6832"/>
    <w:rsid w:val="000F7EAB"/>
    <w:rsid w:val="00102267"/>
    <w:rsid w:val="00103AB9"/>
    <w:rsid w:val="001160EA"/>
    <w:rsid w:val="00121B6D"/>
    <w:rsid w:val="00132C9F"/>
    <w:rsid w:val="00132F44"/>
    <w:rsid w:val="00133302"/>
    <w:rsid w:val="001362F3"/>
    <w:rsid w:val="00141A59"/>
    <w:rsid w:val="00163AEA"/>
    <w:rsid w:val="00173F1B"/>
    <w:rsid w:val="0017686B"/>
    <w:rsid w:val="00181784"/>
    <w:rsid w:val="0018208E"/>
    <w:rsid w:val="00183DF0"/>
    <w:rsid w:val="001925A3"/>
    <w:rsid w:val="00193BBC"/>
    <w:rsid w:val="00195E0F"/>
    <w:rsid w:val="001A4CA9"/>
    <w:rsid w:val="001B3A5F"/>
    <w:rsid w:val="001B71EB"/>
    <w:rsid w:val="001C2471"/>
    <w:rsid w:val="001C2712"/>
    <w:rsid w:val="001D5E40"/>
    <w:rsid w:val="001D7ECC"/>
    <w:rsid w:val="001E0FC4"/>
    <w:rsid w:val="001E111C"/>
    <w:rsid w:val="001F1874"/>
    <w:rsid w:val="001F26EB"/>
    <w:rsid w:val="00202DBD"/>
    <w:rsid w:val="002049E8"/>
    <w:rsid w:val="002123AB"/>
    <w:rsid w:val="002150AA"/>
    <w:rsid w:val="00215989"/>
    <w:rsid w:val="00226754"/>
    <w:rsid w:val="0023149B"/>
    <w:rsid w:val="00237924"/>
    <w:rsid w:val="002425E3"/>
    <w:rsid w:val="00246035"/>
    <w:rsid w:val="0025000B"/>
    <w:rsid w:val="00261E31"/>
    <w:rsid w:val="00262458"/>
    <w:rsid w:val="0026636C"/>
    <w:rsid w:val="002673FE"/>
    <w:rsid w:val="0027262E"/>
    <w:rsid w:val="0027294B"/>
    <w:rsid w:val="002845F8"/>
    <w:rsid w:val="002A70A7"/>
    <w:rsid w:val="002B014B"/>
    <w:rsid w:val="002B359D"/>
    <w:rsid w:val="002C2E4F"/>
    <w:rsid w:val="002C337A"/>
    <w:rsid w:val="002C7591"/>
    <w:rsid w:val="002D1039"/>
    <w:rsid w:val="002E102C"/>
    <w:rsid w:val="002E41B2"/>
    <w:rsid w:val="002E51BC"/>
    <w:rsid w:val="002F061C"/>
    <w:rsid w:val="002F71C2"/>
    <w:rsid w:val="00300BF1"/>
    <w:rsid w:val="00305463"/>
    <w:rsid w:val="003149DE"/>
    <w:rsid w:val="00317064"/>
    <w:rsid w:val="00324E4C"/>
    <w:rsid w:val="00330A7E"/>
    <w:rsid w:val="00334D40"/>
    <w:rsid w:val="00353491"/>
    <w:rsid w:val="00356545"/>
    <w:rsid w:val="003625A9"/>
    <w:rsid w:val="003641D0"/>
    <w:rsid w:val="00364FF1"/>
    <w:rsid w:val="0037790E"/>
    <w:rsid w:val="00387541"/>
    <w:rsid w:val="003906C7"/>
    <w:rsid w:val="00391E0B"/>
    <w:rsid w:val="00396344"/>
    <w:rsid w:val="003A17FE"/>
    <w:rsid w:val="003B31F6"/>
    <w:rsid w:val="003B4529"/>
    <w:rsid w:val="003C7113"/>
    <w:rsid w:val="003D5981"/>
    <w:rsid w:val="003E2E9E"/>
    <w:rsid w:val="003E34D1"/>
    <w:rsid w:val="003F2098"/>
    <w:rsid w:val="003F45CB"/>
    <w:rsid w:val="004066EF"/>
    <w:rsid w:val="004117E5"/>
    <w:rsid w:val="0041711A"/>
    <w:rsid w:val="0041778C"/>
    <w:rsid w:val="00432013"/>
    <w:rsid w:val="004320BB"/>
    <w:rsid w:val="004323E2"/>
    <w:rsid w:val="004412C3"/>
    <w:rsid w:val="0044226F"/>
    <w:rsid w:val="004528BB"/>
    <w:rsid w:val="004628FA"/>
    <w:rsid w:val="00467314"/>
    <w:rsid w:val="00472450"/>
    <w:rsid w:val="00483A49"/>
    <w:rsid w:val="004864C6"/>
    <w:rsid w:val="00486520"/>
    <w:rsid w:val="0049108E"/>
    <w:rsid w:val="0049178A"/>
    <w:rsid w:val="00491797"/>
    <w:rsid w:val="00497E17"/>
    <w:rsid w:val="004A16E4"/>
    <w:rsid w:val="004A2086"/>
    <w:rsid w:val="004A3523"/>
    <w:rsid w:val="004A46FF"/>
    <w:rsid w:val="004A5CA3"/>
    <w:rsid w:val="004B1A61"/>
    <w:rsid w:val="004C33BC"/>
    <w:rsid w:val="004D18E2"/>
    <w:rsid w:val="004D1CC7"/>
    <w:rsid w:val="004D7E25"/>
    <w:rsid w:val="004E02B6"/>
    <w:rsid w:val="004E295A"/>
    <w:rsid w:val="004E7FFB"/>
    <w:rsid w:val="004F377F"/>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8020F"/>
    <w:rsid w:val="00581828"/>
    <w:rsid w:val="005849A5"/>
    <w:rsid w:val="00594483"/>
    <w:rsid w:val="005A2808"/>
    <w:rsid w:val="005A42B8"/>
    <w:rsid w:val="005A56AA"/>
    <w:rsid w:val="005B1E54"/>
    <w:rsid w:val="005B269E"/>
    <w:rsid w:val="005B6D5E"/>
    <w:rsid w:val="005B7436"/>
    <w:rsid w:val="005C42DA"/>
    <w:rsid w:val="005E2191"/>
    <w:rsid w:val="005E32E7"/>
    <w:rsid w:val="005E4844"/>
    <w:rsid w:val="005E5D8E"/>
    <w:rsid w:val="005E67A9"/>
    <w:rsid w:val="005F1874"/>
    <w:rsid w:val="00606ED9"/>
    <w:rsid w:val="00613BF0"/>
    <w:rsid w:val="006345E9"/>
    <w:rsid w:val="00636AC7"/>
    <w:rsid w:val="00641DFD"/>
    <w:rsid w:val="00660AB1"/>
    <w:rsid w:val="0066491A"/>
    <w:rsid w:val="0066511D"/>
    <w:rsid w:val="00666BEC"/>
    <w:rsid w:val="00676217"/>
    <w:rsid w:val="00676769"/>
    <w:rsid w:val="00685AD0"/>
    <w:rsid w:val="00690654"/>
    <w:rsid w:val="00692A67"/>
    <w:rsid w:val="00693BC1"/>
    <w:rsid w:val="0069716C"/>
    <w:rsid w:val="006A3BCD"/>
    <w:rsid w:val="006B5DD1"/>
    <w:rsid w:val="006C60B0"/>
    <w:rsid w:val="006D4CBC"/>
    <w:rsid w:val="006E620A"/>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53271"/>
    <w:rsid w:val="00766272"/>
    <w:rsid w:val="007709BB"/>
    <w:rsid w:val="00770F7B"/>
    <w:rsid w:val="007718AD"/>
    <w:rsid w:val="0078028D"/>
    <w:rsid w:val="007965D9"/>
    <w:rsid w:val="007966DA"/>
    <w:rsid w:val="007B0688"/>
    <w:rsid w:val="007B5B50"/>
    <w:rsid w:val="007B65CB"/>
    <w:rsid w:val="007B7FC8"/>
    <w:rsid w:val="007C5222"/>
    <w:rsid w:val="007C71E4"/>
    <w:rsid w:val="007D0007"/>
    <w:rsid w:val="007D6BF1"/>
    <w:rsid w:val="007E19B0"/>
    <w:rsid w:val="007E5344"/>
    <w:rsid w:val="007F38DA"/>
    <w:rsid w:val="007F6D30"/>
    <w:rsid w:val="008011DD"/>
    <w:rsid w:val="00806779"/>
    <w:rsid w:val="00807214"/>
    <w:rsid w:val="00814B5D"/>
    <w:rsid w:val="00820F63"/>
    <w:rsid w:val="00821C27"/>
    <w:rsid w:val="0084143D"/>
    <w:rsid w:val="00843516"/>
    <w:rsid w:val="0084404F"/>
    <w:rsid w:val="0085082D"/>
    <w:rsid w:val="0085432C"/>
    <w:rsid w:val="00856A08"/>
    <w:rsid w:val="00871C6C"/>
    <w:rsid w:val="00873E2A"/>
    <w:rsid w:val="0088140A"/>
    <w:rsid w:val="00881B8C"/>
    <w:rsid w:val="00881D9A"/>
    <w:rsid w:val="0088225A"/>
    <w:rsid w:val="00884064"/>
    <w:rsid w:val="00895CB2"/>
    <w:rsid w:val="008A1373"/>
    <w:rsid w:val="008A2E0F"/>
    <w:rsid w:val="008A6332"/>
    <w:rsid w:val="008B4475"/>
    <w:rsid w:val="008B73D8"/>
    <w:rsid w:val="008C1C16"/>
    <w:rsid w:val="008C2BE1"/>
    <w:rsid w:val="008C327E"/>
    <w:rsid w:val="008C551B"/>
    <w:rsid w:val="008C7DAC"/>
    <w:rsid w:val="008D08BB"/>
    <w:rsid w:val="008E1431"/>
    <w:rsid w:val="008F2EC4"/>
    <w:rsid w:val="008F7DF3"/>
    <w:rsid w:val="009073FC"/>
    <w:rsid w:val="00911054"/>
    <w:rsid w:val="0091782C"/>
    <w:rsid w:val="00920E7C"/>
    <w:rsid w:val="00921189"/>
    <w:rsid w:val="0092272F"/>
    <w:rsid w:val="00927714"/>
    <w:rsid w:val="00930EB6"/>
    <w:rsid w:val="00937A15"/>
    <w:rsid w:val="00942697"/>
    <w:rsid w:val="00943163"/>
    <w:rsid w:val="00946642"/>
    <w:rsid w:val="009475FC"/>
    <w:rsid w:val="0095696F"/>
    <w:rsid w:val="00957155"/>
    <w:rsid w:val="00963B70"/>
    <w:rsid w:val="00970D92"/>
    <w:rsid w:val="0097243C"/>
    <w:rsid w:val="00980B43"/>
    <w:rsid w:val="00991317"/>
    <w:rsid w:val="00991B9B"/>
    <w:rsid w:val="009A3651"/>
    <w:rsid w:val="009B4876"/>
    <w:rsid w:val="009D0E22"/>
    <w:rsid w:val="009D25AD"/>
    <w:rsid w:val="009D559B"/>
    <w:rsid w:val="009D5A72"/>
    <w:rsid w:val="009D6479"/>
    <w:rsid w:val="009D6BF9"/>
    <w:rsid w:val="009D73AA"/>
    <w:rsid w:val="009E3257"/>
    <w:rsid w:val="009E74CB"/>
    <w:rsid w:val="009F0450"/>
    <w:rsid w:val="009F1E11"/>
    <w:rsid w:val="009F3C73"/>
    <w:rsid w:val="009F64AE"/>
    <w:rsid w:val="00A00281"/>
    <w:rsid w:val="00A0258F"/>
    <w:rsid w:val="00A15085"/>
    <w:rsid w:val="00A20567"/>
    <w:rsid w:val="00A24C8B"/>
    <w:rsid w:val="00A30C5B"/>
    <w:rsid w:val="00A31947"/>
    <w:rsid w:val="00A36AED"/>
    <w:rsid w:val="00A375F5"/>
    <w:rsid w:val="00A40123"/>
    <w:rsid w:val="00A4026B"/>
    <w:rsid w:val="00A42F3D"/>
    <w:rsid w:val="00A443D7"/>
    <w:rsid w:val="00A46795"/>
    <w:rsid w:val="00A477B0"/>
    <w:rsid w:val="00A57ACB"/>
    <w:rsid w:val="00A645C5"/>
    <w:rsid w:val="00A65A44"/>
    <w:rsid w:val="00A70BFE"/>
    <w:rsid w:val="00A72D38"/>
    <w:rsid w:val="00A74663"/>
    <w:rsid w:val="00A75214"/>
    <w:rsid w:val="00A76029"/>
    <w:rsid w:val="00A83364"/>
    <w:rsid w:val="00A925E5"/>
    <w:rsid w:val="00A964AC"/>
    <w:rsid w:val="00AA1067"/>
    <w:rsid w:val="00AA2373"/>
    <w:rsid w:val="00AB0230"/>
    <w:rsid w:val="00AB18C4"/>
    <w:rsid w:val="00AB36A0"/>
    <w:rsid w:val="00AC07B4"/>
    <w:rsid w:val="00AC1060"/>
    <w:rsid w:val="00AC2B41"/>
    <w:rsid w:val="00AC2F36"/>
    <w:rsid w:val="00AC48C5"/>
    <w:rsid w:val="00AD11C2"/>
    <w:rsid w:val="00AD7FFB"/>
    <w:rsid w:val="00AE0E9E"/>
    <w:rsid w:val="00AE1D7A"/>
    <w:rsid w:val="00AE2073"/>
    <w:rsid w:val="00AE708E"/>
    <w:rsid w:val="00AF411A"/>
    <w:rsid w:val="00B0265D"/>
    <w:rsid w:val="00B04CB4"/>
    <w:rsid w:val="00B06468"/>
    <w:rsid w:val="00B10CD1"/>
    <w:rsid w:val="00B12122"/>
    <w:rsid w:val="00B14926"/>
    <w:rsid w:val="00B31568"/>
    <w:rsid w:val="00B34436"/>
    <w:rsid w:val="00B346EC"/>
    <w:rsid w:val="00B36CC5"/>
    <w:rsid w:val="00B4785F"/>
    <w:rsid w:val="00B6078C"/>
    <w:rsid w:val="00B64E34"/>
    <w:rsid w:val="00B678F6"/>
    <w:rsid w:val="00B70C76"/>
    <w:rsid w:val="00B714CF"/>
    <w:rsid w:val="00B71DC2"/>
    <w:rsid w:val="00B720CE"/>
    <w:rsid w:val="00B76A63"/>
    <w:rsid w:val="00B82F0A"/>
    <w:rsid w:val="00B87612"/>
    <w:rsid w:val="00B92842"/>
    <w:rsid w:val="00BA3BBC"/>
    <w:rsid w:val="00BA3DED"/>
    <w:rsid w:val="00BA4316"/>
    <w:rsid w:val="00BB0169"/>
    <w:rsid w:val="00BB0A92"/>
    <w:rsid w:val="00BB5EA5"/>
    <w:rsid w:val="00BB6D04"/>
    <w:rsid w:val="00BC47EE"/>
    <w:rsid w:val="00BC7C35"/>
    <w:rsid w:val="00BD52B8"/>
    <w:rsid w:val="00BE2AD9"/>
    <w:rsid w:val="00BE6925"/>
    <w:rsid w:val="00BF06B2"/>
    <w:rsid w:val="00C02939"/>
    <w:rsid w:val="00C02C99"/>
    <w:rsid w:val="00C02E92"/>
    <w:rsid w:val="00C0735A"/>
    <w:rsid w:val="00C12A11"/>
    <w:rsid w:val="00C414E3"/>
    <w:rsid w:val="00C43DA7"/>
    <w:rsid w:val="00C44992"/>
    <w:rsid w:val="00C46D42"/>
    <w:rsid w:val="00C521C8"/>
    <w:rsid w:val="00C528BD"/>
    <w:rsid w:val="00C566D5"/>
    <w:rsid w:val="00C57231"/>
    <w:rsid w:val="00C62DE5"/>
    <w:rsid w:val="00C637A2"/>
    <w:rsid w:val="00C63E93"/>
    <w:rsid w:val="00C74B50"/>
    <w:rsid w:val="00C76ED7"/>
    <w:rsid w:val="00C802DC"/>
    <w:rsid w:val="00C827A2"/>
    <w:rsid w:val="00C82914"/>
    <w:rsid w:val="00C876DD"/>
    <w:rsid w:val="00C91411"/>
    <w:rsid w:val="00C9397B"/>
    <w:rsid w:val="00CA2D7A"/>
    <w:rsid w:val="00CA46AA"/>
    <w:rsid w:val="00CA57EB"/>
    <w:rsid w:val="00CA7396"/>
    <w:rsid w:val="00CB5098"/>
    <w:rsid w:val="00CB6E14"/>
    <w:rsid w:val="00CB7517"/>
    <w:rsid w:val="00CD2E04"/>
    <w:rsid w:val="00CE0A55"/>
    <w:rsid w:val="00CE515E"/>
    <w:rsid w:val="00CE739F"/>
    <w:rsid w:val="00CE76B7"/>
    <w:rsid w:val="00CF4B25"/>
    <w:rsid w:val="00CF4F03"/>
    <w:rsid w:val="00D07B9A"/>
    <w:rsid w:val="00D229F5"/>
    <w:rsid w:val="00D22BBA"/>
    <w:rsid w:val="00D2338F"/>
    <w:rsid w:val="00D30764"/>
    <w:rsid w:val="00D32426"/>
    <w:rsid w:val="00D34B7E"/>
    <w:rsid w:val="00D372F5"/>
    <w:rsid w:val="00D40BD2"/>
    <w:rsid w:val="00D5037F"/>
    <w:rsid w:val="00D52B35"/>
    <w:rsid w:val="00D5524E"/>
    <w:rsid w:val="00D71AFA"/>
    <w:rsid w:val="00D8267B"/>
    <w:rsid w:val="00D84D0A"/>
    <w:rsid w:val="00DA0850"/>
    <w:rsid w:val="00DA0FF8"/>
    <w:rsid w:val="00DA2496"/>
    <w:rsid w:val="00DB7F7C"/>
    <w:rsid w:val="00DC5246"/>
    <w:rsid w:val="00DD5420"/>
    <w:rsid w:val="00DE18A3"/>
    <w:rsid w:val="00DF1633"/>
    <w:rsid w:val="00E01EFC"/>
    <w:rsid w:val="00E44774"/>
    <w:rsid w:val="00E45E92"/>
    <w:rsid w:val="00E45FAB"/>
    <w:rsid w:val="00E509C5"/>
    <w:rsid w:val="00E5661A"/>
    <w:rsid w:val="00E57A43"/>
    <w:rsid w:val="00E615E8"/>
    <w:rsid w:val="00E6486D"/>
    <w:rsid w:val="00E708B6"/>
    <w:rsid w:val="00E72A50"/>
    <w:rsid w:val="00E8146C"/>
    <w:rsid w:val="00E86F08"/>
    <w:rsid w:val="00E90AB5"/>
    <w:rsid w:val="00E90B3D"/>
    <w:rsid w:val="00EA654A"/>
    <w:rsid w:val="00EB28BB"/>
    <w:rsid w:val="00EB65E2"/>
    <w:rsid w:val="00EC3811"/>
    <w:rsid w:val="00EC6614"/>
    <w:rsid w:val="00EC6B6F"/>
    <w:rsid w:val="00ED1D14"/>
    <w:rsid w:val="00ED7C97"/>
    <w:rsid w:val="00EE11C8"/>
    <w:rsid w:val="00EE1AA3"/>
    <w:rsid w:val="00EE3A31"/>
    <w:rsid w:val="00EE4119"/>
    <w:rsid w:val="00EE5C4E"/>
    <w:rsid w:val="00EE64FC"/>
    <w:rsid w:val="00EE6A34"/>
    <w:rsid w:val="00EF081E"/>
    <w:rsid w:val="00EF2EE2"/>
    <w:rsid w:val="00EF2F5D"/>
    <w:rsid w:val="00EF5DB0"/>
    <w:rsid w:val="00EF7985"/>
    <w:rsid w:val="00EF7A30"/>
    <w:rsid w:val="00F1120A"/>
    <w:rsid w:val="00F11BC7"/>
    <w:rsid w:val="00F1429A"/>
    <w:rsid w:val="00F33734"/>
    <w:rsid w:val="00F35503"/>
    <w:rsid w:val="00F4186B"/>
    <w:rsid w:val="00F47F6A"/>
    <w:rsid w:val="00F502A4"/>
    <w:rsid w:val="00F56E73"/>
    <w:rsid w:val="00F60C57"/>
    <w:rsid w:val="00F61C39"/>
    <w:rsid w:val="00F64DB1"/>
    <w:rsid w:val="00F75C76"/>
    <w:rsid w:val="00F871B5"/>
    <w:rsid w:val="00F95F6E"/>
    <w:rsid w:val="00F9630B"/>
    <w:rsid w:val="00F96CAB"/>
    <w:rsid w:val="00FA7E0D"/>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ostalCod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AC2F36"/>
    <w:pPr>
      <w:keepNext/>
      <w:tabs>
        <w:tab w:val="center" w:pos="4680"/>
      </w:tabs>
      <w:jc w:val="center"/>
      <w:outlineLvl w:val="0"/>
    </w:pPr>
    <w:rPr>
      <w:b/>
    </w:rPr>
  </w:style>
  <w:style w:type="paragraph" w:styleId="Heading2">
    <w:name w:val="heading 2"/>
    <w:basedOn w:val="Normal"/>
    <w:next w:val="Normal"/>
    <w:qFormat/>
    <w:rsid w:val="00AC2F36"/>
    <w:pPr>
      <w:keepNext/>
      <w:ind w:left="720"/>
      <w:jc w:val="right"/>
      <w:outlineLvl w:val="1"/>
    </w:pPr>
    <w:rPr>
      <w:rFonts w:ascii="Arial" w:hAnsi="Arial"/>
      <w:i/>
      <w:sz w:val="18"/>
    </w:rPr>
  </w:style>
  <w:style w:type="paragraph" w:styleId="Heading3">
    <w:name w:val="heading 3"/>
    <w:basedOn w:val="Normal"/>
    <w:next w:val="Normal"/>
    <w:qFormat/>
    <w:rsid w:val="00AC2F36"/>
    <w:pPr>
      <w:keepNext/>
      <w:tabs>
        <w:tab w:val="left" w:pos="5400"/>
      </w:tabs>
      <w:ind w:left="720"/>
      <w:outlineLvl w:val="2"/>
    </w:pPr>
    <w:rPr>
      <w:rFonts w:ascii="Arial" w:hAnsi="Arial"/>
      <w:i/>
      <w:sz w:val="18"/>
    </w:rPr>
  </w:style>
  <w:style w:type="paragraph" w:styleId="Heading4">
    <w:name w:val="heading 4"/>
    <w:basedOn w:val="Normal"/>
    <w:next w:val="Normal"/>
    <w:qFormat/>
    <w:rsid w:val="00AC2F36"/>
    <w:pPr>
      <w:keepNext/>
      <w:outlineLvl w:val="3"/>
    </w:pPr>
    <w:rPr>
      <w:b/>
      <w:bCs/>
    </w:rPr>
  </w:style>
  <w:style w:type="paragraph" w:styleId="Heading5">
    <w:name w:val="heading 5"/>
    <w:basedOn w:val="Normal"/>
    <w:next w:val="Normal"/>
    <w:qFormat/>
    <w:rsid w:val="00AC2F36"/>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AC2F36"/>
  </w:style>
  <w:style w:type="paragraph" w:styleId="Footer">
    <w:name w:val="footer"/>
    <w:basedOn w:val="Normal"/>
    <w:link w:val="FooterChar"/>
    <w:uiPriority w:val="99"/>
    <w:rsid w:val="00AC2F36"/>
    <w:pPr>
      <w:widowControl/>
      <w:tabs>
        <w:tab w:val="center" w:pos="4320"/>
        <w:tab w:val="right" w:pos="8640"/>
      </w:tabs>
    </w:pPr>
    <w:rPr>
      <w:snapToGrid/>
      <w:szCs w:val="24"/>
    </w:rPr>
  </w:style>
  <w:style w:type="paragraph" w:styleId="BodyText">
    <w:name w:val="Body Text"/>
    <w:basedOn w:val="Normal"/>
    <w:rsid w:val="00AC2F36"/>
    <w:pPr>
      <w:widowControl/>
    </w:pPr>
    <w:rPr>
      <w:rFonts w:ascii="Times" w:hAnsi="Times"/>
      <w:color w:val="000000"/>
    </w:rPr>
  </w:style>
  <w:style w:type="character" w:styleId="Hyperlink">
    <w:name w:val="Hyperlink"/>
    <w:uiPriority w:val="99"/>
    <w:rsid w:val="00AC2F36"/>
    <w:rPr>
      <w:color w:val="0000FF"/>
      <w:u w:val="single"/>
    </w:rPr>
  </w:style>
  <w:style w:type="paragraph" w:styleId="BodyText2">
    <w:name w:val="Body Text 2"/>
    <w:basedOn w:val="Normal"/>
    <w:rsid w:val="00AC2F36"/>
    <w:rPr>
      <w:i/>
      <w:iCs/>
    </w:rPr>
  </w:style>
  <w:style w:type="paragraph" w:styleId="BodyTextIndent">
    <w:name w:val="Body Text Indent"/>
    <w:basedOn w:val="Normal"/>
    <w:rsid w:val="00AC2F36"/>
    <w:pPr>
      <w:autoSpaceDE w:val="0"/>
      <w:autoSpaceDN w:val="0"/>
      <w:adjustRightInd w:val="0"/>
      <w:ind w:left="-360"/>
    </w:pPr>
    <w:rPr>
      <w:snapToGrid/>
      <w:szCs w:val="24"/>
    </w:rPr>
  </w:style>
  <w:style w:type="character" w:styleId="PageNumber">
    <w:name w:val="page number"/>
    <w:basedOn w:val="DefaultParagraphFont"/>
    <w:rsid w:val="00AC2F36"/>
  </w:style>
  <w:style w:type="paragraph" w:styleId="BodyTextIndent3">
    <w:name w:val="Body Text Indent 3"/>
    <w:basedOn w:val="Normal"/>
    <w:rsid w:val="00AC2F36"/>
    <w:pPr>
      <w:widowControl/>
      <w:ind w:left="360" w:hanging="360"/>
    </w:pPr>
    <w:rPr>
      <w:szCs w:val="24"/>
    </w:rPr>
  </w:style>
  <w:style w:type="paragraph" w:styleId="BodyText3">
    <w:name w:val="Body Text 3"/>
    <w:basedOn w:val="Normal"/>
    <w:rsid w:val="00AC2F36"/>
    <w:pPr>
      <w:autoSpaceDE w:val="0"/>
      <w:autoSpaceDN w:val="0"/>
      <w:adjustRightInd w:val="0"/>
    </w:pPr>
    <w:rPr>
      <w:b/>
      <w:bCs/>
    </w:rPr>
  </w:style>
  <w:style w:type="character" w:styleId="FollowedHyperlink">
    <w:name w:val="FollowedHyperlink"/>
    <w:rsid w:val="00AC2F36"/>
    <w:rPr>
      <w:color w:val="800080"/>
      <w:u w:val="single"/>
    </w:rPr>
  </w:style>
  <w:style w:type="character" w:styleId="Strong">
    <w:name w:val="Strong"/>
    <w:qFormat/>
    <w:rsid w:val="00AC2F36"/>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uiPriority w:val="34"/>
    <w:qFormat/>
    <w:rsid w:val="00B06468"/>
    <w:pPr>
      <w:widowControl/>
      <w:spacing w:after="200" w:line="276" w:lineRule="auto"/>
      <w:ind w:left="720"/>
      <w:contextualSpacing/>
    </w:pPr>
    <w:rPr>
      <w:rFonts w:asciiTheme="minorHAnsi" w:eastAsiaTheme="minorHAnsi" w:hAnsiTheme="minorHAnsi" w:cstheme="minorBidi"/>
      <w:snapToGrid/>
      <w:sz w:val="22"/>
      <w:szCs w:val="22"/>
    </w:rPr>
  </w:style>
  <w:style w:type="character" w:customStyle="1" w:styleId="FootnoteTextChar">
    <w:name w:val="Footnote Text Char"/>
    <w:basedOn w:val="DefaultParagraphFont"/>
    <w:link w:val="FootnoteText"/>
    <w:uiPriority w:val="99"/>
    <w:rsid w:val="00B06468"/>
  </w:style>
  <w:style w:type="paragraph" w:styleId="NoSpacing">
    <w:name w:val="No Spacing"/>
    <w:uiPriority w:val="1"/>
    <w:qFormat/>
    <w:rsid w:val="00B0646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AC2F36"/>
    <w:pPr>
      <w:keepNext/>
      <w:tabs>
        <w:tab w:val="center" w:pos="4680"/>
      </w:tabs>
      <w:jc w:val="center"/>
      <w:outlineLvl w:val="0"/>
    </w:pPr>
    <w:rPr>
      <w:b/>
    </w:rPr>
  </w:style>
  <w:style w:type="paragraph" w:styleId="Heading2">
    <w:name w:val="heading 2"/>
    <w:basedOn w:val="Normal"/>
    <w:next w:val="Normal"/>
    <w:qFormat/>
    <w:rsid w:val="00AC2F36"/>
    <w:pPr>
      <w:keepNext/>
      <w:ind w:left="720"/>
      <w:jc w:val="right"/>
      <w:outlineLvl w:val="1"/>
    </w:pPr>
    <w:rPr>
      <w:rFonts w:ascii="Arial" w:hAnsi="Arial"/>
      <w:i/>
      <w:sz w:val="18"/>
    </w:rPr>
  </w:style>
  <w:style w:type="paragraph" w:styleId="Heading3">
    <w:name w:val="heading 3"/>
    <w:basedOn w:val="Normal"/>
    <w:next w:val="Normal"/>
    <w:qFormat/>
    <w:rsid w:val="00AC2F36"/>
    <w:pPr>
      <w:keepNext/>
      <w:tabs>
        <w:tab w:val="left" w:pos="5400"/>
      </w:tabs>
      <w:ind w:left="720"/>
      <w:outlineLvl w:val="2"/>
    </w:pPr>
    <w:rPr>
      <w:rFonts w:ascii="Arial" w:hAnsi="Arial"/>
      <w:i/>
      <w:sz w:val="18"/>
    </w:rPr>
  </w:style>
  <w:style w:type="paragraph" w:styleId="Heading4">
    <w:name w:val="heading 4"/>
    <w:basedOn w:val="Normal"/>
    <w:next w:val="Normal"/>
    <w:qFormat/>
    <w:rsid w:val="00AC2F36"/>
    <w:pPr>
      <w:keepNext/>
      <w:outlineLvl w:val="3"/>
    </w:pPr>
    <w:rPr>
      <w:b/>
      <w:bCs/>
    </w:rPr>
  </w:style>
  <w:style w:type="paragraph" w:styleId="Heading5">
    <w:name w:val="heading 5"/>
    <w:basedOn w:val="Normal"/>
    <w:next w:val="Normal"/>
    <w:qFormat/>
    <w:rsid w:val="00AC2F36"/>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AC2F36"/>
  </w:style>
  <w:style w:type="paragraph" w:styleId="Footer">
    <w:name w:val="footer"/>
    <w:basedOn w:val="Normal"/>
    <w:link w:val="FooterChar"/>
    <w:uiPriority w:val="99"/>
    <w:rsid w:val="00AC2F36"/>
    <w:pPr>
      <w:widowControl/>
      <w:tabs>
        <w:tab w:val="center" w:pos="4320"/>
        <w:tab w:val="right" w:pos="8640"/>
      </w:tabs>
    </w:pPr>
    <w:rPr>
      <w:snapToGrid/>
      <w:szCs w:val="24"/>
    </w:rPr>
  </w:style>
  <w:style w:type="paragraph" w:styleId="BodyText">
    <w:name w:val="Body Text"/>
    <w:basedOn w:val="Normal"/>
    <w:rsid w:val="00AC2F36"/>
    <w:pPr>
      <w:widowControl/>
    </w:pPr>
    <w:rPr>
      <w:rFonts w:ascii="Times" w:hAnsi="Times"/>
      <w:color w:val="000000"/>
    </w:rPr>
  </w:style>
  <w:style w:type="character" w:styleId="Hyperlink">
    <w:name w:val="Hyperlink"/>
    <w:uiPriority w:val="99"/>
    <w:rsid w:val="00AC2F36"/>
    <w:rPr>
      <w:color w:val="0000FF"/>
      <w:u w:val="single"/>
    </w:rPr>
  </w:style>
  <w:style w:type="paragraph" w:styleId="BodyText2">
    <w:name w:val="Body Text 2"/>
    <w:basedOn w:val="Normal"/>
    <w:rsid w:val="00AC2F36"/>
    <w:rPr>
      <w:i/>
      <w:iCs/>
    </w:rPr>
  </w:style>
  <w:style w:type="paragraph" w:styleId="BodyTextIndent">
    <w:name w:val="Body Text Indent"/>
    <w:basedOn w:val="Normal"/>
    <w:rsid w:val="00AC2F36"/>
    <w:pPr>
      <w:autoSpaceDE w:val="0"/>
      <w:autoSpaceDN w:val="0"/>
      <w:adjustRightInd w:val="0"/>
      <w:ind w:left="-360"/>
    </w:pPr>
    <w:rPr>
      <w:snapToGrid/>
      <w:szCs w:val="24"/>
    </w:rPr>
  </w:style>
  <w:style w:type="character" w:styleId="PageNumber">
    <w:name w:val="page number"/>
    <w:basedOn w:val="DefaultParagraphFont"/>
    <w:rsid w:val="00AC2F36"/>
  </w:style>
  <w:style w:type="paragraph" w:styleId="BodyTextIndent3">
    <w:name w:val="Body Text Indent 3"/>
    <w:basedOn w:val="Normal"/>
    <w:rsid w:val="00AC2F36"/>
    <w:pPr>
      <w:widowControl/>
      <w:ind w:left="360" w:hanging="360"/>
    </w:pPr>
    <w:rPr>
      <w:szCs w:val="24"/>
    </w:rPr>
  </w:style>
  <w:style w:type="paragraph" w:styleId="BodyText3">
    <w:name w:val="Body Text 3"/>
    <w:basedOn w:val="Normal"/>
    <w:rsid w:val="00AC2F36"/>
    <w:pPr>
      <w:autoSpaceDE w:val="0"/>
      <w:autoSpaceDN w:val="0"/>
      <w:adjustRightInd w:val="0"/>
    </w:pPr>
    <w:rPr>
      <w:b/>
      <w:bCs/>
    </w:rPr>
  </w:style>
  <w:style w:type="character" w:styleId="FollowedHyperlink">
    <w:name w:val="FollowedHyperlink"/>
    <w:rsid w:val="00AC2F36"/>
    <w:rPr>
      <w:color w:val="800080"/>
      <w:u w:val="single"/>
    </w:rPr>
  </w:style>
  <w:style w:type="character" w:styleId="Strong">
    <w:name w:val="Strong"/>
    <w:qFormat/>
    <w:rsid w:val="00AC2F36"/>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uiPriority w:val="34"/>
    <w:qFormat/>
    <w:rsid w:val="00B06468"/>
    <w:pPr>
      <w:widowControl/>
      <w:spacing w:after="200" w:line="276" w:lineRule="auto"/>
      <w:ind w:left="720"/>
      <w:contextualSpacing/>
    </w:pPr>
    <w:rPr>
      <w:rFonts w:asciiTheme="minorHAnsi" w:eastAsiaTheme="minorHAnsi" w:hAnsiTheme="minorHAnsi" w:cstheme="minorBidi"/>
      <w:snapToGrid/>
      <w:sz w:val="22"/>
      <w:szCs w:val="22"/>
    </w:rPr>
  </w:style>
  <w:style w:type="character" w:customStyle="1" w:styleId="FootnoteTextChar">
    <w:name w:val="Footnote Text Char"/>
    <w:basedOn w:val="DefaultParagraphFont"/>
    <w:link w:val="FootnoteText"/>
    <w:uiPriority w:val="99"/>
    <w:rsid w:val="00B06468"/>
  </w:style>
  <w:style w:type="paragraph" w:styleId="NoSpacing">
    <w:name w:val="No Spacing"/>
    <w:uiPriority w:val="1"/>
    <w:qFormat/>
    <w:rsid w:val="00B0646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539666204">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ccr/epp/q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Memo\ESE%20Board%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ESE Board memo.dot</Template>
  <TotalTime>0</TotalTime>
  <Pages>7</Pages>
  <Words>2699</Words>
  <Characters>15389</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BESE Memo, Initial Discussion of Plan for Administering MCAS and PARCC Student Assessments, Agenda Item 4, September 2013</vt:lpstr>
    </vt:vector>
  </TitlesOfParts>
  <LinksUpToDate>false</LinksUpToDate>
  <CharactersWithSpaces>18052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Memo, Initial Discussion of Plan for Administering MCAS and PARCC Student Assessments, Agenda Item 4, September 2013</dc:title>
  <dc:creator/>
  <cp:lastModifiedBy/>
  <cp:revision>1</cp:revision>
  <cp:lastPrinted>2011-01-14T19:54:00Z</cp:lastPrinted>
  <dcterms:created xsi:type="dcterms:W3CDTF">2013-09-19T21:22:00Z</dcterms:created>
  <dcterms:modified xsi:type="dcterms:W3CDTF">2013-09-19T21:22:00Z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19 2013</vt:lpwstr>
  </property>
</Properties>
</file>