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3A" w:rsidRPr="00F156EC" w:rsidRDefault="00C7243A" w:rsidP="00C7243A">
      <w:pPr>
        <w:autoSpaceDE w:val="0"/>
        <w:autoSpaceDN w:val="0"/>
        <w:adjustRightInd w:val="0"/>
        <w:jc w:val="center"/>
        <w:rPr>
          <w:b/>
          <w:bCs/>
        </w:rPr>
      </w:pPr>
      <w:bookmarkStart w:id="0" w:name="_GoBack"/>
      <w:bookmarkEnd w:id="0"/>
      <w:r w:rsidRPr="00F156EC">
        <w:rPr>
          <w:b/>
          <w:bCs/>
        </w:rPr>
        <w:t xml:space="preserve">PROPOSED </w:t>
      </w:r>
      <w:r>
        <w:rPr>
          <w:b/>
          <w:bCs/>
        </w:rPr>
        <w:t xml:space="preserve">EMERGENCY </w:t>
      </w:r>
      <w:r w:rsidRPr="00F156EC">
        <w:rPr>
          <w:b/>
          <w:bCs/>
        </w:rPr>
        <w:t>REGULATIONS</w:t>
      </w:r>
      <w:r>
        <w:rPr>
          <w:b/>
          <w:bCs/>
        </w:rPr>
        <w:t xml:space="preserve"> RELATING TO CRIM</w:t>
      </w:r>
      <w:r w:rsidR="00E845F9">
        <w:rPr>
          <w:b/>
          <w:bCs/>
        </w:rPr>
        <w:t>INAL HISTORY CHECKS FOR SCHOOL E</w:t>
      </w:r>
      <w:r>
        <w:rPr>
          <w:b/>
          <w:bCs/>
        </w:rPr>
        <w:t>MPLOYEES</w:t>
      </w:r>
    </w:p>
    <w:p w:rsidR="00C7243A" w:rsidRPr="00F156EC" w:rsidRDefault="00C7243A" w:rsidP="00C7243A">
      <w:pPr>
        <w:autoSpaceDE w:val="0"/>
        <w:autoSpaceDN w:val="0"/>
        <w:adjustRightInd w:val="0"/>
        <w:jc w:val="center"/>
        <w:rPr>
          <w:b/>
          <w:bCs/>
        </w:rPr>
      </w:pPr>
      <w:r w:rsidRPr="00F156EC">
        <w:rPr>
          <w:b/>
          <w:bCs/>
        </w:rPr>
        <w:t xml:space="preserve">603 CMR </w:t>
      </w:r>
      <w:r>
        <w:rPr>
          <w:b/>
          <w:bCs/>
        </w:rPr>
        <w:t>51</w:t>
      </w:r>
      <w:r w:rsidRPr="00F156EC">
        <w:rPr>
          <w:b/>
          <w:bCs/>
        </w:rPr>
        <w:t>.00</w:t>
      </w:r>
    </w:p>
    <w:p w:rsidR="00C7243A" w:rsidRPr="00F156EC" w:rsidRDefault="00C7243A" w:rsidP="00C7243A">
      <w:pPr>
        <w:numPr>
          <w:ilvl w:val="0"/>
          <w:numId w:val="35"/>
        </w:numPr>
        <w:autoSpaceDE w:val="0"/>
        <w:autoSpaceDN w:val="0"/>
        <w:adjustRightInd w:val="0"/>
        <w:ind w:left="360" w:hanging="360"/>
      </w:pPr>
      <w:r w:rsidRPr="00F156EC">
        <w:t xml:space="preserve">Presented to the Board of Elementary and Secondary Education for vote </w:t>
      </w:r>
      <w:r w:rsidR="00F107DE">
        <w:t xml:space="preserve">as emergency regulations </w:t>
      </w:r>
      <w:r>
        <w:t>on</w:t>
      </w:r>
      <w:r w:rsidRPr="00F156EC">
        <w:t xml:space="preserve">: </w:t>
      </w:r>
      <w:r w:rsidRPr="00F156EC">
        <w:rPr>
          <w:b/>
          <w:bCs/>
        </w:rPr>
        <w:t>September 24, 2013</w:t>
      </w:r>
    </w:p>
    <w:p w:rsidR="00C7243A" w:rsidRPr="00F156EC" w:rsidRDefault="00C7243A" w:rsidP="00C7243A">
      <w:pPr>
        <w:numPr>
          <w:ilvl w:val="0"/>
          <w:numId w:val="35"/>
        </w:numPr>
        <w:autoSpaceDE w:val="0"/>
        <w:autoSpaceDN w:val="0"/>
        <w:adjustRightInd w:val="0"/>
        <w:ind w:left="360" w:hanging="360"/>
      </w:pPr>
      <w:r w:rsidRPr="00F156EC">
        <w:t xml:space="preserve">Period of public comment: </w:t>
      </w:r>
      <w:r w:rsidRPr="00F156EC">
        <w:rPr>
          <w:b/>
          <w:bCs/>
        </w:rPr>
        <w:t>through November 8, 2013</w:t>
      </w:r>
    </w:p>
    <w:p w:rsidR="00C7243A" w:rsidRPr="00F156EC" w:rsidRDefault="00C7243A" w:rsidP="00C7243A">
      <w:pPr>
        <w:numPr>
          <w:ilvl w:val="0"/>
          <w:numId w:val="35"/>
        </w:numPr>
        <w:autoSpaceDE w:val="0"/>
        <w:autoSpaceDN w:val="0"/>
        <w:adjustRightInd w:val="0"/>
        <w:ind w:left="360" w:hanging="360"/>
      </w:pPr>
      <w:r w:rsidRPr="00F156EC">
        <w:t xml:space="preserve">Anticipated final action by the Board of Elementary and Secondary Education: </w:t>
      </w:r>
      <w:r w:rsidRPr="00F156EC">
        <w:rPr>
          <w:b/>
        </w:rPr>
        <w:t>December 17, 2013</w:t>
      </w:r>
    </w:p>
    <w:p w:rsidR="00C7243A" w:rsidRDefault="00C7243A" w:rsidP="00C7243A">
      <w:pPr>
        <w:spacing w:before="240" w:after="120"/>
        <w:rPr>
          <w:b/>
        </w:rPr>
      </w:pPr>
    </w:p>
    <w:p w:rsidR="00C7243A" w:rsidRDefault="00C7243A" w:rsidP="00C7243A">
      <w:pPr>
        <w:spacing w:before="240" w:after="120"/>
      </w:pPr>
      <w:r w:rsidRPr="00912785">
        <w:rPr>
          <w:b/>
        </w:rPr>
        <w:t>Summary:</w:t>
      </w:r>
      <w:r>
        <w:t xml:space="preserve"> </w:t>
      </w:r>
      <w:r w:rsidRPr="001F691D">
        <w:t xml:space="preserve">The regulations provide for a </w:t>
      </w:r>
      <w:r w:rsidR="00F107DE">
        <w:t xml:space="preserve">fingerprint-based national criminal background check for school employees. As required by the law, the regulations provide that new employees will undergo the checks during the 2013-2014 school year and returning employees will undergo checks prior to the start of the 2016-2017 school year. </w:t>
      </w:r>
      <w:r w:rsidR="00B427AD">
        <w:t xml:space="preserve">Going forward, all newly hired employees will be subject to the checks. </w:t>
      </w:r>
      <w:r w:rsidR="00F107DE">
        <w:t xml:space="preserve">The regulations also detail the circumstances under which a new school employer may rely on a suitability determination made by a previous school employer. </w:t>
      </w:r>
    </w:p>
    <w:p w:rsidR="00C7243A" w:rsidRDefault="00C7243A" w:rsidP="00C7243A">
      <w:pPr>
        <w:autoSpaceDE w:val="0"/>
        <w:autoSpaceDN w:val="0"/>
        <w:adjustRightInd w:val="0"/>
        <w:rPr>
          <w:bCs/>
        </w:rPr>
      </w:pPr>
    </w:p>
    <w:p w:rsidR="00C7243A" w:rsidRDefault="00C7243A" w:rsidP="00C7243A">
      <w:pPr>
        <w:autoSpaceDE w:val="0"/>
        <w:autoSpaceDN w:val="0"/>
        <w:adjustRightInd w:val="0"/>
        <w:rPr>
          <w:bCs/>
        </w:rPr>
      </w:pPr>
      <w:r>
        <w:rPr>
          <w:bCs/>
        </w:rPr>
        <w:t xml:space="preserve">See below for the full text of the regulations. </w:t>
      </w:r>
    </w:p>
    <w:p w:rsidR="00F107DE" w:rsidRPr="00912785" w:rsidRDefault="00F107DE" w:rsidP="00C7243A">
      <w:pPr>
        <w:autoSpaceDE w:val="0"/>
        <w:autoSpaceDN w:val="0"/>
        <w:adjustRightInd w:val="0"/>
        <w:rPr>
          <w:bCs/>
        </w:rPr>
      </w:pPr>
    </w:p>
    <w:p w:rsidR="00C7243A" w:rsidRPr="00912785" w:rsidRDefault="00C7243A" w:rsidP="00C7243A">
      <w:pPr>
        <w:rPr>
          <w:szCs w:val="22"/>
        </w:rPr>
      </w:pPr>
      <w:r>
        <w:rPr>
          <w:b/>
          <w:szCs w:val="22"/>
        </w:rPr>
        <w:t>603 CMR 51</w:t>
      </w:r>
      <w:r w:rsidRPr="00F156EC">
        <w:rPr>
          <w:b/>
          <w:szCs w:val="22"/>
        </w:rPr>
        <w:t>.00</w:t>
      </w:r>
      <w:r>
        <w:rPr>
          <w:b/>
          <w:szCs w:val="22"/>
        </w:rPr>
        <w:t>: Criminal History Checks for School Employees</w:t>
      </w:r>
    </w:p>
    <w:p w:rsidR="00454245" w:rsidRDefault="0045424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37"/>
        <w:gridCol w:w="8753"/>
      </w:tblGrid>
      <w:tr w:rsidR="003947B9" w:rsidRPr="00697894">
        <w:trPr>
          <w:tblCellSpacing w:w="0" w:type="dxa"/>
        </w:trPr>
        <w:tc>
          <w:tcPr>
            <w:tcW w:w="0" w:type="auto"/>
            <w:gridSpan w:val="2"/>
            <w:tcBorders>
              <w:top w:val="nil"/>
              <w:left w:val="nil"/>
              <w:bottom w:val="nil"/>
              <w:right w:val="nil"/>
            </w:tcBorders>
            <w:vAlign w:val="center"/>
            <w:hideMark/>
          </w:tcPr>
          <w:p w:rsidR="003947B9" w:rsidRPr="00697894" w:rsidRDefault="003947B9">
            <w:pPr>
              <w:rPr>
                <w:b/>
                <w:bCs/>
              </w:rPr>
            </w:pPr>
            <w:r w:rsidRPr="00697894">
              <w:rPr>
                <w:b/>
                <w:bCs/>
              </w:rPr>
              <w:t>Section:</w:t>
            </w:r>
          </w:p>
        </w:tc>
      </w:tr>
      <w:tr w:rsidR="003947B9" w:rsidRPr="00697894" w:rsidTr="001F0EB4">
        <w:trPr>
          <w:tblCellSpacing w:w="0" w:type="dxa"/>
        </w:trPr>
        <w:tc>
          <w:tcPr>
            <w:tcW w:w="602" w:type="dxa"/>
            <w:hideMark/>
          </w:tcPr>
          <w:p w:rsidR="003947B9" w:rsidRPr="00697894" w:rsidRDefault="0070401C">
            <w:hyperlink r:id="rId9" w:history="1">
              <w:r w:rsidR="003947B9" w:rsidRPr="00697894">
                <w:rPr>
                  <w:rStyle w:val="Hyperlink"/>
                </w:rPr>
                <w:t>51.01:</w:t>
              </w:r>
            </w:hyperlink>
          </w:p>
        </w:tc>
        <w:tc>
          <w:tcPr>
            <w:tcW w:w="8788" w:type="dxa"/>
            <w:hideMark/>
          </w:tcPr>
          <w:p w:rsidR="003947B9" w:rsidRPr="00697894" w:rsidRDefault="003947B9" w:rsidP="003947B9">
            <w:r w:rsidRPr="00697894">
              <w:t>Authority, Purpose and Scope</w:t>
            </w:r>
          </w:p>
        </w:tc>
      </w:tr>
      <w:tr w:rsidR="003947B9" w:rsidRPr="00697894" w:rsidTr="001F0EB4">
        <w:trPr>
          <w:tblCellSpacing w:w="0" w:type="dxa"/>
        </w:trPr>
        <w:tc>
          <w:tcPr>
            <w:tcW w:w="602" w:type="dxa"/>
            <w:hideMark/>
          </w:tcPr>
          <w:p w:rsidR="003947B9" w:rsidRPr="00697894" w:rsidRDefault="0070401C">
            <w:hyperlink r:id="rId10" w:history="1">
              <w:r w:rsidR="003947B9" w:rsidRPr="00697894">
                <w:rPr>
                  <w:rStyle w:val="Hyperlink"/>
                </w:rPr>
                <w:t>51.02:</w:t>
              </w:r>
            </w:hyperlink>
          </w:p>
        </w:tc>
        <w:tc>
          <w:tcPr>
            <w:tcW w:w="8788" w:type="dxa"/>
            <w:hideMark/>
          </w:tcPr>
          <w:p w:rsidR="003947B9" w:rsidRPr="00697894" w:rsidRDefault="003947B9">
            <w:r w:rsidRPr="00697894">
              <w:t>Definitions</w:t>
            </w:r>
          </w:p>
        </w:tc>
      </w:tr>
      <w:tr w:rsidR="003947B9" w:rsidRPr="00697894" w:rsidTr="001F0EB4">
        <w:trPr>
          <w:trHeight w:val="210"/>
          <w:tblCellSpacing w:w="0" w:type="dxa"/>
        </w:trPr>
        <w:tc>
          <w:tcPr>
            <w:tcW w:w="602" w:type="dxa"/>
            <w:hideMark/>
          </w:tcPr>
          <w:p w:rsidR="003947B9" w:rsidRPr="00697894" w:rsidRDefault="0070401C">
            <w:hyperlink r:id="rId11" w:history="1">
              <w:r w:rsidR="001F0EB4" w:rsidRPr="00697894">
                <w:rPr>
                  <w:rStyle w:val="Hyperlink"/>
                </w:rPr>
                <w:t>51</w:t>
              </w:r>
              <w:r w:rsidR="003947B9" w:rsidRPr="00697894">
                <w:rPr>
                  <w:rStyle w:val="Hyperlink"/>
                </w:rPr>
                <w:t>.03:</w:t>
              </w:r>
            </w:hyperlink>
          </w:p>
        </w:tc>
        <w:tc>
          <w:tcPr>
            <w:tcW w:w="8788" w:type="dxa"/>
            <w:hideMark/>
          </w:tcPr>
          <w:p w:rsidR="003947B9" w:rsidRPr="00697894" w:rsidRDefault="001F0EB4" w:rsidP="0022135C">
            <w:r w:rsidRPr="00697894">
              <w:t>Individuals Subject to National Checks for Suitability Determinations</w:t>
            </w:r>
          </w:p>
        </w:tc>
      </w:tr>
      <w:tr w:rsidR="001F0EB4" w:rsidRPr="00697894" w:rsidTr="001F0EB4">
        <w:trPr>
          <w:tblCellSpacing w:w="0" w:type="dxa"/>
        </w:trPr>
        <w:tc>
          <w:tcPr>
            <w:tcW w:w="602" w:type="dxa"/>
            <w:hideMark/>
          </w:tcPr>
          <w:p w:rsidR="001F0EB4" w:rsidRPr="00697894" w:rsidRDefault="0070401C">
            <w:hyperlink r:id="rId12" w:history="1">
              <w:r w:rsidR="001F0EB4" w:rsidRPr="00697894">
                <w:rPr>
                  <w:rStyle w:val="Hyperlink"/>
                </w:rPr>
                <w:t>51.04:</w:t>
              </w:r>
            </w:hyperlink>
          </w:p>
        </w:tc>
        <w:tc>
          <w:tcPr>
            <w:tcW w:w="8788" w:type="dxa"/>
            <w:hideMark/>
          </w:tcPr>
          <w:p w:rsidR="001F0EB4" w:rsidRPr="00697894" w:rsidRDefault="00697894" w:rsidP="0022135C">
            <w:r w:rsidRPr="00697894">
              <w:t xml:space="preserve">School Employer Policies on National Criminal History Checks and Suitability Determinations; </w:t>
            </w:r>
            <w:r w:rsidR="0022135C">
              <w:t>C</w:t>
            </w:r>
            <w:r w:rsidRPr="00697894">
              <w:t xml:space="preserve">onfidentiality; </w:t>
            </w:r>
            <w:r w:rsidR="0022135C">
              <w:t>D</w:t>
            </w:r>
            <w:r w:rsidRPr="00697894">
              <w:t xml:space="preserve">issemination; </w:t>
            </w:r>
            <w:r w:rsidR="0022135C">
              <w:t>A</w:t>
            </w:r>
            <w:r w:rsidRPr="00697894">
              <w:t>udit</w:t>
            </w:r>
          </w:p>
        </w:tc>
      </w:tr>
      <w:tr w:rsidR="001F0EB4" w:rsidRPr="00697894" w:rsidTr="001F0EB4">
        <w:trPr>
          <w:tblCellSpacing w:w="0" w:type="dxa"/>
        </w:trPr>
        <w:tc>
          <w:tcPr>
            <w:tcW w:w="602" w:type="dxa"/>
            <w:hideMark/>
          </w:tcPr>
          <w:p w:rsidR="001F0EB4" w:rsidRPr="00697894" w:rsidRDefault="0070401C">
            <w:hyperlink r:id="rId13" w:history="1">
              <w:r w:rsidR="001F0EB4" w:rsidRPr="00697894">
                <w:rPr>
                  <w:rStyle w:val="Hyperlink"/>
                </w:rPr>
                <w:t>51.05:</w:t>
              </w:r>
            </w:hyperlink>
          </w:p>
        </w:tc>
        <w:tc>
          <w:tcPr>
            <w:tcW w:w="8788" w:type="dxa"/>
            <w:hideMark/>
          </w:tcPr>
          <w:p w:rsidR="001F0EB4" w:rsidRPr="00697894" w:rsidRDefault="001F0EB4" w:rsidP="001F0EB4">
            <w:pPr>
              <w:pStyle w:val="Heading1"/>
            </w:pPr>
            <w:r w:rsidRPr="00697894">
              <w:t>Timing of National Checks</w:t>
            </w:r>
          </w:p>
        </w:tc>
      </w:tr>
      <w:tr w:rsidR="001F0EB4" w:rsidRPr="00697894" w:rsidTr="001F0EB4">
        <w:trPr>
          <w:trHeight w:val="255"/>
          <w:tblCellSpacing w:w="0" w:type="dxa"/>
        </w:trPr>
        <w:tc>
          <w:tcPr>
            <w:tcW w:w="602" w:type="dxa"/>
            <w:hideMark/>
          </w:tcPr>
          <w:p w:rsidR="001F0EB4" w:rsidRPr="00697894" w:rsidRDefault="0070401C">
            <w:hyperlink r:id="rId14" w:history="1">
              <w:r w:rsidR="001F0EB4" w:rsidRPr="00697894">
                <w:rPr>
                  <w:rStyle w:val="Hyperlink"/>
                </w:rPr>
                <w:t>51.06:</w:t>
              </w:r>
            </w:hyperlink>
          </w:p>
        </w:tc>
        <w:tc>
          <w:tcPr>
            <w:tcW w:w="8788" w:type="dxa"/>
            <w:hideMark/>
          </w:tcPr>
          <w:p w:rsidR="001F0EB4" w:rsidRPr="00697894" w:rsidRDefault="00697894">
            <w:r w:rsidRPr="00697894">
              <w:t>Employer Documentation of Record Review; Reliance Thereon; Subsequent Checks</w:t>
            </w:r>
          </w:p>
        </w:tc>
      </w:tr>
      <w:tr w:rsidR="001F0EB4" w:rsidRPr="00697894" w:rsidTr="001F0EB4">
        <w:trPr>
          <w:tblCellSpacing w:w="0" w:type="dxa"/>
        </w:trPr>
        <w:tc>
          <w:tcPr>
            <w:tcW w:w="602" w:type="dxa"/>
            <w:hideMark/>
          </w:tcPr>
          <w:p w:rsidR="001F0EB4" w:rsidRPr="00697894" w:rsidRDefault="0070401C" w:rsidP="001F0EB4">
            <w:hyperlink r:id="rId15" w:history="1">
              <w:r w:rsidR="001F0EB4" w:rsidRPr="00697894">
                <w:rPr>
                  <w:rStyle w:val="Hyperlink"/>
                </w:rPr>
                <w:t>51.07:</w:t>
              </w:r>
            </w:hyperlink>
          </w:p>
        </w:tc>
        <w:tc>
          <w:tcPr>
            <w:tcW w:w="8788" w:type="dxa"/>
            <w:hideMark/>
          </w:tcPr>
          <w:p w:rsidR="00697894" w:rsidRPr="00697894" w:rsidRDefault="00697894" w:rsidP="00697894">
            <w:r w:rsidRPr="00697894">
              <w:t>Reporting National Check Results to the Commissioner</w:t>
            </w:r>
          </w:p>
          <w:p w:rsidR="001F0EB4" w:rsidRPr="00697894" w:rsidRDefault="001F0EB4" w:rsidP="001F0EB4"/>
        </w:tc>
      </w:tr>
      <w:tr w:rsidR="001F0EB4" w:rsidRPr="00697894" w:rsidTr="001F0EB4">
        <w:trPr>
          <w:tblCellSpacing w:w="0" w:type="dxa"/>
        </w:trPr>
        <w:tc>
          <w:tcPr>
            <w:tcW w:w="602" w:type="dxa"/>
            <w:hideMark/>
          </w:tcPr>
          <w:p w:rsidR="001F0EB4" w:rsidRPr="00697894" w:rsidRDefault="001F0EB4" w:rsidP="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rsidP="001F0EB4">
            <w:pPr>
              <w:pStyle w:val="Heading1"/>
            </w:pPr>
          </w:p>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r w:rsidR="001F0EB4" w:rsidRPr="00697894" w:rsidTr="001F0EB4">
        <w:trPr>
          <w:tblCellSpacing w:w="0" w:type="dxa"/>
        </w:trPr>
        <w:tc>
          <w:tcPr>
            <w:tcW w:w="602" w:type="dxa"/>
            <w:hideMark/>
          </w:tcPr>
          <w:p w:rsidR="001F0EB4" w:rsidRPr="00697894" w:rsidRDefault="001F0EB4"/>
        </w:tc>
        <w:tc>
          <w:tcPr>
            <w:tcW w:w="8788" w:type="dxa"/>
            <w:hideMark/>
          </w:tcPr>
          <w:p w:rsidR="001F0EB4" w:rsidRPr="00697894" w:rsidRDefault="001F0EB4"/>
        </w:tc>
      </w:tr>
    </w:tbl>
    <w:p w:rsidR="000F214D" w:rsidRPr="00697894" w:rsidRDefault="000F214D">
      <w:r w:rsidRPr="00697894">
        <w:br w:type="page"/>
      </w:r>
    </w:p>
    <w:p w:rsidR="00EB7106" w:rsidRPr="00697894" w:rsidRDefault="00B959DD" w:rsidP="000F214D">
      <w:pPr>
        <w:pStyle w:val="Heading1"/>
      </w:pPr>
      <w:bookmarkStart w:id="1" w:name="_Toc355168595"/>
      <w:r w:rsidRPr="00697894">
        <w:lastRenderedPageBreak/>
        <w:t>51.01</w:t>
      </w:r>
      <w:r w:rsidRPr="00697894">
        <w:tab/>
      </w:r>
      <w:r w:rsidR="00EB7106" w:rsidRPr="00697894">
        <w:t>Authority, Scope, and Purpose</w:t>
      </w:r>
      <w:bookmarkEnd w:id="1"/>
      <w:r w:rsidR="009903A6">
        <w:t>.</w:t>
      </w:r>
    </w:p>
    <w:p w:rsidR="00EB7106" w:rsidRPr="00697894" w:rsidRDefault="00EB7106"/>
    <w:p w:rsidR="00EB7106" w:rsidRPr="00697894" w:rsidRDefault="00EB7106" w:rsidP="00EB7106">
      <w:pPr>
        <w:pStyle w:val="ListParagraph"/>
        <w:numPr>
          <w:ilvl w:val="0"/>
          <w:numId w:val="1"/>
        </w:numPr>
      </w:pPr>
      <w:r w:rsidRPr="00697894">
        <w:rPr>
          <w:u w:val="single"/>
        </w:rPr>
        <w:t>Authority</w:t>
      </w:r>
      <w:r w:rsidRPr="00094898">
        <w:t>.</w:t>
      </w:r>
      <w:r w:rsidR="00094898" w:rsidRPr="00094898">
        <w:t xml:space="preserve"> </w:t>
      </w:r>
      <w:r w:rsidRPr="00697894">
        <w:rPr>
          <w:color w:val="252525"/>
        </w:rPr>
        <w:t>603 CMR 51.00 is promulgated pursuant to the authority of the Board of Elementary and Secondary Education under M.G.L. c. 71 § 38R</w:t>
      </w:r>
      <w:r w:rsidR="00FA6CF9" w:rsidRPr="00697894">
        <w:rPr>
          <w:color w:val="252525"/>
        </w:rPr>
        <w:t xml:space="preserve"> and Chapter </w:t>
      </w:r>
      <w:r w:rsidR="0022135C">
        <w:rPr>
          <w:color w:val="252525"/>
        </w:rPr>
        <w:t>77</w:t>
      </w:r>
      <w:r w:rsidR="00FA6CF9" w:rsidRPr="00697894">
        <w:rPr>
          <w:color w:val="252525"/>
        </w:rPr>
        <w:t xml:space="preserve"> of the Acts of 2013</w:t>
      </w:r>
      <w:r w:rsidRPr="00697894">
        <w:rPr>
          <w:color w:val="252525"/>
        </w:rPr>
        <w:t>.</w:t>
      </w:r>
    </w:p>
    <w:p w:rsidR="00F535D6" w:rsidRPr="00697894" w:rsidRDefault="00F535D6" w:rsidP="00F535D6">
      <w:pPr>
        <w:pStyle w:val="ListParagraph"/>
      </w:pPr>
    </w:p>
    <w:p w:rsidR="00F535D6" w:rsidRPr="00697894" w:rsidRDefault="00EB7106" w:rsidP="00F535D6">
      <w:pPr>
        <w:pStyle w:val="ListParagraph"/>
        <w:numPr>
          <w:ilvl w:val="0"/>
          <w:numId w:val="1"/>
        </w:numPr>
      </w:pPr>
      <w:r w:rsidRPr="00697894">
        <w:rPr>
          <w:u w:val="single"/>
        </w:rPr>
        <w:t>Scope</w:t>
      </w:r>
      <w:r w:rsidRPr="00697894">
        <w:t xml:space="preserve">. 603 CMR 51.00 governs the state and national criminal history checks of individuals working in </w:t>
      </w:r>
      <w:r w:rsidR="0009566D" w:rsidRPr="00697894">
        <w:t xml:space="preserve">or applying to work in </w:t>
      </w:r>
      <w:r w:rsidR="001F0EB4" w:rsidRPr="00697894">
        <w:t xml:space="preserve">Massachusetts </w:t>
      </w:r>
      <w:r w:rsidR="001C5925" w:rsidRPr="00697894">
        <w:t xml:space="preserve">public and private </w:t>
      </w:r>
      <w:r w:rsidRPr="00697894">
        <w:t xml:space="preserve">schools </w:t>
      </w:r>
      <w:r w:rsidR="001F0EB4" w:rsidRPr="00697894">
        <w:t xml:space="preserve">as </w:t>
      </w:r>
      <w:r w:rsidRPr="00697894">
        <w:t xml:space="preserve">required </w:t>
      </w:r>
      <w:r w:rsidR="00651377" w:rsidRPr="00697894">
        <w:t xml:space="preserve">and permitted </w:t>
      </w:r>
      <w:r w:rsidRPr="00697894">
        <w:t xml:space="preserve">by </w:t>
      </w:r>
      <w:r w:rsidRPr="00697894">
        <w:rPr>
          <w:color w:val="252525"/>
        </w:rPr>
        <w:t>M.G.L. c. 71 § 38R.</w:t>
      </w:r>
      <w:r w:rsidR="00580776" w:rsidRPr="00697894">
        <w:rPr>
          <w:color w:val="252525"/>
        </w:rPr>
        <w:t xml:space="preserve"> M.G.L. c. 6, §§ 167-178B and 803 CMR 2.00 et seq. </w:t>
      </w:r>
      <w:r w:rsidR="0009566D" w:rsidRPr="00697894">
        <w:rPr>
          <w:color w:val="252525"/>
        </w:rPr>
        <w:t>also apply to such criminal history checks</w:t>
      </w:r>
      <w:r w:rsidR="0022135C">
        <w:rPr>
          <w:color w:val="252525"/>
        </w:rPr>
        <w:t>.</w:t>
      </w:r>
    </w:p>
    <w:p w:rsidR="00F535D6" w:rsidRPr="00697894" w:rsidRDefault="00F535D6" w:rsidP="00F535D6">
      <w:pPr>
        <w:pStyle w:val="ListParagraph"/>
      </w:pPr>
    </w:p>
    <w:p w:rsidR="00EB7106" w:rsidRPr="00697894" w:rsidRDefault="00EB7106" w:rsidP="00EB7106">
      <w:pPr>
        <w:pStyle w:val="ListParagraph"/>
        <w:numPr>
          <w:ilvl w:val="0"/>
          <w:numId w:val="1"/>
        </w:numPr>
      </w:pPr>
      <w:r w:rsidRPr="00697894">
        <w:rPr>
          <w:u w:val="single"/>
        </w:rPr>
        <w:t>Purpose.</w:t>
      </w:r>
      <w:r w:rsidRPr="00697894">
        <w:t xml:space="preserve"> The purpose of 603 CMR 51.00 is to provide school employers and employees with </w:t>
      </w:r>
      <w:r w:rsidR="000B2E2E">
        <w:t>consistent</w:t>
      </w:r>
      <w:r w:rsidR="007107F6">
        <w:t xml:space="preserve"> </w:t>
      </w:r>
      <w:r w:rsidRPr="00697894">
        <w:t>rules and procedures regarding criminal history background checks.</w:t>
      </w:r>
    </w:p>
    <w:p w:rsidR="00BC6422" w:rsidRPr="00697894" w:rsidRDefault="00BC6422" w:rsidP="00BC6422"/>
    <w:p w:rsidR="009C60A2" w:rsidRPr="00697894" w:rsidRDefault="009C60A2">
      <w:r w:rsidRPr="00697894">
        <w:br w:type="page"/>
      </w:r>
    </w:p>
    <w:p w:rsidR="00BC6422" w:rsidRPr="00697894" w:rsidRDefault="00BC6422" w:rsidP="000F214D">
      <w:pPr>
        <w:pStyle w:val="Heading1"/>
      </w:pPr>
      <w:bookmarkStart w:id="2" w:name="_Toc355168596"/>
      <w:r w:rsidRPr="00697894">
        <w:lastRenderedPageBreak/>
        <w:t>51.02</w:t>
      </w:r>
      <w:r w:rsidR="00B959DD" w:rsidRPr="00697894">
        <w:tab/>
      </w:r>
      <w:r w:rsidRPr="00697894">
        <w:t>Definitions</w:t>
      </w:r>
      <w:bookmarkEnd w:id="2"/>
      <w:r w:rsidR="009903A6">
        <w:t>.</w:t>
      </w:r>
    </w:p>
    <w:p w:rsidR="00BC6422" w:rsidRPr="00697894" w:rsidRDefault="00BC6422" w:rsidP="00BC6422"/>
    <w:p w:rsidR="00BC6422" w:rsidRPr="00697894" w:rsidRDefault="00516E44" w:rsidP="00BC6422">
      <w:pPr>
        <w:rPr>
          <w:color w:val="252525"/>
        </w:rPr>
      </w:pPr>
      <w:r w:rsidRPr="00697894">
        <w:rPr>
          <w:color w:val="252525"/>
        </w:rPr>
        <w:t>As used in 603 CMR 51</w:t>
      </w:r>
      <w:r w:rsidR="00BC6422" w:rsidRPr="00697894">
        <w:rPr>
          <w:color w:val="252525"/>
        </w:rPr>
        <w:t>.00, unless the context clearly requires otherwise, terms shall have the following meanings:</w:t>
      </w:r>
    </w:p>
    <w:p w:rsidR="00516E44" w:rsidRPr="00697894" w:rsidRDefault="00516E44" w:rsidP="00BC6422">
      <w:pPr>
        <w:rPr>
          <w:color w:val="252525"/>
        </w:rPr>
      </w:pPr>
    </w:p>
    <w:p w:rsidR="00516E44" w:rsidRPr="00697894" w:rsidRDefault="00AE368D" w:rsidP="00BC6422">
      <w:r w:rsidRPr="00697894">
        <w:rPr>
          <w:b/>
        </w:rPr>
        <w:t>Board:</w:t>
      </w:r>
      <w:r w:rsidR="009D4212" w:rsidRPr="00697894">
        <w:rPr>
          <w:b/>
        </w:rPr>
        <w:t xml:space="preserve"> </w:t>
      </w:r>
      <w:r w:rsidR="00C90D0D" w:rsidRPr="00697894">
        <w:rPr>
          <w:color w:val="252525"/>
        </w:rPr>
        <w:t xml:space="preserve">The </w:t>
      </w:r>
      <w:r w:rsidR="009F4E16" w:rsidRPr="00697894">
        <w:rPr>
          <w:color w:val="252525"/>
        </w:rPr>
        <w:t xml:space="preserve">Massachusetts </w:t>
      </w:r>
      <w:r w:rsidR="00C90D0D" w:rsidRPr="00697894">
        <w:rPr>
          <w:color w:val="252525"/>
        </w:rPr>
        <w:t>Board of Elementary and Secondary Education or a person duly authorized by the Board.</w:t>
      </w:r>
    </w:p>
    <w:p w:rsidR="00516E44" w:rsidRPr="00697894" w:rsidRDefault="00516E44" w:rsidP="00BC6422"/>
    <w:p w:rsidR="0067650D" w:rsidRDefault="0067650D" w:rsidP="00BC6422">
      <w:r w:rsidRPr="00697894">
        <w:rPr>
          <w:b/>
        </w:rPr>
        <w:t>Commissioner</w:t>
      </w:r>
      <w:r w:rsidR="00290420" w:rsidRPr="00697894">
        <w:rPr>
          <w:b/>
        </w:rPr>
        <w:t>:</w:t>
      </w:r>
      <w:r w:rsidR="009D4212" w:rsidRPr="00697894">
        <w:rPr>
          <w:b/>
        </w:rPr>
        <w:t xml:space="preserve"> </w:t>
      </w:r>
      <w:r w:rsidR="0067505F" w:rsidRPr="00697894">
        <w:t xml:space="preserve">The </w:t>
      </w:r>
      <w:r w:rsidR="009F4E16" w:rsidRPr="00697894">
        <w:t xml:space="preserve">Massachusetts </w:t>
      </w:r>
      <w:r w:rsidR="0067505F" w:rsidRPr="00697894">
        <w:t>Commissioner of Elementary and Secondary Education</w:t>
      </w:r>
      <w:r w:rsidR="0009566D" w:rsidRPr="00697894">
        <w:t xml:space="preserve"> or his</w:t>
      </w:r>
      <w:r w:rsidR="006315A0">
        <w:t xml:space="preserve"> or her</w:t>
      </w:r>
      <w:r w:rsidR="0009566D" w:rsidRPr="00697894">
        <w:t xml:space="preserve"> designee</w:t>
      </w:r>
      <w:r w:rsidR="003C3A6A" w:rsidRPr="00697894">
        <w:t>.</w:t>
      </w:r>
    </w:p>
    <w:p w:rsidR="002B5FE4" w:rsidRDefault="002B5FE4" w:rsidP="00BC6422"/>
    <w:p w:rsidR="00387475" w:rsidRDefault="00387475" w:rsidP="00387475">
      <w:pPr>
        <w:autoSpaceDE w:val="0"/>
        <w:autoSpaceDN w:val="0"/>
      </w:pPr>
      <w:r>
        <w:rPr>
          <w:b/>
          <w:bCs/>
        </w:rPr>
        <w:t xml:space="preserve">Conditional Employee: </w:t>
      </w:r>
      <w:r>
        <w:t>An individual who may have direct and unmonitored contact with children hired by a school employer without first obtaining the results of a state and national fingerprint-based criminal history check because the school employer determines that exigent circumstances exist as set forth in 51.05(4).</w:t>
      </w:r>
    </w:p>
    <w:p w:rsidR="00F72748" w:rsidRPr="00697894" w:rsidRDefault="00F72748" w:rsidP="00BC6422"/>
    <w:p w:rsidR="00037570" w:rsidRPr="00697894" w:rsidRDefault="00037570" w:rsidP="00037570">
      <w:r w:rsidRPr="00697894">
        <w:rPr>
          <w:b/>
        </w:rPr>
        <w:t>Criminal Justice Information (CJI):</w:t>
      </w:r>
      <w:r w:rsidRPr="00697894">
        <w:t xml:space="preserve"> </w:t>
      </w:r>
      <w:r w:rsidR="00FF4A44">
        <w:t xml:space="preserve">For the purposes of these regulations </w:t>
      </w:r>
      <w:r w:rsidRPr="00697894">
        <w:t xml:space="preserve">CJI </w:t>
      </w:r>
      <w:r w:rsidR="00FF4A44">
        <w:t xml:space="preserve">refers to </w:t>
      </w:r>
      <w:r w:rsidR="00524737">
        <w:t xml:space="preserve">data provided by the </w:t>
      </w:r>
      <w:r w:rsidRPr="00697894">
        <w:t>Federal Bureau of Investigation (FBI</w:t>
      </w:r>
      <w:r w:rsidR="007107F6">
        <w:t>)</w:t>
      </w:r>
      <w:r w:rsidRPr="00697894">
        <w:t xml:space="preserve"> </w:t>
      </w:r>
      <w:r w:rsidR="00FF4A44">
        <w:t>Criminal Justice Information Services Division (</w:t>
      </w:r>
      <w:r w:rsidRPr="00697894">
        <w:t>CJIS</w:t>
      </w:r>
      <w:r w:rsidR="00FF4A44">
        <w:t xml:space="preserve">) </w:t>
      </w:r>
      <w:r w:rsidRPr="00697894">
        <w:t xml:space="preserve">  </w:t>
      </w:r>
      <w:r w:rsidR="00ED1EED">
        <w:t>to</w:t>
      </w:r>
      <w:r w:rsidR="00524737">
        <w:t xml:space="preserve"> </w:t>
      </w:r>
      <w:r w:rsidRPr="00697894">
        <w:t>civil agencies to perform their mission; including, but not limited to data used to make hiring decisions.</w:t>
      </w:r>
    </w:p>
    <w:p w:rsidR="008149B1" w:rsidRPr="00697894" w:rsidRDefault="008149B1" w:rsidP="008149B1"/>
    <w:p w:rsidR="00C86DB2" w:rsidRPr="00697894" w:rsidRDefault="008149B1" w:rsidP="00C86DB2">
      <w:r w:rsidRPr="00697894">
        <w:rPr>
          <w:b/>
        </w:rPr>
        <w:t xml:space="preserve">Criminal History Record Information </w:t>
      </w:r>
      <w:r w:rsidRPr="00D50B5F">
        <w:rPr>
          <w:b/>
        </w:rPr>
        <w:t>(CHRI)</w:t>
      </w:r>
      <w:r w:rsidRPr="00D50B5F">
        <w:t>:</w:t>
      </w:r>
      <w:r w:rsidR="0003570E" w:rsidRPr="00D50B5F">
        <w:t xml:space="preserve"> </w:t>
      </w:r>
      <w:r w:rsidRPr="00D50B5F">
        <w:t>Information</w:t>
      </w:r>
      <w:r w:rsidRPr="00697894">
        <w:t xml:space="preserve"> provided by the F</w:t>
      </w:r>
      <w:r w:rsidR="007107F6">
        <w:t>BI</w:t>
      </w:r>
      <w:r w:rsidR="00327166" w:rsidRPr="00697894">
        <w:t xml:space="preserve"> and</w:t>
      </w:r>
      <w:r w:rsidRPr="00697894">
        <w:t xml:space="preserve"> the Massachusetts State Police State Identification Section, through the Massachusetts </w:t>
      </w:r>
      <w:r w:rsidR="0001155C" w:rsidRPr="00697894">
        <w:t>D</w:t>
      </w:r>
      <w:r w:rsidRPr="00697894">
        <w:t xml:space="preserve">epartment of </w:t>
      </w:r>
      <w:r w:rsidR="0001155C" w:rsidRPr="00697894">
        <w:t>C</w:t>
      </w:r>
      <w:r w:rsidRPr="00697894">
        <w:t xml:space="preserve">riminal </w:t>
      </w:r>
      <w:r w:rsidR="0001155C" w:rsidRPr="00697894">
        <w:t>Justice I</w:t>
      </w:r>
      <w:r w:rsidRPr="00697894">
        <w:t xml:space="preserve">nformation </w:t>
      </w:r>
      <w:r w:rsidR="0001155C" w:rsidRPr="00697894">
        <w:t>S</w:t>
      </w:r>
      <w:r w:rsidRPr="00697894">
        <w:t>ervices</w:t>
      </w:r>
      <w:r w:rsidR="007107F6">
        <w:t xml:space="preserve"> (DCJIS)</w:t>
      </w:r>
      <w:r w:rsidRPr="00697894">
        <w:t>.</w:t>
      </w:r>
      <w:r w:rsidR="00037570" w:rsidRPr="00697894">
        <w:t xml:space="preserve"> </w:t>
      </w:r>
      <w:r w:rsidRPr="00697894">
        <w:t xml:space="preserve">CHRI is defined by the </w:t>
      </w:r>
      <w:r w:rsidR="0022135C">
        <w:t>FBI</w:t>
      </w:r>
      <w:r w:rsidRPr="00697894">
        <w:t xml:space="preserve"> as any notations or other written or electr</w:t>
      </w:r>
      <w:r w:rsidR="003F1F01">
        <w:t>onic</w:t>
      </w:r>
      <w:r w:rsidRPr="00697894">
        <w:t xml:space="preserve"> evidence of an arrest, detention, complaint, indictment, information or other formal criminal charge relating to an identifiable person that includes</w:t>
      </w:r>
      <w:r w:rsidR="008B3565" w:rsidRPr="00697894">
        <w:t xml:space="preserve"> identifying</w:t>
      </w:r>
      <w:r w:rsidRPr="00697894">
        <w:t xml:space="preserve"> information</w:t>
      </w:r>
      <w:r w:rsidR="008B3565" w:rsidRPr="00697894">
        <w:t xml:space="preserve"> </w:t>
      </w:r>
      <w:r w:rsidRPr="00697894">
        <w:t>regarding the individual as well as the disposition of any charges.</w:t>
      </w:r>
    </w:p>
    <w:p w:rsidR="00C86DB2" w:rsidRPr="00697894" w:rsidRDefault="00C86DB2" w:rsidP="00C86DB2"/>
    <w:p w:rsidR="00037570" w:rsidRPr="00697894" w:rsidRDefault="008175C1" w:rsidP="00C86DB2">
      <w:pPr>
        <w:rPr>
          <w:b/>
        </w:rPr>
      </w:pPr>
      <w:r w:rsidRPr="00697894">
        <w:rPr>
          <w:b/>
        </w:rPr>
        <w:t>Criminal Offender Record Information</w:t>
      </w:r>
      <w:r w:rsidR="00796F0E">
        <w:rPr>
          <w:b/>
        </w:rPr>
        <w:t xml:space="preserve"> </w:t>
      </w:r>
      <w:r w:rsidRPr="00697894">
        <w:rPr>
          <w:b/>
        </w:rPr>
        <w:t>(CORI):</w:t>
      </w:r>
    </w:p>
    <w:p w:rsidR="00C86DB2" w:rsidRPr="00697894" w:rsidRDefault="00037570" w:rsidP="00C86DB2">
      <w:r w:rsidRPr="00697894">
        <w:t>Records and data in any communicable form compiled by a Massachusetts criminal justice agency which concern an identifiable individual and relate to the nature or disposition of a criminal charge, an arrest, a pre-trial proceeding, other judicial proceedings, sentencing, incarceration, rehabilitation, or release. Such information shall be restricted to that recorded as the result of the initiation of criminal proceedings or any consequent proceedings related thereto. Criminal offender record information shall not include evaluative information, statistical and analytical reports and files in which individuals are not directly or indirectly identifiable, or intelligence information. Criminal offender record information shall be limited to information concerning persons who have attained the age of 17 and shall not include any information concerning criminal offenses or acts of delinquency committed by any person before he attained the age of 17; provided, however, that if a person under the age of 17 is adjudicated as an adult, information relating to such criminal offense shall be criminal offender record information. Criminal offender record information shall not include information concerning any offenses which are not punishable by incarceration.</w:t>
      </w:r>
      <w:r w:rsidR="003F1F01">
        <w:t xml:space="preserve">  </w:t>
      </w:r>
      <w:r w:rsidR="008175C1" w:rsidRPr="00697894">
        <w:t xml:space="preserve">Massachusetts school employers’ access to, and treatment of, CORI is governed by M.G.L. c. 71, § 38R, </w:t>
      </w:r>
      <w:r w:rsidR="00315802">
        <w:rPr>
          <w:color w:val="252525"/>
        </w:rPr>
        <w:t xml:space="preserve">M.G.L. c. 6, §§ 167-178B and 803 CMR 2.00 et seq. </w:t>
      </w:r>
    </w:p>
    <w:p w:rsidR="00290420" w:rsidRPr="00697894" w:rsidRDefault="00290420" w:rsidP="00290420">
      <w:pPr>
        <w:autoSpaceDE w:val="0"/>
        <w:autoSpaceDN w:val="0"/>
        <w:adjustRightInd w:val="0"/>
      </w:pPr>
    </w:p>
    <w:p w:rsidR="00AD54A6" w:rsidRPr="00697894" w:rsidRDefault="00AD54A6" w:rsidP="00D66480"/>
    <w:p w:rsidR="006F71A1" w:rsidRPr="00697894" w:rsidRDefault="006F71A1" w:rsidP="006F71A1">
      <w:pPr>
        <w:autoSpaceDE w:val="0"/>
        <w:autoSpaceDN w:val="0"/>
        <w:adjustRightInd w:val="0"/>
      </w:pPr>
      <w:r w:rsidRPr="00697894">
        <w:rPr>
          <w:b/>
        </w:rPr>
        <w:t>Department of Criminal Justice Information Services (DCJIS)</w:t>
      </w:r>
      <w:r w:rsidRPr="00697894">
        <w:t>: The Commonwealth</w:t>
      </w:r>
    </w:p>
    <w:p w:rsidR="006F71A1" w:rsidRPr="00697894" w:rsidRDefault="006F71A1" w:rsidP="006F71A1">
      <w:pPr>
        <w:autoSpaceDE w:val="0"/>
        <w:autoSpaceDN w:val="0"/>
        <w:adjustRightInd w:val="0"/>
      </w:pPr>
      <w:r w:rsidRPr="00697894">
        <w:t>agency statutorily designated to provide a public safety information system and</w:t>
      </w:r>
      <w:r w:rsidR="003F1F01">
        <w:t xml:space="preserve"> </w:t>
      </w:r>
      <w:r w:rsidRPr="00697894">
        <w:t>network to support data collection, information sharing and interoperability for the</w:t>
      </w:r>
      <w:r w:rsidR="003F1F01">
        <w:t xml:space="preserve"> </w:t>
      </w:r>
      <w:r w:rsidRPr="00697894">
        <w:t>Commonwealth</w:t>
      </w:r>
      <w:r w:rsidR="003F1F01">
        <w:t>’</w:t>
      </w:r>
      <w:r w:rsidRPr="00697894">
        <w:t>s criminal justice and law enforcement community and to oversee the</w:t>
      </w:r>
      <w:r w:rsidR="003F1F01">
        <w:t xml:space="preserve"> </w:t>
      </w:r>
      <w:r w:rsidRPr="00697894">
        <w:t>authorized provision of CORI to the</w:t>
      </w:r>
      <w:r w:rsidR="003F1F01">
        <w:t xml:space="preserve"> </w:t>
      </w:r>
      <w:r w:rsidRPr="00697894">
        <w:t>non-criminal justice community.</w:t>
      </w:r>
    </w:p>
    <w:p w:rsidR="00D66480" w:rsidRPr="00697894" w:rsidRDefault="00D66480" w:rsidP="006F71A1"/>
    <w:p w:rsidR="00D66480" w:rsidRPr="00697894" w:rsidRDefault="00D66480" w:rsidP="00D66480">
      <w:r w:rsidRPr="00697894">
        <w:rPr>
          <w:b/>
        </w:rPr>
        <w:t>Direct and unmonitored contact with children</w:t>
      </w:r>
      <w:r w:rsidR="006F71A1" w:rsidRPr="00697894">
        <w:rPr>
          <w:b/>
        </w:rPr>
        <w:t>:</w:t>
      </w:r>
      <w:r w:rsidR="00F269D9" w:rsidRPr="00697894">
        <w:t xml:space="preserve"> Contact with students</w:t>
      </w:r>
      <w:r w:rsidRPr="00697894">
        <w:t xml:space="preserve"> when no other employee</w:t>
      </w:r>
      <w:r w:rsidR="00177EA7">
        <w:t xml:space="preserve">, </w:t>
      </w:r>
      <w:r w:rsidR="006457A8">
        <w:t>for whom the employer has made a suitability determination pursuant to these regulations</w:t>
      </w:r>
      <w:r w:rsidR="006457A8" w:rsidRPr="00697894">
        <w:t xml:space="preserve"> </w:t>
      </w:r>
      <w:r w:rsidRPr="00697894">
        <w:t xml:space="preserve">of the school or district is present. “Contact” refers to any contact with </w:t>
      </w:r>
      <w:r w:rsidR="00F269D9" w:rsidRPr="00697894">
        <w:t xml:space="preserve">a student </w:t>
      </w:r>
      <w:r w:rsidRPr="00697894">
        <w:t xml:space="preserve">that provides the individual with opportunity for physical touch or personal communication. The school </w:t>
      </w:r>
      <w:r w:rsidR="00F269D9" w:rsidRPr="00697894">
        <w:t xml:space="preserve">employer </w:t>
      </w:r>
      <w:r w:rsidRPr="00697894">
        <w:t xml:space="preserve">may determine when there is potential for direct and unmonitored contact with children by assessing </w:t>
      </w:r>
      <w:r w:rsidR="00177EA7">
        <w:t xml:space="preserve">the </w:t>
      </w:r>
      <w:r w:rsidRPr="00697894">
        <w:t>circumstance</w:t>
      </w:r>
      <w:r w:rsidR="003F1F01">
        <w:t>s</w:t>
      </w:r>
      <w:r w:rsidR="00177EA7">
        <w:t xml:space="preserve"> and</w:t>
      </w:r>
      <w:r w:rsidR="003F1F01">
        <w:t xml:space="preserve"> </w:t>
      </w:r>
      <w:r w:rsidRPr="00697894">
        <w:t>specific factors</w:t>
      </w:r>
      <w:r w:rsidR="003F1F01">
        <w:t xml:space="preserve"> including</w:t>
      </w:r>
      <w:r w:rsidRPr="00697894">
        <w:t xml:space="preserve"> </w:t>
      </w:r>
      <w:r w:rsidR="00177EA7">
        <w:t xml:space="preserve">but not limited to, </w:t>
      </w:r>
      <w:r w:rsidRPr="00697894">
        <w:t xml:space="preserve">whether the individual will be working in proximity with </w:t>
      </w:r>
      <w:r w:rsidR="00F269D9" w:rsidRPr="00697894">
        <w:t>students</w:t>
      </w:r>
      <w:r w:rsidRPr="00697894">
        <w:t xml:space="preserve">, the amount of time the individual will spend on school grounds, </w:t>
      </w:r>
      <w:r w:rsidR="00AE368D" w:rsidRPr="00697894">
        <w:t xml:space="preserve">and </w:t>
      </w:r>
      <w:r w:rsidRPr="00697894">
        <w:t>whether the individual will be working independently or with others.</w:t>
      </w:r>
      <w:r w:rsidR="007204E8" w:rsidRPr="00697894">
        <w:t xml:space="preserve"> </w:t>
      </w:r>
      <w:r w:rsidR="003F1F01">
        <w:t xml:space="preserve"> </w:t>
      </w:r>
      <w:r w:rsidRPr="00697894">
        <w:t xml:space="preserve">An individual shall not be considered to have the potential for direct and unmonitored contact with </w:t>
      </w:r>
      <w:r w:rsidR="00E4085A" w:rsidRPr="00697894">
        <w:t>children</w:t>
      </w:r>
      <w:r w:rsidRPr="00697894">
        <w:t xml:space="preserve"> if he or she has only the potential for incidental unsupervised contact in commonly used areas of the school grounds.</w:t>
      </w:r>
    </w:p>
    <w:p w:rsidR="00516E44" w:rsidRPr="00697894" w:rsidRDefault="00516E44" w:rsidP="00BC6422"/>
    <w:p w:rsidR="00516E44" w:rsidRPr="00697894" w:rsidRDefault="00516E44" w:rsidP="00BC6422">
      <w:r w:rsidRPr="00697894">
        <w:rPr>
          <w:b/>
        </w:rPr>
        <w:t>Department</w:t>
      </w:r>
      <w:r w:rsidR="006F71A1" w:rsidRPr="00697894">
        <w:rPr>
          <w:b/>
        </w:rPr>
        <w:t>:</w:t>
      </w:r>
      <w:r w:rsidR="00726B86">
        <w:rPr>
          <w:b/>
        </w:rPr>
        <w:t xml:space="preserve"> </w:t>
      </w:r>
      <w:r w:rsidR="00C90D0D" w:rsidRPr="00697894">
        <w:rPr>
          <w:color w:val="252525"/>
        </w:rPr>
        <w:t xml:space="preserve">The </w:t>
      </w:r>
      <w:r w:rsidR="009F4E16" w:rsidRPr="00697894">
        <w:rPr>
          <w:color w:val="252525"/>
        </w:rPr>
        <w:t xml:space="preserve">Massachusetts </w:t>
      </w:r>
      <w:r w:rsidR="00C90D0D" w:rsidRPr="00697894">
        <w:rPr>
          <w:color w:val="252525"/>
        </w:rPr>
        <w:t>Department of Elementary and Secondary Education.</w:t>
      </w:r>
    </w:p>
    <w:p w:rsidR="00516E44" w:rsidRPr="00697894" w:rsidRDefault="00516E44" w:rsidP="00BC6422"/>
    <w:p w:rsidR="00C140AC" w:rsidRPr="00697894" w:rsidRDefault="00C706EF" w:rsidP="00BC6422">
      <w:r w:rsidRPr="00697894">
        <w:rPr>
          <w:b/>
        </w:rPr>
        <w:t>E</w:t>
      </w:r>
      <w:r w:rsidR="00C90D0D" w:rsidRPr="00697894">
        <w:rPr>
          <w:b/>
        </w:rPr>
        <w:t>mployee</w:t>
      </w:r>
      <w:r w:rsidR="006F71A1" w:rsidRPr="00697894">
        <w:rPr>
          <w:b/>
        </w:rPr>
        <w:t>:</w:t>
      </w:r>
      <w:r w:rsidR="009D4212" w:rsidRPr="00697894">
        <w:rPr>
          <w:b/>
        </w:rPr>
        <w:t xml:space="preserve"> </w:t>
      </w:r>
      <w:r w:rsidR="005A0D71" w:rsidRPr="00697894">
        <w:t xml:space="preserve">An individual </w:t>
      </w:r>
      <w:r w:rsidR="00AE368D" w:rsidRPr="00697894">
        <w:t xml:space="preserve">working, </w:t>
      </w:r>
      <w:r w:rsidR="005A0D71" w:rsidRPr="00697894">
        <w:t xml:space="preserve">or applying to </w:t>
      </w:r>
      <w:r w:rsidR="00AE368D" w:rsidRPr="00697894">
        <w:t xml:space="preserve">work, </w:t>
      </w:r>
      <w:r w:rsidR="005A0D71" w:rsidRPr="00697894">
        <w:t xml:space="preserve">in a </w:t>
      </w:r>
      <w:r w:rsidR="001F70D4">
        <w:t xml:space="preserve">Massachusetts </w:t>
      </w:r>
      <w:r w:rsidR="009F4E16" w:rsidRPr="00697894">
        <w:t xml:space="preserve">public or private </w:t>
      </w:r>
      <w:r w:rsidR="005A0D71" w:rsidRPr="00697894">
        <w:t>school.  Employees shall include any apprentice, intern, or student teacher</w:t>
      </w:r>
      <w:r w:rsidR="000B2E2E">
        <w:t xml:space="preserve"> or individuals in similar positions</w:t>
      </w:r>
      <w:r w:rsidR="005A0D71" w:rsidRPr="00697894">
        <w:t xml:space="preserve">.  </w:t>
      </w:r>
    </w:p>
    <w:p w:rsidR="00C140AC" w:rsidRPr="00697894" w:rsidRDefault="00C140AC" w:rsidP="00BC6422"/>
    <w:p w:rsidR="00D112EE" w:rsidRPr="00697894" w:rsidRDefault="00C90D0D" w:rsidP="00BC6422">
      <w:r w:rsidRPr="00697894">
        <w:rPr>
          <w:b/>
        </w:rPr>
        <w:t xml:space="preserve">National </w:t>
      </w:r>
      <w:r w:rsidR="0001155C" w:rsidRPr="00697894">
        <w:rPr>
          <w:b/>
        </w:rPr>
        <w:t>Criminal History</w:t>
      </w:r>
      <w:r w:rsidR="00796F0E">
        <w:rPr>
          <w:b/>
        </w:rPr>
        <w:t xml:space="preserve"> </w:t>
      </w:r>
      <w:r w:rsidR="0001155C" w:rsidRPr="00697894">
        <w:rPr>
          <w:b/>
        </w:rPr>
        <w:t>Check</w:t>
      </w:r>
      <w:r w:rsidR="007107F6">
        <w:t>:</w:t>
      </w:r>
      <w:r w:rsidR="00037570" w:rsidRPr="00726B86">
        <w:t xml:space="preserve"> </w:t>
      </w:r>
      <w:r w:rsidR="00ED1EED">
        <w:t>T</w:t>
      </w:r>
      <w:r w:rsidR="00FF4A44">
        <w:t xml:space="preserve">he process of submitting </w:t>
      </w:r>
      <w:r w:rsidR="0001155C" w:rsidRPr="00697894">
        <w:t xml:space="preserve">fingerprints to </w:t>
      </w:r>
      <w:r w:rsidR="00DD78FD" w:rsidRPr="00697894">
        <w:t xml:space="preserve">the FBI and Massachusetts State Police (MSP) State Identification Section to </w:t>
      </w:r>
      <w:r w:rsidR="00FF4A44">
        <w:t xml:space="preserve">obtain </w:t>
      </w:r>
      <w:r w:rsidR="00ED1EED">
        <w:t>state and national criminal history record information.</w:t>
      </w:r>
      <w:r w:rsidR="00DD78FD" w:rsidRPr="00697894">
        <w:t xml:space="preserve"> </w:t>
      </w:r>
    </w:p>
    <w:p w:rsidR="00B448FB" w:rsidRPr="00697894" w:rsidRDefault="00B448FB" w:rsidP="00BC6422"/>
    <w:p w:rsidR="00D112EE" w:rsidRPr="00697894" w:rsidRDefault="00D112EE" w:rsidP="00BC6422">
      <w:r w:rsidRPr="00697894">
        <w:rPr>
          <w:b/>
        </w:rPr>
        <w:t>School</w:t>
      </w:r>
      <w:r w:rsidR="006F71A1" w:rsidRPr="00697894">
        <w:rPr>
          <w:b/>
        </w:rPr>
        <w:t>:</w:t>
      </w:r>
      <w:r w:rsidRPr="00697894">
        <w:t xml:space="preserve"> A Massachusetts </w:t>
      </w:r>
      <w:r w:rsidR="0059608A" w:rsidRPr="00697894">
        <w:t xml:space="preserve">public school, including a collaborative school, charter school, </w:t>
      </w:r>
      <w:r w:rsidR="0009566D" w:rsidRPr="00697894">
        <w:t xml:space="preserve">virtual school </w:t>
      </w:r>
      <w:r w:rsidR="0059608A" w:rsidRPr="00697894">
        <w:t xml:space="preserve">or innovation </w:t>
      </w:r>
      <w:r w:rsidR="001F70D4">
        <w:t>school;</w:t>
      </w:r>
      <w:r w:rsidR="00192628" w:rsidRPr="00697894">
        <w:t xml:space="preserve"> </w:t>
      </w:r>
      <w:r w:rsidR="0059608A" w:rsidRPr="00697894">
        <w:t xml:space="preserve">or a </w:t>
      </w:r>
      <w:r w:rsidR="001F70D4">
        <w:t xml:space="preserve">Massachusetts </w:t>
      </w:r>
      <w:r w:rsidR="0059608A" w:rsidRPr="00697894">
        <w:t>private day or residential school, including a special education school program approved under chapter 71B</w:t>
      </w:r>
      <w:r w:rsidR="001F70D4">
        <w:t>; or</w:t>
      </w:r>
      <w:r w:rsidR="0009566D" w:rsidRPr="00697894">
        <w:t xml:space="preserve"> </w:t>
      </w:r>
      <w:r w:rsidR="001F70D4">
        <w:t>a Massachusetts</w:t>
      </w:r>
      <w:r w:rsidR="00796F0E">
        <w:t xml:space="preserve"> </w:t>
      </w:r>
      <w:r w:rsidR="0009566D" w:rsidRPr="00697894">
        <w:t xml:space="preserve">independent </w:t>
      </w:r>
      <w:r w:rsidR="00796F0E">
        <w:t>or parochial school</w:t>
      </w:r>
      <w:r w:rsidR="00ED1EED">
        <w:t xml:space="preserve"> or schools</w:t>
      </w:r>
      <w:r w:rsidR="00F269D9" w:rsidRPr="00697894">
        <w:t>.</w:t>
      </w:r>
    </w:p>
    <w:p w:rsidR="00C140AC" w:rsidRPr="00697894" w:rsidRDefault="00C140AC" w:rsidP="00BC6422"/>
    <w:p w:rsidR="00C140AC" w:rsidRPr="00697894" w:rsidRDefault="00C140AC" w:rsidP="00C140AC">
      <w:r w:rsidRPr="00697894">
        <w:rPr>
          <w:b/>
        </w:rPr>
        <w:t>School Employer</w:t>
      </w:r>
      <w:r w:rsidR="006F71A1" w:rsidRPr="00697894">
        <w:rPr>
          <w:b/>
        </w:rPr>
        <w:t>:</w:t>
      </w:r>
      <w:r w:rsidRPr="00697894">
        <w:t xml:space="preserve">  The superintendent of any city, town, or regional school district, principal, or other administrator of </w:t>
      </w:r>
      <w:r w:rsidR="00480665">
        <w:t xml:space="preserve">Massachusetts </w:t>
      </w:r>
      <w:r w:rsidRPr="00697894">
        <w:t>public or private school</w:t>
      </w:r>
      <w:r w:rsidR="00ED1EED">
        <w:t>s</w:t>
      </w:r>
      <w:r w:rsidRPr="00697894">
        <w:t>, including a special education school program approved under chapter 71B.</w:t>
      </w:r>
      <w:r w:rsidR="00FF4A44">
        <w:t xml:space="preserve"> For the purposes of a</w:t>
      </w:r>
      <w:r w:rsidR="007107F6">
        <w:t>n</w:t>
      </w:r>
      <w:r w:rsidR="00FF4A44">
        <w:t xml:space="preserve"> individual directly hired by </w:t>
      </w:r>
      <w:r w:rsidR="00480665">
        <w:t xml:space="preserve">a Massachusetts </w:t>
      </w:r>
      <w:r w:rsidR="00FF4A44">
        <w:t xml:space="preserve">school committee, the school committee is the school employer. </w:t>
      </w:r>
    </w:p>
    <w:p w:rsidR="00C140AC" w:rsidRPr="00697894" w:rsidRDefault="00C140AC" w:rsidP="00BC6422"/>
    <w:p w:rsidR="00C140AC" w:rsidRPr="00697894" w:rsidRDefault="00C140AC" w:rsidP="00C140AC">
      <w:r w:rsidRPr="00697894">
        <w:rPr>
          <w:b/>
        </w:rPr>
        <w:t>Subcontractor or Laborer</w:t>
      </w:r>
      <w:r w:rsidR="006F71A1" w:rsidRPr="00697894">
        <w:rPr>
          <w:b/>
        </w:rPr>
        <w:t xml:space="preserve">: </w:t>
      </w:r>
      <w:r w:rsidRPr="00697894">
        <w:t xml:space="preserve">An individual not employed by the school employer but commissioned by the school committee or </w:t>
      </w:r>
      <w:r w:rsidR="00192628" w:rsidRPr="00697894">
        <w:t xml:space="preserve">school, </w:t>
      </w:r>
      <w:r w:rsidRPr="00697894">
        <w:t xml:space="preserve">or employed by the city or </w:t>
      </w:r>
      <w:r w:rsidR="00192628" w:rsidRPr="00697894">
        <w:t xml:space="preserve">town, </w:t>
      </w:r>
      <w:r w:rsidRPr="00697894">
        <w:t>to perform work on school grounds</w:t>
      </w:r>
      <w:r w:rsidR="00F269D9" w:rsidRPr="00697894">
        <w:t xml:space="preserve"> or with students</w:t>
      </w:r>
      <w:r w:rsidRPr="00697894">
        <w:t>.</w:t>
      </w:r>
      <w:r w:rsidR="00D112EE" w:rsidRPr="00697894">
        <w:t xml:space="preserve"> </w:t>
      </w:r>
      <w:r w:rsidR="00177EA7">
        <w:t xml:space="preserve"> </w:t>
      </w:r>
      <w:r w:rsidR="00D112EE" w:rsidRPr="00697894">
        <w:t>Such individuals m</w:t>
      </w:r>
      <w:r w:rsidR="00F269D9" w:rsidRPr="00697894">
        <w:t>ay</w:t>
      </w:r>
      <w:r w:rsidR="00D112EE" w:rsidRPr="00697894">
        <w:t xml:space="preserve"> be the employees of a contractor or vendor</w:t>
      </w:r>
      <w:r w:rsidR="00177EA7">
        <w:t xml:space="preserve"> hired by a school,</w:t>
      </w:r>
      <w:r w:rsidR="00D112EE" w:rsidRPr="00697894">
        <w:t xml:space="preserve"> or m</w:t>
      </w:r>
      <w:r w:rsidR="00F269D9" w:rsidRPr="00697894">
        <w:t>ay</w:t>
      </w:r>
      <w:r w:rsidR="00D112EE" w:rsidRPr="00697894">
        <w:t xml:space="preserve"> be </w:t>
      </w:r>
      <w:r w:rsidR="00192628" w:rsidRPr="00697894">
        <w:t xml:space="preserve">independent contractors or service providers </w:t>
      </w:r>
      <w:r w:rsidR="00ED69B8" w:rsidRPr="00697894">
        <w:t xml:space="preserve">hired by </w:t>
      </w:r>
      <w:r w:rsidR="00D112EE" w:rsidRPr="00697894">
        <w:t xml:space="preserve">a school. </w:t>
      </w:r>
    </w:p>
    <w:p w:rsidR="0082382A" w:rsidRPr="00697894" w:rsidRDefault="0082382A" w:rsidP="00C140AC"/>
    <w:p w:rsidR="0082382A" w:rsidRPr="00697894" w:rsidRDefault="006F71A1" w:rsidP="00C140AC">
      <w:pPr>
        <w:rPr>
          <w:u w:val="single"/>
        </w:rPr>
      </w:pPr>
      <w:r w:rsidRPr="00697894">
        <w:rPr>
          <w:b/>
        </w:rPr>
        <w:lastRenderedPageBreak/>
        <w:t>Substit</w:t>
      </w:r>
      <w:r w:rsidR="0082382A" w:rsidRPr="00697894">
        <w:rPr>
          <w:b/>
        </w:rPr>
        <w:t>ute Employee</w:t>
      </w:r>
      <w:r w:rsidRPr="00697894">
        <w:rPr>
          <w:b/>
        </w:rPr>
        <w:t>:</w:t>
      </w:r>
      <w:r w:rsidR="007204E8" w:rsidRPr="00697894">
        <w:rPr>
          <w:b/>
        </w:rPr>
        <w:t xml:space="preserve"> </w:t>
      </w:r>
      <w:r w:rsidR="0082382A" w:rsidRPr="00697894">
        <w:t>An</w:t>
      </w:r>
      <w:r w:rsidRPr="00697894">
        <w:t xml:space="preserve"> individual</w:t>
      </w:r>
      <w:r w:rsidR="0082382A" w:rsidRPr="00697894">
        <w:t xml:space="preserve"> who is employed, on a temporary basis, to take the place of a</w:t>
      </w:r>
      <w:r w:rsidR="00796F0E">
        <w:t>n</w:t>
      </w:r>
      <w:r w:rsidR="009D4212" w:rsidRPr="00697894">
        <w:t xml:space="preserve"> </w:t>
      </w:r>
      <w:r w:rsidRPr="00697894">
        <w:t xml:space="preserve">employee </w:t>
      </w:r>
      <w:r w:rsidR="0082382A" w:rsidRPr="00697894">
        <w:t>who is absent.</w:t>
      </w:r>
    </w:p>
    <w:p w:rsidR="00C90D0D" w:rsidRPr="00697894" w:rsidRDefault="00C90D0D" w:rsidP="00BC6422"/>
    <w:p w:rsidR="00D66480" w:rsidRPr="00697894" w:rsidRDefault="00D66480" w:rsidP="00D66480">
      <w:r w:rsidRPr="00697894">
        <w:rPr>
          <w:b/>
        </w:rPr>
        <w:t>Suitability Determination</w:t>
      </w:r>
      <w:r w:rsidR="006F71A1" w:rsidRPr="00697894">
        <w:t>:</w:t>
      </w:r>
      <w:r w:rsidRPr="00697894">
        <w:t xml:space="preserve"> A determination made by a</w:t>
      </w:r>
      <w:r w:rsidR="0059608A" w:rsidRPr="00697894">
        <w:t xml:space="preserve"> school employer</w:t>
      </w:r>
      <w:r w:rsidR="007204E8" w:rsidRPr="00697894">
        <w:t xml:space="preserve"> </w:t>
      </w:r>
      <w:r w:rsidR="008217E3" w:rsidRPr="00697894">
        <w:t xml:space="preserve">concerning </w:t>
      </w:r>
      <w:r w:rsidR="00FA6CF9" w:rsidRPr="00697894">
        <w:t>whether any</w:t>
      </w:r>
      <w:r w:rsidR="00F269D9" w:rsidRPr="00697894">
        <w:t>thing</w:t>
      </w:r>
      <w:r w:rsidR="009D4212" w:rsidRPr="00697894">
        <w:t xml:space="preserve"> </w:t>
      </w:r>
      <w:r w:rsidRPr="00697894">
        <w:t xml:space="preserve">contained in the </w:t>
      </w:r>
      <w:r w:rsidR="00F269D9" w:rsidRPr="00697894">
        <w:t xml:space="preserve">individual’s CHRI </w:t>
      </w:r>
      <w:r w:rsidRPr="00697894">
        <w:t xml:space="preserve">renders </w:t>
      </w:r>
      <w:r w:rsidR="00F269D9" w:rsidRPr="00697894">
        <w:t xml:space="preserve">the individual </w:t>
      </w:r>
      <w:r w:rsidRPr="00697894">
        <w:t xml:space="preserve">unfit for employment </w:t>
      </w:r>
      <w:r w:rsidR="00F269D9" w:rsidRPr="00697894">
        <w:t>that</w:t>
      </w:r>
      <w:r w:rsidRPr="00697894">
        <w:t xml:space="preserve"> may include direct and unmonitored contact with children. </w:t>
      </w:r>
    </w:p>
    <w:p w:rsidR="002C4ABF" w:rsidRPr="00697894" w:rsidRDefault="002C4ABF" w:rsidP="00D66480"/>
    <w:p w:rsidR="00D66480" w:rsidRPr="00697894" w:rsidRDefault="002C4ABF" w:rsidP="00D66480">
      <w:r w:rsidRPr="00697894">
        <w:rPr>
          <w:b/>
        </w:rPr>
        <w:t>Volunteer</w:t>
      </w:r>
      <w:r w:rsidR="006F71A1" w:rsidRPr="00697894">
        <w:rPr>
          <w:b/>
        </w:rPr>
        <w:t>:</w:t>
      </w:r>
      <w:r w:rsidR="00C140AC" w:rsidRPr="00697894">
        <w:t xml:space="preserve"> An individual who performs a service for a school employer on an unpaid basis</w:t>
      </w:r>
      <w:r w:rsidR="0009566D" w:rsidRPr="00697894">
        <w:t>, who is not an apprentice, intern or student teacher</w:t>
      </w:r>
      <w:r w:rsidR="00C140AC" w:rsidRPr="00697894">
        <w:t xml:space="preserve">. </w:t>
      </w:r>
    </w:p>
    <w:p w:rsidR="002C4ABF" w:rsidRPr="00697894" w:rsidRDefault="002C4ABF" w:rsidP="00D66480"/>
    <w:p w:rsidR="009C60A2" w:rsidRPr="00697894" w:rsidRDefault="009C60A2">
      <w:r w:rsidRPr="00697894">
        <w:br w:type="page"/>
      </w:r>
    </w:p>
    <w:p w:rsidR="00ED69B8" w:rsidRPr="00697894" w:rsidRDefault="00B959DD" w:rsidP="000F214D">
      <w:pPr>
        <w:pStyle w:val="Heading1"/>
      </w:pPr>
      <w:bookmarkStart w:id="3" w:name="_Toc355168597"/>
      <w:r w:rsidRPr="00697894">
        <w:lastRenderedPageBreak/>
        <w:t>51.03</w:t>
      </w:r>
      <w:r w:rsidRPr="00697894">
        <w:tab/>
      </w:r>
      <w:r w:rsidR="00ED69B8" w:rsidRPr="00697894">
        <w:t xml:space="preserve">Individuals Subject to </w:t>
      </w:r>
      <w:r w:rsidR="00E30762" w:rsidRPr="00697894">
        <w:t xml:space="preserve">a </w:t>
      </w:r>
      <w:r w:rsidR="00ED69B8" w:rsidRPr="00697894">
        <w:t>National</w:t>
      </w:r>
      <w:r w:rsidR="00E30762" w:rsidRPr="00697894">
        <w:t xml:space="preserve"> Criminal History</w:t>
      </w:r>
      <w:r w:rsidR="007204E8" w:rsidRPr="00697894">
        <w:t xml:space="preserve"> </w:t>
      </w:r>
      <w:r w:rsidR="00596CE2" w:rsidRPr="00697894">
        <w:t>C</w:t>
      </w:r>
      <w:r w:rsidR="00ED69B8" w:rsidRPr="00697894">
        <w:t>heck</w:t>
      </w:r>
      <w:r w:rsidR="00F269D9" w:rsidRPr="00697894">
        <w:t xml:space="preserve"> for </w:t>
      </w:r>
      <w:r w:rsidR="00E4085A" w:rsidRPr="00697894">
        <w:t>S</w:t>
      </w:r>
      <w:r w:rsidR="00F269D9" w:rsidRPr="00697894">
        <w:t xml:space="preserve">uitability </w:t>
      </w:r>
      <w:r w:rsidR="00E4085A" w:rsidRPr="00697894">
        <w:t>D</w:t>
      </w:r>
      <w:r w:rsidR="00F269D9" w:rsidRPr="00697894">
        <w:t>eterminations</w:t>
      </w:r>
      <w:r w:rsidR="00B80F75" w:rsidRPr="00697894">
        <w:t>.</w:t>
      </w:r>
    </w:p>
    <w:p w:rsidR="00ED69B8" w:rsidRPr="00697894" w:rsidRDefault="00ED69B8" w:rsidP="00ED69B8"/>
    <w:p w:rsidR="00ED69B8" w:rsidRPr="00697894" w:rsidRDefault="0009566D" w:rsidP="00ED69B8">
      <w:pPr>
        <w:pStyle w:val="ListParagraph"/>
        <w:numPr>
          <w:ilvl w:val="0"/>
          <w:numId w:val="16"/>
        </w:numPr>
      </w:pPr>
      <w:r w:rsidRPr="00697894">
        <w:t>S</w:t>
      </w:r>
      <w:r w:rsidR="00ED69B8" w:rsidRPr="00697894">
        <w:t xml:space="preserve">chool employers </w:t>
      </w:r>
      <w:r w:rsidR="00F269D9" w:rsidRPr="00697894">
        <w:t>shall</w:t>
      </w:r>
      <w:r w:rsidR="00ED69B8" w:rsidRPr="00697894">
        <w:t xml:space="preserve"> review the results of a </w:t>
      </w:r>
      <w:r w:rsidR="00D50B5F">
        <w:t>national criminal history check</w:t>
      </w:r>
      <w:r w:rsidR="00ED69B8" w:rsidRPr="00697894">
        <w:t xml:space="preserve"> for all current and prospective school employees </w:t>
      </w:r>
      <w:r w:rsidR="00803006" w:rsidRPr="00697894">
        <w:t xml:space="preserve">in the following categories: </w:t>
      </w:r>
    </w:p>
    <w:p w:rsidR="00ED69B8" w:rsidRPr="00697894" w:rsidRDefault="00F269D9" w:rsidP="00ED69B8">
      <w:pPr>
        <w:pStyle w:val="ListParagraph"/>
        <w:numPr>
          <w:ilvl w:val="0"/>
          <w:numId w:val="17"/>
        </w:numPr>
      </w:pPr>
      <w:r w:rsidRPr="00697894">
        <w:t>Any f</w:t>
      </w:r>
      <w:r w:rsidR="00ED69B8" w:rsidRPr="00697894">
        <w:t xml:space="preserve">ull </w:t>
      </w:r>
      <w:r w:rsidRPr="00697894">
        <w:t>or</w:t>
      </w:r>
      <w:r w:rsidR="00ED69B8" w:rsidRPr="00697894">
        <w:t xml:space="preserve"> part-time </w:t>
      </w:r>
      <w:r w:rsidRPr="00697894">
        <w:t>employee</w:t>
      </w:r>
      <w:r w:rsidR="00803006" w:rsidRPr="00697894">
        <w:t xml:space="preserve"> who may have direct and unmonitored contact with children;</w:t>
      </w:r>
    </w:p>
    <w:p w:rsidR="00803006" w:rsidRPr="00697894" w:rsidRDefault="00F269D9" w:rsidP="00803006">
      <w:pPr>
        <w:pStyle w:val="ListParagraph"/>
        <w:numPr>
          <w:ilvl w:val="0"/>
          <w:numId w:val="17"/>
        </w:numPr>
      </w:pPr>
      <w:r w:rsidRPr="00697894">
        <w:t>Any substitute employee</w:t>
      </w:r>
      <w:r w:rsidR="007204E8" w:rsidRPr="00697894">
        <w:t xml:space="preserve"> </w:t>
      </w:r>
      <w:r w:rsidR="00803006" w:rsidRPr="00697894">
        <w:t>who may have direct and unmonitored contact with children;</w:t>
      </w:r>
    </w:p>
    <w:p w:rsidR="005D71C8" w:rsidRPr="00697894" w:rsidRDefault="00F269D9" w:rsidP="00803006">
      <w:pPr>
        <w:pStyle w:val="ListParagraph"/>
        <w:numPr>
          <w:ilvl w:val="0"/>
          <w:numId w:val="17"/>
        </w:numPr>
      </w:pPr>
      <w:r w:rsidRPr="00697894">
        <w:t xml:space="preserve">Any student teacher, </w:t>
      </w:r>
      <w:r w:rsidR="005D71C8" w:rsidRPr="00697894">
        <w:t>apprentice or intern working at a school</w:t>
      </w:r>
      <w:r w:rsidR="007204E8" w:rsidRPr="00697894">
        <w:t xml:space="preserve"> </w:t>
      </w:r>
      <w:r w:rsidR="00803006" w:rsidRPr="00697894">
        <w:t>who may have direct and unmonitored contact with children</w:t>
      </w:r>
      <w:r w:rsidR="005D71C8" w:rsidRPr="00697894">
        <w:t>; and</w:t>
      </w:r>
    </w:p>
    <w:p w:rsidR="005D71C8" w:rsidRPr="00697894" w:rsidRDefault="005D71C8" w:rsidP="00ED69B8">
      <w:pPr>
        <w:pStyle w:val="ListParagraph"/>
        <w:numPr>
          <w:ilvl w:val="0"/>
          <w:numId w:val="17"/>
        </w:numPr>
      </w:pPr>
      <w:r w:rsidRPr="00697894">
        <w:t>Any individual who regularly provides school related transportation to children.</w:t>
      </w:r>
    </w:p>
    <w:p w:rsidR="005D71C8" w:rsidRPr="00697894" w:rsidRDefault="005D71C8" w:rsidP="005D71C8"/>
    <w:p w:rsidR="005D71C8" w:rsidRPr="00697894" w:rsidRDefault="0009566D" w:rsidP="005D71C8">
      <w:pPr>
        <w:pStyle w:val="ListParagraph"/>
        <w:numPr>
          <w:ilvl w:val="0"/>
          <w:numId w:val="16"/>
        </w:numPr>
      </w:pPr>
      <w:r w:rsidRPr="00697894">
        <w:t>S</w:t>
      </w:r>
      <w:r w:rsidR="005D71C8" w:rsidRPr="00697894">
        <w:t xml:space="preserve">chool employers may review the results of a national </w:t>
      </w:r>
      <w:r w:rsidR="00046662">
        <w:t xml:space="preserve">criminal history </w:t>
      </w:r>
      <w:r w:rsidR="005D71C8" w:rsidRPr="00697894">
        <w:t>check for certain individuals who may have direct and unmonitored contact with children, including:</w:t>
      </w:r>
    </w:p>
    <w:p w:rsidR="005D71C8" w:rsidRPr="00697894" w:rsidRDefault="00F269D9" w:rsidP="005D71C8">
      <w:pPr>
        <w:pStyle w:val="ListParagraph"/>
        <w:numPr>
          <w:ilvl w:val="0"/>
          <w:numId w:val="18"/>
        </w:numPr>
      </w:pPr>
      <w:r w:rsidRPr="00697894">
        <w:t>Any v</w:t>
      </w:r>
      <w:r w:rsidR="005D71C8" w:rsidRPr="00697894">
        <w:t>olunteer</w:t>
      </w:r>
      <w:r w:rsidRPr="00697894">
        <w:t>; and</w:t>
      </w:r>
    </w:p>
    <w:p w:rsidR="005D71C8" w:rsidRPr="00697894" w:rsidRDefault="005D71C8" w:rsidP="005D71C8">
      <w:pPr>
        <w:pStyle w:val="ListParagraph"/>
        <w:numPr>
          <w:ilvl w:val="0"/>
          <w:numId w:val="18"/>
        </w:numPr>
      </w:pPr>
      <w:r w:rsidRPr="00697894">
        <w:t xml:space="preserve">Any subcontractor or laborer commissioned by the school </w:t>
      </w:r>
      <w:r w:rsidR="008217E3" w:rsidRPr="00697894">
        <w:t xml:space="preserve">employer, </w:t>
      </w:r>
      <w:r w:rsidRPr="00697894">
        <w:t xml:space="preserve">or employed by the city or </w:t>
      </w:r>
      <w:r w:rsidR="008217E3" w:rsidRPr="00697894">
        <w:t xml:space="preserve">town, </w:t>
      </w:r>
      <w:r w:rsidRPr="00697894">
        <w:t>to perform work on school grounds</w:t>
      </w:r>
      <w:r w:rsidR="00D0539A" w:rsidRPr="00697894">
        <w:t xml:space="preserve"> or with students</w:t>
      </w:r>
      <w:r w:rsidRPr="00697894">
        <w:t>.</w:t>
      </w:r>
    </w:p>
    <w:p w:rsidR="005D71C8" w:rsidRPr="00697894" w:rsidRDefault="005D71C8" w:rsidP="005D71C8"/>
    <w:p w:rsidR="005D71C8" w:rsidRPr="00697894" w:rsidRDefault="005D71C8" w:rsidP="005D71C8">
      <w:pPr>
        <w:pStyle w:val="ListParagraph"/>
        <w:numPr>
          <w:ilvl w:val="0"/>
          <w:numId w:val="16"/>
        </w:numPr>
      </w:pPr>
      <w:r w:rsidRPr="00697894">
        <w:t xml:space="preserve">In the case of an individual </w:t>
      </w:r>
      <w:r w:rsidR="00DF726C" w:rsidRPr="00697894">
        <w:t xml:space="preserve">directly </w:t>
      </w:r>
      <w:r w:rsidRPr="00697894">
        <w:t xml:space="preserve">hired by the school committee, </w:t>
      </w:r>
      <w:r w:rsidR="00F269D9" w:rsidRPr="00697894">
        <w:t xml:space="preserve">such as a superintendent of schools, </w:t>
      </w:r>
      <w:r w:rsidRPr="00697894">
        <w:t>the chair</w:t>
      </w:r>
      <w:r w:rsidR="0009566D" w:rsidRPr="00697894">
        <w:t xml:space="preserve"> </w:t>
      </w:r>
      <w:r w:rsidRPr="00697894">
        <w:t>of the school committee s</w:t>
      </w:r>
      <w:r w:rsidR="00DF726C" w:rsidRPr="00697894">
        <w:t>hall review the results of the n</w:t>
      </w:r>
      <w:r w:rsidRPr="00697894">
        <w:t xml:space="preserve">ational </w:t>
      </w:r>
      <w:r w:rsidR="00046662">
        <w:t xml:space="preserve">criminal history </w:t>
      </w:r>
      <w:r w:rsidRPr="00697894">
        <w:t xml:space="preserve">check. </w:t>
      </w:r>
    </w:p>
    <w:p w:rsidR="00ED69B8" w:rsidRPr="00697894" w:rsidRDefault="00ED69B8" w:rsidP="00ED69B8">
      <w:pPr>
        <w:pStyle w:val="ListParagraph"/>
        <w:ind w:left="1440"/>
      </w:pPr>
      <w:r w:rsidRPr="00697894">
        <w:br w:type="page"/>
      </w:r>
    </w:p>
    <w:p w:rsidR="00B80F75" w:rsidRPr="00697894" w:rsidRDefault="00B80F75" w:rsidP="00B80F75">
      <w:r w:rsidRPr="00697894">
        <w:lastRenderedPageBreak/>
        <w:t>51.04</w:t>
      </w:r>
      <w:r w:rsidRPr="00697894">
        <w:tab/>
      </w:r>
      <w:r w:rsidR="001F0EB4" w:rsidRPr="00697894">
        <w:t>School Employer Policies</w:t>
      </w:r>
      <w:r w:rsidRPr="00697894">
        <w:t xml:space="preserve"> on National</w:t>
      </w:r>
      <w:r w:rsidR="00E30762" w:rsidRPr="00697894">
        <w:t xml:space="preserve"> Criminal History</w:t>
      </w:r>
      <w:r w:rsidRPr="00697894">
        <w:t xml:space="preserve"> Checks and Suitability Determinations</w:t>
      </w:r>
      <w:r w:rsidR="00421361" w:rsidRPr="00697894">
        <w:t xml:space="preserve">; </w:t>
      </w:r>
      <w:r w:rsidR="00EE526B">
        <w:t>C</w:t>
      </w:r>
      <w:r w:rsidR="00421361" w:rsidRPr="00697894">
        <w:t xml:space="preserve">onfidentiality; </w:t>
      </w:r>
      <w:r w:rsidR="00EE526B">
        <w:t>D</w:t>
      </w:r>
      <w:r w:rsidR="00421361" w:rsidRPr="00697894">
        <w:t xml:space="preserve">issemination; </w:t>
      </w:r>
      <w:r w:rsidR="00EE526B">
        <w:t>A</w:t>
      </w:r>
      <w:r w:rsidR="00421361" w:rsidRPr="00697894">
        <w:t>udit</w:t>
      </w:r>
      <w:r w:rsidRPr="00697894">
        <w:t>.</w:t>
      </w:r>
    </w:p>
    <w:p w:rsidR="00AD54A6" w:rsidRPr="00697894" w:rsidRDefault="00AD54A6" w:rsidP="00AD54A6">
      <w:pPr>
        <w:autoSpaceDE w:val="0"/>
        <w:autoSpaceDN w:val="0"/>
        <w:adjustRightInd w:val="0"/>
      </w:pPr>
    </w:p>
    <w:p w:rsidR="00AD54A6" w:rsidRPr="00697894" w:rsidRDefault="00FA6CF9" w:rsidP="00421361">
      <w:pPr>
        <w:pStyle w:val="ListParagraph"/>
        <w:numPr>
          <w:ilvl w:val="0"/>
          <w:numId w:val="31"/>
        </w:numPr>
        <w:autoSpaceDE w:val="0"/>
        <w:autoSpaceDN w:val="0"/>
        <w:adjustRightInd w:val="0"/>
      </w:pPr>
      <w:r w:rsidRPr="00697894">
        <w:t xml:space="preserve">Each </w:t>
      </w:r>
      <w:r w:rsidR="00AD54A6" w:rsidRPr="00697894">
        <w:t xml:space="preserve">school employer that receives CHRI shall maintain a written CHRI policy </w:t>
      </w:r>
      <w:r w:rsidR="0009566D" w:rsidRPr="00697894">
        <w:t>that</w:t>
      </w:r>
      <w:r w:rsidR="00AD54A6" w:rsidRPr="00697894">
        <w:t xml:space="preserve"> meet</w:t>
      </w:r>
      <w:r w:rsidR="0009566D" w:rsidRPr="00697894">
        <w:t>s</w:t>
      </w:r>
      <w:r w:rsidR="00AD54A6" w:rsidRPr="00697894">
        <w:t xml:space="preserve"> the</w:t>
      </w:r>
      <w:r w:rsidR="00B448FB" w:rsidRPr="00697894">
        <w:t xml:space="preserve"> </w:t>
      </w:r>
      <w:r w:rsidR="00AD54A6" w:rsidRPr="00697894">
        <w:t xml:space="preserve">minimum standards of the </w:t>
      </w:r>
      <w:r w:rsidR="00F1100D" w:rsidRPr="00697894">
        <w:t>DCJIS</w:t>
      </w:r>
      <w:r w:rsidR="00AD54A6" w:rsidRPr="00697894">
        <w:t xml:space="preserve"> model </w:t>
      </w:r>
      <w:r w:rsidR="00F1100D" w:rsidRPr="00697894">
        <w:t xml:space="preserve">CORI </w:t>
      </w:r>
      <w:r w:rsidR="0047156C" w:rsidRPr="00697894">
        <w:t>Policy</w:t>
      </w:r>
      <w:r w:rsidR="00F1100D" w:rsidRPr="00697894">
        <w:t xml:space="preserve"> and</w:t>
      </w:r>
      <w:r w:rsidR="00035645" w:rsidRPr="00697894">
        <w:t xml:space="preserve"> </w:t>
      </w:r>
      <w:r w:rsidR="0009566D" w:rsidRPr="00697894">
        <w:t>that complies</w:t>
      </w:r>
      <w:r w:rsidR="00F1100D" w:rsidRPr="00697894">
        <w:t xml:space="preserve"> with all federal rules and regulations regarding CHRI, including limitations on </w:t>
      </w:r>
      <w:r w:rsidR="00D0539A" w:rsidRPr="00697894">
        <w:t>record</w:t>
      </w:r>
      <w:r w:rsidR="007204E8" w:rsidRPr="00697894">
        <w:t xml:space="preserve"> </w:t>
      </w:r>
      <w:r w:rsidR="00F1100D" w:rsidRPr="00697894">
        <w:t>retention</w:t>
      </w:r>
      <w:r w:rsidR="00B448FB" w:rsidRPr="00697894">
        <w:t xml:space="preserve"> and the requirement of CHRI consent forms. </w:t>
      </w:r>
    </w:p>
    <w:p w:rsidR="00697894" w:rsidRPr="00697894" w:rsidRDefault="00697894" w:rsidP="00697894">
      <w:pPr>
        <w:pStyle w:val="ListParagraph"/>
        <w:autoSpaceDE w:val="0"/>
        <w:autoSpaceDN w:val="0"/>
        <w:adjustRightInd w:val="0"/>
      </w:pPr>
    </w:p>
    <w:p w:rsidR="00697894" w:rsidRPr="00697894" w:rsidRDefault="00697894" w:rsidP="00697894">
      <w:pPr>
        <w:pStyle w:val="ListParagraph"/>
        <w:numPr>
          <w:ilvl w:val="0"/>
          <w:numId w:val="31"/>
        </w:numPr>
      </w:pPr>
      <w:r w:rsidRPr="00697894">
        <w:t xml:space="preserve">Security of CHRI: School employers will conform to all of the requirements of the FBI Criminal Justice Information System (CJIS) </w:t>
      </w:r>
      <w:r w:rsidR="00C6684F">
        <w:t>s</w:t>
      </w:r>
      <w:r w:rsidRPr="00697894">
        <w:t xml:space="preserve">ecurity </w:t>
      </w:r>
      <w:r w:rsidR="00C6684F">
        <w:t>p</w:t>
      </w:r>
      <w:r w:rsidRPr="00697894">
        <w:t>olicy and the DCJIS security policies and procedures pertaining to the use, storage, dissemination, and destruction of CHRI and CJI.</w:t>
      </w:r>
    </w:p>
    <w:p w:rsidR="00697894" w:rsidRPr="00697894" w:rsidRDefault="00697894" w:rsidP="00697894">
      <w:pPr>
        <w:pStyle w:val="ListParagraph"/>
      </w:pPr>
    </w:p>
    <w:p w:rsidR="00697894" w:rsidRPr="00697894" w:rsidRDefault="00697894" w:rsidP="00697894">
      <w:pPr>
        <w:pStyle w:val="ListParagraph"/>
      </w:pPr>
    </w:p>
    <w:p w:rsidR="0047156C" w:rsidRPr="00697894" w:rsidRDefault="0047156C" w:rsidP="00697894">
      <w:pPr>
        <w:pStyle w:val="ListParagraph"/>
        <w:numPr>
          <w:ilvl w:val="0"/>
          <w:numId w:val="31"/>
        </w:numPr>
      </w:pPr>
      <w:r w:rsidRPr="00697894">
        <w:t xml:space="preserve">Before </w:t>
      </w:r>
      <w:r w:rsidR="007106FF">
        <w:t xml:space="preserve">taking any adverse action </w:t>
      </w:r>
      <w:r w:rsidRPr="00697894">
        <w:t>based on CHRI, a school employer shall:</w:t>
      </w:r>
    </w:p>
    <w:p w:rsidR="0047156C" w:rsidRPr="00697894" w:rsidRDefault="0047156C" w:rsidP="0047156C">
      <w:pPr>
        <w:autoSpaceDE w:val="0"/>
        <w:autoSpaceDN w:val="0"/>
        <w:adjustRightInd w:val="0"/>
      </w:pPr>
    </w:p>
    <w:p w:rsidR="008D1D67" w:rsidRDefault="0047156C" w:rsidP="00034B08">
      <w:pPr>
        <w:autoSpaceDE w:val="0"/>
        <w:autoSpaceDN w:val="0"/>
        <w:adjustRightInd w:val="0"/>
        <w:ind w:left="720"/>
      </w:pPr>
      <w:r w:rsidRPr="00697894">
        <w:t>(a) comply with applicable federal and state laws and regulations) notify the individual in person, by telephone, fax, or electronic or</w:t>
      </w:r>
      <w:r w:rsidR="00C6684F">
        <w:t xml:space="preserve"> </w:t>
      </w:r>
      <w:r w:rsidRPr="00697894">
        <w:t>hard copy correspondence of the potential determination;</w:t>
      </w:r>
    </w:p>
    <w:p w:rsidR="0047156C" w:rsidRPr="00697894" w:rsidRDefault="0047156C" w:rsidP="0047156C">
      <w:pPr>
        <w:autoSpaceDE w:val="0"/>
        <w:autoSpaceDN w:val="0"/>
        <w:adjustRightInd w:val="0"/>
        <w:ind w:firstLine="720"/>
      </w:pPr>
      <w:r w:rsidRPr="00697894">
        <w:t>(c) provide a copy of the individual</w:t>
      </w:r>
      <w:r w:rsidR="00C6684F">
        <w:t>’</w:t>
      </w:r>
      <w:r w:rsidRPr="00697894">
        <w:t>s CHRI to the individual;</w:t>
      </w:r>
    </w:p>
    <w:p w:rsidR="0047156C" w:rsidRPr="00697894" w:rsidRDefault="0047156C" w:rsidP="0047156C">
      <w:pPr>
        <w:autoSpaceDE w:val="0"/>
        <w:autoSpaceDN w:val="0"/>
        <w:adjustRightInd w:val="0"/>
        <w:ind w:firstLine="720"/>
      </w:pPr>
      <w:r w:rsidRPr="00697894">
        <w:t>(d) provide a copy of the employer</w:t>
      </w:r>
      <w:r w:rsidR="00C6684F">
        <w:t>’</w:t>
      </w:r>
      <w:r w:rsidRPr="00697894">
        <w:t xml:space="preserve">s CHRI </w:t>
      </w:r>
      <w:r w:rsidR="00C6684F">
        <w:t>p</w:t>
      </w:r>
      <w:r w:rsidRPr="00697894">
        <w:t>olicy</w:t>
      </w:r>
      <w:r w:rsidR="00C6684F">
        <w:t xml:space="preserve"> to the individual</w:t>
      </w:r>
      <w:r w:rsidRPr="00697894">
        <w:t>;</w:t>
      </w:r>
    </w:p>
    <w:p w:rsidR="00E02B1A" w:rsidRDefault="0047156C">
      <w:pPr>
        <w:autoSpaceDE w:val="0"/>
        <w:autoSpaceDN w:val="0"/>
        <w:adjustRightInd w:val="0"/>
        <w:ind w:left="720"/>
      </w:pPr>
      <w:r w:rsidRPr="00697894">
        <w:t>(e) identify the information in the individual’s CHRI that is the basis for</w:t>
      </w:r>
      <w:r w:rsidR="00C6684F">
        <w:t xml:space="preserve"> </w:t>
      </w:r>
      <w:r w:rsidRPr="00697894">
        <w:t>the potential determination;</w:t>
      </w:r>
    </w:p>
    <w:p w:rsidR="00E02B1A" w:rsidRDefault="0047156C">
      <w:pPr>
        <w:autoSpaceDE w:val="0"/>
        <w:autoSpaceDN w:val="0"/>
        <w:adjustRightInd w:val="0"/>
        <w:ind w:left="720"/>
      </w:pPr>
      <w:r w:rsidRPr="00697894">
        <w:t>(f) provide the individual with the opportunity to dispute the accuracy</w:t>
      </w:r>
      <w:r w:rsidR="00C6684F">
        <w:t xml:space="preserve"> </w:t>
      </w:r>
      <w:r w:rsidRPr="00697894">
        <w:t>of the information contained in the C</w:t>
      </w:r>
      <w:r w:rsidR="001C2A98" w:rsidRPr="00697894">
        <w:t>H</w:t>
      </w:r>
      <w:r w:rsidRPr="00697894">
        <w:t>RI;</w:t>
      </w:r>
    </w:p>
    <w:p w:rsidR="00E02B1A" w:rsidRDefault="0047156C">
      <w:pPr>
        <w:autoSpaceDE w:val="0"/>
        <w:autoSpaceDN w:val="0"/>
        <w:adjustRightInd w:val="0"/>
        <w:ind w:left="720"/>
      </w:pPr>
      <w:r w:rsidRPr="00697894">
        <w:t>(</w:t>
      </w:r>
      <w:r w:rsidR="00E4085A" w:rsidRPr="00697894">
        <w:t>g</w:t>
      </w:r>
      <w:r w:rsidRPr="00697894">
        <w:t xml:space="preserve">) provide the </w:t>
      </w:r>
      <w:r w:rsidR="00E4085A" w:rsidRPr="00697894">
        <w:t>individual</w:t>
      </w:r>
      <w:r w:rsidRPr="00697894">
        <w:t xml:space="preserve"> with a copy of </w:t>
      </w:r>
      <w:r w:rsidR="00F62AB9">
        <w:t xml:space="preserve">state and </w:t>
      </w:r>
      <w:r w:rsidR="001C2A98" w:rsidRPr="00697894">
        <w:t xml:space="preserve">FBI </w:t>
      </w:r>
      <w:r w:rsidRPr="00697894">
        <w:t>information regarding</w:t>
      </w:r>
      <w:r w:rsidR="00C6684F">
        <w:t xml:space="preserve"> </w:t>
      </w:r>
      <w:r w:rsidRPr="00697894">
        <w:t>the process for correcting C</w:t>
      </w:r>
      <w:r w:rsidR="001C2A98" w:rsidRPr="00697894">
        <w:t>H</w:t>
      </w:r>
      <w:r w:rsidRPr="00697894">
        <w:t>RI; and</w:t>
      </w:r>
    </w:p>
    <w:p w:rsidR="0047156C" w:rsidRPr="00697894" w:rsidRDefault="0047156C" w:rsidP="001C2A98">
      <w:pPr>
        <w:autoSpaceDE w:val="0"/>
        <w:autoSpaceDN w:val="0"/>
        <w:adjustRightInd w:val="0"/>
        <w:ind w:firstLine="720"/>
      </w:pPr>
      <w:r w:rsidRPr="00697894">
        <w:t>(</w:t>
      </w:r>
      <w:r w:rsidR="00E4085A" w:rsidRPr="00697894">
        <w:t>h</w:t>
      </w:r>
      <w:r w:rsidRPr="00697894">
        <w:t xml:space="preserve">) document </w:t>
      </w:r>
      <w:r w:rsidR="001C2A98" w:rsidRPr="00697894">
        <w:t>all steps taken to comply with 6</w:t>
      </w:r>
      <w:r w:rsidRPr="00697894">
        <w:t xml:space="preserve">03 CMR </w:t>
      </w:r>
      <w:r w:rsidR="001C2A98" w:rsidRPr="00697894">
        <w:t>51.04</w:t>
      </w:r>
      <w:r w:rsidRPr="00697894">
        <w:t>.</w:t>
      </w:r>
    </w:p>
    <w:p w:rsidR="00421361" w:rsidRPr="00697894" w:rsidRDefault="00421361" w:rsidP="00421361">
      <w:pPr>
        <w:autoSpaceDE w:val="0"/>
        <w:autoSpaceDN w:val="0"/>
        <w:adjustRightInd w:val="0"/>
      </w:pPr>
    </w:p>
    <w:p w:rsidR="00421361" w:rsidRPr="00697894" w:rsidRDefault="00421361" w:rsidP="00421361">
      <w:pPr>
        <w:autoSpaceDE w:val="0"/>
        <w:autoSpaceDN w:val="0"/>
        <w:adjustRightInd w:val="0"/>
      </w:pPr>
    </w:p>
    <w:p w:rsidR="00421361" w:rsidRPr="00697894" w:rsidRDefault="00421361" w:rsidP="00697894">
      <w:pPr>
        <w:pStyle w:val="ListParagraph"/>
        <w:numPr>
          <w:ilvl w:val="0"/>
          <w:numId w:val="31"/>
        </w:numPr>
        <w:autoSpaceDE w:val="0"/>
        <w:autoSpaceDN w:val="0"/>
        <w:adjustRightInd w:val="0"/>
      </w:pPr>
      <w:r w:rsidRPr="00697894">
        <w:rPr>
          <w:u w:val="single"/>
        </w:rPr>
        <w:t xml:space="preserve">Dissemination. </w:t>
      </w:r>
      <w:r w:rsidRPr="00697894">
        <w:t xml:space="preserve">Upon receiving the national </w:t>
      </w:r>
      <w:r w:rsidR="00046662">
        <w:t xml:space="preserve">criminal history </w:t>
      </w:r>
      <w:r w:rsidRPr="00697894">
        <w:t>check results for a given employee, a school employer may only disseminate those results to the following recipients:</w:t>
      </w:r>
    </w:p>
    <w:p w:rsidR="00421361" w:rsidRPr="00697894" w:rsidRDefault="00421361" w:rsidP="00421361">
      <w:pPr>
        <w:pStyle w:val="ListParagraph"/>
      </w:pPr>
    </w:p>
    <w:p w:rsidR="00421361" w:rsidRPr="00697894" w:rsidRDefault="00421361" w:rsidP="00421361">
      <w:pPr>
        <w:pStyle w:val="ListParagraph"/>
        <w:numPr>
          <w:ilvl w:val="0"/>
          <w:numId w:val="4"/>
        </w:numPr>
      </w:pPr>
      <w:r w:rsidRPr="00697894">
        <w:t>the employee, pursuant to the standards for providing CORI information under 803 CMR 2.13(a); and</w:t>
      </w:r>
    </w:p>
    <w:p w:rsidR="00421361" w:rsidRPr="00697894" w:rsidRDefault="00421361" w:rsidP="00421361">
      <w:pPr>
        <w:pStyle w:val="ListParagraph"/>
        <w:ind w:left="1440"/>
      </w:pPr>
    </w:p>
    <w:p w:rsidR="00421361" w:rsidRPr="00697894" w:rsidRDefault="00421361" w:rsidP="00421361">
      <w:pPr>
        <w:pStyle w:val="ListParagraph"/>
        <w:numPr>
          <w:ilvl w:val="0"/>
          <w:numId w:val="4"/>
        </w:numPr>
      </w:pPr>
      <w:r w:rsidRPr="00697894">
        <w:t xml:space="preserve">the Department, if reporting </w:t>
      </w:r>
      <w:r w:rsidR="00726B86" w:rsidRPr="00697894">
        <w:t xml:space="preserve">to the Commissioner </w:t>
      </w:r>
      <w:r w:rsidRPr="00697894">
        <w:t>is required pursuant to sec</w:t>
      </w:r>
      <w:r w:rsidR="00726B86">
        <w:t xml:space="preserve">tion </w:t>
      </w:r>
      <w:r w:rsidR="002B5FE4">
        <w:t>603 CMR 51.0</w:t>
      </w:r>
      <w:r w:rsidR="00726B86">
        <w:t>7</w:t>
      </w:r>
      <w:r w:rsidRPr="00697894">
        <w:t>,</w:t>
      </w:r>
      <w:r w:rsidR="00726B86">
        <w:t xml:space="preserve"> </w:t>
      </w:r>
      <w:r w:rsidRPr="00697894">
        <w:t>Reporting National Check Results</w:t>
      </w:r>
      <w:r w:rsidR="00012F4D">
        <w:t xml:space="preserve"> to the Commissioner</w:t>
      </w:r>
      <w:r w:rsidRPr="00697894">
        <w:t>.</w:t>
      </w:r>
    </w:p>
    <w:p w:rsidR="00421361" w:rsidRPr="00697894" w:rsidRDefault="00421361" w:rsidP="00421361">
      <w:pPr>
        <w:pStyle w:val="ListParagraph"/>
      </w:pPr>
    </w:p>
    <w:p w:rsidR="00421361" w:rsidRPr="00697894" w:rsidRDefault="00421361" w:rsidP="00421361">
      <w:pPr>
        <w:pStyle w:val="ListParagraph"/>
        <w:ind w:left="1440"/>
      </w:pPr>
    </w:p>
    <w:p w:rsidR="00421361" w:rsidRPr="00697894" w:rsidRDefault="00421361" w:rsidP="00697894">
      <w:pPr>
        <w:pStyle w:val="ListParagraph"/>
        <w:numPr>
          <w:ilvl w:val="0"/>
          <w:numId w:val="31"/>
        </w:numPr>
      </w:pPr>
      <w:r w:rsidRPr="00697894">
        <w:rPr>
          <w:u w:val="single"/>
        </w:rPr>
        <w:t>Confidentiality.</w:t>
      </w:r>
      <w:r w:rsidRPr="00697894">
        <w:t xml:space="preserve">  A school employer shall adhere to the following standards regarding the confidentiality of national </w:t>
      </w:r>
      <w:r w:rsidR="00046662">
        <w:t>criminal history</w:t>
      </w:r>
      <w:r w:rsidRPr="00697894">
        <w:t xml:space="preserve"> check results: </w:t>
      </w:r>
    </w:p>
    <w:p w:rsidR="00421361" w:rsidRPr="00697894" w:rsidRDefault="00421361" w:rsidP="00421361">
      <w:pPr>
        <w:pStyle w:val="ListParagraph"/>
      </w:pPr>
    </w:p>
    <w:p w:rsidR="00421361" w:rsidRPr="00697894" w:rsidRDefault="00421361" w:rsidP="00421361">
      <w:pPr>
        <w:pStyle w:val="ListParagraph"/>
        <w:numPr>
          <w:ilvl w:val="0"/>
          <w:numId w:val="5"/>
        </w:numPr>
      </w:pPr>
      <w:r w:rsidRPr="00697894">
        <w:lastRenderedPageBreak/>
        <w:t>The employer may not receive an</w:t>
      </w:r>
      <w:r w:rsidR="007107F6">
        <w:t xml:space="preserve"> </w:t>
      </w:r>
      <w:r w:rsidR="00EA2797">
        <w:t>individual</w:t>
      </w:r>
      <w:r w:rsidRPr="00697894">
        <w:t xml:space="preserve">’s national </w:t>
      </w:r>
      <w:r w:rsidR="00046662">
        <w:t xml:space="preserve">criminal history </w:t>
      </w:r>
      <w:r w:rsidRPr="00697894">
        <w:t xml:space="preserve">check results </w:t>
      </w:r>
      <w:r w:rsidR="004E681D">
        <w:t>unless</w:t>
      </w:r>
      <w:r w:rsidRPr="00697894">
        <w:t xml:space="preserve"> the</w:t>
      </w:r>
      <w:r w:rsidR="007107F6">
        <w:t xml:space="preserve"> </w:t>
      </w:r>
      <w:r w:rsidR="00EA2797">
        <w:t>individual</w:t>
      </w:r>
      <w:r w:rsidRPr="00697894">
        <w:t xml:space="preserve"> </w:t>
      </w:r>
      <w:r w:rsidR="004E681D">
        <w:t xml:space="preserve">has </w:t>
      </w:r>
      <w:r w:rsidRPr="00697894">
        <w:t>authoriz</w:t>
      </w:r>
      <w:r w:rsidR="004E681D">
        <w:t>ed the employer to receive the results</w:t>
      </w:r>
      <w:r w:rsidR="00D50B5F">
        <w:t xml:space="preserve"> through a CHRI consent form</w:t>
      </w:r>
      <w:r w:rsidRPr="00697894">
        <w:t>;</w:t>
      </w:r>
    </w:p>
    <w:p w:rsidR="00421361" w:rsidRPr="00697894" w:rsidRDefault="00421361" w:rsidP="00421361">
      <w:pPr>
        <w:pStyle w:val="ListParagraph"/>
        <w:ind w:left="1440"/>
      </w:pPr>
    </w:p>
    <w:p w:rsidR="00421361" w:rsidRPr="00697894" w:rsidRDefault="00421361" w:rsidP="00421361">
      <w:pPr>
        <w:pStyle w:val="ListParagraph"/>
        <w:numPr>
          <w:ilvl w:val="0"/>
          <w:numId w:val="5"/>
        </w:numPr>
      </w:pPr>
      <w:r w:rsidRPr="00697894">
        <w:t xml:space="preserve">While employment decisions are pending, the employer shall store the national </w:t>
      </w:r>
      <w:r w:rsidR="00046662">
        <w:t xml:space="preserve">criminal history </w:t>
      </w:r>
      <w:r w:rsidRPr="00697894">
        <w:t>check results pursuant to the restrictions regarding CORI storage set forth in 803 CMR 2.11; and</w:t>
      </w:r>
    </w:p>
    <w:p w:rsidR="00421361" w:rsidRPr="00697894" w:rsidRDefault="00421361" w:rsidP="00421361">
      <w:pPr>
        <w:pStyle w:val="ListParagraph"/>
      </w:pPr>
    </w:p>
    <w:p w:rsidR="00421361" w:rsidRPr="00697894" w:rsidRDefault="00421361" w:rsidP="00421361">
      <w:pPr>
        <w:pStyle w:val="ListParagraph"/>
        <w:numPr>
          <w:ilvl w:val="0"/>
          <w:numId w:val="5"/>
        </w:numPr>
      </w:pPr>
      <w:r w:rsidRPr="00697894">
        <w:t>Once employment decisions are complete and the req</w:t>
      </w:r>
      <w:r w:rsidR="00012F4D">
        <w:t xml:space="preserve">uirements set forth in </w:t>
      </w:r>
      <w:r w:rsidR="004E681D">
        <w:t>51.07</w:t>
      </w:r>
      <w:r w:rsidRPr="00697894">
        <w:t xml:space="preserve"> of these regulations, if applicable, are met, the employer shall destroy national </w:t>
      </w:r>
      <w:r w:rsidR="00046662">
        <w:t xml:space="preserve">criminal history </w:t>
      </w:r>
      <w:r w:rsidRPr="00697894">
        <w:t>check results pursuant to the requirements regarding CORI destruction set forth in 803 CMR 2.12.</w:t>
      </w:r>
    </w:p>
    <w:p w:rsidR="00697894" w:rsidRPr="00697894" w:rsidRDefault="00697894" w:rsidP="00697894">
      <w:pPr>
        <w:pStyle w:val="ListParagraph"/>
      </w:pPr>
    </w:p>
    <w:p w:rsidR="00697894" w:rsidRPr="00697894" w:rsidRDefault="00697894" w:rsidP="00697894">
      <w:pPr>
        <w:pStyle w:val="ListParagraph"/>
        <w:ind w:left="1440"/>
      </w:pPr>
    </w:p>
    <w:p w:rsidR="00421361" w:rsidRPr="00697894" w:rsidRDefault="00697894" w:rsidP="00697894">
      <w:pPr>
        <w:pStyle w:val="ListParagraph"/>
        <w:numPr>
          <w:ilvl w:val="0"/>
          <w:numId w:val="31"/>
        </w:numPr>
        <w:rPr>
          <w:u w:val="single"/>
        </w:rPr>
      </w:pPr>
      <w:r w:rsidRPr="00697894">
        <w:rPr>
          <w:bCs/>
          <w:u w:val="single"/>
        </w:rPr>
        <w:t>Audit</w:t>
      </w:r>
      <w:r w:rsidRPr="00697894">
        <w:rPr>
          <w:bCs/>
        </w:rPr>
        <w:t xml:space="preserve">.  </w:t>
      </w:r>
      <w:r w:rsidR="00421361" w:rsidRPr="00697894">
        <w:t>School employers are subject to Compliance Audits by the DCJIS and the FBI. These audits will assess the adherence to DCJIS</w:t>
      </w:r>
      <w:r w:rsidR="000A6A41">
        <w:t>,</w:t>
      </w:r>
      <w:r w:rsidR="00421361" w:rsidRPr="00697894">
        <w:t xml:space="preserve"> FBI CHRI and CJI handling laws, regulations, policies, and procedures.</w:t>
      </w:r>
    </w:p>
    <w:p w:rsidR="00421361" w:rsidRPr="00697894" w:rsidRDefault="00421361" w:rsidP="00421361">
      <w:pPr>
        <w:autoSpaceDE w:val="0"/>
        <w:autoSpaceDN w:val="0"/>
        <w:adjustRightInd w:val="0"/>
      </w:pPr>
    </w:p>
    <w:p w:rsidR="00ED69B8" w:rsidRPr="00697894" w:rsidRDefault="00ED69B8" w:rsidP="000F214D">
      <w:pPr>
        <w:pStyle w:val="Heading1"/>
      </w:pPr>
    </w:p>
    <w:p w:rsidR="006A06CC" w:rsidRPr="00697894" w:rsidRDefault="008175C1" w:rsidP="000F214D">
      <w:pPr>
        <w:pStyle w:val="Heading1"/>
      </w:pPr>
      <w:r w:rsidRPr="00697894">
        <w:t>51.05</w:t>
      </w:r>
      <w:bookmarkEnd w:id="3"/>
      <w:r w:rsidR="00D50B5F">
        <w:t xml:space="preserve"> </w:t>
      </w:r>
      <w:r w:rsidRPr="00697894">
        <w:t xml:space="preserve">Timing of </w:t>
      </w:r>
      <w:r w:rsidR="004F4F05" w:rsidRPr="00697894">
        <w:t>National Criminal History Checks</w:t>
      </w:r>
    </w:p>
    <w:p w:rsidR="002E08B9" w:rsidRPr="00697894" w:rsidRDefault="002E08B9" w:rsidP="00BC6422"/>
    <w:p w:rsidR="0017662C" w:rsidRPr="00697894" w:rsidRDefault="00113ED3" w:rsidP="008B6DE0">
      <w:pPr>
        <w:pStyle w:val="ListParagraph"/>
        <w:numPr>
          <w:ilvl w:val="0"/>
          <w:numId w:val="2"/>
        </w:numPr>
      </w:pPr>
      <w:r w:rsidRPr="00697894">
        <w:t xml:space="preserve">For </w:t>
      </w:r>
      <w:r w:rsidR="002D4740" w:rsidRPr="00697894">
        <w:t>individual</w:t>
      </w:r>
      <w:r w:rsidR="006A77FD" w:rsidRPr="00697894">
        <w:t>s</w:t>
      </w:r>
      <w:r w:rsidR="007204E8" w:rsidRPr="00697894">
        <w:t xml:space="preserve"> </w:t>
      </w:r>
      <w:r w:rsidR="00F269D9" w:rsidRPr="00697894">
        <w:t xml:space="preserve">who began work or service </w:t>
      </w:r>
      <w:r w:rsidR="0017662C" w:rsidRPr="00697894">
        <w:t>before the 2013-2014 school year</w:t>
      </w:r>
      <w:r w:rsidRPr="00697894">
        <w:t>:</w:t>
      </w:r>
      <w:r w:rsidR="00860906" w:rsidRPr="00697894">
        <w:br/>
      </w:r>
    </w:p>
    <w:p w:rsidR="0017662C" w:rsidRPr="00697894" w:rsidRDefault="0017662C" w:rsidP="0017662C">
      <w:pPr>
        <w:pStyle w:val="ListParagraph"/>
        <w:numPr>
          <w:ilvl w:val="1"/>
          <w:numId w:val="2"/>
        </w:numPr>
      </w:pPr>
      <w:r w:rsidRPr="00697894">
        <w:t>An employee, subcontract</w:t>
      </w:r>
      <w:r w:rsidR="00E4085A" w:rsidRPr="00697894">
        <w:t>or</w:t>
      </w:r>
      <w:r w:rsidRPr="00697894">
        <w:t xml:space="preserve">, laborer, </w:t>
      </w:r>
      <w:r w:rsidR="00803006" w:rsidRPr="00697894">
        <w:t xml:space="preserve">individual who regularly provides school related transportation to children, </w:t>
      </w:r>
      <w:r w:rsidRPr="00697894">
        <w:t xml:space="preserve">volunteer or other individual will be considered to have </w:t>
      </w:r>
      <w:r w:rsidR="00FA6CF9" w:rsidRPr="00697894">
        <w:t>begun work or service for a school employer</w:t>
      </w:r>
      <w:r w:rsidRPr="00697894">
        <w:t xml:space="preserve"> before the 2013-2014 school year if he or she performed work for th</w:t>
      </w:r>
      <w:r w:rsidR="00FA6CF9" w:rsidRPr="00697894">
        <w:t>at</w:t>
      </w:r>
      <w:r w:rsidRPr="00697894">
        <w:t xml:space="preserve"> school employer prior to July 1, </w:t>
      </w:r>
      <w:r w:rsidR="00F269D9" w:rsidRPr="00697894">
        <w:t>2</w:t>
      </w:r>
      <w:r w:rsidRPr="00697894">
        <w:t xml:space="preserve">013. </w:t>
      </w:r>
    </w:p>
    <w:p w:rsidR="0017662C" w:rsidRPr="00697894" w:rsidRDefault="0017662C" w:rsidP="0017662C">
      <w:pPr>
        <w:pStyle w:val="ListParagraph"/>
        <w:ind w:left="1440"/>
      </w:pPr>
    </w:p>
    <w:p w:rsidR="002D4740" w:rsidRDefault="00596CE2" w:rsidP="002D4740">
      <w:pPr>
        <w:pStyle w:val="ListParagraph"/>
        <w:numPr>
          <w:ilvl w:val="1"/>
          <w:numId w:val="2"/>
        </w:numPr>
      </w:pPr>
      <w:r w:rsidRPr="00697894">
        <w:t>Before the start of the 2016-2017 school year</w:t>
      </w:r>
      <w:r w:rsidR="0009566D" w:rsidRPr="00697894">
        <w:t xml:space="preserve"> and according to a schedule established by the Department</w:t>
      </w:r>
      <w:r w:rsidRPr="00697894">
        <w:t>, s</w:t>
      </w:r>
      <w:r w:rsidR="006A77FD" w:rsidRPr="00697894">
        <w:t xml:space="preserve">chool </w:t>
      </w:r>
      <w:r w:rsidRPr="00697894">
        <w:t>e</w:t>
      </w:r>
      <w:r w:rsidR="007245F7" w:rsidRPr="00697894">
        <w:t xml:space="preserve">mployers </w:t>
      </w:r>
      <w:r w:rsidR="00E4085A" w:rsidRPr="00697894">
        <w:t xml:space="preserve">shall </w:t>
      </w:r>
      <w:r w:rsidR="007245F7" w:rsidRPr="00697894">
        <w:t>obtain and review national</w:t>
      </w:r>
      <w:r w:rsidR="007204E8" w:rsidRPr="00697894">
        <w:t xml:space="preserve"> </w:t>
      </w:r>
      <w:r w:rsidR="00046662">
        <w:t xml:space="preserve">criminal history </w:t>
      </w:r>
      <w:r w:rsidR="007245F7" w:rsidRPr="00697894">
        <w:t>checks</w:t>
      </w:r>
      <w:r w:rsidR="00113ED3" w:rsidRPr="00697894">
        <w:t xml:space="preserve">, and make </w:t>
      </w:r>
      <w:r w:rsidR="00803006" w:rsidRPr="00697894">
        <w:t xml:space="preserve">required </w:t>
      </w:r>
      <w:r w:rsidR="00113ED3" w:rsidRPr="00697894">
        <w:t>suitability determinations,</w:t>
      </w:r>
      <w:r w:rsidR="007245F7" w:rsidRPr="00697894">
        <w:t xml:space="preserve"> for </w:t>
      </w:r>
      <w:r w:rsidRPr="00697894">
        <w:t xml:space="preserve">all </w:t>
      </w:r>
      <w:r w:rsidR="009249C4" w:rsidRPr="00697894">
        <w:t>employees</w:t>
      </w:r>
      <w:r w:rsidR="0009566D" w:rsidRPr="00697894">
        <w:t xml:space="preserve"> who began work before the 2013-2014</w:t>
      </w:r>
      <w:r w:rsidR="00D50B5F">
        <w:t xml:space="preserve"> </w:t>
      </w:r>
      <w:r w:rsidR="0009566D" w:rsidRPr="00697894">
        <w:t xml:space="preserve">school year and </w:t>
      </w:r>
      <w:r w:rsidR="00B41DD5" w:rsidRPr="00697894">
        <w:t>for all</w:t>
      </w:r>
      <w:r w:rsidR="007204E8" w:rsidRPr="00697894">
        <w:t xml:space="preserve"> </w:t>
      </w:r>
      <w:r w:rsidR="00803006" w:rsidRPr="00697894">
        <w:t>individuals who regularly provide school related transportation to children</w:t>
      </w:r>
      <w:r w:rsidR="0009566D" w:rsidRPr="00697894">
        <w:t xml:space="preserve"> and who began work before the 2013-2014</w:t>
      </w:r>
      <w:r w:rsidR="00250FE6">
        <w:t xml:space="preserve"> </w:t>
      </w:r>
      <w:r w:rsidR="0009566D" w:rsidRPr="00697894">
        <w:t>school year.</w:t>
      </w:r>
    </w:p>
    <w:p w:rsidR="00697894" w:rsidRDefault="00697894" w:rsidP="00697894">
      <w:pPr>
        <w:pStyle w:val="ListParagraph"/>
      </w:pPr>
    </w:p>
    <w:p w:rsidR="002D4740" w:rsidRPr="00697894" w:rsidRDefault="00F269D9" w:rsidP="0017662C">
      <w:pPr>
        <w:pStyle w:val="ListParagraph"/>
        <w:numPr>
          <w:ilvl w:val="1"/>
          <w:numId w:val="2"/>
        </w:numPr>
      </w:pPr>
      <w:r w:rsidRPr="00697894">
        <w:t>School e</w:t>
      </w:r>
      <w:r w:rsidR="002D4740" w:rsidRPr="00697894">
        <w:t xml:space="preserve">mployers may obtain and review national </w:t>
      </w:r>
      <w:r w:rsidR="00046662">
        <w:t xml:space="preserve">criminal history </w:t>
      </w:r>
      <w:r w:rsidR="002D4740" w:rsidRPr="00697894">
        <w:t>checks, and make suitability determinations for subcontract</w:t>
      </w:r>
      <w:r w:rsidR="00DB37B6" w:rsidRPr="00697894">
        <w:t>ors,</w:t>
      </w:r>
      <w:r w:rsidR="002D4740" w:rsidRPr="00697894">
        <w:t xml:space="preserve"> laborers or volunteers who began work or service</w:t>
      </w:r>
      <w:r w:rsidR="0009566D" w:rsidRPr="00697894">
        <w:t xml:space="preserve"> before</w:t>
      </w:r>
      <w:r w:rsidR="002D4740" w:rsidRPr="00697894">
        <w:t xml:space="preserve"> the 2013-2014 school year according to a schedule established by the Department.</w:t>
      </w:r>
    </w:p>
    <w:p w:rsidR="008B6DE0" w:rsidRPr="00697894" w:rsidRDefault="008B6DE0" w:rsidP="008B6DE0">
      <w:pPr>
        <w:pStyle w:val="ListParagraph"/>
      </w:pPr>
    </w:p>
    <w:p w:rsidR="006A77FD" w:rsidRPr="00697894" w:rsidRDefault="0017662C" w:rsidP="008B6DE0">
      <w:pPr>
        <w:pStyle w:val="ListParagraph"/>
        <w:numPr>
          <w:ilvl w:val="0"/>
          <w:numId w:val="2"/>
        </w:numPr>
      </w:pPr>
      <w:r w:rsidRPr="00697894">
        <w:t xml:space="preserve">For </w:t>
      </w:r>
      <w:r w:rsidR="006A77FD" w:rsidRPr="00697894">
        <w:t xml:space="preserve">individuals </w:t>
      </w:r>
      <w:r w:rsidR="00DB37B6" w:rsidRPr="00697894">
        <w:t xml:space="preserve">who </w:t>
      </w:r>
      <w:r w:rsidR="006A77FD" w:rsidRPr="00697894">
        <w:t>begin work</w:t>
      </w:r>
      <w:r w:rsidR="00DB37B6" w:rsidRPr="00697894">
        <w:t xml:space="preserve"> or service</w:t>
      </w:r>
      <w:r w:rsidR="006A77FD" w:rsidRPr="00697894">
        <w:t xml:space="preserve"> during the 2013-2014 school year:</w:t>
      </w:r>
    </w:p>
    <w:p w:rsidR="007245F7" w:rsidRPr="00697894" w:rsidRDefault="007245F7" w:rsidP="007245F7">
      <w:pPr>
        <w:pStyle w:val="ListParagraph"/>
      </w:pPr>
    </w:p>
    <w:p w:rsidR="00891B3B" w:rsidRPr="00697894" w:rsidRDefault="00891B3B" w:rsidP="007245F7">
      <w:pPr>
        <w:pStyle w:val="ListParagraph"/>
        <w:numPr>
          <w:ilvl w:val="1"/>
          <w:numId w:val="2"/>
        </w:numPr>
      </w:pPr>
      <w:r w:rsidRPr="00697894">
        <w:t xml:space="preserve">For </w:t>
      </w:r>
      <w:r w:rsidR="006A77FD" w:rsidRPr="00697894">
        <w:t xml:space="preserve">employees who may have direct and unmonitored access to </w:t>
      </w:r>
      <w:r w:rsidR="009249C4" w:rsidRPr="00697894">
        <w:t xml:space="preserve">children, </w:t>
      </w:r>
      <w:r w:rsidR="006A77FD" w:rsidRPr="00697894">
        <w:t xml:space="preserve">and </w:t>
      </w:r>
      <w:r w:rsidR="009249C4" w:rsidRPr="00697894">
        <w:t xml:space="preserve">for </w:t>
      </w:r>
      <w:r w:rsidR="006A77FD" w:rsidRPr="00697894">
        <w:t>individuals who regularly provide school related transportation to children</w:t>
      </w:r>
      <w:r w:rsidRPr="00697894">
        <w:t xml:space="preserve">, school employers </w:t>
      </w:r>
      <w:r w:rsidR="00DB37B6" w:rsidRPr="00697894">
        <w:t>shall</w:t>
      </w:r>
      <w:r w:rsidRPr="00697894">
        <w:t>:</w:t>
      </w:r>
    </w:p>
    <w:p w:rsidR="00891B3B" w:rsidRPr="00697894" w:rsidRDefault="00891B3B" w:rsidP="00891B3B">
      <w:pPr>
        <w:pStyle w:val="ListParagraph"/>
        <w:ind w:left="1440"/>
      </w:pPr>
    </w:p>
    <w:p w:rsidR="007245F7" w:rsidRPr="00697894" w:rsidRDefault="00891B3B" w:rsidP="0009566D">
      <w:pPr>
        <w:pStyle w:val="ListParagraph"/>
        <w:ind w:left="2160" w:hanging="720"/>
      </w:pPr>
      <w:r w:rsidRPr="00697894">
        <w:lastRenderedPageBreak/>
        <w:t>(i)</w:t>
      </w:r>
      <w:r w:rsidR="00596CE2" w:rsidRPr="00697894">
        <w:tab/>
      </w:r>
      <w:r w:rsidR="0017662C" w:rsidRPr="00697894">
        <w:t>O</w:t>
      </w:r>
      <w:r w:rsidR="007245F7" w:rsidRPr="00697894">
        <w:t>btain and review the applicant’s</w:t>
      </w:r>
      <w:r w:rsidR="007204E8" w:rsidRPr="00697894">
        <w:t xml:space="preserve"> </w:t>
      </w:r>
      <w:r w:rsidR="00596CE2" w:rsidRPr="00697894">
        <w:t>Massachusetts</w:t>
      </w:r>
      <w:r w:rsidR="007204E8" w:rsidRPr="00697894">
        <w:t xml:space="preserve"> </w:t>
      </w:r>
      <w:r w:rsidR="007245F7" w:rsidRPr="00697894">
        <w:t>CORI</w:t>
      </w:r>
      <w:r w:rsidR="007204E8" w:rsidRPr="00697894">
        <w:t xml:space="preserve"> </w:t>
      </w:r>
      <w:r w:rsidR="0009566D" w:rsidRPr="00697894">
        <w:t xml:space="preserve">and determine whether the CORI results preclude employment </w:t>
      </w:r>
      <w:r w:rsidR="0017662C" w:rsidRPr="00697894">
        <w:t>before hiring the individual</w:t>
      </w:r>
      <w:r w:rsidR="007245F7" w:rsidRPr="00697894">
        <w:t>;</w:t>
      </w:r>
    </w:p>
    <w:p w:rsidR="007245F7" w:rsidRPr="00697894" w:rsidRDefault="007245F7" w:rsidP="007245F7">
      <w:pPr>
        <w:pStyle w:val="ListParagraph"/>
        <w:ind w:left="1440"/>
      </w:pPr>
    </w:p>
    <w:p w:rsidR="007245F7" w:rsidRPr="00697894" w:rsidRDefault="0009566D" w:rsidP="00804753">
      <w:pPr>
        <w:pStyle w:val="ListParagraph"/>
        <w:numPr>
          <w:ilvl w:val="0"/>
          <w:numId w:val="26"/>
        </w:numPr>
      </w:pPr>
      <w:r w:rsidRPr="00697894">
        <w:t>If the Massachusetts CORI results do not preclude employment</w:t>
      </w:r>
      <w:r w:rsidR="009249C4" w:rsidRPr="00697894">
        <w:t xml:space="preserve">, </w:t>
      </w:r>
      <w:r w:rsidR="00022FC5" w:rsidRPr="00697894">
        <w:t xml:space="preserve">the employer shall </w:t>
      </w:r>
      <w:r w:rsidR="003F6136" w:rsidRPr="00697894">
        <w:t>r</w:t>
      </w:r>
      <w:r w:rsidR="007245F7" w:rsidRPr="00697894">
        <w:t xml:space="preserve">equire the </w:t>
      </w:r>
      <w:r w:rsidR="0017662C" w:rsidRPr="00697894">
        <w:t xml:space="preserve">individual </w:t>
      </w:r>
      <w:r w:rsidR="007245F7" w:rsidRPr="00697894">
        <w:t xml:space="preserve">to submit </w:t>
      </w:r>
      <w:r w:rsidR="009249C4" w:rsidRPr="00697894">
        <w:t>his</w:t>
      </w:r>
      <w:r w:rsidR="009C2EBA" w:rsidRPr="00697894">
        <w:t xml:space="preserve"> or </w:t>
      </w:r>
      <w:r w:rsidR="009249C4" w:rsidRPr="00697894">
        <w:t>her finger</w:t>
      </w:r>
      <w:r w:rsidR="007245F7" w:rsidRPr="00697894">
        <w:t xml:space="preserve">prints for a national </w:t>
      </w:r>
      <w:r w:rsidR="00046662">
        <w:t xml:space="preserve">criminal history </w:t>
      </w:r>
      <w:r w:rsidR="007245F7" w:rsidRPr="00697894">
        <w:t xml:space="preserve">check </w:t>
      </w:r>
      <w:r w:rsidR="00DF726C" w:rsidRPr="00697894">
        <w:t xml:space="preserve">according to </w:t>
      </w:r>
      <w:r w:rsidR="009249C4" w:rsidRPr="00697894">
        <w:t xml:space="preserve">the process created by the Commonwealth and according to </w:t>
      </w:r>
      <w:r w:rsidR="00DF726C" w:rsidRPr="00697894">
        <w:t>a schedule established by the Department</w:t>
      </w:r>
      <w:r w:rsidR="00804753" w:rsidRPr="00697894">
        <w:t>; and</w:t>
      </w:r>
    </w:p>
    <w:p w:rsidR="00113ED3" w:rsidRPr="00697894" w:rsidRDefault="00113ED3" w:rsidP="00113ED3">
      <w:pPr>
        <w:pStyle w:val="ListParagraph"/>
      </w:pPr>
    </w:p>
    <w:p w:rsidR="00113ED3" w:rsidRPr="00697894" w:rsidRDefault="00113ED3" w:rsidP="00804753">
      <w:pPr>
        <w:pStyle w:val="ListParagraph"/>
        <w:numPr>
          <w:ilvl w:val="0"/>
          <w:numId w:val="26"/>
        </w:numPr>
      </w:pPr>
      <w:r w:rsidRPr="00697894">
        <w:t xml:space="preserve">Make a suitability determination </w:t>
      </w:r>
      <w:r w:rsidR="00DB37B6" w:rsidRPr="00697894">
        <w:t xml:space="preserve">after </w:t>
      </w:r>
      <w:r w:rsidRPr="00697894">
        <w:t xml:space="preserve">the results of the </w:t>
      </w:r>
      <w:r w:rsidR="009249C4" w:rsidRPr="00697894">
        <w:t>national</w:t>
      </w:r>
      <w:r w:rsidR="0060751C" w:rsidRPr="00697894">
        <w:t xml:space="preserve"> </w:t>
      </w:r>
      <w:r w:rsidR="00046662">
        <w:t xml:space="preserve">criminal history </w:t>
      </w:r>
      <w:r w:rsidRPr="00697894">
        <w:t>check are available</w:t>
      </w:r>
      <w:r w:rsidR="00022FC5" w:rsidRPr="00697894">
        <w:t>; or, if permitted by 603 CMR 51.07, obtain documentation of a previous suitability determination</w:t>
      </w:r>
      <w:r w:rsidRPr="00697894">
        <w:t xml:space="preserve">. </w:t>
      </w:r>
    </w:p>
    <w:p w:rsidR="002D4740" w:rsidRPr="00697894" w:rsidRDefault="002D4740" w:rsidP="002D4740">
      <w:pPr>
        <w:pStyle w:val="ListParagraph"/>
      </w:pPr>
    </w:p>
    <w:p w:rsidR="002D4740" w:rsidRPr="00697894" w:rsidRDefault="00803006" w:rsidP="00804753">
      <w:pPr>
        <w:pStyle w:val="ListParagraph"/>
        <w:numPr>
          <w:ilvl w:val="1"/>
          <w:numId w:val="2"/>
        </w:numPr>
      </w:pPr>
      <w:r w:rsidRPr="00697894">
        <w:t>For subcontract</w:t>
      </w:r>
      <w:r w:rsidR="00DB37B6" w:rsidRPr="00697894">
        <w:t xml:space="preserve">ors, </w:t>
      </w:r>
      <w:r w:rsidR="006A77FD" w:rsidRPr="00697894">
        <w:t xml:space="preserve">laborers and volunteers who begin work or service during the 2013-2014 school year, the school employer may require the individual to submit </w:t>
      </w:r>
      <w:r w:rsidR="00962C38" w:rsidRPr="00697894">
        <w:t>finger</w:t>
      </w:r>
      <w:r w:rsidR="006A77FD" w:rsidRPr="00697894">
        <w:t xml:space="preserve">prints for a national </w:t>
      </w:r>
      <w:r w:rsidR="00046662">
        <w:t>criminal history</w:t>
      </w:r>
      <w:r w:rsidR="0060751C" w:rsidRPr="00697894">
        <w:t xml:space="preserve"> </w:t>
      </w:r>
      <w:r w:rsidR="006A77FD" w:rsidRPr="00697894">
        <w:t xml:space="preserve">check according to </w:t>
      </w:r>
      <w:r w:rsidR="00962C38" w:rsidRPr="00697894">
        <w:t>the proc</w:t>
      </w:r>
      <w:r w:rsidR="004D460A">
        <w:t>edures set out in 51.05(2)(a).</w:t>
      </w:r>
    </w:p>
    <w:p w:rsidR="007245F7" w:rsidRPr="00697894" w:rsidRDefault="007245F7" w:rsidP="007245F7">
      <w:pPr>
        <w:pStyle w:val="ListParagraph"/>
      </w:pPr>
    </w:p>
    <w:p w:rsidR="005D0B66" w:rsidRPr="00697894" w:rsidRDefault="00DB37B6" w:rsidP="00804753">
      <w:pPr>
        <w:pStyle w:val="ListParagraph"/>
        <w:numPr>
          <w:ilvl w:val="0"/>
          <w:numId w:val="2"/>
        </w:numPr>
      </w:pPr>
      <w:r w:rsidRPr="00697894">
        <w:t>For individuals who be</w:t>
      </w:r>
      <w:r w:rsidR="00E4085A" w:rsidRPr="00697894">
        <w:t>gin</w:t>
      </w:r>
      <w:r w:rsidRPr="00697894">
        <w:t xml:space="preserve"> work or service </w:t>
      </w:r>
      <w:r w:rsidR="00134270" w:rsidRPr="00697894">
        <w:t>during</w:t>
      </w:r>
      <w:r w:rsidR="004E14F1" w:rsidRPr="00697894">
        <w:t xml:space="preserve"> or after</w:t>
      </w:r>
      <w:r w:rsidR="00134270" w:rsidRPr="00697894">
        <w:t xml:space="preserve"> the 2014-2015 school year, </w:t>
      </w:r>
      <w:r w:rsidR="00113ED3" w:rsidRPr="00697894">
        <w:t xml:space="preserve">school </w:t>
      </w:r>
      <w:r w:rsidR="00134270" w:rsidRPr="00697894">
        <w:t xml:space="preserve">employers </w:t>
      </w:r>
      <w:r w:rsidRPr="00697894">
        <w:t>shall</w:t>
      </w:r>
      <w:r w:rsidR="00134270" w:rsidRPr="00697894">
        <w:t xml:space="preserve"> </w:t>
      </w:r>
      <w:r w:rsidR="0009566D" w:rsidRPr="00697894">
        <w:t xml:space="preserve">secure </w:t>
      </w:r>
      <w:r w:rsidRPr="00697894">
        <w:t xml:space="preserve">national </w:t>
      </w:r>
      <w:r w:rsidR="00046662">
        <w:t xml:space="preserve">criminal history </w:t>
      </w:r>
      <w:r w:rsidRPr="00697894">
        <w:t>check</w:t>
      </w:r>
      <w:r w:rsidR="00134270" w:rsidRPr="00697894">
        <w:t>s</w:t>
      </w:r>
      <w:r w:rsidR="00DF726C" w:rsidRPr="00697894">
        <w:t xml:space="preserve"> before finalizing an offer of employment</w:t>
      </w:r>
      <w:r w:rsidR="0009566D" w:rsidRPr="00697894">
        <w:t>, as follows</w:t>
      </w:r>
      <w:r w:rsidR="005D0B66" w:rsidRPr="00697894">
        <w:t>:</w:t>
      </w:r>
    </w:p>
    <w:p w:rsidR="005D0B66" w:rsidRPr="00697894" w:rsidRDefault="005D0B66" w:rsidP="005D0B66">
      <w:pPr>
        <w:pStyle w:val="ListParagraph"/>
      </w:pPr>
    </w:p>
    <w:p w:rsidR="005D0B66" w:rsidRPr="00697894" w:rsidRDefault="00DB37B6" w:rsidP="00804753">
      <w:pPr>
        <w:pStyle w:val="ListParagraph"/>
        <w:numPr>
          <w:ilvl w:val="1"/>
          <w:numId w:val="2"/>
        </w:numPr>
      </w:pPr>
      <w:r w:rsidRPr="00697894">
        <w:t>O</w:t>
      </w:r>
      <w:r w:rsidR="008B6DE0" w:rsidRPr="00697894">
        <w:t>btain a</w:t>
      </w:r>
      <w:r w:rsidR="005D0B66" w:rsidRPr="00697894">
        <w:t>nd review the applicant’s</w:t>
      </w:r>
      <w:r w:rsidR="007204E8" w:rsidRPr="00697894">
        <w:t xml:space="preserve"> </w:t>
      </w:r>
      <w:r w:rsidR="001A599D" w:rsidRPr="00697894">
        <w:t xml:space="preserve">Massachusetts </w:t>
      </w:r>
      <w:r w:rsidR="00B959DD" w:rsidRPr="00697894">
        <w:t>CORI and de</w:t>
      </w:r>
      <w:r w:rsidRPr="00697894">
        <w:t>termine</w:t>
      </w:r>
      <w:r w:rsidR="00B959DD" w:rsidRPr="00697894">
        <w:t xml:space="preserve"> whether the CORI results preclude employment;</w:t>
      </w:r>
    </w:p>
    <w:p w:rsidR="005D0B66" w:rsidRPr="00697894" w:rsidRDefault="005D0B66" w:rsidP="005D0B66">
      <w:pPr>
        <w:pStyle w:val="ListParagraph"/>
        <w:ind w:left="1440"/>
      </w:pPr>
    </w:p>
    <w:p w:rsidR="00113ED3" w:rsidRPr="00697894" w:rsidRDefault="004D460A" w:rsidP="00113ED3">
      <w:pPr>
        <w:pStyle w:val="ListParagraph"/>
        <w:numPr>
          <w:ilvl w:val="1"/>
          <w:numId w:val="2"/>
        </w:numPr>
      </w:pPr>
      <w:r>
        <w:t>If the CORI results do not preclude employment, r</w:t>
      </w:r>
      <w:r w:rsidR="003F6136" w:rsidRPr="00697894">
        <w:t xml:space="preserve">equire the individual to submit </w:t>
      </w:r>
      <w:r w:rsidR="009C2EBA" w:rsidRPr="00697894">
        <w:t xml:space="preserve">his or </w:t>
      </w:r>
      <w:r w:rsidR="003F6136" w:rsidRPr="00697894">
        <w:t xml:space="preserve">her fingerprints for a national </w:t>
      </w:r>
      <w:r w:rsidR="00046662">
        <w:t xml:space="preserve">criminal history </w:t>
      </w:r>
      <w:r w:rsidR="003F6136" w:rsidRPr="00697894">
        <w:t>check according to the process created by the Commonwealth and according to a schedule established by the Department</w:t>
      </w:r>
      <w:r w:rsidR="00726B86">
        <w:t xml:space="preserve">, unless </w:t>
      </w:r>
      <w:r w:rsidR="002B5FE4">
        <w:t>permitted by 603 CMR 51.06</w:t>
      </w:r>
      <w:r w:rsidR="00726B86" w:rsidRPr="00697894">
        <w:t xml:space="preserve">, </w:t>
      </w:r>
      <w:r w:rsidR="002B5FE4">
        <w:t xml:space="preserve">to rely on </w:t>
      </w:r>
      <w:r w:rsidR="00726B86" w:rsidRPr="00697894">
        <w:t>a previous suitability determination</w:t>
      </w:r>
      <w:r w:rsidR="003F6136" w:rsidRPr="00697894">
        <w:t>; and</w:t>
      </w:r>
    </w:p>
    <w:p w:rsidR="00022FC5" w:rsidRPr="00697894" w:rsidRDefault="00022FC5" w:rsidP="00022FC5">
      <w:pPr>
        <w:pStyle w:val="ListParagraph"/>
      </w:pPr>
    </w:p>
    <w:p w:rsidR="00113ED3" w:rsidRPr="00697894" w:rsidRDefault="00022FC5" w:rsidP="00804753">
      <w:pPr>
        <w:pStyle w:val="ListParagraph"/>
        <w:numPr>
          <w:ilvl w:val="1"/>
          <w:numId w:val="2"/>
        </w:numPr>
      </w:pPr>
      <w:r w:rsidRPr="00697894">
        <w:t>Make a suitability determination</w:t>
      </w:r>
      <w:r w:rsidR="00227681">
        <w:t xml:space="preserve"> </w:t>
      </w:r>
      <w:r w:rsidR="00227681" w:rsidRPr="00697894">
        <w:t xml:space="preserve">after the results of the national </w:t>
      </w:r>
      <w:r w:rsidR="00227681">
        <w:t xml:space="preserve">criminal history </w:t>
      </w:r>
      <w:r w:rsidR="00227681" w:rsidRPr="00697894">
        <w:t>check are available</w:t>
      </w:r>
      <w:r w:rsidR="00DB37B6" w:rsidRPr="00697894">
        <w:t>; or</w:t>
      </w:r>
      <w:r w:rsidR="00E4085A" w:rsidRPr="00697894">
        <w:t>,</w:t>
      </w:r>
      <w:r w:rsidR="00DB37B6" w:rsidRPr="00697894">
        <w:t xml:space="preserve"> if permitted by 603 CMR 51.</w:t>
      </w:r>
      <w:r w:rsidR="002B5FE4">
        <w:t>06</w:t>
      </w:r>
      <w:r w:rsidR="00DB37B6" w:rsidRPr="00697894">
        <w:t xml:space="preserve">, obtain documentation of a previous suitability </w:t>
      </w:r>
      <w:r w:rsidR="00BA184F" w:rsidRPr="00697894">
        <w:t>determination</w:t>
      </w:r>
      <w:r w:rsidR="00113ED3" w:rsidRPr="00697894">
        <w:t xml:space="preserve">. </w:t>
      </w:r>
    </w:p>
    <w:p w:rsidR="00DF726C" w:rsidRPr="00697894" w:rsidRDefault="00DF726C" w:rsidP="00DF726C">
      <w:pPr>
        <w:pStyle w:val="ListParagraph"/>
      </w:pPr>
    </w:p>
    <w:p w:rsidR="00DF726C" w:rsidRPr="00697894" w:rsidRDefault="00DF726C" w:rsidP="00804753">
      <w:pPr>
        <w:pStyle w:val="ListParagraph"/>
        <w:numPr>
          <w:ilvl w:val="0"/>
          <w:numId w:val="2"/>
        </w:numPr>
      </w:pPr>
      <w:r w:rsidRPr="00697894">
        <w:t>In exigent circumstances, a school employer may hire a</w:t>
      </w:r>
      <w:r w:rsidR="00046662">
        <w:t>n</w:t>
      </w:r>
      <w:r w:rsidRPr="00697894">
        <w:t xml:space="preserve"> employee </w:t>
      </w:r>
      <w:r w:rsidR="00022FC5" w:rsidRPr="00697894">
        <w:t xml:space="preserve">conditionally </w:t>
      </w:r>
      <w:r w:rsidR="00804753" w:rsidRPr="00697894">
        <w:t xml:space="preserve">for whom a national </w:t>
      </w:r>
      <w:r w:rsidR="00046662">
        <w:t xml:space="preserve">criminal history </w:t>
      </w:r>
      <w:r w:rsidR="00804753" w:rsidRPr="00697894">
        <w:t>check is required</w:t>
      </w:r>
      <w:r w:rsidR="00BA184F" w:rsidRPr="00697894">
        <w:t>,</w:t>
      </w:r>
      <w:r w:rsidR="00804753" w:rsidRPr="00697894">
        <w:t xml:space="preserve"> or </w:t>
      </w:r>
      <w:r w:rsidR="00BA184F" w:rsidRPr="00697894">
        <w:t>permit a subcontractor, laborer or volunteer for whom the school employer seeks a</w:t>
      </w:r>
      <w:r w:rsidR="0060751C" w:rsidRPr="00697894">
        <w:t xml:space="preserve"> </w:t>
      </w:r>
      <w:r w:rsidR="00BA184F" w:rsidRPr="00697894">
        <w:t xml:space="preserve">national </w:t>
      </w:r>
      <w:r w:rsidR="00046662">
        <w:t xml:space="preserve">criminal history </w:t>
      </w:r>
      <w:r w:rsidR="00BA184F" w:rsidRPr="00697894">
        <w:t xml:space="preserve">check to begin service, </w:t>
      </w:r>
      <w:r w:rsidRPr="00697894">
        <w:t xml:space="preserve">without first receiving the </w:t>
      </w:r>
      <w:r w:rsidR="0017662C" w:rsidRPr="00697894">
        <w:t xml:space="preserve">results of a national </w:t>
      </w:r>
      <w:r w:rsidR="00046662">
        <w:t xml:space="preserve">criminal history </w:t>
      </w:r>
      <w:r w:rsidR="0017662C" w:rsidRPr="00697894">
        <w:t>check</w:t>
      </w:r>
      <w:r w:rsidR="00113ED3" w:rsidRPr="00697894">
        <w:t xml:space="preserve">. </w:t>
      </w:r>
    </w:p>
    <w:p w:rsidR="0017662C" w:rsidRPr="00697894" w:rsidRDefault="0017662C" w:rsidP="0017662C">
      <w:pPr>
        <w:pStyle w:val="ListParagraph"/>
      </w:pPr>
    </w:p>
    <w:p w:rsidR="00113ED3" w:rsidRPr="00697894" w:rsidRDefault="00113ED3" w:rsidP="00804753">
      <w:pPr>
        <w:pStyle w:val="ListParagraph"/>
        <w:numPr>
          <w:ilvl w:val="1"/>
          <w:numId w:val="2"/>
        </w:numPr>
      </w:pPr>
      <w:r w:rsidRPr="00697894">
        <w:t>The</w:t>
      </w:r>
      <w:r w:rsidR="001A599D" w:rsidRPr="00697894">
        <w:t xml:space="preserve"> exigent </w:t>
      </w:r>
      <w:r w:rsidRPr="00697894">
        <w:t>circumstances in which a school employer may hire a</w:t>
      </w:r>
      <w:r w:rsidR="00F72748">
        <w:t xml:space="preserve"> conditional</w:t>
      </w:r>
      <w:r w:rsidRPr="00697894">
        <w:t xml:space="preserve"> employee</w:t>
      </w:r>
      <w:r w:rsidR="00022FC5" w:rsidRPr="00697894">
        <w:t xml:space="preserve"> </w:t>
      </w:r>
      <w:r w:rsidRPr="00697894">
        <w:t>include:</w:t>
      </w:r>
    </w:p>
    <w:p w:rsidR="00113ED3" w:rsidRPr="00697894" w:rsidRDefault="00113ED3" w:rsidP="00113ED3">
      <w:pPr>
        <w:ind w:left="1080"/>
      </w:pPr>
    </w:p>
    <w:p w:rsidR="0017662C" w:rsidRPr="00697894" w:rsidRDefault="0017662C" w:rsidP="00113ED3">
      <w:pPr>
        <w:pStyle w:val="ListParagraph"/>
        <w:numPr>
          <w:ilvl w:val="0"/>
          <w:numId w:val="19"/>
        </w:numPr>
      </w:pPr>
      <w:r w:rsidRPr="00697894">
        <w:t xml:space="preserve">The </w:t>
      </w:r>
      <w:r w:rsidR="00113ED3" w:rsidRPr="00697894">
        <w:t>school determines it must fill a position that</w:t>
      </w:r>
      <w:r w:rsidR="007106FF">
        <w:t xml:space="preserve"> is created or</w:t>
      </w:r>
      <w:r w:rsidR="00113ED3" w:rsidRPr="00697894">
        <w:t xml:space="preserve"> become</w:t>
      </w:r>
      <w:r w:rsidR="001A599D" w:rsidRPr="00697894">
        <w:t>s</w:t>
      </w:r>
      <w:r w:rsidR="00113ED3" w:rsidRPr="00697894">
        <w:t xml:space="preserve"> open during the school year;</w:t>
      </w:r>
    </w:p>
    <w:p w:rsidR="00113ED3" w:rsidRPr="00697894" w:rsidRDefault="00113ED3" w:rsidP="00113ED3">
      <w:pPr>
        <w:pStyle w:val="ListParagraph"/>
        <w:numPr>
          <w:ilvl w:val="0"/>
          <w:numId w:val="19"/>
        </w:numPr>
      </w:pPr>
      <w:r w:rsidRPr="00697894">
        <w:lastRenderedPageBreak/>
        <w:t>The school seeks to fill a position less than one month before the start of a school year;</w:t>
      </w:r>
    </w:p>
    <w:p w:rsidR="00113ED3" w:rsidRPr="00697894" w:rsidRDefault="00113ED3" w:rsidP="00113ED3">
      <w:pPr>
        <w:pStyle w:val="ListParagraph"/>
        <w:numPr>
          <w:ilvl w:val="0"/>
          <w:numId w:val="19"/>
        </w:numPr>
      </w:pPr>
      <w:r w:rsidRPr="00697894">
        <w:t>The school seeks to hire an individual for whom a</w:t>
      </w:r>
      <w:r w:rsidR="0060751C" w:rsidRPr="00697894">
        <w:t xml:space="preserve"> </w:t>
      </w:r>
      <w:r w:rsidRPr="00697894">
        <w:t>national</w:t>
      </w:r>
      <w:r w:rsidR="0060751C" w:rsidRPr="00697894">
        <w:t xml:space="preserve"> </w:t>
      </w:r>
      <w:r w:rsidR="00046662">
        <w:t xml:space="preserve">criminal history </w:t>
      </w:r>
      <w:r w:rsidRPr="00697894">
        <w:t xml:space="preserve">check has been requested, </w:t>
      </w:r>
      <w:r w:rsidR="00726B86" w:rsidRPr="00726B86">
        <w:t>but the school employer is unlikely to receive the results before the individual’s employment will begin</w:t>
      </w:r>
      <w:r w:rsidR="00227681">
        <w:t>;</w:t>
      </w:r>
    </w:p>
    <w:p w:rsidR="00BA184F" w:rsidRPr="00697894" w:rsidRDefault="00BA184F" w:rsidP="00113ED3">
      <w:pPr>
        <w:pStyle w:val="ListParagraph"/>
        <w:numPr>
          <w:ilvl w:val="0"/>
          <w:numId w:val="19"/>
        </w:numPr>
      </w:pPr>
      <w:r w:rsidRPr="00697894">
        <w:t xml:space="preserve">The school requires the service of a subcontractor, laborer or volunteer who has submitted fingerprints for the purposes of a national </w:t>
      </w:r>
      <w:r w:rsidR="00046662">
        <w:t xml:space="preserve">criminal history </w:t>
      </w:r>
      <w:r w:rsidRPr="00697894">
        <w:t>check, but the school employer has not</w:t>
      </w:r>
      <w:r w:rsidR="004461E0" w:rsidRPr="00697894">
        <w:t xml:space="preserve"> yet</w:t>
      </w:r>
      <w:r w:rsidRPr="00697894">
        <w:t xml:space="preserve"> received the results of the national </w:t>
      </w:r>
      <w:r w:rsidR="00046662">
        <w:t xml:space="preserve">criminal history </w:t>
      </w:r>
      <w:r w:rsidRPr="00697894">
        <w:t xml:space="preserve">check. </w:t>
      </w:r>
    </w:p>
    <w:p w:rsidR="00113ED3" w:rsidRPr="00697894" w:rsidRDefault="00113ED3" w:rsidP="00113ED3">
      <w:pPr>
        <w:pStyle w:val="ListParagraph"/>
        <w:ind w:left="2160"/>
      </w:pPr>
    </w:p>
    <w:p w:rsidR="00113ED3" w:rsidRPr="00697894" w:rsidRDefault="00113ED3" w:rsidP="00804753">
      <w:pPr>
        <w:pStyle w:val="ListParagraph"/>
        <w:numPr>
          <w:ilvl w:val="1"/>
          <w:numId w:val="2"/>
        </w:numPr>
      </w:pPr>
      <w:r w:rsidRPr="00697894">
        <w:t>In order</w:t>
      </w:r>
      <w:r w:rsidR="00012F4D">
        <w:t xml:space="preserve"> to hire a</w:t>
      </w:r>
      <w:r w:rsidR="00890B3D">
        <w:t xml:space="preserve"> conditional</w:t>
      </w:r>
      <w:r w:rsidR="00012F4D">
        <w:t xml:space="preserve"> </w:t>
      </w:r>
      <w:r w:rsidR="00E24FB3" w:rsidRPr="00697894">
        <w:t>employee</w:t>
      </w:r>
      <w:r w:rsidR="00012F4D">
        <w:t xml:space="preserve"> </w:t>
      </w:r>
      <w:r w:rsidR="00BA184F" w:rsidRPr="00697894">
        <w:t>or permit an individual to begin provid</w:t>
      </w:r>
      <w:r w:rsidR="00E4085A" w:rsidRPr="00697894">
        <w:t>ing</w:t>
      </w:r>
      <w:r w:rsidR="00BA184F" w:rsidRPr="00697894">
        <w:t xml:space="preserve"> services under subsection (a)</w:t>
      </w:r>
      <w:r w:rsidR="009C1198" w:rsidRPr="00697894">
        <w:t>, a school employer</w:t>
      </w:r>
      <w:r w:rsidRPr="00697894">
        <w:t>:</w:t>
      </w:r>
    </w:p>
    <w:p w:rsidR="009C1198" w:rsidRPr="00697894" w:rsidRDefault="00BA184F" w:rsidP="00804753">
      <w:pPr>
        <w:pStyle w:val="ListParagraph"/>
        <w:numPr>
          <w:ilvl w:val="2"/>
          <w:numId w:val="2"/>
        </w:numPr>
      </w:pPr>
      <w:r w:rsidRPr="00697894">
        <w:t xml:space="preserve">Shall </w:t>
      </w:r>
      <w:r w:rsidR="00E24FB3" w:rsidRPr="00697894">
        <w:t>o</w:t>
      </w:r>
      <w:r w:rsidR="00113ED3" w:rsidRPr="00697894">
        <w:t>btain</w:t>
      </w:r>
      <w:r w:rsidR="00E24FB3" w:rsidRPr="00697894">
        <w:t xml:space="preserve"> and review the results of a </w:t>
      </w:r>
      <w:r w:rsidR="004476CE" w:rsidRPr="00697894">
        <w:t xml:space="preserve">Massachusetts </w:t>
      </w:r>
      <w:r w:rsidR="00E24FB3" w:rsidRPr="00697894">
        <w:t xml:space="preserve">CORI check; </w:t>
      </w:r>
    </w:p>
    <w:p w:rsidR="009C1198" w:rsidRPr="00697894" w:rsidRDefault="00BA184F" w:rsidP="00804753">
      <w:pPr>
        <w:pStyle w:val="ListParagraph"/>
        <w:numPr>
          <w:ilvl w:val="2"/>
          <w:numId w:val="2"/>
        </w:numPr>
      </w:pPr>
      <w:r w:rsidRPr="00697894">
        <w:t xml:space="preserve">Shall </w:t>
      </w:r>
      <w:r w:rsidR="009C1198" w:rsidRPr="00697894">
        <w:t xml:space="preserve">require the individual to submit </w:t>
      </w:r>
      <w:r w:rsidR="004461E0" w:rsidRPr="00697894">
        <w:t>finger</w:t>
      </w:r>
      <w:r w:rsidR="009C1198" w:rsidRPr="00697894">
        <w:t>prints for a national</w:t>
      </w:r>
      <w:r w:rsidR="008149B1" w:rsidRPr="00697894">
        <w:t xml:space="preserve"> </w:t>
      </w:r>
      <w:r w:rsidR="00046662">
        <w:t xml:space="preserve">criminal history </w:t>
      </w:r>
      <w:r w:rsidR="009C1198" w:rsidRPr="00697894">
        <w:t>check;</w:t>
      </w:r>
    </w:p>
    <w:p w:rsidR="00E24FB3" w:rsidRPr="00697894" w:rsidRDefault="00BA184F" w:rsidP="00804753">
      <w:pPr>
        <w:pStyle w:val="ListParagraph"/>
        <w:numPr>
          <w:ilvl w:val="2"/>
          <w:numId w:val="2"/>
        </w:numPr>
      </w:pPr>
      <w:r w:rsidRPr="00697894">
        <w:t>M</w:t>
      </w:r>
      <w:r w:rsidR="00E24FB3" w:rsidRPr="00697894">
        <w:t xml:space="preserve">ay require an individual </w:t>
      </w:r>
      <w:r w:rsidR="004476CE" w:rsidRPr="00697894">
        <w:t xml:space="preserve">to </w:t>
      </w:r>
      <w:r w:rsidR="00E24FB3" w:rsidRPr="00697894">
        <w:t>provide information regarding the individual’s history of criminal convictions</w:t>
      </w:r>
      <w:r w:rsidR="004476CE" w:rsidRPr="00697894">
        <w:t>;</w:t>
      </w:r>
      <w:r w:rsidR="00E24FB3" w:rsidRPr="00697894">
        <w:t xml:space="preserve"> however, the individual cannot be asked to provide information about </w:t>
      </w:r>
      <w:r w:rsidR="009C1198" w:rsidRPr="00697894">
        <w:t xml:space="preserve">juvenile </w:t>
      </w:r>
      <w:r w:rsidR="009C2EBA" w:rsidRPr="00697894">
        <w:t xml:space="preserve">adjudications </w:t>
      </w:r>
      <w:r w:rsidR="009C1198" w:rsidRPr="00697894">
        <w:t>or sealed convictions; and</w:t>
      </w:r>
    </w:p>
    <w:p w:rsidR="009C1198" w:rsidRPr="00697894" w:rsidRDefault="00BA184F" w:rsidP="00804753">
      <w:pPr>
        <w:pStyle w:val="ListParagraph"/>
        <w:numPr>
          <w:ilvl w:val="2"/>
          <w:numId w:val="2"/>
        </w:numPr>
      </w:pPr>
      <w:r w:rsidRPr="00697894">
        <w:t xml:space="preserve">Shall </w:t>
      </w:r>
      <w:r w:rsidR="009C1198" w:rsidRPr="00697894">
        <w:t xml:space="preserve">make a suitability determination </w:t>
      </w:r>
      <w:r w:rsidRPr="00697894">
        <w:t xml:space="preserve">after </w:t>
      </w:r>
      <w:r w:rsidR="009C1198" w:rsidRPr="00697894">
        <w:t xml:space="preserve">the results of the national </w:t>
      </w:r>
      <w:r w:rsidR="00046662">
        <w:t xml:space="preserve">criminal history </w:t>
      </w:r>
      <w:r w:rsidR="009C1198" w:rsidRPr="00697894">
        <w:t xml:space="preserve">check </w:t>
      </w:r>
      <w:r w:rsidR="00F72748">
        <w:t>become</w:t>
      </w:r>
      <w:r w:rsidR="009C1198" w:rsidRPr="00697894">
        <w:t xml:space="preserve"> available.</w:t>
      </w:r>
    </w:p>
    <w:p w:rsidR="009C1198" w:rsidRPr="00697894" w:rsidRDefault="009C1198" w:rsidP="009C1198"/>
    <w:p w:rsidR="00E24FB3" w:rsidRPr="00697894" w:rsidRDefault="00E24FB3" w:rsidP="00E24FB3">
      <w:pPr>
        <w:ind w:left="720"/>
      </w:pPr>
    </w:p>
    <w:p w:rsidR="006A06CC" w:rsidRPr="00697894" w:rsidRDefault="006A06CC" w:rsidP="00BC6422"/>
    <w:p w:rsidR="00982F15" w:rsidRPr="00697894" w:rsidRDefault="00982F15">
      <w:r w:rsidRPr="00697894">
        <w:br w:type="page"/>
      </w:r>
    </w:p>
    <w:p w:rsidR="00B959DD" w:rsidRPr="00697894" w:rsidRDefault="00B959DD"/>
    <w:p w:rsidR="001B42C7" w:rsidRPr="00697894" w:rsidRDefault="00697894" w:rsidP="001F0EB4">
      <w:pPr>
        <w:pStyle w:val="Heading1"/>
      </w:pPr>
      <w:r>
        <w:t>51.06</w:t>
      </w:r>
      <w:r w:rsidR="00B34CE4" w:rsidRPr="00697894">
        <w:tab/>
      </w:r>
      <w:bookmarkStart w:id="4" w:name="_Toc355168600"/>
      <w:r w:rsidR="00B34CE4" w:rsidRPr="00697894">
        <w:t>Employer Documentation of</w:t>
      </w:r>
      <w:r w:rsidR="00693EB7" w:rsidRPr="00697894">
        <w:t xml:space="preserve"> Suitability Determination</w:t>
      </w:r>
      <w:r w:rsidR="001B42C7" w:rsidRPr="00697894">
        <w:t>; Reliance Thereon</w:t>
      </w:r>
      <w:r w:rsidR="00B34CE4" w:rsidRPr="00697894">
        <w:t>; Subsequent Checks</w:t>
      </w:r>
      <w:bookmarkEnd w:id="4"/>
      <w:r w:rsidR="009903A6">
        <w:t>.</w:t>
      </w:r>
    </w:p>
    <w:p w:rsidR="004C35E4" w:rsidRPr="00697894" w:rsidRDefault="004C35E4"/>
    <w:p w:rsidR="004C35E4" w:rsidRPr="00697894" w:rsidRDefault="00B34CE4" w:rsidP="004C35E4">
      <w:pPr>
        <w:pStyle w:val="ListParagraph"/>
        <w:numPr>
          <w:ilvl w:val="0"/>
          <w:numId w:val="11"/>
        </w:numPr>
      </w:pPr>
      <w:r w:rsidRPr="00697894">
        <w:t>Employer Documentation of</w:t>
      </w:r>
      <w:r w:rsidR="00693EB7" w:rsidRPr="00697894">
        <w:t xml:space="preserve"> Suitability Determination</w:t>
      </w:r>
      <w:r w:rsidRPr="00697894">
        <w:t xml:space="preserve">.  </w:t>
      </w:r>
      <w:r w:rsidR="000345D9" w:rsidRPr="00697894">
        <w:t>Employers</w:t>
      </w:r>
      <w:r w:rsidR="007204E8" w:rsidRPr="00697894">
        <w:t xml:space="preserve"> </w:t>
      </w:r>
      <w:r w:rsidR="000345D9" w:rsidRPr="00697894">
        <w:t>must retai</w:t>
      </w:r>
      <w:r w:rsidRPr="00697894">
        <w:t xml:space="preserve">n documentation of the </w:t>
      </w:r>
      <w:r w:rsidR="009903A6">
        <w:t xml:space="preserve">school </w:t>
      </w:r>
      <w:r w:rsidRPr="00697894">
        <w:t>employer’s review of an employee</w:t>
      </w:r>
      <w:r w:rsidR="00D50B5F">
        <w:t xml:space="preserve"> or applicant</w:t>
      </w:r>
      <w:r w:rsidRPr="00697894">
        <w:t xml:space="preserve">’s national </w:t>
      </w:r>
      <w:r w:rsidR="00046662">
        <w:t xml:space="preserve">criminal history </w:t>
      </w:r>
      <w:r w:rsidRPr="00697894">
        <w:t>check results</w:t>
      </w:r>
      <w:r w:rsidR="004C35E4" w:rsidRPr="00697894">
        <w:t>.  The documentation must include, and is limited to, the following:</w:t>
      </w:r>
    </w:p>
    <w:p w:rsidR="004C35E4" w:rsidRPr="00697894" w:rsidRDefault="004C35E4" w:rsidP="004C35E4">
      <w:pPr>
        <w:pStyle w:val="ListParagraph"/>
      </w:pPr>
    </w:p>
    <w:p w:rsidR="004C35E4" w:rsidRPr="00697894" w:rsidRDefault="004C35E4" w:rsidP="004C35E4">
      <w:pPr>
        <w:pStyle w:val="ListParagraph"/>
        <w:numPr>
          <w:ilvl w:val="0"/>
          <w:numId w:val="12"/>
        </w:numPr>
      </w:pPr>
      <w:r w:rsidRPr="00697894">
        <w:t xml:space="preserve">The name </w:t>
      </w:r>
      <w:r w:rsidR="000345D9" w:rsidRPr="00697894">
        <w:t xml:space="preserve">and date of birth </w:t>
      </w:r>
      <w:r w:rsidRPr="00697894">
        <w:t>of the employee</w:t>
      </w:r>
      <w:r w:rsidR="00D50B5F">
        <w:t xml:space="preserve"> or applicant</w:t>
      </w:r>
      <w:r w:rsidRPr="00697894">
        <w:t>;</w:t>
      </w:r>
    </w:p>
    <w:p w:rsidR="004C35E4" w:rsidRPr="00697894" w:rsidRDefault="004C35E4" w:rsidP="004C35E4">
      <w:pPr>
        <w:pStyle w:val="ListParagraph"/>
        <w:ind w:left="1440"/>
      </w:pPr>
    </w:p>
    <w:p w:rsidR="004C35E4" w:rsidRPr="00697894" w:rsidRDefault="004C35E4" w:rsidP="004C35E4">
      <w:pPr>
        <w:pStyle w:val="ListParagraph"/>
        <w:numPr>
          <w:ilvl w:val="0"/>
          <w:numId w:val="12"/>
        </w:numPr>
      </w:pPr>
      <w:r w:rsidRPr="00697894">
        <w:t>The date on which the</w:t>
      </w:r>
      <w:r w:rsidR="000345D9" w:rsidRPr="00697894">
        <w:t xml:space="preserve"> </w:t>
      </w:r>
      <w:r w:rsidR="009903A6">
        <w:t xml:space="preserve">school </w:t>
      </w:r>
      <w:r w:rsidR="000345D9" w:rsidRPr="00697894">
        <w:t xml:space="preserve">employer received the </w:t>
      </w:r>
      <w:r w:rsidRPr="00697894">
        <w:t xml:space="preserve">national </w:t>
      </w:r>
      <w:r w:rsidR="00046662">
        <w:t xml:space="preserve">criminal history </w:t>
      </w:r>
      <w:r w:rsidRPr="00697894">
        <w:t>check results;</w:t>
      </w:r>
      <w:r w:rsidR="009903A6">
        <w:t xml:space="preserve"> and,</w:t>
      </w:r>
      <w:r w:rsidRPr="00697894">
        <w:t xml:space="preserve"> </w:t>
      </w:r>
    </w:p>
    <w:p w:rsidR="004C35E4" w:rsidRPr="00697894" w:rsidRDefault="004C35E4" w:rsidP="004C35E4">
      <w:pPr>
        <w:pStyle w:val="ListParagraph"/>
        <w:ind w:left="1440"/>
      </w:pPr>
    </w:p>
    <w:p w:rsidR="004C35E4" w:rsidRPr="00697894" w:rsidRDefault="004C35E4" w:rsidP="004C35E4">
      <w:pPr>
        <w:pStyle w:val="ListParagraph"/>
        <w:numPr>
          <w:ilvl w:val="0"/>
          <w:numId w:val="12"/>
        </w:numPr>
      </w:pPr>
      <w:r w:rsidRPr="00697894">
        <w:t xml:space="preserve">The suitability </w:t>
      </w:r>
      <w:r w:rsidR="00B80F75" w:rsidRPr="00697894">
        <w:t xml:space="preserve">determination </w:t>
      </w:r>
      <w:r w:rsidRPr="00697894">
        <w:t>(either “suitable” or “unsuitable”).</w:t>
      </w:r>
    </w:p>
    <w:p w:rsidR="00B80F75" w:rsidRPr="00697894" w:rsidRDefault="00B80F75" w:rsidP="00B80F75">
      <w:pPr>
        <w:pStyle w:val="ListParagraph"/>
      </w:pPr>
    </w:p>
    <w:p w:rsidR="00B80F75" w:rsidRPr="00697894" w:rsidRDefault="00573E3A" w:rsidP="00B80F75">
      <w:pPr>
        <w:pStyle w:val="ListParagraph"/>
        <w:numPr>
          <w:ilvl w:val="0"/>
          <w:numId w:val="11"/>
        </w:numPr>
      </w:pPr>
      <w:r>
        <w:t>Documentation to be Provided</w:t>
      </w:r>
      <w:r w:rsidR="00F317DE">
        <w:t xml:space="preserve"> u</w:t>
      </w:r>
      <w:r>
        <w:t>pon Request</w:t>
      </w:r>
      <w:r w:rsidR="008827B8">
        <w:t xml:space="preserve">.  </w:t>
      </w:r>
      <w:r w:rsidR="00B80F75" w:rsidRPr="00697894">
        <w:t xml:space="preserve">A school employer must provide a copy of the documentation of the </w:t>
      </w:r>
      <w:r w:rsidR="0082382A" w:rsidRPr="00697894">
        <w:t xml:space="preserve">suitability determination </w:t>
      </w:r>
      <w:r w:rsidR="00AC5C2F">
        <w:t>of an individu</w:t>
      </w:r>
      <w:r w:rsidR="008827B8">
        <w:t xml:space="preserve">al to </w:t>
      </w:r>
      <w:r w:rsidR="00AC5C2F">
        <w:t>another</w:t>
      </w:r>
      <w:r w:rsidR="00B80F75" w:rsidRPr="00697894">
        <w:t xml:space="preserve"> school </w:t>
      </w:r>
      <w:r w:rsidR="00122507" w:rsidRPr="00697894">
        <w:t xml:space="preserve">employer, </w:t>
      </w:r>
      <w:r w:rsidR="00D0539A" w:rsidRPr="00697894">
        <w:t xml:space="preserve">or to the </w:t>
      </w:r>
      <w:r w:rsidR="00122507" w:rsidRPr="00697894">
        <w:t>individual, upon</w:t>
      </w:r>
      <w:r w:rsidR="00B80F75" w:rsidRPr="00697894">
        <w:t xml:space="preserve"> request of </w:t>
      </w:r>
      <w:r w:rsidR="00122507" w:rsidRPr="00697894">
        <w:t>the</w:t>
      </w:r>
      <w:r w:rsidR="00B80F75" w:rsidRPr="00697894">
        <w:t xml:space="preserve"> individual for whom the school employer conducted a suitability determination. </w:t>
      </w:r>
    </w:p>
    <w:p w:rsidR="004C35E4" w:rsidRPr="00697894" w:rsidRDefault="004C35E4" w:rsidP="004C35E4"/>
    <w:p w:rsidR="00480665" w:rsidRDefault="00AC5C2F" w:rsidP="00480665">
      <w:pPr>
        <w:pStyle w:val="ListParagraph"/>
        <w:numPr>
          <w:ilvl w:val="0"/>
          <w:numId w:val="11"/>
        </w:numPr>
        <w:contextualSpacing w:val="0"/>
      </w:pPr>
      <w:r>
        <w:t>Reliance on Another</w:t>
      </w:r>
      <w:r w:rsidR="00480665">
        <w:t xml:space="preserve"> School Employer’s Favorable </w:t>
      </w:r>
      <w:r>
        <w:t xml:space="preserve">Suitability </w:t>
      </w:r>
      <w:r w:rsidR="00480665">
        <w:t>Determination. When a</w:t>
      </w:r>
      <w:r>
        <w:t>n</w:t>
      </w:r>
      <w:r w:rsidR="00480665">
        <w:t xml:space="preserve"> </w:t>
      </w:r>
      <w:r w:rsidR="00480665" w:rsidRPr="00F317DE">
        <w:t xml:space="preserve">individual for whom a school employer has made a suitability determination </w:t>
      </w:r>
      <w:r w:rsidR="00480665">
        <w:t xml:space="preserve">applies to work </w:t>
      </w:r>
      <w:r w:rsidR="00480665" w:rsidRPr="00F317DE">
        <w:t xml:space="preserve">for </w:t>
      </w:r>
      <w:r w:rsidRPr="00F317DE">
        <w:t xml:space="preserve">a </w:t>
      </w:r>
      <w:r w:rsidR="00480665" w:rsidRPr="00F317DE">
        <w:t>subsequent school employer</w:t>
      </w:r>
      <w:r w:rsidR="00480665">
        <w:t xml:space="preserve">, the </w:t>
      </w:r>
      <w:r w:rsidR="00480665" w:rsidRPr="00F317DE">
        <w:t xml:space="preserve">subsequent </w:t>
      </w:r>
      <w:r w:rsidR="00480665">
        <w:t xml:space="preserve">school employer may </w:t>
      </w:r>
      <w:r>
        <w:t>obtain and may rely on another</w:t>
      </w:r>
      <w:r w:rsidR="00480665">
        <w:t xml:space="preserve"> school employer’s</w:t>
      </w:r>
      <w:r w:rsidR="00480665" w:rsidRPr="00F317DE">
        <w:t xml:space="preserve"> </w:t>
      </w:r>
      <w:r w:rsidR="00573E3A" w:rsidRPr="00F317DE">
        <w:t xml:space="preserve">favorable </w:t>
      </w:r>
      <w:r w:rsidR="00480665" w:rsidRPr="00F317DE">
        <w:t>suitability determination</w:t>
      </w:r>
      <w:r w:rsidR="00480665">
        <w:t>, as described in part (1) of this section</w:t>
      </w:r>
      <w:r w:rsidR="00480665" w:rsidRPr="00F317DE">
        <w:t>,</w:t>
      </w:r>
      <w:r w:rsidR="00480665">
        <w:t xml:space="preserve"> if the following criteria are met:</w:t>
      </w:r>
    </w:p>
    <w:p w:rsidR="00480665" w:rsidRDefault="00480665" w:rsidP="00480665">
      <w:pPr>
        <w:pStyle w:val="ListParagraph"/>
        <w:ind w:left="1440"/>
      </w:pPr>
    </w:p>
    <w:p w:rsidR="00480665" w:rsidRDefault="00480665" w:rsidP="00480665">
      <w:pPr>
        <w:pStyle w:val="ListParagraph"/>
        <w:numPr>
          <w:ilvl w:val="0"/>
          <w:numId w:val="34"/>
        </w:numPr>
        <w:contextualSpacing w:val="0"/>
      </w:pPr>
      <w:r>
        <w:t xml:space="preserve">The suitability determination was </w:t>
      </w:r>
      <w:r w:rsidRPr="00F317DE">
        <w:t>made</w:t>
      </w:r>
      <w:r>
        <w:t xml:space="preserve"> within the last 7 years; and</w:t>
      </w:r>
    </w:p>
    <w:p w:rsidR="00480665" w:rsidRDefault="00480665" w:rsidP="00480665">
      <w:pPr>
        <w:pStyle w:val="ListParagraph"/>
        <w:numPr>
          <w:ilvl w:val="0"/>
          <w:numId w:val="34"/>
        </w:numPr>
        <w:contextualSpacing w:val="0"/>
      </w:pPr>
      <w:r>
        <w:t>The individual has not</w:t>
      </w:r>
      <w:r w:rsidRPr="00F317DE">
        <w:t xml:space="preserve"> resided outside Mas</w:t>
      </w:r>
      <w:r>
        <w:t xml:space="preserve">sachusetts for </w:t>
      </w:r>
      <w:r w:rsidRPr="00F317DE">
        <w:t>any period longer than 3</w:t>
      </w:r>
      <w:r>
        <w:t xml:space="preserve"> months since the suitability determination was made;</w:t>
      </w:r>
      <w:r w:rsidRPr="00F317DE">
        <w:t xml:space="preserve"> and</w:t>
      </w:r>
    </w:p>
    <w:p w:rsidR="00AC5C2F" w:rsidRDefault="00480665" w:rsidP="00480665">
      <w:pPr>
        <w:pStyle w:val="ListParagraph"/>
        <w:numPr>
          <w:ilvl w:val="0"/>
          <w:numId w:val="34"/>
        </w:numPr>
        <w:contextualSpacing w:val="0"/>
      </w:pPr>
      <w:r>
        <w:t>The individual has worked continuously for one or more school employers or has gaps totaling no more than 2 years in his or her employment for school employers</w:t>
      </w:r>
      <w:r w:rsidR="00AC5C2F">
        <w:t xml:space="preserve">; or </w:t>
      </w:r>
    </w:p>
    <w:p w:rsidR="00480665" w:rsidRDefault="00AC5C2F" w:rsidP="00480665">
      <w:pPr>
        <w:pStyle w:val="ListParagraph"/>
        <w:numPr>
          <w:ilvl w:val="0"/>
          <w:numId w:val="34"/>
        </w:numPr>
        <w:contextualSpacing w:val="0"/>
      </w:pPr>
      <w:r>
        <w:t>I</w:t>
      </w:r>
      <w:r w:rsidR="00480665">
        <w:t xml:space="preserve">f the individual works as a substitute employee, the individual is still </w:t>
      </w:r>
      <w:r>
        <w:t xml:space="preserve">deemed suitable </w:t>
      </w:r>
      <w:r w:rsidR="00480665">
        <w:t>for employment by the school employer who made</w:t>
      </w:r>
      <w:r w:rsidR="00480665" w:rsidRPr="00F317DE">
        <w:t xml:space="preserve"> </w:t>
      </w:r>
      <w:r w:rsidRPr="00F317DE">
        <w:t>a</w:t>
      </w:r>
      <w:r w:rsidR="00480665">
        <w:t xml:space="preserve"> favorable suitability determination. Upon req</w:t>
      </w:r>
      <w:r>
        <w:t>uest of another</w:t>
      </w:r>
      <w:r w:rsidR="00480665" w:rsidRPr="00F317DE">
        <w:t xml:space="preserve"> </w:t>
      </w:r>
      <w:r>
        <w:t xml:space="preserve">school employer, the initial </w:t>
      </w:r>
      <w:r w:rsidR="00480665">
        <w:t>school employer sh</w:t>
      </w:r>
      <w:r>
        <w:t xml:space="preserve">all provide </w:t>
      </w:r>
      <w:r w:rsidR="00480665">
        <w:t xml:space="preserve">documentation of the </w:t>
      </w:r>
      <w:r>
        <w:t xml:space="preserve">favorable </w:t>
      </w:r>
      <w:r w:rsidR="00480665">
        <w:t>suitability determination</w:t>
      </w:r>
      <w:r>
        <w:t>.</w:t>
      </w:r>
    </w:p>
    <w:p w:rsidR="00622F66" w:rsidRPr="00697894" w:rsidRDefault="00622F66" w:rsidP="00622F66">
      <w:pPr>
        <w:pStyle w:val="ListParagraph"/>
      </w:pPr>
    </w:p>
    <w:p w:rsidR="00804753" w:rsidRPr="00697894" w:rsidRDefault="00AC5C2F" w:rsidP="0031046A">
      <w:pPr>
        <w:pStyle w:val="ListParagraph"/>
        <w:numPr>
          <w:ilvl w:val="0"/>
          <w:numId w:val="11"/>
        </w:numPr>
      </w:pPr>
      <w:r>
        <w:t>Documentation of Reliance on Another School E</w:t>
      </w:r>
      <w:r w:rsidR="00693EB7" w:rsidRPr="00697894">
        <w:t>mployer’s</w:t>
      </w:r>
      <w:r>
        <w:t xml:space="preserve"> Favorable Suitability D</w:t>
      </w:r>
      <w:r w:rsidR="00693EB7" w:rsidRPr="00697894">
        <w:t>etermination.</w:t>
      </w:r>
      <w:r w:rsidR="00573E3A">
        <w:t xml:space="preserve"> </w:t>
      </w:r>
      <w:r w:rsidR="00693EB7" w:rsidRPr="00697894">
        <w:t xml:space="preserve"> In any instance whe</w:t>
      </w:r>
      <w:r w:rsidR="00122507" w:rsidRPr="00697894">
        <w:t>re</w:t>
      </w:r>
      <w:r w:rsidR="00693EB7" w:rsidRPr="00697894">
        <w:t xml:space="preserve"> a school employer relies on a suitability determination made by a</w:t>
      </w:r>
      <w:r>
        <w:t>nother</w:t>
      </w:r>
      <w:r w:rsidR="00693EB7" w:rsidRPr="00697894">
        <w:t xml:space="preserve"> school employer, the relying school employer shall retain the following documentation:</w:t>
      </w:r>
    </w:p>
    <w:p w:rsidR="00693EB7" w:rsidRPr="00697894" w:rsidRDefault="00693EB7" w:rsidP="00693EB7">
      <w:pPr>
        <w:pStyle w:val="ListParagraph"/>
        <w:numPr>
          <w:ilvl w:val="0"/>
          <w:numId w:val="28"/>
        </w:numPr>
      </w:pPr>
      <w:r w:rsidRPr="00697894">
        <w:t>A copy of the documentation received from the school employer that made the relied-upon suitability determination</w:t>
      </w:r>
      <w:r w:rsidR="00402520" w:rsidRPr="00697894">
        <w:t xml:space="preserve">, and </w:t>
      </w:r>
    </w:p>
    <w:p w:rsidR="00693EB7" w:rsidRPr="00697894" w:rsidRDefault="00693EB7" w:rsidP="00693EB7">
      <w:pPr>
        <w:pStyle w:val="ListParagraph"/>
        <w:numPr>
          <w:ilvl w:val="0"/>
          <w:numId w:val="28"/>
        </w:numPr>
      </w:pPr>
      <w:r w:rsidRPr="00697894">
        <w:lastRenderedPageBreak/>
        <w:t xml:space="preserve">Documentation establishing that the </w:t>
      </w:r>
      <w:r w:rsidR="00480665">
        <w:t>individual</w:t>
      </w:r>
      <w:r w:rsidRPr="00697894">
        <w:t xml:space="preserve"> met the criteria of </w:t>
      </w:r>
      <w:r w:rsidR="00046662">
        <w:t xml:space="preserve">603 CMR 51.06 </w:t>
      </w:r>
      <w:r w:rsidR="00480665">
        <w:t xml:space="preserve">(3) (a), </w:t>
      </w:r>
      <w:r w:rsidR="00402520" w:rsidRPr="00697894">
        <w:t>(b)</w:t>
      </w:r>
      <w:r w:rsidR="00AC5C2F">
        <w:t>,</w:t>
      </w:r>
      <w:r w:rsidR="00480665">
        <w:t xml:space="preserve"> </w:t>
      </w:r>
      <w:r w:rsidR="00BD25FE">
        <w:t xml:space="preserve">and </w:t>
      </w:r>
      <w:r w:rsidR="00480665">
        <w:t>(c)</w:t>
      </w:r>
      <w:r w:rsidR="00AC5C2F">
        <w:t xml:space="preserve"> or (d)</w:t>
      </w:r>
      <w:r w:rsidR="00402520" w:rsidRPr="00697894">
        <w:t>.</w:t>
      </w:r>
    </w:p>
    <w:p w:rsidR="00804753" w:rsidRPr="00697894" w:rsidRDefault="00804753" w:rsidP="00804753">
      <w:pPr>
        <w:pStyle w:val="ListParagraph"/>
        <w:ind w:left="1440"/>
      </w:pPr>
    </w:p>
    <w:p w:rsidR="00B34CE4" w:rsidRPr="00697894" w:rsidRDefault="00534159" w:rsidP="00B34CE4">
      <w:pPr>
        <w:pStyle w:val="ListParagraph"/>
        <w:numPr>
          <w:ilvl w:val="0"/>
          <w:numId w:val="11"/>
        </w:numPr>
      </w:pPr>
      <w:r>
        <w:t>Subsequent C</w:t>
      </w:r>
      <w:r w:rsidR="00B34CE4" w:rsidRPr="00697894">
        <w:t xml:space="preserve">hecks; </w:t>
      </w:r>
      <w:r w:rsidR="009903A6">
        <w:t>F</w:t>
      </w:r>
      <w:r w:rsidR="00B34CE4" w:rsidRPr="00697894">
        <w:t>ees.</w:t>
      </w:r>
    </w:p>
    <w:p w:rsidR="009E7D58" w:rsidRPr="00697894" w:rsidRDefault="009E7D58" w:rsidP="009E7D58">
      <w:pPr>
        <w:pStyle w:val="ListParagraph"/>
        <w:ind w:left="1440"/>
      </w:pPr>
    </w:p>
    <w:p w:rsidR="00B34CE4" w:rsidRPr="00697894" w:rsidRDefault="00E4085A" w:rsidP="00B34CE4">
      <w:pPr>
        <w:pStyle w:val="ListParagraph"/>
        <w:numPr>
          <w:ilvl w:val="0"/>
          <w:numId w:val="14"/>
        </w:numPr>
      </w:pPr>
      <w:r w:rsidRPr="00697894">
        <w:t xml:space="preserve">Unless a </w:t>
      </w:r>
      <w:r w:rsidR="00B80F75" w:rsidRPr="00697894">
        <w:t xml:space="preserve">school </w:t>
      </w:r>
      <w:r w:rsidR="00B34CE4" w:rsidRPr="00697894">
        <w:t xml:space="preserve">employer may rely on a previous </w:t>
      </w:r>
      <w:r w:rsidR="00B80F75" w:rsidRPr="00697894">
        <w:t xml:space="preserve">school </w:t>
      </w:r>
      <w:r w:rsidR="00B34CE4" w:rsidRPr="00697894">
        <w:t xml:space="preserve">employer’s </w:t>
      </w:r>
      <w:r w:rsidR="00494C73" w:rsidRPr="00697894">
        <w:t xml:space="preserve">determination </w:t>
      </w:r>
      <w:r w:rsidR="00B34CE4" w:rsidRPr="00697894">
        <w:t>pursuant to part (</w:t>
      </w:r>
      <w:r w:rsidR="00C05BF2" w:rsidRPr="00697894">
        <w:t>3</w:t>
      </w:r>
      <w:r w:rsidR="00B34CE4" w:rsidRPr="00697894">
        <w:t xml:space="preserve">) of this section, the </w:t>
      </w:r>
      <w:r w:rsidR="00B80F75" w:rsidRPr="00697894">
        <w:t xml:space="preserve">school </w:t>
      </w:r>
      <w:r w:rsidR="00B34CE4" w:rsidRPr="00697894">
        <w:t xml:space="preserve">employer shall require a new </w:t>
      </w:r>
      <w:r w:rsidR="00890CE0" w:rsidRPr="00697894">
        <w:t>national</w:t>
      </w:r>
      <w:r w:rsidR="00C77A6A">
        <w:t xml:space="preserve"> criminal history </w:t>
      </w:r>
      <w:r w:rsidR="00B34CE4" w:rsidRPr="00697894">
        <w:t xml:space="preserve">check at the </w:t>
      </w:r>
      <w:r w:rsidR="00890CE0" w:rsidRPr="00697894">
        <w:t>individual</w:t>
      </w:r>
      <w:r w:rsidR="00B34CE4" w:rsidRPr="00697894">
        <w:t>’s expense.</w:t>
      </w:r>
    </w:p>
    <w:p w:rsidR="002970E4" w:rsidRPr="00697894" w:rsidRDefault="002970E4" w:rsidP="002970E4">
      <w:pPr>
        <w:pStyle w:val="ListParagraph"/>
        <w:ind w:left="1440"/>
      </w:pPr>
    </w:p>
    <w:p w:rsidR="002970E4" w:rsidRPr="00697894" w:rsidRDefault="00B34CE4" w:rsidP="002970E4">
      <w:pPr>
        <w:pStyle w:val="ListParagraph"/>
        <w:numPr>
          <w:ilvl w:val="0"/>
          <w:numId w:val="14"/>
        </w:numPr>
      </w:pPr>
      <w:r w:rsidRPr="00697894">
        <w:t xml:space="preserve">If a previous </w:t>
      </w:r>
      <w:r w:rsidR="00C05BF2" w:rsidRPr="00697894">
        <w:t xml:space="preserve">school </w:t>
      </w:r>
      <w:r w:rsidRPr="00697894">
        <w:t xml:space="preserve">employer’s documentation </w:t>
      </w:r>
      <w:r w:rsidR="00C05BF2" w:rsidRPr="00697894">
        <w:t xml:space="preserve">demonstrates </w:t>
      </w:r>
      <w:r w:rsidRPr="00697894">
        <w:t xml:space="preserve">the employee was </w:t>
      </w:r>
      <w:r w:rsidR="00494C73" w:rsidRPr="00697894">
        <w:t>deemed</w:t>
      </w:r>
      <w:r w:rsidRPr="00697894">
        <w:t xml:space="preserve"> “unsuitable” for employment, </w:t>
      </w:r>
      <w:r w:rsidR="00C05BF2" w:rsidRPr="00697894">
        <w:t xml:space="preserve">another school </w:t>
      </w:r>
      <w:r w:rsidRPr="00697894">
        <w:t xml:space="preserve">employer </w:t>
      </w:r>
      <w:r w:rsidR="00C05BF2" w:rsidRPr="00697894">
        <w:t xml:space="preserve">shall </w:t>
      </w:r>
      <w:r w:rsidRPr="00697894">
        <w:t xml:space="preserve">require a new </w:t>
      </w:r>
      <w:r w:rsidR="00C05BF2" w:rsidRPr="00697894">
        <w:t>national</w:t>
      </w:r>
      <w:r w:rsidR="00FD1AED" w:rsidRPr="00697894">
        <w:t xml:space="preserve"> </w:t>
      </w:r>
      <w:r w:rsidR="00C77A6A">
        <w:t xml:space="preserve">criminal history </w:t>
      </w:r>
      <w:r w:rsidRPr="00697894">
        <w:t xml:space="preserve">check at the </w:t>
      </w:r>
      <w:r w:rsidR="00C05BF2" w:rsidRPr="00697894">
        <w:t>individual</w:t>
      </w:r>
      <w:r w:rsidRPr="00697894">
        <w:t>’s expense.</w:t>
      </w:r>
    </w:p>
    <w:p w:rsidR="002970E4" w:rsidRPr="00697894" w:rsidRDefault="002970E4" w:rsidP="002970E4">
      <w:pPr>
        <w:pStyle w:val="ListParagraph"/>
        <w:ind w:left="1440"/>
      </w:pPr>
    </w:p>
    <w:p w:rsidR="00B34CE4" w:rsidRPr="00697894" w:rsidRDefault="00B34CE4" w:rsidP="00B34CE4">
      <w:pPr>
        <w:pStyle w:val="ListParagraph"/>
        <w:numPr>
          <w:ilvl w:val="0"/>
          <w:numId w:val="14"/>
        </w:numPr>
      </w:pPr>
      <w:r w:rsidRPr="00697894">
        <w:t>A</w:t>
      </w:r>
      <w:r w:rsidR="00C05BF2" w:rsidRPr="00697894">
        <w:t xml:space="preserve"> school</w:t>
      </w:r>
      <w:r w:rsidRPr="00697894">
        <w:t xml:space="preserve"> employer may choose to perform a new </w:t>
      </w:r>
      <w:r w:rsidR="00FD1AED" w:rsidRPr="00697894">
        <w:t xml:space="preserve">national </w:t>
      </w:r>
      <w:r w:rsidR="00C77A6A">
        <w:t xml:space="preserve">criminal history </w:t>
      </w:r>
      <w:r w:rsidRPr="00697894">
        <w:t xml:space="preserve">check on an </w:t>
      </w:r>
      <w:r w:rsidR="00C05BF2" w:rsidRPr="00697894">
        <w:t>individual</w:t>
      </w:r>
      <w:r w:rsidR="007204E8" w:rsidRPr="00697894">
        <w:t xml:space="preserve"> </w:t>
      </w:r>
      <w:r w:rsidR="00C05BF2" w:rsidRPr="00697894">
        <w:t xml:space="preserve">rather </w:t>
      </w:r>
      <w:r w:rsidR="00D0539A" w:rsidRPr="00697894">
        <w:t>than rely</w:t>
      </w:r>
      <w:r w:rsidR="00804753" w:rsidRPr="00697894">
        <w:t xml:space="preserve"> on </w:t>
      </w:r>
      <w:r w:rsidR="002970E4" w:rsidRPr="00697894">
        <w:t>a pr</w:t>
      </w:r>
      <w:r w:rsidR="00804753" w:rsidRPr="00697894">
        <w:t xml:space="preserve">evious </w:t>
      </w:r>
      <w:r w:rsidR="00C05BF2" w:rsidRPr="00697894">
        <w:t xml:space="preserve">school </w:t>
      </w:r>
      <w:r w:rsidR="00804753" w:rsidRPr="00697894">
        <w:t>employer’s</w:t>
      </w:r>
      <w:r w:rsidR="007204E8" w:rsidRPr="00697894">
        <w:t xml:space="preserve"> </w:t>
      </w:r>
      <w:r w:rsidR="00AC5C2F">
        <w:t xml:space="preserve">favorable suitability </w:t>
      </w:r>
      <w:r w:rsidR="00494C73" w:rsidRPr="00697894">
        <w:t>determination</w:t>
      </w:r>
      <w:r w:rsidR="00804753" w:rsidRPr="00697894">
        <w:t xml:space="preserve">. </w:t>
      </w:r>
      <w:r w:rsidRPr="00697894">
        <w:t xml:space="preserve">The </w:t>
      </w:r>
      <w:r w:rsidR="00C05BF2" w:rsidRPr="00697894">
        <w:t xml:space="preserve">school </w:t>
      </w:r>
      <w:r w:rsidRPr="00697894">
        <w:t xml:space="preserve">employer shall bear the cost of </w:t>
      </w:r>
      <w:r w:rsidR="00C05BF2" w:rsidRPr="00697894">
        <w:t xml:space="preserve">such a </w:t>
      </w:r>
      <w:r w:rsidRPr="00697894">
        <w:t>check.</w:t>
      </w:r>
    </w:p>
    <w:p w:rsidR="00B34CE4" w:rsidRPr="00697894" w:rsidRDefault="00B34CE4" w:rsidP="002970E4">
      <w:pPr>
        <w:ind w:left="1080"/>
      </w:pPr>
    </w:p>
    <w:p w:rsidR="00B34CE4" w:rsidRPr="00697894" w:rsidRDefault="00B34CE4" w:rsidP="00B34CE4">
      <w:pPr>
        <w:ind w:left="720"/>
      </w:pPr>
    </w:p>
    <w:p w:rsidR="001B42C7" w:rsidRPr="00697894" w:rsidRDefault="001B42C7" w:rsidP="004C35E4">
      <w:pPr>
        <w:pStyle w:val="ListParagraph"/>
        <w:ind w:left="1440"/>
      </w:pPr>
      <w:r w:rsidRPr="00697894">
        <w:br w:type="page"/>
      </w:r>
    </w:p>
    <w:p w:rsidR="005D0B66" w:rsidRPr="00697894" w:rsidRDefault="00697894" w:rsidP="000F214D">
      <w:pPr>
        <w:pStyle w:val="Heading1"/>
      </w:pPr>
      <w:bookmarkStart w:id="5" w:name="_Toc355168601"/>
      <w:r>
        <w:lastRenderedPageBreak/>
        <w:t>51.07</w:t>
      </w:r>
      <w:r w:rsidR="001B42C7" w:rsidRPr="00697894">
        <w:tab/>
      </w:r>
      <w:r w:rsidR="005D0B66" w:rsidRPr="00697894">
        <w:t xml:space="preserve">Reporting National </w:t>
      </w:r>
      <w:r w:rsidR="008149B1" w:rsidRPr="00697894">
        <w:t xml:space="preserve">Criminal History </w:t>
      </w:r>
      <w:r w:rsidR="005D0B66" w:rsidRPr="00697894">
        <w:t xml:space="preserve">Check Results to the </w:t>
      </w:r>
      <w:r w:rsidR="00CF0862" w:rsidRPr="00697894">
        <w:t>Commissioner</w:t>
      </w:r>
      <w:bookmarkEnd w:id="5"/>
      <w:r w:rsidR="009903A6">
        <w:t>.</w:t>
      </w:r>
    </w:p>
    <w:p w:rsidR="005D0B66" w:rsidRPr="00697894" w:rsidRDefault="005D0B66" w:rsidP="00BC6422"/>
    <w:p w:rsidR="009552A3" w:rsidRPr="00697894" w:rsidRDefault="00CF0862" w:rsidP="00CF0862">
      <w:pPr>
        <w:pStyle w:val="ListParagraph"/>
        <w:numPr>
          <w:ilvl w:val="0"/>
          <w:numId w:val="10"/>
        </w:numPr>
      </w:pPr>
      <w:r w:rsidRPr="00697894">
        <w:t xml:space="preserve">Any </w:t>
      </w:r>
      <w:r w:rsidR="005D71C8" w:rsidRPr="00697894">
        <w:t xml:space="preserve">school </w:t>
      </w:r>
      <w:r w:rsidRPr="00697894">
        <w:t>employer who has dismissed, declined to renew the employment</w:t>
      </w:r>
      <w:r w:rsidR="001D6AF5" w:rsidRPr="00697894">
        <w:t xml:space="preserve"> of</w:t>
      </w:r>
      <w:r w:rsidRPr="00697894">
        <w:t>, obtained the resignation</w:t>
      </w:r>
      <w:r w:rsidR="001D6AF5" w:rsidRPr="00697894">
        <w:t xml:space="preserve"> of</w:t>
      </w:r>
      <w:r w:rsidRPr="00697894">
        <w:t xml:space="preserve">, or declined to hire a licensed educator </w:t>
      </w:r>
      <w:r w:rsidR="00D0539A" w:rsidRPr="00697894">
        <w:t xml:space="preserve">or an applicant for a Massachusetts educator license </w:t>
      </w:r>
      <w:r w:rsidRPr="00697894">
        <w:t>because of information discovered through a national</w:t>
      </w:r>
      <w:r w:rsidR="00FD1AED" w:rsidRPr="00697894">
        <w:t xml:space="preserve"> </w:t>
      </w:r>
      <w:r w:rsidR="00C77A6A">
        <w:t xml:space="preserve">criminal history </w:t>
      </w:r>
      <w:r w:rsidRPr="00697894">
        <w:t>check shall report</w:t>
      </w:r>
      <w:r w:rsidR="00AE7E7E" w:rsidRPr="00697894">
        <w:t xml:space="preserve"> such decision or action</w:t>
      </w:r>
      <w:r w:rsidRPr="00697894">
        <w:t xml:space="preserve"> to the Commissioner in writing within 30 days of the employer action or educator resignation.  The report </w:t>
      </w:r>
      <w:r w:rsidR="00D33605">
        <w:t xml:space="preserve">be in a form requested by the Department and </w:t>
      </w:r>
      <w:r w:rsidR="005B5B66" w:rsidRPr="00697894">
        <w:t xml:space="preserve">shall </w:t>
      </w:r>
      <w:r w:rsidRPr="00697894">
        <w:t xml:space="preserve">include the reason for the action or resignation as well as a copy of the </w:t>
      </w:r>
      <w:r w:rsidR="00046662">
        <w:t>national criminal history</w:t>
      </w:r>
      <w:r w:rsidRPr="00697894">
        <w:t xml:space="preserve"> check results.</w:t>
      </w:r>
    </w:p>
    <w:p w:rsidR="00CF0862" w:rsidRPr="00697894" w:rsidRDefault="00CF0862" w:rsidP="00CF0862">
      <w:pPr>
        <w:pStyle w:val="ListParagraph"/>
      </w:pPr>
    </w:p>
    <w:p w:rsidR="00CF0862" w:rsidRPr="00697894" w:rsidRDefault="00CF0862" w:rsidP="00CF0862">
      <w:pPr>
        <w:pStyle w:val="ListParagraph"/>
        <w:numPr>
          <w:ilvl w:val="0"/>
          <w:numId w:val="10"/>
        </w:numPr>
      </w:pPr>
      <w:r w:rsidRPr="00697894">
        <w:t xml:space="preserve">Any </w:t>
      </w:r>
      <w:r w:rsidR="005B5B66" w:rsidRPr="00697894">
        <w:t xml:space="preserve">school </w:t>
      </w:r>
      <w:r w:rsidRPr="00697894">
        <w:t xml:space="preserve">employer who discovers information from a national </w:t>
      </w:r>
      <w:r w:rsidR="00046662">
        <w:t xml:space="preserve">criminal history </w:t>
      </w:r>
      <w:r w:rsidRPr="00697894">
        <w:t xml:space="preserve">check about a licensed educator </w:t>
      </w:r>
      <w:r w:rsidR="00D0539A" w:rsidRPr="00697894">
        <w:t>or an applicant for a Massachusetts educator</w:t>
      </w:r>
      <w:r w:rsidR="00C04AA9" w:rsidRPr="00697894">
        <w:t xml:space="preserve"> license </w:t>
      </w:r>
      <w:r w:rsidRPr="00697894">
        <w:t>that implicates grounds for license action pursuant to 603 CMR 7.15(8)</w:t>
      </w:r>
      <w:r w:rsidR="0067650D" w:rsidRPr="00697894">
        <w:t>(a)</w:t>
      </w:r>
      <w:r w:rsidRPr="00697894">
        <w:t xml:space="preserve"> shall report to the Commissioner in writing within 30 days of the discovery, regardless of whether the employer retains </w:t>
      </w:r>
      <w:r w:rsidR="00C04AA9" w:rsidRPr="00697894">
        <w:t xml:space="preserve">or hires </w:t>
      </w:r>
      <w:r w:rsidRPr="00697894">
        <w:t>the educator</w:t>
      </w:r>
      <w:r w:rsidR="00AE7E7E" w:rsidRPr="00697894">
        <w:t xml:space="preserve"> as an employee</w:t>
      </w:r>
      <w:r w:rsidRPr="00697894">
        <w:t xml:space="preserve">.  The report must include a copy of the national </w:t>
      </w:r>
      <w:r w:rsidR="00046662">
        <w:t xml:space="preserve">criminal history </w:t>
      </w:r>
      <w:r w:rsidRPr="00697894">
        <w:t>check results.</w:t>
      </w:r>
    </w:p>
    <w:p w:rsidR="00CF0862" w:rsidRPr="00697894" w:rsidRDefault="00CF0862" w:rsidP="00CF0862">
      <w:pPr>
        <w:pStyle w:val="ListParagraph"/>
      </w:pPr>
    </w:p>
    <w:p w:rsidR="00CF0862" w:rsidRPr="00697894" w:rsidRDefault="0067650D" w:rsidP="00CF0862">
      <w:pPr>
        <w:pStyle w:val="ListParagraph"/>
        <w:numPr>
          <w:ilvl w:val="0"/>
          <w:numId w:val="10"/>
        </w:numPr>
      </w:pPr>
      <w:r w:rsidRPr="00697894">
        <w:t xml:space="preserve">The failure of </w:t>
      </w:r>
      <w:r w:rsidR="00361A41" w:rsidRPr="00697894">
        <w:t>a</w:t>
      </w:r>
      <w:r w:rsidR="005B5B66" w:rsidRPr="00697894">
        <w:t xml:space="preserve"> school administrator who</w:t>
      </w:r>
      <w:r w:rsidR="007204E8" w:rsidRPr="00697894">
        <w:t xml:space="preserve"> </w:t>
      </w:r>
      <w:r w:rsidR="00CF0862" w:rsidRPr="00697894">
        <w:t>hold</w:t>
      </w:r>
      <w:r w:rsidR="005B5B66" w:rsidRPr="00697894">
        <w:t>s</w:t>
      </w:r>
      <w:r w:rsidRPr="00697894">
        <w:t xml:space="preserve"> an</w:t>
      </w:r>
      <w:r w:rsidR="007204E8" w:rsidRPr="00697894">
        <w:t xml:space="preserve"> </w:t>
      </w:r>
      <w:r w:rsidR="005B5B66" w:rsidRPr="00697894">
        <w:t>educator</w:t>
      </w:r>
      <w:r w:rsidRPr="00697894">
        <w:t xml:space="preserve"> license to make </w:t>
      </w:r>
      <w:r w:rsidR="00AE7E7E" w:rsidRPr="00697894">
        <w:t xml:space="preserve">any </w:t>
      </w:r>
      <w:r w:rsidRPr="00697894">
        <w:t xml:space="preserve">such report </w:t>
      </w:r>
      <w:r w:rsidR="005B5B66" w:rsidRPr="00697894">
        <w:t xml:space="preserve">to the Commissioner </w:t>
      </w:r>
      <w:r w:rsidRPr="00697894">
        <w:t xml:space="preserve">shall be grounds for </w:t>
      </w:r>
      <w:r w:rsidR="005B5B66" w:rsidRPr="00697894">
        <w:t>license sanction</w:t>
      </w:r>
      <w:r w:rsidRPr="00697894">
        <w:t xml:space="preserve"> pursuant to 603 CMR 7.15(8)(h).</w:t>
      </w:r>
    </w:p>
    <w:p w:rsidR="00C86DB2" w:rsidRPr="00697894" w:rsidRDefault="00C86DB2" w:rsidP="00C86DB2">
      <w:pPr>
        <w:pStyle w:val="ListParagraph"/>
      </w:pPr>
    </w:p>
    <w:p w:rsidR="008175C1" w:rsidRPr="00697894" w:rsidRDefault="00C86DB2" w:rsidP="008175C1">
      <w:pPr>
        <w:pStyle w:val="ListParagraph"/>
        <w:numPr>
          <w:ilvl w:val="0"/>
          <w:numId w:val="10"/>
        </w:numPr>
        <w:autoSpaceDE w:val="0"/>
        <w:autoSpaceDN w:val="0"/>
        <w:adjustRightInd w:val="0"/>
      </w:pPr>
      <w:r w:rsidRPr="00697894">
        <w:t xml:space="preserve">The Department shall treat CHRI in a manner consistent with the DCJIS model CORI Policy and in compliance with all federal rules and regulations regarding CHRI, including limitations on record retention. </w:t>
      </w:r>
    </w:p>
    <w:p w:rsidR="00C86DB2" w:rsidRPr="00697894" w:rsidRDefault="00C86DB2" w:rsidP="00C86DB2">
      <w:pPr>
        <w:autoSpaceDE w:val="0"/>
        <w:autoSpaceDN w:val="0"/>
        <w:adjustRightInd w:val="0"/>
      </w:pPr>
    </w:p>
    <w:p w:rsidR="008175C1" w:rsidRDefault="008175C1" w:rsidP="008175C1">
      <w:pPr>
        <w:pStyle w:val="ListParagraph"/>
        <w:rPr>
          <w:sz w:val="22"/>
          <w:szCs w:val="22"/>
        </w:rPr>
      </w:pPr>
    </w:p>
    <w:sectPr w:rsidR="008175C1" w:rsidSect="005563A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73" w:rsidRDefault="00A16273" w:rsidP="009C60A2">
      <w:r>
        <w:separator/>
      </w:r>
    </w:p>
  </w:endnote>
  <w:endnote w:type="continuationSeparator" w:id="0">
    <w:p w:rsidR="00A16273" w:rsidRDefault="00A16273" w:rsidP="009C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7282"/>
      <w:docPartObj>
        <w:docPartGallery w:val="Page Numbers (Bottom of Page)"/>
        <w:docPartUnique/>
      </w:docPartObj>
    </w:sdtPr>
    <w:sdtEndPr/>
    <w:sdtContent>
      <w:p w:rsidR="00F107DE" w:rsidRDefault="00C310C6">
        <w:pPr>
          <w:pStyle w:val="Footer"/>
          <w:jc w:val="right"/>
        </w:pPr>
        <w:r>
          <w:fldChar w:fldCharType="begin"/>
        </w:r>
        <w:r>
          <w:instrText xml:space="preserve"> PAGE   \* MERGEFORMAT </w:instrText>
        </w:r>
        <w:r>
          <w:fldChar w:fldCharType="separate"/>
        </w:r>
        <w:r w:rsidR="0070401C">
          <w:rPr>
            <w:noProof/>
          </w:rPr>
          <w:t>1</w:t>
        </w:r>
        <w:r>
          <w:rPr>
            <w:noProof/>
          </w:rPr>
          <w:fldChar w:fldCharType="end"/>
        </w:r>
      </w:p>
    </w:sdtContent>
  </w:sdt>
  <w:p w:rsidR="00192945" w:rsidRDefault="00192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73" w:rsidRDefault="00A16273" w:rsidP="009C60A2">
      <w:r>
        <w:separator/>
      </w:r>
    </w:p>
  </w:footnote>
  <w:footnote w:type="continuationSeparator" w:id="0">
    <w:p w:rsidR="00A16273" w:rsidRDefault="00A16273" w:rsidP="009C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5E71744"/>
    <w:multiLevelType w:val="hybridMultilevel"/>
    <w:tmpl w:val="5142BC12"/>
    <w:lvl w:ilvl="0" w:tplc="98B4BBC6">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1C6B04"/>
    <w:multiLevelType w:val="hybridMultilevel"/>
    <w:tmpl w:val="059EBD8A"/>
    <w:lvl w:ilvl="0" w:tplc="A35219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5644DB"/>
    <w:multiLevelType w:val="hybridMultilevel"/>
    <w:tmpl w:val="2578B1CA"/>
    <w:lvl w:ilvl="0" w:tplc="14F45562">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1E3EE8"/>
    <w:multiLevelType w:val="hybridMultilevel"/>
    <w:tmpl w:val="69E010A8"/>
    <w:lvl w:ilvl="0" w:tplc="DB2A98C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0402281"/>
    <w:multiLevelType w:val="hybridMultilevel"/>
    <w:tmpl w:val="36E0B258"/>
    <w:lvl w:ilvl="0" w:tplc="86B0A9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77492"/>
    <w:multiLevelType w:val="hybridMultilevel"/>
    <w:tmpl w:val="0EC048F8"/>
    <w:lvl w:ilvl="0" w:tplc="5BEC0250">
      <w:start w:val="30"/>
      <w:numFmt w:val="decimal"/>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1579"/>
    <w:multiLevelType w:val="hybridMultilevel"/>
    <w:tmpl w:val="786A1B26"/>
    <w:lvl w:ilvl="0" w:tplc="2B0E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B03CA"/>
    <w:multiLevelType w:val="hybridMultilevel"/>
    <w:tmpl w:val="04E8B18E"/>
    <w:lvl w:ilvl="0" w:tplc="FBE88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1F1AD5"/>
    <w:multiLevelType w:val="hybridMultilevel"/>
    <w:tmpl w:val="C5642EC2"/>
    <w:lvl w:ilvl="0" w:tplc="A6163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04C37"/>
    <w:multiLevelType w:val="hybridMultilevel"/>
    <w:tmpl w:val="059A4A3C"/>
    <w:lvl w:ilvl="0" w:tplc="D0C836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86DC1"/>
    <w:multiLevelType w:val="hybridMultilevel"/>
    <w:tmpl w:val="A044B9DA"/>
    <w:lvl w:ilvl="0" w:tplc="1910F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D854A1"/>
    <w:multiLevelType w:val="hybridMultilevel"/>
    <w:tmpl w:val="6AB892CE"/>
    <w:lvl w:ilvl="0" w:tplc="09427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A436FD"/>
    <w:multiLevelType w:val="hybridMultilevel"/>
    <w:tmpl w:val="E33AEA68"/>
    <w:lvl w:ilvl="0" w:tplc="0B4CD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8C1676"/>
    <w:multiLevelType w:val="hybridMultilevel"/>
    <w:tmpl w:val="4AF4E082"/>
    <w:lvl w:ilvl="0" w:tplc="183CFD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D915E3"/>
    <w:multiLevelType w:val="hybridMultilevel"/>
    <w:tmpl w:val="5A3C4026"/>
    <w:lvl w:ilvl="0" w:tplc="C330AB98">
      <w:start w:val="2"/>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A3B3901"/>
    <w:multiLevelType w:val="hybridMultilevel"/>
    <w:tmpl w:val="BD70FDA8"/>
    <w:lvl w:ilvl="0" w:tplc="BE682F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976F8A"/>
    <w:multiLevelType w:val="hybridMultilevel"/>
    <w:tmpl w:val="6E68F970"/>
    <w:lvl w:ilvl="0" w:tplc="2BA018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F26CB2"/>
    <w:multiLevelType w:val="hybridMultilevel"/>
    <w:tmpl w:val="A37A22E6"/>
    <w:lvl w:ilvl="0" w:tplc="98B4A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327123"/>
    <w:multiLevelType w:val="hybridMultilevel"/>
    <w:tmpl w:val="19B497B2"/>
    <w:lvl w:ilvl="0" w:tplc="D4045E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BF35F5A"/>
    <w:multiLevelType w:val="hybridMultilevel"/>
    <w:tmpl w:val="3168DD7C"/>
    <w:lvl w:ilvl="0" w:tplc="46B4E7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D8209B"/>
    <w:multiLevelType w:val="hybridMultilevel"/>
    <w:tmpl w:val="56C06B74"/>
    <w:lvl w:ilvl="0" w:tplc="199A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36637"/>
    <w:multiLevelType w:val="hybridMultilevel"/>
    <w:tmpl w:val="80108E9C"/>
    <w:lvl w:ilvl="0" w:tplc="EF7642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A8541E"/>
    <w:multiLevelType w:val="hybridMultilevel"/>
    <w:tmpl w:val="D54AF76C"/>
    <w:lvl w:ilvl="0" w:tplc="1F02D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E3D46"/>
    <w:multiLevelType w:val="hybridMultilevel"/>
    <w:tmpl w:val="A84E3D6A"/>
    <w:lvl w:ilvl="0" w:tplc="22EE5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8316A2"/>
    <w:multiLevelType w:val="multilevel"/>
    <w:tmpl w:val="00F6476C"/>
    <w:lvl w:ilvl="0">
      <w:start w:val="51"/>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EA1691"/>
    <w:multiLevelType w:val="hybridMultilevel"/>
    <w:tmpl w:val="5156C904"/>
    <w:lvl w:ilvl="0" w:tplc="B1A450B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66E67E6"/>
    <w:multiLevelType w:val="hybridMultilevel"/>
    <w:tmpl w:val="5E1AA4C6"/>
    <w:lvl w:ilvl="0" w:tplc="8D101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D94D55"/>
    <w:multiLevelType w:val="hybridMultilevel"/>
    <w:tmpl w:val="786A1B26"/>
    <w:lvl w:ilvl="0" w:tplc="2B0E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2742E"/>
    <w:multiLevelType w:val="multilevel"/>
    <w:tmpl w:val="B28C51E6"/>
    <w:lvl w:ilvl="0">
      <w:start w:val="51"/>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8620DA"/>
    <w:multiLevelType w:val="hybridMultilevel"/>
    <w:tmpl w:val="CB947DBC"/>
    <w:lvl w:ilvl="0" w:tplc="029C6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29626A"/>
    <w:multiLevelType w:val="hybridMultilevel"/>
    <w:tmpl w:val="26446292"/>
    <w:lvl w:ilvl="0" w:tplc="47AE4CFA">
      <w:start w:val="1"/>
      <w:numFmt w:val="decimal"/>
      <w:lvlText w:val="(%1)"/>
      <w:lvlJc w:val="left"/>
      <w:pPr>
        <w:ind w:left="720" w:hanging="360"/>
      </w:pPr>
      <w:rPr>
        <w:rFonts w:hint="default"/>
      </w:rPr>
    </w:lvl>
    <w:lvl w:ilvl="1" w:tplc="F0A20F88">
      <w:start w:val="1"/>
      <w:numFmt w:val="lowerLetter"/>
      <w:lvlText w:val="(%2)"/>
      <w:lvlJc w:val="left"/>
      <w:pPr>
        <w:ind w:left="1440" w:hanging="360"/>
      </w:pPr>
      <w:rPr>
        <w:rFonts w:ascii="Times New Roman" w:eastAsia="Times New Roman" w:hAnsi="Times New Roman" w:cs="Times New Roman"/>
      </w:rPr>
    </w:lvl>
    <w:lvl w:ilvl="2" w:tplc="FB1E7910">
      <w:start w:val="1"/>
      <w:numFmt w:val="lowerRoman"/>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3913C0"/>
    <w:multiLevelType w:val="hybridMultilevel"/>
    <w:tmpl w:val="0EA2CADC"/>
    <w:lvl w:ilvl="0" w:tplc="1B6C7D0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D946AC"/>
    <w:multiLevelType w:val="hybridMultilevel"/>
    <w:tmpl w:val="8A347290"/>
    <w:lvl w:ilvl="0" w:tplc="0F1027D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F314503"/>
    <w:multiLevelType w:val="hybridMultilevel"/>
    <w:tmpl w:val="0C2EC6E6"/>
    <w:lvl w:ilvl="0" w:tplc="90185B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10"/>
  </w:num>
  <w:num w:numId="4">
    <w:abstractNumId w:val="16"/>
  </w:num>
  <w:num w:numId="5">
    <w:abstractNumId w:val="20"/>
  </w:num>
  <w:num w:numId="6">
    <w:abstractNumId w:val="34"/>
  </w:num>
  <w:num w:numId="7">
    <w:abstractNumId w:val="25"/>
  </w:num>
  <w:num w:numId="8">
    <w:abstractNumId w:val="23"/>
  </w:num>
  <w:num w:numId="9">
    <w:abstractNumId w:val="11"/>
  </w:num>
  <w:num w:numId="10">
    <w:abstractNumId w:val="9"/>
  </w:num>
  <w:num w:numId="11">
    <w:abstractNumId w:val="5"/>
  </w:num>
  <w:num w:numId="12">
    <w:abstractNumId w:val="24"/>
  </w:num>
  <w:num w:numId="13">
    <w:abstractNumId w:val="18"/>
  </w:num>
  <w:num w:numId="14">
    <w:abstractNumId w:val="27"/>
  </w:num>
  <w:num w:numId="15">
    <w:abstractNumId w:val="29"/>
  </w:num>
  <w:num w:numId="16">
    <w:abstractNumId w:val="8"/>
  </w:num>
  <w:num w:numId="17">
    <w:abstractNumId w:val="30"/>
  </w:num>
  <w:num w:numId="18">
    <w:abstractNumId w:val="17"/>
  </w:num>
  <w:num w:numId="19">
    <w:abstractNumId w:val="14"/>
  </w:num>
  <w:num w:numId="20">
    <w:abstractNumId w:val="12"/>
  </w:num>
  <w:num w:numId="21">
    <w:abstractNumId w:val="26"/>
  </w:num>
  <w:num w:numId="22">
    <w:abstractNumId w:val="4"/>
  </w:num>
  <w:num w:numId="23">
    <w:abstractNumId w:val="19"/>
  </w:num>
  <w:num w:numId="24">
    <w:abstractNumId w:val="22"/>
  </w:num>
  <w:num w:numId="25">
    <w:abstractNumId w:val="33"/>
  </w:num>
  <w:num w:numId="26">
    <w:abstractNumId w:val="3"/>
  </w:num>
  <w:num w:numId="27">
    <w:abstractNumId w:val="13"/>
  </w:num>
  <w:num w:numId="28">
    <w:abstractNumId w:val="2"/>
  </w:num>
  <w:num w:numId="29">
    <w:abstractNumId w:val="7"/>
  </w:num>
  <w:num w:numId="30">
    <w:abstractNumId w:val="6"/>
  </w:num>
  <w:num w:numId="31">
    <w:abstractNumId w:val="21"/>
  </w:num>
  <w:num w:numId="3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06"/>
    <w:rsid w:val="0001155C"/>
    <w:rsid w:val="00012F4D"/>
    <w:rsid w:val="00013B32"/>
    <w:rsid w:val="00013D6D"/>
    <w:rsid w:val="000213EC"/>
    <w:rsid w:val="00022FC5"/>
    <w:rsid w:val="0002483A"/>
    <w:rsid w:val="00024BB0"/>
    <w:rsid w:val="000345D9"/>
    <w:rsid w:val="00034B08"/>
    <w:rsid w:val="00035645"/>
    <w:rsid w:val="0003570E"/>
    <w:rsid w:val="00037570"/>
    <w:rsid w:val="00040BFD"/>
    <w:rsid w:val="00043259"/>
    <w:rsid w:val="00046662"/>
    <w:rsid w:val="00055415"/>
    <w:rsid w:val="00055DBE"/>
    <w:rsid w:val="00094898"/>
    <w:rsid w:val="0009566D"/>
    <w:rsid w:val="000A6A41"/>
    <w:rsid w:val="000B0D90"/>
    <w:rsid w:val="000B2C61"/>
    <w:rsid w:val="000B2E2E"/>
    <w:rsid w:val="000F214D"/>
    <w:rsid w:val="000F61EA"/>
    <w:rsid w:val="0010691E"/>
    <w:rsid w:val="00113ED3"/>
    <w:rsid w:val="00122507"/>
    <w:rsid w:val="00123836"/>
    <w:rsid w:val="00123A09"/>
    <w:rsid w:val="00134270"/>
    <w:rsid w:val="0015437B"/>
    <w:rsid w:val="0017662C"/>
    <w:rsid w:val="00177EA7"/>
    <w:rsid w:val="001847E7"/>
    <w:rsid w:val="00192628"/>
    <w:rsid w:val="00192945"/>
    <w:rsid w:val="001A599D"/>
    <w:rsid w:val="001A6D24"/>
    <w:rsid w:val="001B1A0A"/>
    <w:rsid w:val="001B42C7"/>
    <w:rsid w:val="001B731A"/>
    <w:rsid w:val="001C2A98"/>
    <w:rsid w:val="001C5925"/>
    <w:rsid w:val="001D6AF5"/>
    <w:rsid w:val="001E5DFF"/>
    <w:rsid w:val="001F0EB4"/>
    <w:rsid w:val="001F70D4"/>
    <w:rsid w:val="0020084D"/>
    <w:rsid w:val="002158C9"/>
    <w:rsid w:val="0022135C"/>
    <w:rsid w:val="00227681"/>
    <w:rsid w:val="00247BC6"/>
    <w:rsid w:val="00250FE6"/>
    <w:rsid w:val="002550C5"/>
    <w:rsid w:val="002607D5"/>
    <w:rsid w:val="00262140"/>
    <w:rsid w:val="00290420"/>
    <w:rsid w:val="002970E4"/>
    <w:rsid w:val="002A50F7"/>
    <w:rsid w:val="002B5FE4"/>
    <w:rsid w:val="002C4ABF"/>
    <w:rsid w:val="002C6DB8"/>
    <w:rsid w:val="002D4740"/>
    <w:rsid w:val="002E08B9"/>
    <w:rsid w:val="0031046A"/>
    <w:rsid w:val="00312C99"/>
    <w:rsid w:val="0031538F"/>
    <w:rsid w:val="00315802"/>
    <w:rsid w:val="00327166"/>
    <w:rsid w:val="0035528F"/>
    <w:rsid w:val="00356096"/>
    <w:rsid w:val="00357E0C"/>
    <w:rsid w:val="00361A41"/>
    <w:rsid w:val="00373838"/>
    <w:rsid w:val="003772D8"/>
    <w:rsid w:val="0037768B"/>
    <w:rsid w:val="00380A10"/>
    <w:rsid w:val="00383D6A"/>
    <w:rsid w:val="00387475"/>
    <w:rsid w:val="003947B9"/>
    <w:rsid w:val="00397E86"/>
    <w:rsid w:val="003A08D4"/>
    <w:rsid w:val="003A6B7E"/>
    <w:rsid w:val="003B112D"/>
    <w:rsid w:val="003C3A6A"/>
    <w:rsid w:val="003C4809"/>
    <w:rsid w:val="003C7A4F"/>
    <w:rsid w:val="003D2294"/>
    <w:rsid w:val="003E61BB"/>
    <w:rsid w:val="003F1F01"/>
    <w:rsid w:val="003F6136"/>
    <w:rsid w:val="003F7E44"/>
    <w:rsid w:val="0040050C"/>
    <w:rsid w:val="00402520"/>
    <w:rsid w:val="004138A2"/>
    <w:rsid w:val="004146E7"/>
    <w:rsid w:val="00421361"/>
    <w:rsid w:val="004313AD"/>
    <w:rsid w:val="004338A0"/>
    <w:rsid w:val="004461E0"/>
    <w:rsid w:val="004476CE"/>
    <w:rsid w:val="00454245"/>
    <w:rsid w:val="0047156C"/>
    <w:rsid w:val="00477515"/>
    <w:rsid w:val="00480665"/>
    <w:rsid w:val="00481541"/>
    <w:rsid w:val="004919EA"/>
    <w:rsid w:val="00494C73"/>
    <w:rsid w:val="00497554"/>
    <w:rsid w:val="004A3116"/>
    <w:rsid w:val="004C35E4"/>
    <w:rsid w:val="004D460A"/>
    <w:rsid w:val="004E14F1"/>
    <w:rsid w:val="004E16C0"/>
    <w:rsid w:val="004E681D"/>
    <w:rsid w:val="004F4F05"/>
    <w:rsid w:val="00511C75"/>
    <w:rsid w:val="00516E44"/>
    <w:rsid w:val="00524737"/>
    <w:rsid w:val="00534159"/>
    <w:rsid w:val="00542743"/>
    <w:rsid w:val="00553C55"/>
    <w:rsid w:val="005563A1"/>
    <w:rsid w:val="00564E31"/>
    <w:rsid w:val="00573E3A"/>
    <w:rsid w:val="00580776"/>
    <w:rsid w:val="00593B15"/>
    <w:rsid w:val="0059608A"/>
    <w:rsid w:val="00596CE2"/>
    <w:rsid w:val="005A070D"/>
    <w:rsid w:val="005A0D71"/>
    <w:rsid w:val="005B5B66"/>
    <w:rsid w:val="005C4E9B"/>
    <w:rsid w:val="005C5594"/>
    <w:rsid w:val="005C5E23"/>
    <w:rsid w:val="005D0B66"/>
    <w:rsid w:val="005D71C8"/>
    <w:rsid w:val="00605E4F"/>
    <w:rsid w:val="00606540"/>
    <w:rsid w:val="0060751C"/>
    <w:rsid w:val="00612AB1"/>
    <w:rsid w:val="00622F66"/>
    <w:rsid w:val="00624067"/>
    <w:rsid w:val="006315A0"/>
    <w:rsid w:val="00640D0C"/>
    <w:rsid w:val="006420CD"/>
    <w:rsid w:val="00643326"/>
    <w:rsid w:val="006457A8"/>
    <w:rsid w:val="00651377"/>
    <w:rsid w:val="0066794F"/>
    <w:rsid w:val="0067505F"/>
    <w:rsid w:val="0067650D"/>
    <w:rsid w:val="00693EB7"/>
    <w:rsid w:val="00694074"/>
    <w:rsid w:val="0069664D"/>
    <w:rsid w:val="00696AF0"/>
    <w:rsid w:val="00697894"/>
    <w:rsid w:val="006A06CC"/>
    <w:rsid w:val="006A1466"/>
    <w:rsid w:val="006A3AF7"/>
    <w:rsid w:val="006A77FD"/>
    <w:rsid w:val="006E3285"/>
    <w:rsid w:val="006F71A1"/>
    <w:rsid w:val="0070401C"/>
    <w:rsid w:val="007072D3"/>
    <w:rsid w:val="007106FF"/>
    <w:rsid w:val="007107F6"/>
    <w:rsid w:val="007204E8"/>
    <w:rsid w:val="007245F7"/>
    <w:rsid w:val="00726B86"/>
    <w:rsid w:val="0074288D"/>
    <w:rsid w:val="00746ED5"/>
    <w:rsid w:val="00754E01"/>
    <w:rsid w:val="00756532"/>
    <w:rsid w:val="00762737"/>
    <w:rsid w:val="00766524"/>
    <w:rsid w:val="00785CA6"/>
    <w:rsid w:val="00785F3D"/>
    <w:rsid w:val="0079464E"/>
    <w:rsid w:val="00796F0E"/>
    <w:rsid w:val="007B3CB3"/>
    <w:rsid w:val="007C0C25"/>
    <w:rsid w:val="007C6BA6"/>
    <w:rsid w:val="007D18A1"/>
    <w:rsid w:val="007D2D48"/>
    <w:rsid w:val="007D5866"/>
    <w:rsid w:val="007E56E6"/>
    <w:rsid w:val="007F56DD"/>
    <w:rsid w:val="00803006"/>
    <w:rsid w:val="00804753"/>
    <w:rsid w:val="008149B1"/>
    <w:rsid w:val="008175C1"/>
    <w:rsid w:val="008217E3"/>
    <w:rsid w:val="0082382A"/>
    <w:rsid w:val="00860906"/>
    <w:rsid w:val="0087739D"/>
    <w:rsid w:val="008827B8"/>
    <w:rsid w:val="00884DD9"/>
    <w:rsid w:val="008900DE"/>
    <w:rsid w:val="00890B3D"/>
    <w:rsid w:val="00890CE0"/>
    <w:rsid w:val="00891B3B"/>
    <w:rsid w:val="0089225E"/>
    <w:rsid w:val="008A552E"/>
    <w:rsid w:val="008B2382"/>
    <w:rsid w:val="008B3565"/>
    <w:rsid w:val="008B6DE0"/>
    <w:rsid w:val="008D1D67"/>
    <w:rsid w:val="008D31DE"/>
    <w:rsid w:val="008D3C74"/>
    <w:rsid w:val="008F480D"/>
    <w:rsid w:val="009249C4"/>
    <w:rsid w:val="009552A3"/>
    <w:rsid w:val="00957388"/>
    <w:rsid w:val="00962C38"/>
    <w:rsid w:val="00982F15"/>
    <w:rsid w:val="009903A6"/>
    <w:rsid w:val="009927DF"/>
    <w:rsid w:val="00995F9A"/>
    <w:rsid w:val="009B3D10"/>
    <w:rsid w:val="009C1198"/>
    <w:rsid w:val="009C2EBA"/>
    <w:rsid w:val="009C60A2"/>
    <w:rsid w:val="009D1C93"/>
    <w:rsid w:val="009D4212"/>
    <w:rsid w:val="009E7D58"/>
    <w:rsid w:val="009F4E16"/>
    <w:rsid w:val="009F5694"/>
    <w:rsid w:val="00A014E6"/>
    <w:rsid w:val="00A07320"/>
    <w:rsid w:val="00A15627"/>
    <w:rsid w:val="00A16273"/>
    <w:rsid w:val="00A64704"/>
    <w:rsid w:val="00AA630D"/>
    <w:rsid w:val="00AC07CC"/>
    <w:rsid w:val="00AC5C2F"/>
    <w:rsid w:val="00AD54A6"/>
    <w:rsid w:val="00AE368D"/>
    <w:rsid w:val="00AE5130"/>
    <w:rsid w:val="00AE592A"/>
    <w:rsid w:val="00AE7E7E"/>
    <w:rsid w:val="00AF425F"/>
    <w:rsid w:val="00B1761E"/>
    <w:rsid w:val="00B22584"/>
    <w:rsid w:val="00B2413C"/>
    <w:rsid w:val="00B34CE4"/>
    <w:rsid w:val="00B35D88"/>
    <w:rsid w:val="00B36073"/>
    <w:rsid w:val="00B374BD"/>
    <w:rsid w:val="00B41DD5"/>
    <w:rsid w:val="00B427AD"/>
    <w:rsid w:val="00B448FB"/>
    <w:rsid w:val="00B460BE"/>
    <w:rsid w:val="00B52660"/>
    <w:rsid w:val="00B6160A"/>
    <w:rsid w:val="00B75CE6"/>
    <w:rsid w:val="00B80F75"/>
    <w:rsid w:val="00B91CB0"/>
    <w:rsid w:val="00B92B5C"/>
    <w:rsid w:val="00B959DD"/>
    <w:rsid w:val="00BA0416"/>
    <w:rsid w:val="00BA184F"/>
    <w:rsid w:val="00BA2A62"/>
    <w:rsid w:val="00BC6422"/>
    <w:rsid w:val="00BD25FE"/>
    <w:rsid w:val="00BF4DFA"/>
    <w:rsid w:val="00C04AA9"/>
    <w:rsid w:val="00C05BF2"/>
    <w:rsid w:val="00C140AC"/>
    <w:rsid w:val="00C20A0D"/>
    <w:rsid w:val="00C310C6"/>
    <w:rsid w:val="00C6684F"/>
    <w:rsid w:val="00C706EF"/>
    <w:rsid w:val="00C7243A"/>
    <w:rsid w:val="00C77A6A"/>
    <w:rsid w:val="00C86DB2"/>
    <w:rsid w:val="00C90D0D"/>
    <w:rsid w:val="00C91E08"/>
    <w:rsid w:val="00CB05F8"/>
    <w:rsid w:val="00CB6684"/>
    <w:rsid w:val="00CC519D"/>
    <w:rsid w:val="00CD23EE"/>
    <w:rsid w:val="00CE661E"/>
    <w:rsid w:val="00CF0862"/>
    <w:rsid w:val="00D0539A"/>
    <w:rsid w:val="00D112EE"/>
    <w:rsid w:val="00D21F34"/>
    <w:rsid w:val="00D25848"/>
    <w:rsid w:val="00D33605"/>
    <w:rsid w:val="00D34FE9"/>
    <w:rsid w:val="00D45701"/>
    <w:rsid w:val="00D45840"/>
    <w:rsid w:val="00D47430"/>
    <w:rsid w:val="00D50036"/>
    <w:rsid w:val="00D50B5F"/>
    <w:rsid w:val="00D6326D"/>
    <w:rsid w:val="00D6587D"/>
    <w:rsid w:val="00D66480"/>
    <w:rsid w:val="00DA6AC1"/>
    <w:rsid w:val="00DB37B6"/>
    <w:rsid w:val="00DD78FD"/>
    <w:rsid w:val="00DF726C"/>
    <w:rsid w:val="00E02B1A"/>
    <w:rsid w:val="00E138CA"/>
    <w:rsid w:val="00E24FB3"/>
    <w:rsid w:val="00E30762"/>
    <w:rsid w:val="00E4085A"/>
    <w:rsid w:val="00E44308"/>
    <w:rsid w:val="00E45588"/>
    <w:rsid w:val="00E5177B"/>
    <w:rsid w:val="00E67DC8"/>
    <w:rsid w:val="00E77F3C"/>
    <w:rsid w:val="00E77F4F"/>
    <w:rsid w:val="00E845F9"/>
    <w:rsid w:val="00E917AE"/>
    <w:rsid w:val="00E94C21"/>
    <w:rsid w:val="00E96B6E"/>
    <w:rsid w:val="00EA2797"/>
    <w:rsid w:val="00EB7106"/>
    <w:rsid w:val="00EB794F"/>
    <w:rsid w:val="00EC13A2"/>
    <w:rsid w:val="00ED1EED"/>
    <w:rsid w:val="00ED3F36"/>
    <w:rsid w:val="00ED69B8"/>
    <w:rsid w:val="00EE526B"/>
    <w:rsid w:val="00F01F6A"/>
    <w:rsid w:val="00F107DE"/>
    <w:rsid w:val="00F1100D"/>
    <w:rsid w:val="00F14392"/>
    <w:rsid w:val="00F24C8E"/>
    <w:rsid w:val="00F269D9"/>
    <w:rsid w:val="00F301CB"/>
    <w:rsid w:val="00F317DE"/>
    <w:rsid w:val="00F33789"/>
    <w:rsid w:val="00F409A5"/>
    <w:rsid w:val="00F535D6"/>
    <w:rsid w:val="00F62AB9"/>
    <w:rsid w:val="00F72748"/>
    <w:rsid w:val="00F75D03"/>
    <w:rsid w:val="00F7613B"/>
    <w:rsid w:val="00F76B0B"/>
    <w:rsid w:val="00F85F89"/>
    <w:rsid w:val="00FA6CF9"/>
    <w:rsid w:val="00FC2C89"/>
    <w:rsid w:val="00FC3F87"/>
    <w:rsid w:val="00FD19F5"/>
    <w:rsid w:val="00FD1AED"/>
    <w:rsid w:val="00FF319E"/>
    <w:rsid w:val="00FF4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25F"/>
    <w:rPr>
      <w:sz w:val="24"/>
      <w:szCs w:val="24"/>
    </w:rPr>
  </w:style>
  <w:style w:type="paragraph" w:styleId="Heading1">
    <w:name w:val="heading 1"/>
    <w:basedOn w:val="Normal"/>
    <w:next w:val="Normal"/>
    <w:link w:val="Heading1Char"/>
    <w:qFormat/>
    <w:rsid w:val="000F214D"/>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06"/>
    <w:pPr>
      <w:ind w:left="720"/>
      <w:contextualSpacing/>
    </w:pPr>
  </w:style>
  <w:style w:type="paragraph" w:styleId="Header">
    <w:name w:val="header"/>
    <w:basedOn w:val="Normal"/>
    <w:link w:val="HeaderChar"/>
    <w:uiPriority w:val="99"/>
    <w:rsid w:val="009C60A2"/>
    <w:pPr>
      <w:tabs>
        <w:tab w:val="center" w:pos="4680"/>
        <w:tab w:val="right" w:pos="9360"/>
      </w:tabs>
    </w:pPr>
  </w:style>
  <w:style w:type="character" w:customStyle="1" w:styleId="HeaderChar">
    <w:name w:val="Header Char"/>
    <w:basedOn w:val="DefaultParagraphFont"/>
    <w:link w:val="Header"/>
    <w:uiPriority w:val="99"/>
    <w:rsid w:val="009C60A2"/>
    <w:rPr>
      <w:sz w:val="24"/>
      <w:szCs w:val="24"/>
    </w:rPr>
  </w:style>
  <w:style w:type="paragraph" w:styleId="Footer">
    <w:name w:val="footer"/>
    <w:basedOn w:val="Normal"/>
    <w:link w:val="FooterChar"/>
    <w:uiPriority w:val="99"/>
    <w:rsid w:val="009C60A2"/>
    <w:pPr>
      <w:tabs>
        <w:tab w:val="center" w:pos="4680"/>
        <w:tab w:val="right" w:pos="9360"/>
      </w:tabs>
    </w:pPr>
  </w:style>
  <w:style w:type="character" w:customStyle="1" w:styleId="FooterChar">
    <w:name w:val="Footer Char"/>
    <w:basedOn w:val="DefaultParagraphFont"/>
    <w:link w:val="Footer"/>
    <w:uiPriority w:val="99"/>
    <w:rsid w:val="009C60A2"/>
    <w:rPr>
      <w:sz w:val="24"/>
      <w:szCs w:val="24"/>
    </w:rPr>
  </w:style>
  <w:style w:type="paragraph" w:styleId="BalloonText">
    <w:name w:val="Balloon Text"/>
    <w:basedOn w:val="Normal"/>
    <w:link w:val="BalloonTextChar"/>
    <w:rsid w:val="009C60A2"/>
    <w:rPr>
      <w:rFonts w:ascii="Tahoma" w:hAnsi="Tahoma" w:cs="Tahoma"/>
      <w:sz w:val="16"/>
      <w:szCs w:val="16"/>
    </w:rPr>
  </w:style>
  <w:style w:type="character" w:customStyle="1" w:styleId="BalloonTextChar">
    <w:name w:val="Balloon Text Char"/>
    <w:basedOn w:val="DefaultParagraphFont"/>
    <w:link w:val="BalloonText"/>
    <w:rsid w:val="009C60A2"/>
    <w:rPr>
      <w:rFonts w:ascii="Tahoma" w:hAnsi="Tahoma" w:cs="Tahoma"/>
      <w:sz w:val="16"/>
      <w:szCs w:val="16"/>
    </w:rPr>
  </w:style>
  <w:style w:type="paragraph" w:styleId="NormalWeb">
    <w:name w:val="Normal (Web)"/>
    <w:basedOn w:val="Normal"/>
    <w:uiPriority w:val="99"/>
    <w:unhideWhenUsed/>
    <w:rsid w:val="009552A3"/>
    <w:pPr>
      <w:spacing w:before="100" w:beforeAutospacing="1" w:after="100" w:afterAutospacing="1"/>
    </w:pPr>
  </w:style>
  <w:style w:type="character" w:customStyle="1" w:styleId="apple-converted-space">
    <w:name w:val="apple-converted-space"/>
    <w:basedOn w:val="DefaultParagraphFont"/>
    <w:rsid w:val="009552A3"/>
  </w:style>
  <w:style w:type="character" w:customStyle="1" w:styleId="Heading1Char">
    <w:name w:val="Heading 1 Char"/>
    <w:basedOn w:val="DefaultParagraphFont"/>
    <w:link w:val="Heading1"/>
    <w:rsid w:val="000F214D"/>
    <w:rPr>
      <w:sz w:val="24"/>
      <w:szCs w:val="24"/>
    </w:rPr>
  </w:style>
  <w:style w:type="paragraph" w:styleId="TOC1">
    <w:name w:val="toc 1"/>
    <w:basedOn w:val="Normal"/>
    <w:next w:val="Normal"/>
    <w:autoRedefine/>
    <w:uiPriority w:val="39"/>
    <w:rsid w:val="00454245"/>
    <w:pPr>
      <w:tabs>
        <w:tab w:val="left" w:pos="880"/>
        <w:tab w:val="right" w:leader="dot" w:pos="9350"/>
      </w:tabs>
      <w:spacing w:after="100"/>
      <w:jc w:val="center"/>
    </w:pPr>
  </w:style>
  <w:style w:type="character" w:styleId="Hyperlink">
    <w:name w:val="Hyperlink"/>
    <w:basedOn w:val="DefaultParagraphFont"/>
    <w:uiPriority w:val="99"/>
    <w:unhideWhenUsed/>
    <w:rsid w:val="00B92B5C"/>
    <w:rPr>
      <w:color w:val="0000FF"/>
      <w:u w:val="single"/>
    </w:rPr>
  </w:style>
  <w:style w:type="paragraph" w:styleId="FootnoteText">
    <w:name w:val="footnote text"/>
    <w:basedOn w:val="Normal"/>
    <w:link w:val="FootnoteTextChar"/>
    <w:rsid w:val="00ED3F36"/>
    <w:rPr>
      <w:sz w:val="20"/>
      <w:szCs w:val="20"/>
    </w:rPr>
  </w:style>
  <w:style w:type="character" w:customStyle="1" w:styleId="FootnoteTextChar">
    <w:name w:val="Footnote Text Char"/>
    <w:basedOn w:val="DefaultParagraphFont"/>
    <w:link w:val="FootnoteText"/>
    <w:rsid w:val="00ED3F36"/>
  </w:style>
  <w:style w:type="character" w:styleId="FootnoteReference">
    <w:name w:val="footnote reference"/>
    <w:basedOn w:val="DefaultParagraphFont"/>
    <w:rsid w:val="00ED3F36"/>
    <w:rPr>
      <w:vertAlign w:val="superscript"/>
    </w:rPr>
  </w:style>
  <w:style w:type="paragraph" w:styleId="EndnoteText">
    <w:name w:val="endnote text"/>
    <w:basedOn w:val="Normal"/>
    <w:link w:val="EndnoteTextChar"/>
    <w:rsid w:val="003A6B7E"/>
    <w:rPr>
      <w:sz w:val="20"/>
      <w:szCs w:val="20"/>
    </w:rPr>
  </w:style>
  <w:style w:type="character" w:customStyle="1" w:styleId="EndnoteTextChar">
    <w:name w:val="Endnote Text Char"/>
    <w:basedOn w:val="DefaultParagraphFont"/>
    <w:link w:val="EndnoteText"/>
    <w:rsid w:val="003A6B7E"/>
  </w:style>
  <w:style w:type="character" w:styleId="EndnoteReference">
    <w:name w:val="endnote reference"/>
    <w:basedOn w:val="DefaultParagraphFont"/>
    <w:rsid w:val="003A6B7E"/>
    <w:rPr>
      <w:vertAlign w:val="superscript"/>
    </w:rPr>
  </w:style>
  <w:style w:type="character" w:styleId="CommentReference">
    <w:name w:val="annotation reference"/>
    <w:basedOn w:val="DefaultParagraphFont"/>
    <w:rsid w:val="00024BB0"/>
    <w:rPr>
      <w:sz w:val="16"/>
      <w:szCs w:val="16"/>
    </w:rPr>
  </w:style>
  <w:style w:type="paragraph" w:styleId="CommentText">
    <w:name w:val="annotation text"/>
    <w:basedOn w:val="Normal"/>
    <w:link w:val="CommentTextChar"/>
    <w:rsid w:val="00024BB0"/>
    <w:rPr>
      <w:sz w:val="20"/>
      <w:szCs w:val="20"/>
    </w:rPr>
  </w:style>
  <w:style w:type="character" w:customStyle="1" w:styleId="CommentTextChar">
    <w:name w:val="Comment Text Char"/>
    <w:basedOn w:val="DefaultParagraphFont"/>
    <w:link w:val="CommentText"/>
    <w:rsid w:val="00024BB0"/>
  </w:style>
  <w:style w:type="paragraph" w:styleId="CommentSubject">
    <w:name w:val="annotation subject"/>
    <w:basedOn w:val="CommentText"/>
    <w:next w:val="CommentText"/>
    <w:link w:val="CommentSubjectChar"/>
    <w:rsid w:val="00024BB0"/>
    <w:rPr>
      <w:b/>
      <w:bCs/>
    </w:rPr>
  </w:style>
  <w:style w:type="character" w:customStyle="1" w:styleId="CommentSubjectChar">
    <w:name w:val="Comment Subject Char"/>
    <w:basedOn w:val="CommentTextChar"/>
    <w:link w:val="CommentSubject"/>
    <w:rsid w:val="00024BB0"/>
    <w:rPr>
      <w:b/>
      <w:bCs/>
    </w:rPr>
  </w:style>
  <w:style w:type="character" w:customStyle="1" w:styleId="ptext-18">
    <w:name w:val="ptext-18"/>
    <w:basedOn w:val="DefaultParagraphFont"/>
    <w:rsid w:val="00E138CA"/>
  </w:style>
  <w:style w:type="character" w:styleId="Emphasis">
    <w:name w:val="Emphasis"/>
    <w:basedOn w:val="DefaultParagraphFont"/>
    <w:uiPriority w:val="20"/>
    <w:qFormat/>
    <w:rsid w:val="00E138CA"/>
    <w:rPr>
      <w:i/>
      <w:iCs/>
    </w:rPr>
  </w:style>
  <w:style w:type="paragraph" w:styleId="PlainText">
    <w:name w:val="Plain Text"/>
    <w:basedOn w:val="Normal"/>
    <w:link w:val="PlainTextChar"/>
    <w:uiPriority w:val="99"/>
    <w:unhideWhenUsed/>
    <w:rsid w:val="003F7E4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F7E44"/>
    <w:rPr>
      <w:rFonts w:ascii="Consolas" w:eastAsiaTheme="minorHAnsi" w:hAnsi="Consolas" w:cs="Consolas"/>
      <w:sz w:val="21"/>
      <w:szCs w:val="21"/>
    </w:rPr>
  </w:style>
  <w:style w:type="paragraph" w:styleId="Revision">
    <w:name w:val="Revision"/>
    <w:hidden/>
    <w:uiPriority w:val="99"/>
    <w:semiHidden/>
    <w:rsid w:val="00034B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25F"/>
    <w:rPr>
      <w:sz w:val="24"/>
      <w:szCs w:val="24"/>
    </w:rPr>
  </w:style>
  <w:style w:type="paragraph" w:styleId="Heading1">
    <w:name w:val="heading 1"/>
    <w:basedOn w:val="Normal"/>
    <w:next w:val="Normal"/>
    <w:link w:val="Heading1Char"/>
    <w:qFormat/>
    <w:rsid w:val="000F214D"/>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06"/>
    <w:pPr>
      <w:ind w:left="720"/>
      <w:contextualSpacing/>
    </w:pPr>
  </w:style>
  <w:style w:type="paragraph" w:styleId="Header">
    <w:name w:val="header"/>
    <w:basedOn w:val="Normal"/>
    <w:link w:val="HeaderChar"/>
    <w:uiPriority w:val="99"/>
    <w:rsid w:val="009C60A2"/>
    <w:pPr>
      <w:tabs>
        <w:tab w:val="center" w:pos="4680"/>
        <w:tab w:val="right" w:pos="9360"/>
      </w:tabs>
    </w:pPr>
  </w:style>
  <w:style w:type="character" w:customStyle="1" w:styleId="HeaderChar">
    <w:name w:val="Header Char"/>
    <w:basedOn w:val="DefaultParagraphFont"/>
    <w:link w:val="Header"/>
    <w:uiPriority w:val="99"/>
    <w:rsid w:val="009C60A2"/>
    <w:rPr>
      <w:sz w:val="24"/>
      <w:szCs w:val="24"/>
    </w:rPr>
  </w:style>
  <w:style w:type="paragraph" w:styleId="Footer">
    <w:name w:val="footer"/>
    <w:basedOn w:val="Normal"/>
    <w:link w:val="FooterChar"/>
    <w:uiPriority w:val="99"/>
    <w:rsid w:val="009C60A2"/>
    <w:pPr>
      <w:tabs>
        <w:tab w:val="center" w:pos="4680"/>
        <w:tab w:val="right" w:pos="9360"/>
      </w:tabs>
    </w:pPr>
  </w:style>
  <w:style w:type="character" w:customStyle="1" w:styleId="FooterChar">
    <w:name w:val="Footer Char"/>
    <w:basedOn w:val="DefaultParagraphFont"/>
    <w:link w:val="Footer"/>
    <w:uiPriority w:val="99"/>
    <w:rsid w:val="009C60A2"/>
    <w:rPr>
      <w:sz w:val="24"/>
      <w:szCs w:val="24"/>
    </w:rPr>
  </w:style>
  <w:style w:type="paragraph" w:styleId="BalloonText">
    <w:name w:val="Balloon Text"/>
    <w:basedOn w:val="Normal"/>
    <w:link w:val="BalloonTextChar"/>
    <w:rsid w:val="009C60A2"/>
    <w:rPr>
      <w:rFonts w:ascii="Tahoma" w:hAnsi="Tahoma" w:cs="Tahoma"/>
      <w:sz w:val="16"/>
      <w:szCs w:val="16"/>
    </w:rPr>
  </w:style>
  <w:style w:type="character" w:customStyle="1" w:styleId="BalloonTextChar">
    <w:name w:val="Balloon Text Char"/>
    <w:basedOn w:val="DefaultParagraphFont"/>
    <w:link w:val="BalloonText"/>
    <w:rsid w:val="009C60A2"/>
    <w:rPr>
      <w:rFonts w:ascii="Tahoma" w:hAnsi="Tahoma" w:cs="Tahoma"/>
      <w:sz w:val="16"/>
      <w:szCs w:val="16"/>
    </w:rPr>
  </w:style>
  <w:style w:type="paragraph" w:styleId="NormalWeb">
    <w:name w:val="Normal (Web)"/>
    <w:basedOn w:val="Normal"/>
    <w:uiPriority w:val="99"/>
    <w:unhideWhenUsed/>
    <w:rsid w:val="009552A3"/>
    <w:pPr>
      <w:spacing w:before="100" w:beforeAutospacing="1" w:after="100" w:afterAutospacing="1"/>
    </w:pPr>
  </w:style>
  <w:style w:type="character" w:customStyle="1" w:styleId="apple-converted-space">
    <w:name w:val="apple-converted-space"/>
    <w:basedOn w:val="DefaultParagraphFont"/>
    <w:rsid w:val="009552A3"/>
  </w:style>
  <w:style w:type="character" w:customStyle="1" w:styleId="Heading1Char">
    <w:name w:val="Heading 1 Char"/>
    <w:basedOn w:val="DefaultParagraphFont"/>
    <w:link w:val="Heading1"/>
    <w:rsid w:val="000F214D"/>
    <w:rPr>
      <w:sz w:val="24"/>
      <w:szCs w:val="24"/>
    </w:rPr>
  </w:style>
  <w:style w:type="paragraph" w:styleId="TOC1">
    <w:name w:val="toc 1"/>
    <w:basedOn w:val="Normal"/>
    <w:next w:val="Normal"/>
    <w:autoRedefine/>
    <w:uiPriority w:val="39"/>
    <w:rsid w:val="00454245"/>
    <w:pPr>
      <w:tabs>
        <w:tab w:val="left" w:pos="880"/>
        <w:tab w:val="right" w:leader="dot" w:pos="9350"/>
      </w:tabs>
      <w:spacing w:after="100"/>
      <w:jc w:val="center"/>
    </w:pPr>
  </w:style>
  <w:style w:type="character" w:styleId="Hyperlink">
    <w:name w:val="Hyperlink"/>
    <w:basedOn w:val="DefaultParagraphFont"/>
    <w:uiPriority w:val="99"/>
    <w:unhideWhenUsed/>
    <w:rsid w:val="00B92B5C"/>
    <w:rPr>
      <w:color w:val="0000FF"/>
      <w:u w:val="single"/>
    </w:rPr>
  </w:style>
  <w:style w:type="paragraph" w:styleId="FootnoteText">
    <w:name w:val="footnote text"/>
    <w:basedOn w:val="Normal"/>
    <w:link w:val="FootnoteTextChar"/>
    <w:rsid w:val="00ED3F36"/>
    <w:rPr>
      <w:sz w:val="20"/>
      <w:szCs w:val="20"/>
    </w:rPr>
  </w:style>
  <w:style w:type="character" w:customStyle="1" w:styleId="FootnoteTextChar">
    <w:name w:val="Footnote Text Char"/>
    <w:basedOn w:val="DefaultParagraphFont"/>
    <w:link w:val="FootnoteText"/>
    <w:rsid w:val="00ED3F36"/>
  </w:style>
  <w:style w:type="character" w:styleId="FootnoteReference">
    <w:name w:val="footnote reference"/>
    <w:basedOn w:val="DefaultParagraphFont"/>
    <w:rsid w:val="00ED3F36"/>
    <w:rPr>
      <w:vertAlign w:val="superscript"/>
    </w:rPr>
  </w:style>
  <w:style w:type="paragraph" w:styleId="EndnoteText">
    <w:name w:val="endnote text"/>
    <w:basedOn w:val="Normal"/>
    <w:link w:val="EndnoteTextChar"/>
    <w:rsid w:val="003A6B7E"/>
    <w:rPr>
      <w:sz w:val="20"/>
      <w:szCs w:val="20"/>
    </w:rPr>
  </w:style>
  <w:style w:type="character" w:customStyle="1" w:styleId="EndnoteTextChar">
    <w:name w:val="Endnote Text Char"/>
    <w:basedOn w:val="DefaultParagraphFont"/>
    <w:link w:val="EndnoteText"/>
    <w:rsid w:val="003A6B7E"/>
  </w:style>
  <w:style w:type="character" w:styleId="EndnoteReference">
    <w:name w:val="endnote reference"/>
    <w:basedOn w:val="DefaultParagraphFont"/>
    <w:rsid w:val="003A6B7E"/>
    <w:rPr>
      <w:vertAlign w:val="superscript"/>
    </w:rPr>
  </w:style>
  <w:style w:type="character" w:styleId="CommentReference">
    <w:name w:val="annotation reference"/>
    <w:basedOn w:val="DefaultParagraphFont"/>
    <w:rsid w:val="00024BB0"/>
    <w:rPr>
      <w:sz w:val="16"/>
      <w:szCs w:val="16"/>
    </w:rPr>
  </w:style>
  <w:style w:type="paragraph" w:styleId="CommentText">
    <w:name w:val="annotation text"/>
    <w:basedOn w:val="Normal"/>
    <w:link w:val="CommentTextChar"/>
    <w:rsid w:val="00024BB0"/>
    <w:rPr>
      <w:sz w:val="20"/>
      <w:szCs w:val="20"/>
    </w:rPr>
  </w:style>
  <w:style w:type="character" w:customStyle="1" w:styleId="CommentTextChar">
    <w:name w:val="Comment Text Char"/>
    <w:basedOn w:val="DefaultParagraphFont"/>
    <w:link w:val="CommentText"/>
    <w:rsid w:val="00024BB0"/>
  </w:style>
  <w:style w:type="paragraph" w:styleId="CommentSubject">
    <w:name w:val="annotation subject"/>
    <w:basedOn w:val="CommentText"/>
    <w:next w:val="CommentText"/>
    <w:link w:val="CommentSubjectChar"/>
    <w:rsid w:val="00024BB0"/>
    <w:rPr>
      <w:b/>
      <w:bCs/>
    </w:rPr>
  </w:style>
  <w:style w:type="character" w:customStyle="1" w:styleId="CommentSubjectChar">
    <w:name w:val="Comment Subject Char"/>
    <w:basedOn w:val="CommentTextChar"/>
    <w:link w:val="CommentSubject"/>
    <w:rsid w:val="00024BB0"/>
    <w:rPr>
      <w:b/>
      <w:bCs/>
    </w:rPr>
  </w:style>
  <w:style w:type="character" w:customStyle="1" w:styleId="ptext-18">
    <w:name w:val="ptext-18"/>
    <w:basedOn w:val="DefaultParagraphFont"/>
    <w:rsid w:val="00E138CA"/>
  </w:style>
  <w:style w:type="character" w:styleId="Emphasis">
    <w:name w:val="Emphasis"/>
    <w:basedOn w:val="DefaultParagraphFont"/>
    <w:uiPriority w:val="20"/>
    <w:qFormat/>
    <w:rsid w:val="00E138CA"/>
    <w:rPr>
      <w:i/>
      <w:iCs/>
    </w:rPr>
  </w:style>
  <w:style w:type="paragraph" w:styleId="PlainText">
    <w:name w:val="Plain Text"/>
    <w:basedOn w:val="Normal"/>
    <w:link w:val="PlainTextChar"/>
    <w:uiPriority w:val="99"/>
    <w:unhideWhenUsed/>
    <w:rsid w:val="003F7E4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F7E44"/>
    <w:rPr>
      <w:rFonts w:ascii="Consolas" w:eastAsiaTheme="minorHAnsi" w:hAnsi="Consolas" w:cs="Consolas"/>
      <w:sz w:val="21"/>
      <w:szCs w:val="21"/>
    </w:rPr>
  </w:style>
  <w:style w:type="paragraph" w:styleId="Revision">
    <w:name w:val="Revision"/>
    <w:hidden/>
    <w:uiPriority w:val="99"/>
    <w:semiHidden/>
    <w:rsid w:val="00034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92350">
      <w:bodyDiv w:val="1"/>
      <w:marLeft w:val="0"/>
      <w:marRight w:val="0"/>
      <w:marTop w:val="0"/>
      <w:marBottom w:val="0"/>
      <w:divBdr>
        <w:top w:val="none" w:sz="0" w:space="0" w:color="auto"/>
        <w:left w:val="none" w:sz="0" w:space="0" w:color="auto"/>
        <w:bottom w:val="none" w:sz="0" w:space="0" w:color="auto"/>
        <w:right w:val="none" w:sz="0" w:space="0" w:color="auto"/>
      </w:divBdr>
    </w:div>
    <w:div w:id="700208690">
      <w:bodyDiv w:val="1"/>
      <w:marLeft w:val="0"/>
      <w:marRight w:val="0"/>
      <w:marTop w:val="0"/>
      <w:marBottom w:val="0"/>
      <w:divBdr>
        <w:top w:val="none" w:sz="0" w:space="0" w:color="auto"/>
        <w:left w:val="none" w:sz="0" w:space="0" w:color="auto"/>
        <w:bottom w:val="none" w:sz="0" w:space="0" w:color="auto"/>
        <w:right w:val="none" w:sz="0" w:space="0" w:color="auto"/>
      </w:divBdr>
    </w:div>
    <w:div w:id="1250240447">
      <w:bodyDiv w:val="1"/>
      <w:marLeft w:val="0"/>
      <w:marRight w:val="0"/>
      <w:marTop w:val="0"/>
      <w:marBottom w:val="0"/>
      <w:divBdr>
        <w:top w:val="none" w:sz="0" w:space="0" w:color="auto"/>
        <w:left w:val="none" w:sz="0" w:space="0" w:color="auto"/>
        <w:bottom w:val="none" w:sz="0" w:space="0" w:color="auto"/>
        <w:right w:val="none" w:sz="0" w:space="0" w:color="auto"/>
      </w:divBdr>
    </w:div>
    <w:div w:id="1392920805">
      <w:bodyDiv w:val="1"/>
      <w:marLeft w:val="0"/>
      <w:marRight w:val="0"/>
      <w:marTop w:val="0"/>
      <w:marBottom w:val="0"/>
      <w:divBdr>
        <w:top w:val="none" w:sz="0" w:space="0" w:color="auto"/>
        <w:left w:val="none" w:sz="0" w:space="0" w:color="auto"/>
        <w:bottom w:val="none" w:sz="0" w:space="0" w:color="auto"/>
        <w:right w:val="none" w:sz="0" w:space="0" w:color="auto"/>
      </w:divBdr>
    </w:div>
    <w:div w:id="1562250620">
      <w:bodyDiv w:val="1"/>
      <w:marLeft w:val="0"/>
      <w:marRight w:val="0"/>
      <w:marTop w:val="0"/>
      <w:marBottom w:val="0"/>
      <w:divBdr>
        <w:top w:val="none" w:sz="0" w:space="0" w:color="auto"/>
        <w:left w:val="none" w:sz="0" w:space="0" w:color="auto"/>
        <w:bottom w:val="none" w:sz="0" w:space="0" w:color="auto"/>
        <w:right w:val="none" w:sz="0" w:space="0" w:color="auto"/>
      </w:divBdr>
    </w:div>
    <w:div w:id="1918242043">
      <w:bodyDiv w:val="1"/>
      <w:marLeft w:val="0"/>
      <w:marRight w:val="0"/>
      <w:marTop w:val="0"/>
      <w:marBottom w:val="0"/>
      <w:divBdr>
        <w:top w:val="none" w:sz="0" w:space="0" w:color="auto"/>
        <w:left w:val="none" w:sz="0" w:space="0" w:color="auto"/>
        <w:bottom w:val="none" w:sz="0" w:space="0" w:color="auto"/>
        <w:right w:val="none" w:sz="0" w:space="0" w:color="auto"/>
      </w:divBdr>
    </w:div>
    <w:div w:id="19370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mass.edu/lawsregs/?section=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mass.edu/lawsregs/?section=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mass.edu/lawsregs/?section=03" TargetMode="External"/><Relationship Id="rId5" Type="http://schemas.openxmlformats.org/officeDocument/2006/relationships/settings" Target="settings.xml"/><Relationship Id="rId15" Type="http://schemas.openxmlformats.org/officeDocument/2006/relationships/hyperlink" Target="http://www.doe.mass.edu/lawsregs/?section=08" TargetMode="External"/><Relationship Id="rId10" Type="http://schemas.openxmlformats.org/officeDocument/2006/relationships/hyperlink" Target="http://www.doe.mass.edu/lawsregs/?section=02" TargetMode="External"/><Relationship Id="rId4" Type="http://schemas.microsoft.com/office/2007/relationships/stylesWithEffects" Target="stylesWithEffects.xml"/><Relationship Id="rId9" Type="http://schemas.openxmlformats.org/officeDocument/2006/relationships/hyperlink" Target="http://www.doe.mass.edu/lawsregs/?section=01" TargetMode="External"/><Relationship Id="rId14" Type="http://schemas.openxmlformats.org/officeDocument/2006/relationships/hyperlink" Target="http://www.doe.mass.edu/lawsregs/?section=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54E7-3678-4442-9FBC-EB629AE4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3381</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BESE PROPOSED EMERGENCY REGULATIONS RELATING TO CRIMINAL HISTORY CHECKS FOR SCHOOL EMPLOYEES, September 2013</vt:lpstr>
    </vt:vector>
  </TitlesOfParts>
  <Company>Hewlett-Packard</Company>
  <LinksUpToDate>false</LinksUpToDate>
  <CharactersWithSpaces>22850</CharactersWithSpaces>
  <SharedDoc>false</SharedDoc>
  <HLinks>
    <vt:vector size="48" baseType="variant">
      <vt:variant>
        <vt:i4>1048597</vt:i4>
      </vt:variant>
      <vt:variant>
        <vt:i4>21</vt:i4>
      </vt:variant>
      <vt:variant>
        <vt:i4>0</vt:i4>
      </vt:variant>
      <vt:variant>
        <vt:i4>5</vt:i4>
      </vt:variant>
      <vt:variant>
        <vt:lpwstr>http://www.doe.mass.edu/lawsregs/?section=09</vt:lpwstr>
      </vt:variant>
      <vt:variant>
        <vt:lpwstr/>
      </vt:variant>
      <vt:variant>
        <vt:i4>1114133</vt:i4>
      </vt:variant>
      <vt:variant>
        <vt:i4>18</vt:i4>
      </vt:variant>
      <vt:variant>
        <vt:i4>0</vt:i4>
      </vt:variant>
      <vt:variant>
        <vt:i4>5</vt:i4>
      </vt:variant>
      <vt:variant>
        <vt:lpwstr>http://www.doe.mass.edu/lawsregs/?section=08</vt:lpwstr>
      </vt:variant>
      <vt:variant>
        <vt:lpwstr/>
      </vt:variant>
      <vt:variant>
        <vt:i4>1966101</vt:i4>
      </vt:variant>
      <vt:variant>
        <vt:i4>15</vt:i4>
      </vt:variant>
      <vt:variant>
        <vt:i4>0</vt:i4>
      </vt:variant>
      <vt:variant>
        <vt:i4>5</vt:i4>
      </vt:variant>
      <vt:variant>
        <vt:lpwstr>http://www.doe.mass.edu/lawsregs/?section=07</vt:lpwstr>
      </vt:variant>
      <vt:variant>
        <vt:lpwstr/>
      </vt:variant>
      <vt:variant>
        <vt:i4>2031637</vt:i4>
      </vt:variant>
      <vt:variant>
        <vt:i4>12</vt:i4>
      </vt:variant>
      <vt:variant>
        <vt:i4>0</vt:i4>
      </vt:variant>
      <vt:variant>
        <vt:i4>5</vt:i4>
      </vt:variant>
      <vt:variant>
        <vt:lpwstr>http://www.doe.mass.edu/lawsregs/?section=06</vt:lpwstr>
      </vt:variant>
      <vt:variant>
        <vt:lpwstr/>
      </vt:variant>
      <vt:variant>
        <vt:i4>1835029</vt:i4>
      </vt:variant>
      <vt:variant>
        <vt:i4>9</vt:i4>
      </vt:variant>
      <vt:variant>
        <vt:i4>0</vt:i4>
      </vt:variant>
      <vt:variant>
        <vt:i4>5</vt:i4>
      </vt:variant>
      <vt:variant>
        <vt:lpwstr>http://www.doe.mass.edu/lawsregs/?section=05</vt:lpwstr>
      </vt:variant>
      <vt:variant>
        <vt:lpwstr/>
      </vt:variant>
      <vt:variant>
        <vt:i4>1703957</vt:i4>
      </vt:variant>
      <vt:variant>
        <vt:i4>6</vt:i4>
      </vt:variant>
      <vt:variant>
        <vt:i4>0</vt:i4>
      </vt:variant>
      <vt:variant>
        <vt:i4>5</vt:i4>
      </vt:variant>
      <vt:variant>
        <vt:lpwstr>http://www.doe.mass.edu/lawsregs/?section=03</vt:lpwstr>
      </vt:variant>
      <vt:variant>
        <vt:lpwstr/>
      </vt:variant>
      <vt:variant>
        <vt:i4>1769493</vt:i4>
      </vt:variant>
      <vt:variant>
        <vt:i4>3</vt:i4>
      </vt:variant>
      <vt:variant>
        <vt:i4>0</vt:i4>
      </vt:variant>
      <vt:variant>
        <vt:i4>5</vt:i4>
      </vt:variant>
      <vt:variant>
        <vt:lpwstr>http://www.doe.mass.edu/lawsregs/?section=02</vt:lpwstr>
      </vt:variant>
      <vt:variant>
        <vt:lpwstr/>
      </vt:variant>
      <vt:variant>
        <vt:i4>1572885</vt:i4>
      </vt:variant>
      <vt:variant>
        <vt:i4>0</vt:i4>
      </vt:variant>
      <vt:variant>
        <vt:i4>0</vt:i4>
      </vt:variant>
      <vt:variant>
        <vt:i4>5</vt:i4>
      </vt:variant>
      <vt:variant>
        <vt:lpwstr>http://www.doe.mass.edu/lawsregs/?section=01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Emergency Regulations on Criminal History Checks for School Employees, September 2013</dc:title>
  <dc:creator>ESE</dc:creator>
  <cp:lastModifiedBy>ESE</cp:lastModifiedBy>
  <cp:revision>3</cp:revision>
  <cp:lastPrinted>2013-09-19T14:13:00Z</cp:lastPrinted>
  <dcterms:created xsi:type="dcterms:W3CDTF">2013-09-20T18:08:00Z</dcterms:created>
  <dcterms:modified xsi:type="dcterms:W3CDTF">2013-09-20T18:24:00Z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2013</vt:lpwstr>
  </property>
</Properties>
</file>