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C8FB5" w14:textId="77777777" w:rsidR="00C07D2E" w:rsidRPr="00D80D4A" w:rsidRDefault="00C07D2E" w:rsidP="00C07D2E">
      <w:pPr>
        <w:spacing w:line="240" w:lineRule="auto"/>
        <w:ind w:left="-450" w:right="-180"/>
        <w:jc w:val="center"/>
        <w:rPr>
          <w:rFonts w:ascii="Times New Roman" w:hAnsi="Times New Roman"/>
          <w:sz w:val="24"/>
          <w:szCs w:val="24"/>
        </w:rPr>
      </w:pPr>
      <w:bookmarkStart w:id="0" w:name="OLE_LINK1"/>
      <w:bookmarkStart w:id="1" w:name="OLE_LINK2"/>
      <w:r w:rsidRPr="00D80D4A">
        <w:rPr>
          <w:rFonts w:ascii="Times New Roman" w:hAnsi="Times New Roman"/>
          <w:sz w:val="24"/>
          <w:szCs w:val="24"/>
        </w:rPr>
        <w:t xml:space="preserve">Summary of Public Comments on Proposed Amendments to 603 CMR 7.00 </w:t>
      </w:r>
      <w:bookmarkEnd w:id="0"/>
      <w:bookmarkEnd w:id="1"/>
      <w:r w:rsidRPr="00D80D4A">
        <w:rPr>
          <w:rFonts w:ascii="Times New Roman" w:hAnsi="Times New Roman"/>
          <w:sz w:val="24"/>
          <w:szCs w:val="24"/>
        </w:rPr>
        <w:t>– Regulations for Educator Licensure and Preparation Program Approval</w:t>
      </w:r>
    </w:p>
    <w:p w14:paraId="3C71F164" w14:textId="77777777" w:rsidR="00C07D2E" w:rsidRPr="00245550" w:rsidRDefault="00C07D2E" w:rsidP="00C07D2E">
      <w:pPr>
        <w:spacing w:line="240" w:lineRule="auto"/>
        <w:jc w:val="center"/>
        <w:rPr>
          <w:rFonts w:ascii="Times New Roman" w:hAnsi="Times New Roman"/>
          <w:b/>
          <w:sz w:val="24"/>
          <w:szCs w:val="24"/>
        </w:rPr>
      </w:pPr>
      <w:r w:rsidRPr="00D80D4A">
        <w:rPr>
          <w:rFonts w:ascii="Times New Roman" w:hAnsi="Times New Roman"/>
          <w:sz w:val="24"/>
          <w:szCs w:val="24"/>
        </w:rPr>
        <w:t>January 2014</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250"/>
        <w:gridCol w:w="5849"/>
      </w:tblGrid>
      <w:tr w:rsidR="00C07D2E" w:rsidRPr="005447B1" w14:paraId="0B41A4BC" w14:textId="77777777" w:rsidTr="005447B1">
        <w:trPr>
          <w:trHeight w:val="620"/>
        </w:trPr>
        <w:tc>
          <w:tcPr>
            <w:tcW w:w="2179" w:type="dxa"/>
            <w:tcBorders>
              <w:bottom w:val="single" w:sz="4" w:space="0" w:color="auto"/>
            </w:tcBorders>
          </w:tcPr>
          <w:p w14:paraId="7A46639D" w14:textId="77777777" w:rsidR="00C07D2E" w:rsidRPr="005447B1" w:rsidRDefault="00C07D2E" w:rsidP="005447B1">
            <w:pPr>
              <w:spacing w:after="0" w:line="240" w:lineRule="auto"/>
              <w:rPr>
                <w:rFonts w:ascii="Times New Roman" w:hAnsi="Times New Roman"/>
                <w:b/>
                <w:sz w:val="24"/>
                <w:szCs w:val="24"/>
              </w:rPr>
            </w:pPr>
            <w:r w:rsidRPr="005447B1">
              <w:rPr>
                <w:rFonts w:ascii="Times New Roman" w:hAnsi="Times New Roman"/>
                <w:b/>
                <w:sz w:val="24"/>
                <w:szCs w:val="24"/>
              </w:rPr>
              <w:t>Contributor</w:t>
            </w:r>
          </w:p>
        </w:tc>
        <w:tc>
          <w:tcPr>
            <w:tcW w:w="9161" w:type="dxa"/>
            <w:tcBorders>
              <w:bottom w:val="single" w:sz="4" w:space="0" w:color="auto"/>
            </w:tcBorders>
          </w:tcPr>
          <w:p w14:paraId="79687984" w14:textId="77777777" w:rsidR="00C07D2E" w:rsidRPr="005447B1" w:rsidRDefault="00C07D2E" w:rsidP="005447B1">
            <w:pPr>
              <w:spacing w:after="0" w:line="240" w:lineRule="auto"/>
              <w:rPr>
                <w:rFonts w:ascii="Times New Roman" w:hAnsi="Times New Roman"/>
                <w:b/>
                <w:sz w:val="24"/>
                <w:szCs w:val="24"/>
              </w:rPr>
            </w:pPr>
            <w:r w:rsidRPr="005447B1">
              <w:rPr>
                <w:rFonts w:ascii="Times New Roman" w:hAnsi="Times New Roman"/>
                <w:b/>
                <w:sz w:val="24"/>
                <w:szCs w:val="24"/>
              </w:rPr>
              <w:t>Public Comment</w:t>
            </w:r>
          </w:p>
        </w:tc>
        <w:tc>
          <w:tcPr>
            <w:tcW w:w="3600" w:type="dxa"/>
            <w:tcBorders>
              <w:bottom w:val="single" w:sz="4" w:space="0" w:color="auto"/>
            </w:tcBorders>
          </w:tcPr>
          <w:p w14:paraId="380AA3FB" w14:textId="77777777" w:rsidR="00C07D2E" w:rsidRPr="005447B1" w:rsidRDefault="00C07D2E" w:rsidP="005447B1">
            <w:pPr>
              <w:spacing w:after="0" w:line="240" w:lineRule="auto"/>
              <w:jc w:val="center"/>
              <w:rPr>
                <w:rFonts w:ascii="Times New Roman" w:hAnsi="Times New Roman"/>
                <w:b/>
                <w:sz w:val="24"/>
                <w:szCs w:val="24"/>
              </w:rPr>
            </w:pPr>
            <w:r w:rsidRPr="005447B1">
              <w:rPr>
                <w:rFonts w:ascii="Times New Roman" w:hAnsi="Times New Roman"/>
                <w:b/>
                <w:sz w:val="24"/>
                <w:szCs w:val="24"/>
              </w:rPr>
              <w:t>Department Response and Recommendation</w:t>
            </w:r>
          </w:p>
        </w:tc>
      </w:tr>
      <w:tr w:rsidR="00C07D2E" w:rsidRPr="005447B1" w14:paraId="004B1D85" w14:textId="77777777" w:rsidTr="005447B1">
        <w:trPr>
          <w:trHeight w:val="272"/>
        </w:trPr>
        <w:tc>
          <w:tcPr>
            <w:tcW w:w="2179" w:type="dxa"/>
          </w:tcPr>
          <w:p w14:paraId="70597DE3" w14:textId="77777777" w:rsidR="00C07D2E" w:rsidRPr="005447B1" w:rsidRDefault="00C07D2E" w:rsidP="00D370FA">
            <w:pPr>
              <w:pStyle w:val="PlainText"/>
              <w:rPr>
                <w:rFonts w:ascii="Times New Roman" w:hAnsi="Times New Roman"/>
                <w:sz w:val="24"/>
                <w:szCs w:val="24"/>
              </w:rPr>
            </w:pPr>
            <w:r w:rsidRPr="005447B1">
              <w:rPr>
                <w:rFonts w:ascii="Times New Roman" w:hAnsi="Times New Roman"/>
                <w:sz w:val="24"/>
                <w:szCs w:val="24"/>
              </w:rPr>
              <w:t>Heather Johnson, College of the Holy Cross</w:t>
            </w:r>
          </w:p>
          <w:p w14:paraId="343F5325" w14:textId="77777777" w:rsidR="00C07D2E" w:rsidRPr="005447B1" w:rsidRDefault="00C07D2E" w:rsidP="005447B1">
            <w:pPr>
              <w:spacing w:after="0" w:line="240" w:lineRule="auto"/>
              <w:rPr>
                <w:rFonts w:ascii="Times New Roman" w:hAnsi="Times New Roman"/>
                <w:color w:val="000000"/>
                <w:sz w:val="24"/>
                <w:szCs w:val="24"/>
              </w:rPr>
            </w:pPr>
          </w:p>
        </w:tc>
        <w:tc>
          <w:tcPr>
            <w:tcW w:w="9161" w:type="dxa"/>
          </w:tcPr>
          <w:p w14:paraId="7C6578A5"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b/>
                <w:i/>
                <w:sz w:val="24"/>
                <w:szCs w:val="24"/>
                <w:u w:val="single"/>
              </w:rPr>
              <w:t>Concerns and Questions:</w:t>
            </w:r>
            <w:r w:rsidRPr="005447B1">
              <w:rPr>
                <w:rFonts w:ascii="Times New Roman" w:hAnsi="Times New Roman"/>
                <w:sz w:val="24"/>
                <w:szCs w:val="24"/>
              </w:rPr>
              <w:t xml:space="preserve"> </w:t>
            </w:r>
          </w:p>
          <w:p w14:paraId="5BD259B6" w14:textId="77777777" w:rsidR="00C07D2E" w:rsidRPr="005447B1" w:rsidRDefault="00C07D2E" w:rsidP="005447B1">
            <w:pPr>
              <w:pStyle w:val="ListParagraph"/>
              <w:numPr>
                <w:ilvl w:val="0"/>
                <w:numId w:val="5"/>
              </w:numPr>
              <w:spacing w:after="0" w:line="240" w:lineRule="auto"/>
              <w:rPr>
                <w:rFonts w:ascii="Times New Roman" w:hAnsi="Times New Roman"/>
                <w:b/>
                <w:sz w:val="24"/>
                <w:szCs w:val="24"/>
              </w:rPr>
            </w:pPr>
            <w:r w:rsidRPr="005447B1">
              <w:rPr>
                <w:rFonts w:ascii="Times New Roman" w:hAnsi="Times New Roman"/>
                <w:b/>
                <w:sz w:val="24"/>
                <w:szCs w:val="24"/>
              </w:rPr>
              <w:t>Section 7.03 (8) – Educator Preparation Program Approval - Implementation</w:t>
            </w:r>
          </w:p>
          <w:p w14:paraId="2FC87A0D"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The implementation deadline will be July 1, 2016.  That seems like a very reasonable timeline, although I wonder what that transition will look like… I wonder, then, if DESE envisions the timeline as one that is flexible, according to the readiness of a given program, or if this timeline is actually one that is needed on the development side.</w:t>
            </w:r>
          </w:p>
          <w:p w14:paraId="38FF23E2" w14:textId="77777777" w:rsidR="00C07D2E" w:rsidRPr="005447B1" w:rsidRDefault="00C07D2E" w:rsidP="005447B1">
            <w:pPr>
              <w:spacing w:after="0" w:line="240" w:lineRule="auto"/>
              <w:rPr>
                <w:rFonts w:ascii="Times New Roman" w:hAnsi="Times New Roman"/>
                <w:sz w:val="24"/>
                <w:szCs w:val="24"/>
              </w:rPr>
            </w:pPr>
          </w:p>
          <w:p w14:paraId="2F1062CE" w14:textId="77777777" w:rsidR="00C07D2E" w:rsidRPr="005447B1" w:rsidRDefault="00C07D2E" w:rsidP="005447B1">
            <w:pPr>
              <w:pStyle w:val="Heading7"/>
              <w:numPr>
                <w:ilvl w:val="0"/>
                <w:numId w:val="5"/>
              </w:numPr>
              <w:rPr>
                <w:b/>
                <w:sz w:val="24"/>
              </w:rPr>
            </w:pPr>
            <w:r w:rsidRPr="005447B1">
              <w:rPr>
                <w:b/>
                <w:sz w:val="24"/>
              </w:rPr>
              <w:t>Section 7.08 – Professional Standards for Teachers</w:t>
            </w:r>
          </w:p>
          <w:p w14:paraId="22AB3A2D"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The indicators listed in 7.08 (3) seem to be presented as some form of non-negotiables.  In other words, these MUST be included in the guidelines, regardless of how the rest of the guidelines unfold.  Why these?..I am also left wondering about the larger implications of removing the indicators from the regulations.  My immediate response is that it will be useful and more efficient when changes need to be made.  However, are there dangers in setting this as a practice?  What, then, are the steps of making changes?  Who needs to approve them?  Will this set us up for constant changes, leaving programs scrambling to keep up?  I am simply posing these questions to be sure they are being asked, not because I want rigid indicators outlined in the regulations.</w:t>
            </w:r>
          </w:p>
          <w:p w14:paraId="1DE392D0" w14:textId="77777777" w:rsidR="00C07D2E" w:rsidRPr="005447B1" w:rsidRDefault="00C07D2E" w:rsidP="005447B1">
            <w:pPr>
              <w:pStyle w:val="Heading7"/>
              <w:numPr>
                <w:ilvl w:val="0"/>
                <w:numId w:val="0"/>
              </w:numPr>
              <w:ind w:left="720"/>
              <w:rPr>
                <w:b/>
                <w:sz w:val="24"/>
                <w:szCs w:val="24"/>
              </w:rPr>
            </w:pPr>
          </w:p>
          <w:p w14:paraId="3E83ED76" w14:textId="77777777" w:rsidR="00C07D2E" w:rsidRPr="005447B1" w:rsidRDefault="00C07D2E" w:rsidP="005447B1">
            <w:pPr>
              <w:pStyle w:val="Heading7"/>
              <w:numPr>
                <w:ilvl w:val="0"/>
                <w:numId w:val="5"/>
              </w:numPr>
              <w:rPr>
                <w:b/>
                <w:sz w:val="24"/>
                <w:szCs w:val="24"/>
              </w:rPr>
            </w:pPr>
            <w:r w:rsidRPr="005447B1">
              <w:rPr>
                <w:b/>
                <w:sz w:val="24"/>
                <w:szCs w:val="24"/>
              </w:rPr>
              <w:t>Section 7.14 (1) (a) – SEI Endorsement</w:t>
            </w:r>
          </w:p>
          <w:p w14:paraId="66398EAC"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It is my understanding that, as of July 1, 2014, educator prep programs cannot endorse a candidate in a core academic subject without an SEI Endorsement.  Therefore, is it accurate to say that options (2) through (4) are not available to students in traditional prep programs?  Are programs able to waive the course if a student satisfies the requirement through one of the other options?  If not, that is not clear from the way it is written, which suggests that they have multiple options.</w:t>
            </w:r>
          </w:p>
          <w:p w14:paraId="49234F46" w14:textId="77777777" w:rsidR="00C07D2E" w:rsidRPr="005447B1" w:rsidRDefault="00C07D2E" w:rsidP="005447B1">
            <w:pPr>
              <w:spacing w:after="0" w:line="240" w:lineRule="auto"/>
              <w:rPr>
                <w:rFonts w:ascii="Times New Roman" w:hAnsi="Times New Roman"/>
                <w:sz w:val="24"/>
                <w:szCs w:val="24"/>
              </w:rPr>
            </w:pPr>
          </w:p>
          <w:p w14:paraId="6AA514C2" w14:textId="77777777" w:rsidR="00C07D2E" w:rsidRPr="005447B1" w:rsidRDefault="00C07D2E" w:rsidP="005447B1">
            <w:pPr>
              <w:pStyle w:val="Heading7"/>
              <w:numPr>
                <w:ilvl w:val="0"/>
                <w:numId w:val="5"/>
              </w:numPr>
              <w:rPr>
                <w:b/>
                <w:sz w:val="24"/>
                <w:szCs w:val="24"/>
              </w:rPr>
            </w:pPr>
            <w:r w:rsidRPr="005447B1">
              <w:rPr>
                <w:b/>
                <w:sz w:val="24"/>
                <w:szCs w:val="24"/>
              </w:rPr>
              <w:lastRenderedPageBreak/>
              <w:t>Section 7.15 (14) (f) – Implementation</w:t>
            </w:r>
          </w:p>
          <w:p w14:paraId="5A1A38A2"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As mentioned above, my biggest concerns are related to the implementation timeline.  Is the extended timeline intended to give programs time to make thoughtful, informed changes?  Or is it building in time for the Department to develop the details of the new regulations, which will then be put onto the programs on a tight timeline?</w:t>
            </w:r>
          </w:p>
          <w:p w14:paraId="3AFB76BE" w14:textId="77777777" w:rsidR="00C07D2E" w:rsidRPr="005447B1" w:rsidRDefault="00C07D2E" w:rsidP="005447B1">
            <w:pPr>
              <w:spacing w:after="0" w:line="240" w:lineRule="auto"/>
              <w:rPr>
                <w:rFonts w:ascii="Times New Roman" w:hAnsi="Times New Roman"/>
                <w:sz w:val="24"/>
                <w:szCs w:val="24"/>
              </w:rPr>
            </w:pPr>
          </w:p>
        </w:tc>
        <w:tc>
          <w:tcPr>
            <w:tcW w:w="3600" w:type="dxa"/>
            <w:shd w:val="clear" w:color="auto" w:fill="auto"/>
          </w:tcPr>
          <w:p w14:paraId="5C073355" w14:textId="77777777" w:rsidR="00C07D2E" w:rsidRPr="005447B1" w:rsidRDefault="00C07D2E" w:rsidP="005447B1">
            <w:pPr>
              <w:pStyle w:val="ListParagraph"/>
              <w:numPr>
                <w:ilvl w:val="0"/>
                <w:numId w:val="6"/>
              </w:numPr>
              <w:spacing w:after="0" w:line="240" w:lineRule="auto"/>
              <w:rPr>
                <w:rFonts w:ascii="Times New Roman" w:hAnsi="Times New Roman"/>
                <w:sz w:val="24"/>
                <w:szCs w:val="24"/>
              </w:rPr>
            </w:pPr>
            <w:r w:rsidRPr="005447B1">
              <w:rPr>
                <w:rFonts w:ascii="Times New Roman" w:hAnsi="Times New Roman"/>
                <w:sz w:val="24"/>
                <w:szCs w:val="24"/>
              </w:rPr>
              <w:lastRenderedPageBreak/>
              <w:t>The timeline is flexible and programs can transition and implement prior to the July 1, 2016 deadline.</w:t>
            </w:r>
          </w:p>
          <w:p w14:paraId="1B493BB1" w14:textId="77777777" w:rsidR="00C07D2E" w:rsidRPr="005447B1" w:rsidRDefault="00C07D2E" w:rsidP="005447B1">
            <w:pPr>
              <w:pStyle w:val="ListParagraph"/>
              <w:numPr>
                <w:ilvl w:val="0"/>
                <w:numId w:val="6"/>
              </w:numPr>
              <w:spacing w:after="0" w:line="240" w:lineRule="auto"/>
              <w:rPr>
                <w:rFonts w:ascii="Times New Roman" w:hAnsi="Times New Roman"/>
                <w:sz w:val="24"/>
                <w:szCs w:val="24"/>
              </w:rPr>
            </w:pPr>
            <w:r w:rsidRPr="005447B1">
              <w:rPr>
                <w:rFonts w:ascii="Times New Roman" w:hAnsi="Times New Roman"/>
                <w:sz w:val="24"/>
                <w:szCs w:val="24"/>
              </w:rPr>
              <w:t xml:space="preserve">The indicators in 7.08(3) must be </w:t>
            </w:r>
            <w:r w:rsidR="00553A5E" w:rsidRPr="005447B1">
              <w:rPr>
                <w:rFonts w:ascii="Times New Roman" w:hAnsi="Times New Roman"/>
                <w:sz w:val="24"/>
                <w:szCs w:val="24"/>
              </w:rPr>
              <w:t xml:space="preserve">included in the </w:t>
            </w:r>
            <w:r w:rsidRPr="005447B1">
              <w:rPr>
                <w:rFonts w:ascii="Times New Roman" w:hAnsi="Times New Roman"/>
                <w:sz w:val="24"/>
                <w:szCs w:val="24"/>
              </w:rPr>
              <w:t xml:space="preserve">guidelines </w:t>
            </w:r>
            <w:r w:rsidR="00553A5E" w:rsidRPr="005447B1">
              <w:rPr>
                <w:rFonts w:ascii="Times New Roman" w:hAnsi="Times New Roman"/>
                <w:sz w:val="24"/>
                <w:szCs w:val="24"/>
              </w:rPr>
              <w:t>since these requirements are</w:t>
            </w:r>
            <w:r w:rsidRPr="005447B1">
              <w:rPr>
                <w:rFonts w:ascii="Times New Roman" w:hAnsi="Times New Roman"/>
                <w:sz w:val="24"/>
                <w:szCs w:val="24"/>
              </w:rPr>
              <w:t xml:space="preserve"> part of the RETELL initiative </w:t>
            </w:r>
            <w:r w:rsidR="00553A5E" w:rsidRPr="005447B1">
              <w:rPr>
                <w:rFonts w:ascii="Times New Roman" w:hAnsi="Times New Roman"/>
                <w:sz w:val="24"/>
                <w:szCs w:val="24"/>
              </w:rPr>
              <w:t>adopted</w:t>
            </w:r>
            <w:r w:rsidRPr="005447B1">
              <w:rPr>
                <w:rFonts w:ascii="Times New Roman" w:hAnsi="Times New Roman"/>
                <w:sz w:val="24"/>
                <w:szCs w:val="24"/>
              </w:rPr>
              <w:t xml:space="preserve"> by the Board in June 2012.  We believe that having the other indicators in Guidelines provides flexibility in making changes in the future, and we will not impose unrealistic timelines expectations for programs to make the changes.</w:t>
            </w:r>
          </w:p>
          <w:p w14:paraId="6383B9C9" w14:textId="77777777" w:rsidR="00C07D2E" w:rsidRPr="005447B1" w:rsidRDefault="00C07D2E" w:rsidP="005447B1">
            <w:pPr>
              <w:pStyle w:val="ListParagraph"/>
              <w:numPr>
                <w:ilvl w:val="0"/>
                <w:numId w:val="6"/>
              </w:numPr>
              <w:spacing w:after="0" w:line="240" w:lineRule="auto"/>
              <w:rPr>
                <w:rFonts w:ascii="Times New Roman" w:hAnsi="Times New Roman"/>
                <w:sz w:val="24"/>
                <w:szCs w:val="24"/>
              </w:rPr>
            </w:pPr>
            <w:r w:rsidRPr="005447B1">
              <w:rPr>
                <w:rFonts w:ascii="Times New Roman" w:hAnsi="Times New Roman"/>
                <w:sz w:val="24"/>
                <w:szCs w:val="24"/>
              </w:rPr>
              <w:t>The options for earning the SEI endorsemen</w:t>
            </w:r>
            <w:r w:rsidR="00731D52">
              <w:rPr>
                <w:rFonts w:ascii="Times New Roman" w:hAnsi="Times New Roman"/>
                <w:sz w:val="24"/>
                <w:szCs w:val="24"/>
              </w:rPr>
              <w:t>t as outlined in 7.14 (1) (a) 1-4</w:t>
            </w:r>
            <w:r w:rsidRPr="005447B1">
              <w:rPr>
                <w:rFonts w:ascii="Times New Roman" w:hAnsi="Times New Roman"/>
                <w:sz w:val="24"/>
                <w:szCs w:val="24"/>
              </w:rPr>
              <w:t xml:space="preserve"> are available to anyone.</w:t>
            </w:r>
          </w:p>
          <w:p w14:paraId="4F7B2E9B" w14:textId="77777777" w:rsidR="00C07D2E" w:rsidRPr="005447B1" w:rsidRDefault="00C07D2E" w:rsidP="005447B1">
            <w:pPr>
              <w:pStyle w:val="ListParagraph"/>
              <w:numPr>
                <w:ilvl w:val="0"/>
                <w:numId w:val="6"/>
              </w:numPr>
              <w:spacing w:after="0" w:line="240" w:lineRule="auto"/>
              <w:rPr>
                <w:rFonts w:ascii="Times New Roman" w:hAnsi="Times New Roman"/>
                <w:sz w:val="24"/>
                <w:szCs w:val="24"/>
              </w:rPr>
            </w:pPr>
            <w:r w:rsidRPr="005447B1">
              <w:rPr>
                <w:rFonts w:ascii="Times New Roman" w:hAnsi="Times New Roman"/>
                <w:sz w:val="24"/>
                <w:szCs w:val="24"/>
              </w:rPr>
              <w:t>The implementation timeline is intended to give programs the opportunity to make the necessary changes to the programs.  The timeline for issuing the indicators in Guidelines based on work and collaboration with the field is as follows: draft by June 2014 available for public comment, public comment in July/August, and finalized Guidelines by September 2014.</w:t>
            </w:r>
          </w:p>
          <w:p w14:paraId="43B7E14D" w14:textId="77777777" w:rsidR="00C07D2E" w:rsidRPr="005447B1" w:rsidRDefault="00C07D2E" w:rsidP="005447B1">
            <w:pPr>
              <w:spacing w:after="0" w:line="240" w:lineRule="auto"/>
              <w:rPr>
                <w:rFonts w:ascii="Times New Roman" w:hAnsi="Times New Roman"/>
                <w:sz w:val="24"/>
                <w:szCs w:val="24"/>
              </w:rPr>
            </w:pPr>
          </w:p>
        </w:tc>
      </w:tr>
      <w:tr w:rsidR="00C07D2E" w:rsidRPr="005447B1" w14:paraId="129169F4" w14:textId="77777777" w:rsidTr="005447B1">
        <w:trPr>
          <w:trHeight w:val="272"/>
        </w:trPr>
        <w:tc>
          <w:tcPr>
            <w:tcW w:w="2179" w:type="dxa"/>
          </w:tcPr>
          <w:p w14:paraId="5CB822EC" w14:textId="77777777" w:rsidR="00C07D2E" w:rsidRPr="005447B1" w:rsidRDefault="00C07D2E" w:rsidP="005447B1">
            <w:pPr>
              <w:spacing w:after="0" w:line="240" w:lineRule="auto"/>
              <w:rPr>
                <w:rFonts w:ascii="Times New Roman" w:hAnsi="Times New Roman"/>
                <w:color w:val="000000"/>
                <w:sz w:val="24"/>
                <w:szCs w:val="24"/>
              </w:rPr>
            </w:pPr>
            <w:r w:rsidRPr="005447B1">
              <w:rPr>
                <w:rFonts w:ascii="Times New Roman" w:hAnsi="Times New Roman"/>
                <w:color w:val="000000"/>
                <w:sz w:val="24"/>
                <w:szCs w:val="24"/>
              </w:rPr>
              <w:t>Massachusetts Association of Colleges for Teacher Education (MACTE)</w:t>
            </w:r>
          </w:p>
        </w:tc>
        <w:tc>
          <w:tcPr>
            <w:tcW w:w="9161" w:type="dxa"/>
          </w:tcPr>
          <w:p w14:paraId="1F20AD00" w14:textId="77777777" w:rsidR="00C07D2E" w:rsidRPr="005447B1" w:rsidRDefault="00C07D2E" w:rsidP="00D370FA">
            <w:pPr>
              <w:pStyle w:val="Default"/>
              <w:rPr>
                <w:i/>
              </w:rPr>
            </w:pPr>
            <w:r w:rsidRPr="005447B1">
              <w:rPr>
                <w:b/>
                <w:i/>
                <w:u w:val="single"/>
              </w:rPr>
              <w:t xml:space="preserve">Support: </w:t>
            </w:r>
          </w:p>
          <w:p w14:paraId="4399A521" w14:textId="77777777" w:rsidR="00C07D2E" w:rsidRPr="005447B1" w:rsidRDefault="00C07D2E" w:rsidP="005447B1">
            <w:pPr>
              <w:pStyle w:val="Default"/>
              <w:numPr>
                <w:ilvl w:val="0"/>
                <w:numId w:val="1"/>
              </w:numPr>
              <w:spacing w:after="47"/>
              <w:rPr>
                <w:sz w:val="23"/>
                <w:szCs w:val="23"/>
              </w:rPr>
            </w:pPr>
            <w:r w:rsidRPr="005447B1">
              <w:rPr>
                <w:sz w:val="23"/>
                <w:szCs w:val="23"/>
              </w:rPr>
              <w:t xml:space="preserve">MACTE is in support of the elimination of the “Standards for Library Teachers”. </w:t>
            </w:r>
          </w:p>
          <w:p w14:paraId="7860AB71" w14:textId="77777777" w:rsidR="00C07D2E" w:rsidRPr="005447B1" w:rsidRDefault="00C07D2E" w:rsidP="005447B1">
            <w:pPr>
              <w:pStyle w:val="Default"/>
              <w:numPr>
                <w:ilvl w:val="0"/>
                <w:numId w:val="1"/>
              </w:numPr>
              <w:spacing w:after="47"/>
              <w:rPr>
                <w:sz w:val="23"/>
                <w:szCs w:val="23"/>
              </w:rPr>
            </w:pPr>
            <w:r w:rsidRPr="005447B1">
              <w:rPr>
                <w:sz w:val="23"/>
                <w:szCs w:val="23"/>
              </w:rPr>
              <w:t xml:space="preserve">MACTE is in support of the change that moves the “detailed indicators” for use with the Professional Standards for Teachers to “published guidelines”. We offer MACTE support as ESE moves to delineate these detailed indicators. </w:t>
            </w:r>
          </w:p>
          <w:p w14:paraId="2F9E00B1" w14:textId="77777777" w:rsidR="00C07D2E" w:rsidRPr="005447B1" w:rsidRDefault="00C07D2E" w:rsidP="005447B1">
            <w:pPr>
              <w:pStyle w:val="Default"/>
              <w:numPr>
                <w:ilvl w:val="0"/>
                <w:numId w:val="1"/>
              </w:numPr>
              <w:rPr>
                <w:sz w:val="23"/>
                <w:szCs w:val="23"/>
              </w:rPr>
            </w:pPr>
            <w:r w:rsidRPr="005447B1">
              <w:rPr>
                <w:sz w:val="23"/>
                <w:szCs w:val="23"/>
              </w:rPr>
              <w:t xml:space="preserve">MACTE commends the work of the board in moving to use of the same language in communicating Professional Standards for Teachers from pre-service through in-service levels. </w:t>
            </w:r>
          </w:p>
          <w:p w14:paraId="5B8D5CD7" w14:textId="77777777" w:rsidR="00C07D2E" w:rsidRPr="005447B1" w:rsidRDefault="00C07D2E" w:rsidP="005447B1">
            <w:pPr>
              <w:shd w:val="clear" w:color="auto" w:fill="FFFFFF"/>
              <w:spacing w:after="0" w:line="240" w:lineRule="auto"/>
              <w:rPr>
                <w:rFonts w:ascii="Times New Roman" w:hAnsi="Times New Roman"/>
                <w:b/>
                <w:sz w:val="24"/>
                <w:szCs w:val="24"/>
                <w:u w:val="single"/>
              </w:rPr>
            </w:pPr>
          </w:p>
        </w:tc>
        <w:tc>
          <w:tcPr>
            <w:tcW w:w="3600" w:type="dxa"/>
          </w:tcPr>
          <w:p w14:paraId="592F9C70"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We agree</w:t>
            </w:r>
            <w:r w:rsidR="00731D52">
              <w:rPr>
                <w:rFonts w:ascii="Times New Roman" w:hAnsi="Times New Roman"/>
                <w:sz w:val="24"/>
                <w:szCs w:val="24"/>
              </w:rPr>
              <w:t>.</w:t>
            </w:r>
          </w:p>
        </w:tc>
      </w:tr>
      <w:tr w:rsidR="00C07D2E" w:rsidRPr="005447B1" w14:paraId="57698699" w14:textId="77777777" w:rsidTr="005447B1">
        <w:trPr>
          <w:trHeight w:val="272"/>
        </w:trPr>
        <w:tc>
          <w:tcPr>
            <w:tcW w:w="2179" w:type="dxa"/>
          </w:tcPr>
          <w:p w14:paraId="6F9A7361" w14:textId="77777777" w:rsidR="00C07D2E" w:rsidRPr="005447B1" w:rsidRDefault="00C07D2E" w:rsidP="005447B1">
            <w:pPr>
              <w:spacing w:after="0" w:line="240" w:lineRule="auto"/>
              <w:rPr>
                <w:rFonts w:ascii="Times New Roman" w:hAnsi="Times New Roman"/>
                <w:color w:val="000000"/>
                <w:sz w:val="24"/>
                <w:szCs w:val="24"/>
              </w:rPr>
            </w:pPr>
            <w:r w:rsidRPr="005447B1">
              <w:rPr>
                <w:rFonts w:ascii="Times New Roman" w:hAnsi="Times New Roman"/>
                <w:color w:val="000000"/>
                <w:sz w:val="24"/>
                <w:szCs w:val="24"/>
              </w:rPr>
              <w:t>James Cressy, Framingham State University</w:t>
            </w:r>
          </w:p>
        </w:tc>
        <w:tc>
          <w:tcPr>
            <w:tcW w:w="9161" w:type="dxa"/>
          </w:tcPr>
          <w:p w14:paraId="134943DB" w14:textId="77777777" w:rsidR="00C07D2E" w:rsidRPr="005447B1" w:rsidRDefault="00C07D2E" w:rsidP="005447B1">
            <w:pPr>
              <w:pStyle w:val="Heading7"/>
              <w:numPr>
                <w:ilvl w:val="0"/>
                <w:numId w:val="0"/>
              </w:numPr>
              <w:ind w:left="720" w:hanging="720"/>
              <w:rPr>
                <w:b/>
                <w:sz w:val="24"/>
              </w:rPr>
            </w:pPr>
            <w:r w:rsidRPr="005447B1">
              <w:rPr>
                <w:b/>
                <w:i/>
                <w:snapToGrid w:val="0"/>
                <w:sz w:val="24"/>
                <w:szCs w:val="24"/>
                <w:u w:val="single"/>
              </w:rPr>
              <w:t>Concern:</w:t>
            </w:r>
            <w:r w:rsidRPr="005447B1">
              <w:rPr>
                <w:snapToGrid w:val="0"/>
                <w:sz w:val="24"/>
                <w:szCs w:val="24"/>
              </w:rPr>
              <w:t xml:space="preserve"> </w:t>
            </w:r>
            <w:r w:rsidRPr="005447B1">
              <w:rPr>
                <w:b/>
                <w:sz w:val="24"/>
              </w:rPr>
              <w:t>Section 7.08 – Professional Standards for Teachers</w:t>
            </w:r>
          </w:p>
          <w:p w14:paraId="7CBCE685" w14:textId="53BCD13E"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 xml:space="preserve">I am in favor of aligning the standards for preservice teachers with those of </w:t>
            </w:r>
            <w:proofErr w:type="spellStart"/>
            <w:r w:rsidRPr="005447B1">
              <w:rPr>
                <w:rFonts w:ascii="Times New Roman" w:hAnsi="Times New Roman"/>
                <w:sz w:val="24"/>
                <w:szCs w:val="24"/>
              </w:rPr>
              <w:t>inservice</w:t>
            </w:r>
            <w:proofErr w:type="spellEnd"/>
            <w:r w:rsidRPr="005447B1">
              <w:rPr>
                <w:rFonts w:ascii="Times New Roman" w:hAnsi="Times New Roman"/>
                <w:sz w:val="24"/>
                <w:szCs w:val="24"/>
              </w:rPr>
              <w:t xml:space="preserve"> teachers as proposed here.  My comments about this change will be made in reference to the model rubric for classroom teacher evaluation created by DESE and found here: </w:t>
            </w:r>
            <w:hyperlink r:id="rId11" w:history="1">
              <w:r w:rsidRPr="005447B1">
                <w:rPr>
                  <w:rStyle w:val="Hyperlink"/>
                  <w:rFonts w:ascii="Times New Roman" w:hAnsi="Times New Roman"/>
                  <w:sz w:val="24"/>
                  <w:szCs w:val="24"/>
                </w:rPr>
                <w:t>http://www.doe.mass.edu/edeval/model/PartIII_A</w:t>
              </w:r>
              <w:r w:rsidRPr="005447B1">
                <w:rPr>
                  <w:rStyle w:val="Hyperlink"/>
                  <w:rFonts w:ascii="Times New Roman" w:hAnsi="Times New Roman"/>
                  <w:sz w:val="24"/>
                  <w:szCs w:val="24"/>
                </w:rPr>
                <w:t>p</w:t>
              </w:r>
              <w:r w:rsidRPr="005447B1">
                <w:rPr>
                  <w:rStyle w:val="Hyperlink"/>
                  <w:rFonts w:ascii="Times New Roman" w:hAnsi="Times New Roman"/>
                  <w:sz w:val="24"/>
                  <w:szCs w:val="24"/>
                </w:rPr>
                <w:t>pxC.pdf</w:t>
              </w:r>
            </w:hyperlink>
            <w:bookmarkStart w:id="2" w:name="_GoBack"/>
            <w:bookmarkEnd w:id="2"/>
            <w:r w:rsidRPr="005447B1">
              <w:rPr>
                <w:rFonts w:ascii="Times New Roman" w:hAnsi="Times New Roman"/>
                <w:sz w:val="24"/>
                <w:szCs w:val="24"/>
              </w:rPr>
              <w:t xml:space="preserve"> </w:t>
            </w:r>
          </w:p>
          <w:p w14:paraId="75E484D5" w14:textId="77777777" w:rsidR="00C07D2E" w:rsidRPr="005447B1" w:rsidRDefault="00C07D2E" w:rsidP="005447B1">
            <w:pPr>
              <w:spacing w:after="0" w:line="240" w:lineRule="auto"/>
              <w:rPr>
                <w:rFonts w:ascii="Times New Roman" w:hAnsi="Times New Roman"/>
                <w:b/>
                <w:sz w:val="24"/>
                <w:szCs w:val="24"/>
              </w:rPr>
            </w:pPr>
          </w:p>
          <w:p w14:paraId="5AC8DDC8"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 xml:space="preserve">I was pleased to see students with disabilities referenced explicitly in three different areas of the rubric. However, I am concerned about the lack of explicit reference in the rubric to Individualized Education Programs (IEPs), 504 plans, accommodations, modifications, related services, and other aspects of special education. In section II-A-3 (Meeting Diverse Needs), the Proficient rubric descriptor states that the teacher will use “tiered interventions and scaffolds” but there is no requirement that the teacher follows the IEP or 504 plan for students with disabilities, providing the student with legally required accommodations and other supports. Later, in II-D-3, the rubric states that the teacher “adapts instruction, materials, and assessments” but </w:t>
            </w:r>
            <w:r w:rsidRPr="005447B1">
              <w:rPr>
                <w:rFonts w:ascii="Times New Roman" w:hAnsi="Times New Roman"/>
                <w:sz w:val="24"/>
                <w:szCs w:val="24"/>
              </w:rPr>
              <w:lastRenderedPageBreak/>
              <w:t>again, there is no explicit reference to the teacher’s legal requirements under special education law to do this in a certain way.</w:t>
            </w:r>
          </w:p>
          <w:p w14:paraId="66F12BFA" w14:textId="77777777" w:rsidR="00C07D2E" w:rsidRPr="005447B1" w:rsidRDefault="00C07D2E" w:rsidP="005447B1">
            <w:pPr>
              <w:spacing w:after="0" w:line="240" w:lineRule="auto"/>
              <w:rPr>
                <w:rFonts w:ascii="Times New Roman" w:hAnsi="Times New Roman"/>
                <w:sz w:val="24"/>
                <w:szCs w:val="24"/>
              </w:rPr>
            </w:pPr>
          </w:p>
          <w:p w14:paraId="4D310C5B"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In the current PPA standards, there is one (A8) that explicitly requires preservice teachers to demonstrate proficiency with implementing IEPs. If this requirement is removed, I think there could be a negative impact on students with disabilities and their families in the future. It is important that all teachers entering the field have experience and proficiency in using IEPs and 504 plans.</w:t>
            </w:r>
          </w:p>
          <w:p w14:paraId="6DB3E688" w14:textId="77777777" w:rsidR="00C07D2E" w:rsidRPr="005447B1" w:rsidRDefault="00C07D2E" w:rsidP="005447B1">
            <w:pPr>
              <w:spacing w:after="0" w:line="240" w:lineRule="auto"/>
              <w:rPr>
                <w:rFonts w:ascii="Times New Roman" w:hAnsi="Times New Roman"/>
                <w:sz w:val="24"/>
                <w:szCs w:val="24"/>
              </w:rPr>
            </w:pPr>
          </w:p>
          <w:p w14:paraId="299FE9B1"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 xml:space="preserve">In other areas of the rubric, I see important changes that will improve what we can focus on at the preservice level with respect to classroom and behavior management, classroom climate, and diversity and inclusion. My suggestion in this area would be to emphasize the need for teachers to attend to students’ social-emotional learning (SEL) and mental health needs. A quick word count of the rubric reveals that the word “behavior” is used many times in the guidelines, but the words “social,” “emotional,” “mental,” and “health” are never used. It is important that teachers are prepared to work with the whole child. Social, emotional, and behavioral supports can only be effectively provided when the teacher is prepared to address these issues across all age levels. I would recommend that preservice teachers have a requirement to demonstrate proficiency with social-emotional and behavioral supports, and recognizing the warning signs of mental health problems in children. </w:t>
            </w:r>
          </w:p>
          <w:p w14:paraId="76D4EF8F" w14:textId="77777777" w:rsidR="00C07D2E" w:rsidRPr="005447B1" w:rsidRDefault="00C07D2E" w:rsidP="005447B1">
            <w:pPr>
              <w:spacing w:after="0" w:line="240" w:lineRule="auto"/>
              <w:rPr>
                <w:rFonts w:ascii="Times New Roman" w:hAnsi="Times New Roman"/>
                <w:b/>
                <w:sz w:val="24"/>
                <w:szCs w:val="24"/>
              </w:rPr>
            </w:pPr>
          </w:p>
          <w:p w14:paraId="61F72CFE"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t xml:space="preserve">I was pleased to see that IV-E-1 includes an important change that requires teachers to focus on the school-wide behavior and learning expectations. This will help preservice teachers to work in schools that are implementing school-wide positive behavioral interventions and supports (PBIS). This area of the guidelines could be an appropriate place to add language and emphasis on social-emotional learning (SEL) and mental health needs. Students with internalizing problems such as anxiety, depression, eating disorders, etc. are more likely to fall through the cracks and not receive interventions, if the teachers are only looking for externalized behavior problems. </w:t>
            </w:r>
          </w:p>
          <w:p w14:paraId="628609C7" w14:textId="77777777" w:rsidR="00C07D2E" w:rsidRPr="005447B1" w:rsidRDefault="00C07D2E" w:rsidP="005447B1">
            <w:pPr>
              <w:spacing w:after="0" w:line="240" w:lineRule="auto"/>
              <w:rPr>
                <w:rFonts w:ascii="Times New Roman" w:hAnsi="Times New Roman"/>
                <w:sz w:val="24"/>
                <w:szCs w:val="24"/>
              </w:rPr>
            </w:pPr>
          </w:p>
        </w:tc>
        <w:tc>
          <w:tcPr>
            <w:tcW w:w="3600" w:type="dxa"/>
          </w:tcPr>
          <w:p w14:paraId="4B31FAA6" w14:textId="77777777" w:rsidR="00C07D2E" w:rsidRPr="005447B1" w:rsidRDefault="00C07D2E" w:rsidP="00731D52">
            <w:pPr>
              <w:spacing w:after="0" w:line="240" w:lineRule="auto"/>
              <w:rPr>
                <w:rFonts w:ascii="Times New Roman" w:hAnsi="Times New Roman"/>
                <w:sz w:val="24"/>
                <w:szCs w:val="24"/>
              </w:rPr>
            </w:pPr>
            <w:r w:rsidRPr="005447B1">
              <w:rPr>
                <w:rFonts w:ascii="Times New Roman" w:hAnsi="Times New Roman"/>
                <w:sz w:val="24"/>
                <w:szCs w:val="24"/>
              </w:rPr>
              <w:lastRenderedPageBreak/>
              <w:t xml:space="preserve">As proposed, the standards for preparation and licensure as outlined in 7.08 are the same standards outlined </w:t>
            </w:r>
            <w:r w:rsidR="00731D52">
              <w:rPr>
                <w:rFonts w:ascii="Times New Roman" w:hAnsi="Times New Roman"/>
                <w:sz w:val="24"/>
                <w:szCs w:val="24"/>
              </w:rPr>
              <w:t xml:space="preserve">in the evaluation regulations in </w:t>
            </w:r>
            <w:r w:rsidRPr="005447B1">
              <w:rPr>
                <w:rFonts w:ascii="Times New Roman" w:hAnsi="Times New Roman"/>
                <w:sz w:val="24"/>
                <w:szCs w:val="24"/>
              </w:rPr>
              <w:t>35.03.  The Department will</w:t>
            </w:r>
            <w:r w:rsidR="00553A5E" w:rsidRPr="005447B1">
              <w:rPr>
                <w:rFonts w:ascii="Times New Roman" w:hAnsi="Times New Roman"/>
                <w:sz w:val="24"/>
                <w:szCs w:val="24"/>
              </w:rPr>
              <w:t xml:space="preserve"> take </w:t>
            </w:r>
            <w:r w:rsidRPr="005447B1">
              <w:rPr>
                <w:rFonts w:ascii="Times New Roman" w:hAnsi="Times New Roman"/>
                <w:sz w:val="24"/>
                <w:szCs w:val="24"/>
              </w:rPr>
              <w:t>these comments</w:t>
            </w:r>
            <w:r w:rsidR="00553A5E" w:rsidRPr="005447B1">
              <w:rPr>
                <w:rFonts w:ascii="Times New Roman" w:hAnsi="Times New Roman"/>
                <w:sz w:val="24"/>
                <w:szCs w:val="24"/>
              </w:rPr>
              <w:t xml:space="preserve"> in</w:t>
            </w:r>
            <w:r w:rsidR="008C276E" w:rsidRPr="005447B1">
              <w:rPr>
                <w:rFonts w:ascii="Times New Roman" w:hAnsi="Times New Roman"/>
                <w:sz w:val="24"/>
                <w:szCs w:val="24"/>
              </w:rPr>
              <w:t>to</w:t>
            </w:r>
            <w:r w:rsidR="00553A5E" w:rsidRPr="005447B1">
              <w:rPr>
                <w:rFonts w:ascii="Times New Roman" w:hAnsi="Times New Roman"/>
                <w:sz w:val="24"/>
                <w:szCs w:val="24"/>
              </w:rPr>
              <w:t xml:space="preserve"> consideration </w:t>
            </w:r>
            <w:r w:rsidR="008C276E" w:rsidRPr="005447B1">
              <w:rPr>
                <w:rFonts w:ascii="Times New Roman" w:hAnsi="Times New Roman"/>
                <w:sz w:val="24"/>
                <w:szCs w:val="24"/>
              </w:rPr>
              <w:t>when</w:t>
            </w:r>
            <w:r w:rsidRPr="005447B1">
              <w:rPr>
                <w:rFonts w:ascii="Times New Roman" w:hAnsi="Times New Roman"/>
                <w:sz w:val="24"/>
                <w:szCs w:val="24"/>
              </w:rPr>
              <w:t xml:space="preserve"> </w:t>
            </w:r>
            <w:r w:rsidR="00731D52">
              <w:rPr>
                <w:rFonts w:ascii="Times New Roman" w:hAnsi="Times New Roman"/>
                <w:sz w:val="24"/>
                <w:szCs w:val="24"/>
              </w:rPr>
              <w:t xml:space="preserve">we draft </w:t>
            </w:r>
            <w:r w:rsidRPr="005447B1">
              <w:rPr>
                <w:rFonts w:ascii="Times New Roman" w:hAnsi="Times New Roman"/>
                <w:sz w:val="24"/>
                <w:szCs w:val="24"/>
              </w:rPr>
              <w:t xml:space="preserve">the indicators </w:t>
            </w:r>
            <w:r w:rsidR="00731D52">
              <w:rPr>
                <w:rFonts w:ascii="Times New Roman" w:hAnsi="Times New Roman"/>
                <w:sz w:val="24"/>
                <w:szCs w:val="24"/>
              </w:rPr>
              <w:t xml:space="preserve">to be included </w:t>
            </w:r>
            <w:r w:rsidRPr="005447B1">
              <w:rPr>
                <w:rFonts w:ascii="Times New Roman" w:hAnsi="Times New Roman"/>
                <w:sz w:val="24"/>
                <w:szCs w:val="24"/>
              </w:rPr>
              <w:t xml:space="preserve">in </w:t>
            </w:r>
            <w:r w:rsidR="00553A5E" w:rsidRPr="005447B1">
              <w:rPr>
                <w:rFonts w:ascii="Times New Roman" w:hAnsi="Times New Roman"/>
                <w:sz w:val="24"/>
                <w:szCs w:val="24"/>
              </w:rPr>
              <w:t xml:space="preserve">the </w:t>
            </w:r>
            <w:r w:rsidRPr="005447B1">
              <w:rPr>
                <w:rFonts w:ascii="Times New Roman" w:hAnsi="Times New Roman"/>
                <w:sz w:val="24"/>
                <w:szCs w:val="24"/>
              </w:rPr>
              <w:t xml:space="preserve">Guidelines. </w:t>
            </w:r>
          </w:p>
        </w:tc>
      </w:tr>
      <w:tr w:rsidR="00C07D2E" w:rsidRPr="005447B1" w14:paraId="76F5779C" w14:textId="77777777" w:rsidTr="005447B1">
        <w:trPr>
          <w:trHeight w:val="272"/>
        </w:trPr>
        <w:tc>
          <w:tcPr>
            <w:tcW w:w="2179" w:type="dxa"/>
            <w:tcBorders>
              <w:bottom w:val="single" w:sz="4" w:space="0" w:color="auto"/>
            </w:tcBorders>
          </w:tcPr>
          <w:p w14:paraId="065D82B0" w14:textId="77777777" w:rsidR="00C07D2E" w:rsidRPr="005447B1" w:rsidRDefault="00C07D2E" w:rsidP="005447B1">
            <w:pPr>
              <w:spacing w:after="0" w:line="240" w:lineRule="auto"/>
              <w:rPr>
                <w:rFonts w:ascii="Times New Roman" w:hAnsi="Times New Roman"/>
                <w:sz w:val="24"/>
                <w:szCs w:val="24"/>
              </w:rPr>
            </w:pPr>
            <w:r w:rsidRPr="005447B1">
              <w:rPr>
                <w:rFonts w:ascii="Times New Roman" w:hAnsi="Times New Roman"/>
                <w:sz w:val="24"/>
                <w:szCs w:val="24"/>
              </w:rPr>
              <w:lastRenderedPageBreak/>
              <w:t>Massachusetts Teachers Association (MTA)</w:t>
            </w:r>
          </w:p>
          <w:p w14:paraId="4C6B4B04" w14:textId="77777777" w:rsidR="00C07D2E" w:rsidRPr="005447B1" w:rsidRDefault="00C07D2E" w:rsidP="005447B1">
            <w:pPr>
              <w:spacing w:after="0" w:line="240" w:lineRule="auto"/>
              <w:rPr>
                <w:rFonts w:ascii="Times New Roman" w:hAnsi="Times New Roman"/>
                <w:color w:val="000000"/>
                <w:sz w:val="24"/>
                <w:szCs w:val="24"/>
              </w:rPr>
            </w:pPr>
          </w:p>
        </w:tc>
        <w:tc>
          <w:tcPr>
            <w:tcW w:w="9161" w:type="dxa"/>
            <w:tcBorders>
              <w:bottom w:val="single" w:sz="4" w:space="0" w:color="auto"/>
            </w:tcBorders>
          </w:tcPr>
          <w:p w14:paraId="4B29B151" w14:textId="77777777" w:rsidR="00C07D2E" w:rsidRPr="005447B1" w:rsidRDefault="00C07D2E" w:rsidP="005447B1">
            <w:pPr>
              <w:spacing w:after="0" w:line="240" w:lineRule="auto"/>
              <w:rPr>
                <w:rFonts w:ascii="Times New Roman" w:hAnsi="Times New Roman"/>
                <w:b/>
                <w:i/>
                <w:sz w:val="24"/>
                <w:szCs w:val="24"/>
                <w:u w:val="single"/>
              </w:rPr>
            </w:pPr>
            <w:r w:rsidRPr="005447B1">
              <w:rPr>
                <w:rFonts w:ascii="Times New Roman" w:hAnsi="Times New Roman"/>
                <w:b/>
                <w:i/>
                <w:sz w:val="24"/>
                <w:szCs w:val="24"/>
                <w:u w:val="single"/>
              </w:rPr>
              <w:t>Concern:</w:t>
            </w:r>
          </w:p>
          <w:p w14:paraId="19845A9A" w14:textId="77777777" w:rsidR="00C07D2E" w:rsidRPr="005447B1" w:rsidRDefault="00C07D2E" w:rsidP="005447B1">
            <w:pPr>
              <w:numPr>
                <w:ilvl w:val="0"/>
                <w:numId w:val="2"/>
              </w:numPr>
              <w:spacing w:after="0" w:line="240" w:lineRule="auto"/>
              <w:rPr>
                <w:rFonts w:ascii="Times New Roman" w:hAnsi="Times New Roman"/>
                <w:sz w:val="24"/>
                <w:szCs w:val="24"/>
              </w:rPr>
            </w:pPr>
            <w:r w:rsidRPr="005447B1">
              <w:rPr>
                <w:rFonts w:ascii="Times New Roman" w:hAnsi="Times New Roman"/>
                <w:sz w:val="24"/>
                <w:szCs w:val="24"/>
              </w:rPr>
              <w:t>Eliminating all past-due date-specific requirements outlined in 7.03, Educator Preparation Program, (8) Implementation.</w:t>
            </w:r>
          </w:p>
          <w:p w14:paraId="05948830" w14:textId="77777777" w:rsidR="003B53CC" w:rsidRPr="005447B1" w:rsidRDefault="00C07D2E" w:rsidP="005447B1">
            <w:pPr>
              <w:numPr>
                <w:ilvl w:val="0"/>
                <w:numId w:val="2"/>
              </w:numPr>
              <w:spacing w:after="0" w:line="240" w:lineRule="auto"/>
              <w:contextualSpacing/>
              <w:rPr>
                <w:rFonts w:ascii="Times New Roman" w:hAnsi="Times New Roman"/>
                <w:sz w:val="24"/>
                <w:szCs w:val="24"/>
              </w:rPr>
            </w:pPr>
            <w:r w:rsidRPr="005447B1">
              <w:rPr>
                <w:rFonts w:ascii="Times New Roman" w:hAnsi="Times New Roman"/>
                <w:sz w:val="24"/>
                <w:szCs w:val="24"/>
              </w:rPr>
              <w:t>Focusing on the performance assessment for Initial License in Professional Standards for Teachers in 7.08 (1).</w:t>
            </w:r>
            <w:r w:rsidR="003B53CC" w:rsidRPr="005447B1">
              <w:rPr>
                <w:rFonts w:ascii="Times New Roman" w:hAnsi="Times New Roman"/>
                <w:sz w:val="24"/>
                <w:szCs w:val="24"/>
              </w:rPr>
              <w:t xml:space="preserve">  </w:t>
            </w:r>
            <w:r w:rsidR="003B53CC" w:rsidRPr="005447B1">
              <w:rPr>
                <w:rFonts w:ascii="Times New Roman" w:eastAsia="Calibri" w:hAnsi="Times New Roman"/>
                <w:sz w:val="24"/>
                <w:szCs w:val="24"/>
              </w:rPr>
              <w:t>As written, the proposed changes would mandate a performance assessment as an additional requirement for all licenses – Preliminary, Initial and Professional – rather than the Initial license alone.  The term “Performance Assessment” appears in the definitions in 7.02 for both Initial License and Professional Licenses.   The MTA is assuming that the mandatory performance assessment cited here applies only to the Initial license.  We understand that there is an optional performance assessment for the Professional license.</w:t>
            </w:r>
          </w:p>
          <w:p w14:paraId="2E393C6E" w14:textId="77777777" w:rsidR="00FF0B5B" w:rsidRPr="005447B1" w:rsidRDefault="00FF0B5B" w:rsidP="005447B1">
            <w:pPr>
              <w:numPr>
                <w:ilvl w:val="0"/>
                <w:numId w:val="2"/>
              </w:numPr>
              <w:spacing w:after="0" w:line="240" w:lineRule="auto"/>
              <w:contextualSpacing/>
              <w:rPr>
                <w:rFonts w:ascii="Times New Roman" w:hAnsi="Times New Roman"/>
                <w:sz w:val="24"/>
                <w:szCs w:val="24"/>
              </w:rPr>
            </w:pPr>
            <w:r w:rsidRPr="005447B1">
              <w:rPr>
                <w:rFonts w:ascii="Times New Roman" w:eastAsia="Calibri" w:hAnsi="Times New Roman"/>
                <w:sz w:val="24"/>
                <w:szCs w:val="24"/>
              </w:rPr>
              <w:t>As written, the proposed amendments appear to apply only to candidates seeking Initial Licensure via a program, such as one offered by an institution of higher education.</w:t>
            </w:r>
            <w:r w:rsidR="005D5C1E" w:rsidRPr="005447B1">
              <w:rPr>
                <w:rFonts w:ascii="Times New Roman" w:eastAsia="Calibri" w:hAnsi="Times New Roman"/>
                <w:sz w:val="24"/>
                <w:szCs w:val="24"/>
              </w:rPr>
              <w:t xml:space="preserve">  The MTA proposed revision clarifies that the requirement to use the Standards and Indicators applies to all routes – either program or as</w:t>
            </w:r>
            <w:r w:rsidR="00731D52">
              <w:rPr>
                <w:rFonts w:ascii="Times New Roman" w:eastAsia="Calibri" w:hAnsi="Times New Roman"/>
                <w:sz w:val="24"/>
                <w:szCs w:val="24"/>
              </w:rPr>
              <w:t xml:space="preserve">sessments only such as PRPIL – </w:t>
            </w:r>
            <w:r w:rsidR="005D5C1E" w:rsidRPr="005447B1">
              <w:rPr>
                <w:rFonts w:ascii="Times New Roman" w:eastAsia="Calibri" w:hAnsi="Times New Roman"/>
                <w:sz w:val="24"/>
                <w:szCs w:val="24"/>
              </w:rPr>
              <w:t>for Initial Licensure.</w:t>
            </w:r>
          </w:p>
          <w:p w14:paraId="64D01B21" w14:textId="77777777" w:rsidR="00C07D2E" w:rsidRPr="005447B1" w:rsidRDefault="00C07D2E" w:rsidP="005447B1">
            <w:pPr>
              <w:numPr>
                <w:ilvl w:val="0"/>
                <w:numId w:val="2"/>
              </w:numPr>
              <w:spacing w:after="0" w:line="240" w:lineRule="auto"/>
              <w:rPr>
                <w:rFonts w:ascii="Times New Roman" w:hAnsi="Times New Roman"/>
                <w:sz w:val="24"/>
                <w:szCs w:val="24"/>
              </w:rPr>
            </w:pPr>
            <w:r w:rsidRPr="005447B1">
              <w:rPr>
                <w:rFonts w:ascii="Times New Roman" w:hAnsi="Times New Roman"/>
                <w:sz w:val="24"/>
                <w:szCs w:val="24"/>
              </w:rPr>
              <w:t>Aligning the Professional Standards and Indicators in Professional Standards for Teachers in 7.08 (2).with those in 603 CMR 3</w:t>
            </w:r>
            <w:r w:rsidR="005447B1" w:rsidRPr="005447B1">
              <w:rPr>
                <w:rFonts w:ascii="Times New Roman" w:hAnsi="Times New Roman"/>
                <w:sz w:val="24"/>
                <w:szCs w:val="24"/>
              </w:rPr>
              <w:t>5</w:t>
            </w:r>
            <w:r w:rsidRPr="005447B1">
              <w:rPr>
                <w:rFonts w:ascii="Times New Roman" w:hAnsi="Times New Roman"/>
                <w:sz w:val="24"/>
                <w:szCs w:val="24"/>
              </w:rPr>
              <w:t>.03</w:t>
            </w:r>
          </w:p>
          <w:p w14:paraId="1EADB2A8" w14:textId="77777777" w:rsidR="00C07D2E" w:rsidRPr="005447B1" w:rsidRDefault="00C07D2E" w:rsidP="005447B1">
            <w:pPr>
              <w:numPr>
                <w:ilvl w:val="0"/>
                <w:numId w:val="2"/>
              </w:numPr>
              <w:spacing w:after="0" w:line="240" w:lineRule="auto"/>
              <w:rPr>
                <w:rFonts w:ascii="Times New Roman" w:hAnsi="Times New Roman"/>
                <w:sz w:val="24"/>
                <w:szCs w:val="24"/>
              </w:rPr>
            </w:pPr>
            <w:r w:rsidRPr="005447B1">
              <w:rPr>
                <w:rFonts w:ascii="Times New Roman" w:hAnsi="Times New Roman"/>
                <w:sz w:val="24"/>
                <w:szCs w:val="24"/>
              </w:rPr>
              <w:t>Clarifying that the proposed additional indicators in Professional Standards for Teachers 7.08 (3) refer to Sheltered English Immersion endorsement requirements.</w:t>
            </w:r>
          </w:p>
          <w:p w14:paraId="08AB9F91" w14:textId="77777777" w:rsidR="00C07D2E" w:rsidRPr="005447B1" w:rsidRDefault="00C07D2E" w:rsidP="005447B1">
            <w:pPr>
              <w:spacing w:after="0" w:line="240" w:lineRule="auto"/>
              <w:rPr>
                <w:rFonts w:ascii="Times New Roman" w:hAnsi="Times New Roman"/>
                <w:sz w:val="24"/>
                <w:szCs w:val="24"/>
              </w:rPr>
            </w:pPr>
          </w:p>
        </w:tc>
        <w:tc>
          <w:tcPr>
            <w:tcW w:w="3600" w:type="dxa"/>
            <w:tcBorders>
              <w:bottom w:val="single" w:sz="4" w:space="0" w:color="auto"/>
            </w:tcBorders>
          </w:tcPr>
          <w:p w14:paraId="3B152A8F" w14:textId="77777777" w:rsidR="00C07D2E" w:rsidRPr="005447B1" w:rsidRDefault="00C07D2E" w:rsidP="005447B1">
            <w:pPr>
              <w:pStyle w:val="ListParagraph"/>
              <w:numPr>
                <w:ilvl w:val="0"/>
                <w:numId w:val="3"/>
              </w:numPr>
              <w:spacing w:after="0" w:line="240" w:lineRule="auto"/>
              <w:rPr>
                <w:rFonts w:ascii="Times New Roman" w:hAnsi="Times New Roman"/>
                <w:sz w:val="24"/>
                <w:szCs w:val="24"/>
              </w:rPr>
            </w:pPr>
            <w:r w:rsidRPr="005447B1">
              <w:rPr>
                <w:rFonts w:ascii="Times New Roman" w:hAnsi="Times New Roman"/>
                <w:sz w:val="24"/>
                <w:szCs w:val="24"/>
              </w:rPr>
              <w:t xml:space="preserve">We </w:t>
            </w:r>
            <w:r w:rsidR="005447B1" w:rsidRPr="005447B1">
              <w:rPr>
                <w:rFonts w:ascii="Times New Roman" w:hAnsi="Times New Roman"/>
                <w:sz w:val="24"/>
                <w:szCs w:val="24"/>
              </w:rPr>
              <w:t>agree. We h</w:t>
            </w:r>
            <w:r w:rsidRPr="005447B1">
              <w:rPr>
                <w:rFonts w:ascii="Times New Roman" w:hAnsi="Times New Roman"/>
                <w:sz w:val="24"/>
                <w:szCs w:val="24"/>
              </w:rPr>
              <w:t xml:space="preserve">ave </w:t>
            </w:r>
            <w:r w:rsidR="005447B1" w:rsidRPr="005447B1">
              <w:rPr>
                <w:rFonts w:ascii="Times New Roman" w:hAnsi="Times New Roman"/>
                <w:sz w:val="24"/>
                <w:szCs w:val="24"/>
              </w:rPr>
              <w:t>revised 7.03 (8) to remove</w:t>
            </w:r>
            <w:r w:rsidRPr="005447B1">
              <w:rPr>
                <w:rFonts w:ascii="Times New Roman" w:hAnsi="Times New Roman"/>
                <w:sz w:val="24"/>
                <w:szCs w:val="24"/>
              </w:rPr>
              <w:t xml:space="preserve"> all past implementation dates</w:t>
            </w:r>
            <w:r w:rsidR="005447B1" w:rsidRPr="005447B1">
              <w:rPr>
                <w:rFonts w:ascii="Times New Roman" w:hAnsi="Times New Roman"/>
                <w:sz w:val="24"/>
                <w:szCs w:val="24"/>
              </w:rPr>
              <w:t>.</w:t>
            </w:r>
          </w:p>
          <w:p w14:paraId="360E8239" w14:textId="77777777" w:rsidR="00C07D2E" w:rsidRPr="005447B1" w:rsidRDefault="00C07D2E" w:rsidP="005447B1">
            <w:pPr>
              <w:pStyle w:val="ListParagraph"/>
              <w:numPr>
                <w:ilvl w:val="0"/>
                <w:numId w:val="3"/>
              </w:numPr>
              <w:spacing w:after="0" w:line="240" w:lineRule="auto"/>
              <w:rPr>
                <w:rFonts w:ascii="Times New Roman" w:hAnsi="Times New Roman"/>
                <w:sz w:val="24"/>
                <w:szCs w:val="24"/>
              </w:rPr>
            </w:pPr>
            <w:r w:rsidRPr="005447B1">
              <w:rPr>
                <w:rFonts w:ascii="Times New Roman" w:hAnsi="Times New Roman"/>
                <w:sz w:val="24"/>
                <w:szCs w:val="24"/>
              </w:rPr>
              <w:t xml:space="preserve"> </w:t>
            </w:r>
            <w:r w:rsidR="003B53CC" w:rsidRPr="005447B1">
              <w:rPr>
                <w:rFonts w:ascii="Times New Roman" w:hAnsi="Times New Roman"/>
                <w:sz w:val="24"/>
                <w:szCs w:val="24"/>
              </w:rPr>
              <w:t>We</w:t>
            </w:r>
            <w:r w:rsidRPr="005447B1">
              <w:rPr>
                <w:rFonts w:ascii="Times New Roman" w:hAnsi="Times New Roman"/>
                <w:sz w:val="24"/>
                <w:szCs w:val="24"/>
              </w:rPr>
              <w:t xml:space="preserve"> have </w:t>
            </w:r>
            <w:r w:rsidR="00D7730E" w:rsidRPr="005447B1">
              <w:rPr>
                <w:rFonts w:ascii="Times New Roman" w:hAnsi="Times New Roman"/>
                <w:sz w:val="24"/>
                <w:szCs w:val="24"/>
              </w:rPr>
              <w:t xml:space="preserve">revised </w:t>
            </w:r>
            <w:r w:rsidRPr="005447B1">
              <w:rPr>
                <w:rFonts w:ascii="Times New Roman" w:hAnsi="Times New Roman"/>
                <w:sz w:val="24"/>
                <w:szCs w:val="24"/>
              </w:rPr>
              <w:t>7.08 (1)</w:t>
            </w:r>
            <w:r w:rsidR="00D7730E" w:rsidRPr="005447B1">
              <w:rPr>
                <w:rFonts w:ascii="Times New Roman" w:hAnsi="Times New Roman"/>
                <w:sz w:val="24"/>
                <w:szCs w:val="24"/>
              </w:rPr>
              <w:t xml:space="preserve"> to clarify this</w:t>
            </w:r>
            <w:r w:rsidRPr="005447B1">
              <w:rPr>
                <w:rFonts w:ascii="Times New Roman" w:hAnsi="Times New Roman"/>
                <w:sz w:val="24"/>
                <w:szCs w:val="24"/>
              </w:rPr>
              <w:t>.</w:t>
            </w:r>
            <w:r w:rsidR="003B53CC" w:rsidRPr="005447B1">
              <w:rPr>
                <w:rFonts w:ascii="Times New Roman" w:hAnsi="Times New Roman"/>
                <w:sz w:val="24"/>
                <w:szCs w:val="24"/>
              </w:rPr>
              <w:t xml:space="preserve">  </w:t>
            </w:r>
          </w:p>
          <w:p w14:paraId="65A6891D" w14:textId="0EBCAFF4" w:rsidR="00C07D2E" w:rsidRPr="005447B1" w:rsidRDefault="003B53CC" w:rsidP="005447B1">
            <w:pPr>
              <w:pStyle w:val="ListParagraph"/>
              <w:numPr>
                <w:ilvl w:val="0"/>
                <w:numId w:val="3"/>
              </w:numPr>
              <w:spacing w:after="0" w:line="240" w:lineRule="auto"/>
              <w:rPr>
                <w:rFonts w:ascii="Times New Roman" w:hAnsi="Times New Roman"/>
                <w:sz w:val="24"/>
                <w:szCs w:val="24"/>
              </w:rPr>
            </w:pPr>
            <w:r w:rsidRPr="005447B1">
              <w:rPr>
                <w:rFonts w:ascii="Times New Roman" w:hAnsi="Times New Roman"/>
                <w:sz w:val="24"/>
                <w:szCs w:val="24"/>
              </w:rPr>
              <w:t xml:space="preserve">The intention is to </w:t>
            </w:r>
            <w:r w:rsidR="00FF7F1E">
              <w:rPr>
                <w:rFonts w:ascii="Times New Roman" w:hAnsi="Times New Roman"/>
                <w:sz w:val="24"/>
                <w:szCs w:val="24"/>
              </w:rPr>
              <w:t xml:space="preserve">require the </w:t>
            </w:r>
            <w:r w:rsidR="00995C41">
              <w:rPr>
                <w:rFonts w:ascii="Times New Roman" w:hAnsi="Times New Roman"/>
                <w:sz w:val="24"/>
                <w:szCs w:val="24"/>
              </w:rPr>
              <w:t xml:space="preserve">Standards and Indicators </w:t>
            </w:r>
            <w:r w:rsidRPr="005447B1">
              <w:rPr>
                <w:rFonts w:ascii="Times New Roman" w:hAnsi="Times New Roman"/>
                <w:sz w:val="24"/>
                <w:szCs w:val="24"/>
              </w:rPr>
              <w:t xml:space="preserve">for all routes to initial teacher licensure, </w:t>
            </w:r>
            <w:r w:rsidR="00D7730E" w:rsidRPr="005447B1">
              <w:rPr>
                <w:rFonts w:ascii="Times New Roman" w:hAnsi="Times New Roman"/>
                <w:sz w:val="24"/>
                <w:szCs w:val="24"/>
              </w:rPr>
              <w:t>except for</w:t>
            </w:r>
            <w:r w:rsidRPr="005447B1">
              <w:rPr>
                <w:rFonts w:ascii="Times New Roman" w:hAnsi="Times New Roman"/>
                <w:sz w:val="24"/>
                <w:szCs w:val="24"/>
              </w:rPr>
              <w:t xml:space="preserve"> the out of state route</w:t>
            </w:r>
            <w:r w:rsidR="005D5C1E" w:rsidRPr="005447B1">
              <w:rPr>
                <w:rFonts w:ascii="Times New Roman" w:hAnsi="Times New Roman"/>
                <w:sz w:val="24"/>
                <w:szCs w:val="24"/>
              </w:rPr>
              <w:t xml:space="preserve"> (7.05 (5))</w:t>
            </w:r>
            <w:r w:rsidRPr="005447B1">
              <w:rPr>
                <w:rFonts w:ascii="Times New Roman" w:hAnsi="Times New Roman"/>
                <w:sz w:val="24"/>
                <w:szCs w:val="24"/>
              </w:rPr>
              <w:t xml:space="preserve">.  We have inserted additional references in 7.05 </w:t>
            </w:r>
            <w:r w:rsidR="005D5C1E" w:rsidRPr="005447B1">
              <w:rPr>
                <w:rFonts w:ascii="Times New Roman" w:hAnsi="Times New Roman"/>
                <w:sz w:val="24"/>
                <w:szCs w:val="24"/>
              </w:rPr>
              <w:t xml:space="preserve">(4) </w:t>
            </w:r>
            <w:r w:rsidRPr="005447B1">
              <w:rPr>
                <w:rFonts w:ascii="Times New Roman" w:hAnsi="Times New Roman"/>
                <w:sz w:val="24"/>
                <w:szCs w:val="24"/>
              </w:rPr>
              <w:t xml:space="preserve">and will also update the Pre-Service Performance Assessment Guidelines for Teachers: </w:t>
            </w:r>
            <w:hyperlink r:id="rId12" w:history="1">
              <w:r w:rsidR="00B801AA">
                <w:rPr>
                  <w:rStyle w:val="Hyperlink"/>
                  <w:rFonts w:ascii="Times New Roman" w:hAnsi="Times New Roman"/>
                  <w:sz w:val="24"/>
                  <w:szCs w:val="24"/>
                </w:rPr>
                <w:t>http://www.doe.mass.edu/edprep/resources/guidelines-advisories/</w:t>
              </w:r>
            </w:hyperlink>
            <w:r w:rsidRPr="005447B1">
              <w:rPr>
                <w:rFonts w:ascii="Times New Roman" w:hAnsi="Times New Roman"/>
                <w:sz w:val="24"/>
                <w:szCs w:val="24"/>
              </w:rPr>
              <w:t xml:space="preserve"> to include </w:t>
            </w:r>
            <w:r w:rsidR="005D5C1E" w:rsidRPr="005447B1">
              <w:rPr>
                <w:rFonts w:ascii="Times New Roman" w:hAnsi="Times New Roman"/>
                <w:sz w:val="24"/>
                <w:szCs w:val="24"/>
              </w:rPr>
              <w:t>Route 4 (7.05 (4)).</w:t>
            </w:r>
          </w:p>
          <w:p w14:paraId="40E71785" w14:textId="77777777" w:rsidR="003B53CC" w:rsidRPr="005447B1" w:rsidRDefault="00DA5CB6" w:rsidP="005447B1">
            <w:pPr>
              <w:pStyle w:val="ListParagraph"/>
              <w:numPr>
                <w:ilvl w:val="0"/>
                <w:numId w:val="3"/>
              </w:numPr>
              <w:spacing w:after="0" w:line="240" w:lineRule="auto"/>
              <w:rPr>
                <w:rFonts w:ascii="Times New Roman" w:hAnsi="Times New Roman"/>
                <w:sz w:val="24"/>
                <w:szCs w:val="24"/>
              </w:rPr>
            </w:pPr>
            <w:r w:rsidRPr="005447B1">
              <w:rPr>
                <w:rFonts w:ascii="Times New Roman" w:hAnsi="Times New Roman"/>
                <w:sz w:val="24"/>
                <w:szCs w:val="24"/>
              </w:rPr>
              <w:t>The standards are aligned to 35.03 and for consistency with 7.09 (Professional Standards for Administrative Leadership), we are leaving this section as is.</w:t>
            </w:r>
          </w:p>
          <w:p w14:paraId="7C7E1810" w14:textId="77777777" w:rsidR="00C07D2E" w:rsidRPr="005447B1" w:rsidRDefault="00136309" w:rsidP="005447B1">
            <w:pPr>
              <w:pStyle w:val="ListParagraph"/>
              <w:numPr>
                <w:ilvl w:val="0"/>
                <w:numId w:val="3"/>
              </w:numPr>
              <w:spacing w:after="0" w:line="240" w:lineRule="auto"/>
              <w:rPr>
                <w:rFonts w:ascii="Times New Roman" w:hAnsi="Times New Roman"/>
                <w:sz w:val="24"/>
                <w:szCs w:val="24"/>
              </w:rPr>
            </w:pPr>
            <w:r w:rsidRPr="005447B1">
              <w:rPr>
                <w:rFonts w:ascii="Times New Roman" w:hAnsi="Times New Roman"/>
                <w:sz w:val="24"/>
                <w:szCs w:val="24"/>
              </w:rPr>
              <w:t xml:space="preserve">The </w:t>
            </w:r>
            <w:r w:rsidR="00BC7BE0" w:rsidRPr="005447B1">
              <w:rPr>
                <w:rFonts w:ascii="Times New Roman" w:hAnsi="Times New Roman"/>
                <w:sz w:val="24"/>
                <w:szCs w:val="24"/>
              </w:rPr>
              <w:t xml:space="preserve">requirements </w:t>
            </w:r>
            <w:r w:rsidRPr="005447B1">
              <w:rPr>
                <w:rFonts w:ascii="Times New Roman" w:hAnsi="Times New Roman"/>
                <w:sz w:val="24"/>
                <w:szCs w:val="24"/>
              </w:rPr>
              <w:t>set forth</w:t>
            </w:r>
            <w:r w:rsidR="00C07D2E" w:rsidRPr="005447B1">
              <w:rPr>
                <w:rFonts w:ascii="Times New Roman" w:hAnsi="Times New Roman"/>
                <w:sz w:val="24"/>
                <w:szCs w:val="24"/>
              </w:rPr>
              <w:t xml:space="preserve"> in 7.08 (3)</w:t>
            </w:r>
            <w:r w:rsidR="00BC7BE0" w:rsidRPr="005447B1">
              <w:rPr>
                <w:rFonts w:ascii="Times New Roman" w:hAnsi="Times New Roman"/>
                <w:sz w:val="24"/>
                <w:szCs w:val="24"/>
              </w:rPr>
              <w:t xml:space="preserve"> were adopted by the Board in June 2012 as part of the RETELL initiative</w:t>
            </w:r>
            <w:r w:rsidR="00DA5CB6" w:rsidRPr="005447B1">
              <w:rPr>
                <w:rFonts w:ascii="Times New Roman" w:hAnsi="Times New Roman"/>
                <w:sz w:val="24"/>
                <w:szCs w:val="24"/>
              </w:rPr>
              <w:t>.</w:t>
            </w:r>
            <w:r w:rsidR="00BC7BE0" w:rsidRPr="005447B1">
              <w:rPr>
                <w:rFonts w:ascii="Times New Roman" w:hAnsi="Times New Roman"/>
                <w:sz w:val="24"/>
                <w:szCs w:val="24"/>
              </w:rPr>
              <w:t xml:space="preserve"> These requirements apply to all teachers and thus are not limited to the SEI endorsement</w:t>
            </w:r>
            <w:r w:rsidR="00731D52">
              <w:rPr>
                <w:rFonts w:ascii="Times New Roman" w:hAnsi="Times New Roman"/>
                <w:sz w:val="24"/>
                <w:szCs w:val="24"/>
              </w:rPr>
              <w:t>.</w:t>
            </w:r>
          </w:p>
          <w:p w14:paraId="0C6E1A59" w14:textId="77777777" w:rsidR="00C07D2E" w:rsidRPr="005447B1" w:rsidRDefault="00C07D2E" w:rsidP="005447B1">
            <w:pPr>
              <w:spacing w:after="0" w:line="240" w:lineRule="auto"/>
              <w:rPr>
                <w:rFonts w:ascii="Times New Roman" w:hAnsi="Times New Roman"/>
                <w:sz w:val="24"/>
                <w:szCs w:val="24"/>
              </w:rPr>
            </w:pPr>
          </w:p>
        </w:tc>
      </w:tr>
    </w:tbl>
    <w:p w14:paraId="41FA8D1D" w14:textId="77777777" w:rsidR="00C07D2E" w:rsidRPr="00245550" w:rsidRDefault="00C07D2E" w:rsidP="00C07D2E">
      <w:pPr>
        <w:rPr>
          <w:rFonts w:ascii="Times New Roman" w:hAnsi="Times New Roman"/>
          <w:sz w:val="24"/>
          <w:szCs w:val="24"/>
        </w:rPr>
      </w:pPr>
    </w:p>
    <w:p w14:paraId="44046BAD" w14:textId="77777777" w:rsidR="00977F23" w:rsidRDefault="00977F23"/>
    <w:sectPr w:rsidR="00977F23" w:rsidSect="00C07D2E">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A0243" w14:textId="77777777" w:rsidR="0021071C" w:rsidRDefault="0021071C" w:rsidP="00875F2E">
      <w:pPr>
        <w:spacing w:after="0" w:line="240" w:lineRule="auto"/>
      </w:pPr>
      <w:r>
        <w:separator/>
      </w:r>
    </w:p>
  </w:endnote>
  <w:endnote w:type="continuationSeparator" w:id="0">
    <w:p w14:paraId="6FBDB291" w14:textId="77777777" w:rsidR="0021071C" w:rsidRDefault="0021071C" w:rsidP="0087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8863" w14:textId="77777777" w:rsidR="00995C41" w:rsidRDefault="00995C41">
    <w:pPr>
      <w:pStyle w:val="Footer"/>
      <w:jc w:val="right"/>
    </w:pPr>
    <w:r>
      <w:fldChar w:fldCharType="begin"/>
    </w:r>
    <w:r>
      <w:instrText xml:space="preserve"> PAGE   \* MERGEFORMAT </w:instrText>
    </w:r>
    <w:r>
      <w:fldChar w:fldCharType="separate"/>
    </w:r>
    <w:r w:rsidR="00957813">
      <w:rPr>
        <w:noProof/>
      </w:rPr>
      <w:t>4</w:t>
    </w:r>
    <w:r>
      <w:fldChar w:fldCharType="end"/>
    </w:r>
  </w:p>
  <w:p w14:paraId="43D52691" w14:textId="77777777" w:rsidR="00995C41" w:rsidRDefault="0099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16A74" w14:textId="77777777" w:rsidR="0021071C" w:rsidRDefault="0021071C" w:rsidP="00875F2E">
      <w:pPr>
        <w:spacing w:after="0" w:line="240" w:lineRule="auto"/>
      </w:pPr>
      <w:r>
        <w:separator/>
      </w:r>
    </w:p>
  </w:footnote>
  <w:footnote w:type="continuationSeparator" w:id="0">
    <w:p w14:paraId="12BFDDDD" w14:textId="77777777" w:rsidR="0021071C" w:rsidRDefault="0021071C" w:rsidP="00875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641A"/>
    <w:multiLevelType w:val="hybridMultilevel"/>
    <w:tmpl w:val="E8EAF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9D1E42"/>
    <w:multiLevelType w:val="hybridMultilevel"/>
    <w:tmpl w:val="4D66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0145A"/>
    <w:multiLevelType w:val="hybridMultilevel"/>
    <w:tmpl w:val="0AE2C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6A467B"/>
    <w:multiLevelType w:val="hybridMultilevel"/>
    <w:tmpl w:val="62BEA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9C6DC6"/>
    <w:multiLevelType w:val="hybridMultilevel"/>
    <w:tmpl w:val="7B32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B150A"/>
    <w:multiLevelType w:val="hybridMultilevel"/>
    <w:tmpl w:val="968CF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BC4174"/>
    <w:multiLevelType w:val="hybridMultilevel"/>
    <w:tmpl w:val="898E8D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447E2"/>
    <w:multiLevelType w:val="singleLevel"/>
    <w:tmpl w:val="FDDEDED2"/>
    <w:lvl w:ilvl="0">
      <w:start w:val="1"/>
      <w:numFmt w:val="upperRoman"/>
      <w:pStyle w:val="Heading7"/>
      <w:lvlText w:val="%1."/>
      <w:lvlJc w:val="left"/>
      <w:pPr>
        <w:tabs>
          <w:tab w:val="num" w:pos="720"/>
        </w:tabs>
        <w:ind w:left="720" w:hanging="720"/>
      </w:pPr>
    </w:lvl>
  </w:abstractNum>
  <w:num w:numId="1">
    <w:abstractNumId w:val="2"/>
  </w:num>
  <w:num w:numId="2">
    <w:abstractNumId w:val="4"/>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2E"/>
    <w:rsid w:val="00053B80"/>
    <w:rsid w:val="000566A7"/>
    <w:rsid w:val="000653F4"/>
    <w:rsid w:val="00091A96"/>
    <w:rsid w:val="000C02AE"/>
    <w:rsid w:val="000F5665"/>
    <w:rsid w:val="00101A1D"/>
    <w:rsid w:val="00103A48"/>
    <w:rsid w:val="00136309"/>
    <w:rsid w:val="00146528"/>
    <w:rsid w:val="00167C21"/>
    <w:rsid w:val="00183120"/>
    <w:rsid w:val="001C41C4"/>
    <w:rsid w:val="001C7B3C"/>
    <w:rsid w:val="001D5B60"/>
    <w:rsid w:val="001D6007"/>
    <w:rsid w:val="001E3898"/>
    <w:rsid w:val="0021071C"/>
    <w:rsid w:val="00215271"/>
    <w:rsid w:val="002244DD"/>
    <w:rsid w:val="002305F9"/>
    <w:rsid w:val="00247FA5"/>
    <w:rsid w:val="002704D1"/>
    <w:rsid w:val="002E66C4"/>
    <w:rsid w:val="002F430C"/>
    <w:rsid w:val="00322760"/>
    <w:rsid w:val="0032277C"/>
    <w:rsid w:val="003632BB"/>
    <w:rsid w:val="003B53CC"/>
    <w:rsid w:val="003D7151"/>
    <w:rsid w:val="004100F0"/>
    <w:rsid w:val="00410B25"/>
    <w:rsid w:val="00416E16"/>
    <w:rsid w:val="004361BB"/>
    <w:rsid w:val="004E3EA5"/>
    <w:rsid w:val="005121D6"/>
    <w:rsid w:val="005447B1"/>
    <w:rsid w:val="00553A5E"/>
    <w:rsid w:val="005B7CF0"/>
    <w:rsid w:val="005D2786"/>
    <w:rsid w:val="005D5C1E"/>
    <w:rsid w:val="005E36C0"/>
    <w:rsid w:val="00661E77"/>
    <w:rsid w:val="00671277"/>
    <w:rsid w:val="00687028"/>
    <w:rsid w:val="006D6E8A"/>
    <w:rsid w:val="00722903"/>
    <w:rsid w:val="00731D52"/>
    <w:rsid w:val="00750DB4"/>
    <w:rsid w:val="0075149C"/>
    <w:rsid w:val="007B0EC5"/>
    <w:rsid w:val="007E52AE"/>
    <w:rsid w:val="0084433F"/>
    <w:rsid w:val="00875F2E"/>
    <w:rsid w:val="008C276E"/>
    <w:rsid w:val="008D23AC"/>
    <w:rsid w:val="00906A36"/>
    <w:rsid w:val="00931DCE"/>
    <w:rsid w:val="00957813"/>
    <w:rsid w:val="009779E4"/>
    <w:rsid w:val="00977F23"/>
    <w:rsid w:val="00995C41"/>
    <w:rsid w:val="009B1307"/>
    <w:rsid w:val="009E0BEC"/>
    <w:rsid w:val="00A57181"/>
    <w:rsid w:val="00A65DCF"/>
    <w:rsid w:val="00A83622"/>
    <w:rsid w:val="00A9205D"/>
    <w:rsid w:val="00A925C3"/>
    <w:rsid w:val="00AA7F8F"/>
    <w:rsid w:val="00AE29DB"/>
    <w:rsid w:val="00AE2E90"/>
    <w:rsid w:val="00B040AC"/>
    <w:rsid w:val="00B046CC"/>
    <w:rsid w:val="00B33ED8"/>
    <w:rsid w:val="00B62A73"/>
    <w:rsid w:val="00B63650"/>
    <w:rsid w:val="00B801AA"/>
    <w:rsid w:val="00B917AD"/>
    <w:rsid w:val="00BC7BE0"/>
    <w:rsid w:val="00BD59AD"/>
    <w:rsid w:val="00C07D2E"/>
    <w:rsid w:val="00CB2058"/>
    <w:rsid w:val="00CB4957"/>
    <w:rsid w:val="00CC5668"/>
    <w:rsid w:val="00D31DC9"/>
    <w:rsid w:val="00D370FA"/>
    <w:rsid w:val="00D64FA4"/>
    <w:rsid w:val="00D7730E"/>
    <w:rsid w:val="00DA5CB6"/>
    <w:rsid w:val="00DF30EE"/>
    <w:rsid w:val="00E06649"/>
    <w:rsid w:val="00E16D2C"/>
    <w:rsid w:val="00E17CA4"/>
    <w:rsid w:val="00E22088"/>
    <w:rsid w:val="00F27E4C"/>
    <w:rsid w:val="00F517CF"/>
    <w:rsid w:val="00F71EA0"/>
    <w:rsid w:val="00FF0B5B"/>
    <w:rsid w:val="00FF7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5B93"/>
  <w15:docId w15:val="{79D8A19F-4BF9-42FD-A427-E5FC671E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2E"/>
    <w:pPr>
      <w:spacing w:after="200" w:line="276" w:lineRule="auto"/>
    </w:pPr>
    <w:rPr>
      <w:rFonts w:eastAsia="Times New Roman"/>
      <w:sz w:val="22"/>
      <w:szCs w:val="22"/>
    </w:rPr>
  </w:style>
  <w:style w:type="paragraph" w:styleId="Heading3">
    <w:name w:val="heading 3"/>
    <w:basedOn w:val="Normal"/>
    <w:next w:val="Normal"/>
    <w:link w:val="Heading3Char"/>
    <w:uiPriority w:val="9"/>
    <w:semiHidden/>
    <w:unhideWhenUsed/>
    <w:qFormat/>
    <w:rsid w:val="003B53CC"/>
    <w:pPr>
      <w:keepNext/>
      <w:keepLines/>
      <w:spacing w:before="200" w:after="0"/>
      <w:outlineLvl w:val="2"/>
    </w:pPr>
    <w:rPr>
      <w:rFonts w:ascii="Cambria" w:hAnsi="Cambria"/>
      <w:b/>
      <w:bCs/>
      <w:color w:val="4F81BD"/>
    </w:rPr>
  </w:style>
  <w:style w:type="paragraph" w:styleId="Heading7">
    <w:name w:val="heading 7"/>
    <w:basedOn w:val="Normal"/>
    <w:next w:val="Normal"/>
    <w:link w:val="Heading7Char"/>
    <w:qFormat/>
    <w:rsid w:val="00C07D2E"/>
    <w:pPr>
      <w:keepNext/>
      <w:numPr>
        <w:numId w:val="4"/>
      </w:numPr>
      <w:spacing w:after="0" w:line="240" w:lineRule="auto"/>
      <w:outlineLvl w:val="6"/>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07D2E"/>
    <w:rPr>
      <w:rFonts w:ascii="Times New Roman" w:eastAsia="Times New Roman" w:hAnsi="Times New Roman" w:cs="Times New Roman"/>
      <w:szCs w:val="20"/>
    </w:rPr>
  </w:style>
  <w:style w:type="table" w:styleId="TableGrid">
    <w:name w:val="Table Grid"/>
    <w:basedOn w:val="TableNormal"/>
    <w:uiPriority w:val="59"/>
    <w:rsid w:val="00C07D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D2E"/>
    <w:pPr>
      <w:ind w:left="720"/>
      <w:contextualSpacing/>
    </w:pPr>
  </w:style>
  <w:style w:type="paragraph" w:customStyle="1" w:styleId="Default">
    <w:name w:val="Default"/>
    <w:rsid w:val="00C07D2E"/>
    <w:pPr>
      <w:autoSpaceDE w:val="0"/>
      <w:autoSpaceDN w:val="0"/>
      <w:adjustRightInd w:val="0"/>
    </w:pPr>
    <w:rPr>
      <w:rFonts w:ascii="Times New Roman" w:eastAsia="Times New Roman" w:hAnsi="Times New Roman"/>
      <w:color w:val="000000"/>
      <w:sz w:val="24"/>
      <w:szCs w:val="24"/>
    </w:rPr>
  </w:style>
  <w:style w:type="paragraph" w:styleId="Footer">
    <w:name w:val="footer"/>
    <w:basedOn w:val="Normal"/>
    <w:link w:val="FooterChar"/>
    <w:unhideWhenUsed/>
    <w:rsid w:val="00C07D2E"/>
    <w:pPr>
      <w:tabs>
        <w:tab w:val="center" w:pos="4680"/>
        <w:tab w:val="right" w:pos="9360"/>
      </w:tabs>
      <w:spacing w:after="0" w:line="240" w:lineRule="auto"/>
    </w:pPr>
  </w:style>
  <w:style w:type="character" w:customStyle="1" w:styleId="FooterChar">
    <w:name w:val="Footer Char"/>
    <w:basedOn w:val="DefaultParagraphFont"/>
    <w:link w:val="Footer"/>
    <w:rsid w:val="00C07D2E"/>
    <w:rPr>
      <w:rFonts w:eastAsia="Times New Roman"/>
    </w:rPr>
  </w:style>
  <w:style w:type="character" w:styleId="CommentReference">
    <w:name w:val="annotation reference"/>
    <w:basedOn w:val="DefaultParagraphFont"/>
    <w:uiPriority w:val="99"/>
    <w:semiHidden/>
    <w:unhideWhenUsed/>
    <w:rsid w:val="00C07D2E"/>
    <w:rPr>
      <w:sz w:val="16"/>
      <w:szCs w:val="16"/>
    </w:rPr>
  </w:style>
  <w:style w:type="paragraph" w:styleId="CommentText">
    <w:name w:val="annotation text"/>
    <w:basedOn w:val="Normal"/>
    <w:link w:val="CommentTextChar"/>
    <w:uiPriority w:val="99"/>
    <w:semiHidden/>
    <w:unhideWhenUsed/>
    <w:rsid w:val="00C07D2E"/>
    <w:pPr>
      <w:spacing w:line="240" w:lineRule="auto"/>
    </w:pPr>
    <w:rPr>
      <w:sz w:val="20"/>
      <w:szCs w:val="20"/>
    </w:rPr>
  </w:style>
  <w:style w:type="character" w:customStyle="1" w:styleId="CommentTextChar">
    <w:name w:val="Comment Text Char"/>
    <w:basedOn w:val="DefaultParagraphFont"/>
    <w:link w:val="CommentText"/>
    <w:uiPriority w:val="99"/>
    <w:semiHidden/>
    <w:rsid w:val="00C07D2E"/>
    <w:rPr>
      <w:rFonts w:eastAsia="Times New Roman"/>
      <w:sz w:val="20"/>
      <w:szCs w:val="20"/>
    </w:rPr>
  </w:style>
  <w:style w:type="paragraph" w:styleId="PlainText">
    <w:name w:val="Plain Text"/>
    <w:basedOn w:val="Normal"/>
    <w:link w:val="PlainTextChar"/>
    <w:uiPriority w:val="99"/>
    <w:unhideWhenUsed/>
    <w:rsid w:val="00C07D2E"/>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C07D2E"/>
    <w:rPr>
      <w:rFonts w:ascii="Consolas" w:hAnsi="Consolas"/>
      <w:sz w:val="21"/>
      <w:szCs w:val="21"/>
    </w:rPr>
  </w:style>
  <w:style w:type="character" w:styleId="Hyperlink">
    <w:name w:val="Hyperlink"/>
    <w:basedOn w:val="DefaultParagraphFont"/>
    <w:uiPriority w:val="99"/>
    <w:unhideWhenUsed/>
    <w:rsid w:val="00C07D2E"/>
    <w:rPr>
      <w:color w:val="0000FF"/>
      <w:u w:val="single"/>
    </w:rPr>
  </w:style>
  <w:style w:type="paragraph" w:styleId="BalloonText">
    <w:name w:val="Balloon Text"/>
    <w:basedOn w:val="Normal"/>
    <w:link w:val="BalloonTextChar"/>
    <w:uiPriority w:val="99"/>
    <w:semiHidden/>
    <w:unhideWhenUsed/>
    <w:rsid w:val="00C0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D2E"/>
    <w:rPr>
      <w:rFonts w:ascii="Tahoma" w:eastAsia="Times New Roman" w:hAnsi="Tahoma" w:cs="Tahoma"/>
      <w:sz w:val="16"/>
      <w:szCs w:val="16"/>
    </w:rPr>
  </w:style>
  <w:style w:type="character" w:customStyle="1" w:styleId="Heading3Char">
    <w:name w:val="Heading 3 Char"/>
    <w:basedOn w:val="DefaultParagraphFont"/>
    <w:link w:val="Heading3"/>
    <w:uiPriority w:val="9"/>
    <w:rsid w:val="003B53CC"/>
    <w:rPr>
      <w:rFonts w:ascii="Cambria" w:eastAsia="Times New Roman" w:hAnsi="Cambria" w:cs="Times New Roman"/>
      <w:b/>
      <w:bCs/>
      <w:color w:val="4F81BD"/>
    </w:rPr>
  </w:style>
  <w:style w:type="character" w:styleId="FollowedHyperlink">
    <w:name w:val="FollowedHyperlink"/>
    <w:basedOn w:val="DefaultParagraphFont"/>
    <w:uiPriority w:val="99"/>
    <w:semiHidden/>
    <w:unhideWhenUsed/>
    <w:rsid w:val="00F71EA0"/>
    <w:rPr>
      <w:color w:val="800080" w:themeColor="followedHyperlink"/>
      <w:u w:val="single"/>
    </w:rPr>
  </w:style>
  <w:style w:type="character" w:styleId="UnresolvedMention">
    <w:name w:val="Unresolved Mention"/>
    <w:basedOn w:val="DefaultParagraphFont"/>
    <w:uiPriority w:val="99"/>
    <w:semiHidden/>
    <w:unhideWhenUsed/>
    <w:rsid w:val="00F7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edprep/resources/guidelines-advisor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eval/model/PartIII_AppxC.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DESE-231-64448</_dlc_DocId>
    <_dlc_DocIdUrl xmlns="733efe1c-5bbe-4968-87dc-d400e65c879f">
      <Url>https://sharepoint.doemass.org/ese/webteam/cps/_layouts/DocIdRedir.aspx?ID=DESE-231-64448</Url>
      <Description>DESE-231-64448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6B4E4-719E-4916-81FE-3451A43F97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CD8ED15-9796-4240-BB07-E9A21982F04F}">
  <ds:schemaRefs>
    <ds:schemaRef ds:uri="http://schemas.microsoft.com/sharepoint/v3/contenttype/forms"/>
  </ds:schemaRefs>
</ds:datastoreItem>
</file>

<file path=customXml/itemProps3.xml><?xml version="1.0" encoding="utf-8"?>
<ds:datastoreItem xmlns:ds="http://schemas.openxmlformats.org/officeDocument/2006/customXml" ds:itemID="{D5CF7096-4E6E-43A4-8EDC-0F342C5AB02F}">
  <ds:schemaRefs>
    <ds:schemaRef ds:uri="http://schemas.microsoft.com/sharepoint/events"/>
  </ds:schemaRefs>
</ds:datastoreItem>
</file>

<file path=customXml/itemProps4.xml><?xml version="1.0" encoding="utf-8"?>
<ds:datastoreItem xmlns:ds="http://schemas.openxmlformats.org/officeDocument/2006/customXml" ds:itemID="{F4F594EE-5A30-4C0F-A979-BC346C94D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Summary of Public Comments on Proposed Amendments to 603 CMR 7.00</vt:lpstr>
    </vt:vector>
  </TitlesOfParts>
  <Company/>
  <LinksUpToDate>false</LinksUpToDate>
  <CharactersWithSpaces>10025</CharactersWithSpaces>
  <SharedDoc>false</SharedDoc>
  <HLinks>
    <vt:vector size="12" baseType="variant">
      <vt:variant>
        <vt:i4>720899</vt:i4>
      </vt:variant>
      <vt:variant>
        <vt:i4>3</vt:i4>
      </vt:variant>
      <vt:variant>
        <vt:i4>0</vt:i4>
      </vt:variant>
      <vt:variant>
        <vt:i4>5</vt:i4>
      </vt:variant>
      <vt:variant>
        <vt:lpwstr>http://www.doe.mass.edu/edprep/ppa/guidelines.pdf</vt:lpwstr>
      </vt:variant>
      <vt:variant>
        <vt:lpwstr/>
      </vt:variant>
      <vt:variant>
        <vt:i4>2883609</vt:i4>
      </vt:variant>
      <vt:variant>
        <vt:i4>0</vt:i4>
      </vt:variant>
      <vt:variant>
        <vt:i4>0</vt:i4>
      </vt:variant>
      <vt:variant>
        <vt:i4>5</vt:i4>
      </vt:variant>
      <vt:variant>
        <vt:lpwstr>http://www.doe.mass.edu/edeval/model/PartIII_AppxC.pdf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Public Comments on Proposed Amendments to 603 CMR 7.00</dc:title>
  <dc:creator>DESE</dc:creator>
  <cp:lastModifiedBy>Zou, Dong (EOE)</cp:lastModifiedBy>
  <cp:revision>3</cp:revision>
  <dcterms:created xsi:type="dcterms:W3CDTF">2020-09-11T14:32:00Z</dcterms:created>
  <dcterms:modified xsi:type="dcterms:W3CDTF">2020-09-11T19:00:00Z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2020</vt:lpwstr>
  </property>
</Properties>
</file>