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AF50" w14:textId="77777777" w:rsidR="00FD23FE"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B87AFFA" wp14:editId="4B87AFF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B87AF51" w14:textId="77777777" w:rsidR="00FD23FE" w:rsidRDefault="00FD23FE">
      <w:pPr>
        <w:outlineLvl w:val="0"/>
        <w:rPr>
          <w:rFonts w:ascii="Arial" w:hAnsi="Arial"/>
          <w:b/>
          <w:i/>
          <w:sz w:val="50"/>
        </w:rPr>
      </w:pPr>
      <w:r>
        <w:rPr>
          <w:rFonts w:ascii="Arial" w:hAnsi="Arial"/>
          <w:b/>
          <w:i/>
          <w:sz w:val="40"/>
        </w:rPr>
        <w:t>Elementary and Secondary Education</w:t>
      </w:r>
    </w:p>
    <w:p w14:paraId="4B87AF52" w14:textId="714C7DD8" w:rsidR="00FD23FE" w:rsidRDefault="009556BD">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B87AFFC" wp14:editId="33A23809">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4B87AF53"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4B87AF54" w14:textId="77777777" w:rsidR="00FD23FE" w:rsidRDefault="00FD23FE">
      <w:pPr>
        <w:pStyle w:val="Heading2"/>
        <w:tabs>
          <w:tab w:val="right" w:pos="9000"/>
        </w:tabs>
        <w:jc w:val="left"/>
        <w:rPr>
          <w:sz w:val="16"/>
          <w:szCs w:val="16"/>
        </w:rPr>
      </w:pPr>
      <w:r>
        <w:rPr>
          <w:sz w:val="16"/>
          <w:szCs w:val="16"/>
        </w:rPr>
        <w:t xml:space="preserve">                                                                                                                 TTY: N.E.T. Relay 1-800-439-2370</w:t>
      </w:r>
    </w:p>
    <w:p w14:paraId="4B87AF55" w14:textId="77777777" w:rsidR="00FD23FE" w:rsidRDefault="00FD23FE">
      <w:pPr>
        <w:ind w:left="720"/>
        <w:rPr>
          <w:rFonts w:ascii="Arial" w:hAnsi="Arial"/>
          <w:i/>
          <w:sz w:val="16"/>
          <w:szCs w:val="16"/>
        </w:rPr>
      </w:pPr>
    </w:p>
    <w:p w14:paraId="4B87AF56" w14:textId="77777777" w:rsidR="00FD23FE" w:rsidRDefault="00FD23FE">
      <w:pPr>
        <w:ind w:left="720"/>
        <w:rPr>
          <w:rFonts w:ascii="Arial" w:hAnsi="Arial"/>
          <w:i/>
          <w:sz w:val="18"/>
        </w:rPr>
        <w:sectPr w:rsidR="00FD23FE">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4B87AF57"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4B87AF5B" w14:textId="77777777">
        <w:tc>
          <w:tcPr>
            <w:tcW w:w="2988" w:type="dxa"/>
          </w:tcPr>
          <w:p w14:paraId="4B87AF58" w14:textId="77777777" w:rsidR="00FD23FE" w:rsidRDefault="00FD23FE">
            <w:pPr>
              <w:jc w:val="center"/>
              <w:rPr>
                <w:rFonts w:ascii="Arial" w:hAnsi="Arial" w:cs="Arial"/>
                <w:sz w:val="16"/>
                <w:szCs w:val="16"/>
              </w:rPr>
            </w:pPr>
            <w:r>
              <w:rPr>
                <w:rFonts w:ascii="Arial" w:hAnsi="Arial" w:cs="Arial"/>
                <w:sz w:val="16"/>
                <w:szCs w:val="16"/>
              </w:rPr>
              <w:t>Mitchell D. Chester, Ed.D.</w:t>
            </w:r>
          </w:p>
          <w:p w14:paraId="4B87AF59"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B87AF5A" w14:textId="77777777" w:rsidR="00FD23FE" w:rsidRDefault="00FD23FE">
            <w:pPr>
              <w:jc w:val="center"/>
              <w:rPr>
                <w:rFonts w:ascii="Arial" w:hAnsi="Arial"/>
                <w:i/>
                <w:sz w:val="16"/>
                <w:szCs w:val="16"/>
              </w:rPr>
            </w:pPr>
          </w:p>
        </w:tc>
      </w:tr>
    </w:tbl>
    <w:p w14:paraId="4B87AF5C" w14:textId="77777777" w:rsidR="00FD23FE" w:rsidRDefault="00FD23FE">
      <w:pPr>
        <w:rPr>
          <w:rFonts w:ascii="Arial" w:hAnsi="Arial"/>
          <w:i/>
          <w:sz w:val="18"/>
        </w:rPr>
      </w:pPr>
    </w:p>
    <w:p w14:paraId="4B87AF5D"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4B87AF5E" w14:textId="77777777" w:rsidR="00FD23FE" w:rsidRDefault="00FD23FE">
      <w:pPr>
        <w:pStyle w:val="Heading1"/>
        <w:tabs>
          <w:tab w:val="clear" w:pos="4680"/>
        </w:tabs>
      </w:pPr>
      <w:r>
        <w:lastRenderedPageBreak/>
        <w:t>MEMORANDUM</w:t>
      </w:r>
    </w:p>
    <w:p w14:paraId="4B87AF5F"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4B87AF62" w14:textId="77777777">
        <w:tc>
          <w:tcPr>
            <w:tcW w:w="1188" w:type="dxa"/>
          </w:tcPr>
          <w:p w14:paraId="4B87AF60" w14:textId="77777777" w:rsidR="00FD23FE" w:rsidRDefault="00FD23FE">
            <w:pPr>
              <w:rPr>
                <w:b/>
              </w:rPr>
            </w:pPr>
            <w:r>
              <w:rPr>
                <w:b/>
              </w:rPr>
              <w:t>To:</w:t>
            </w:r>
          </w:p>
        </w:tc>
        <w:tc>
          <w:tcPr>
            <w:tcW w:w="8388" w:type="dxa"/>
          </w:tcPr>
          <w:p w14:paraId="4B87AF61"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4B87AF65" w14:textId="77777777">
        <w:tc>
          <w:tcPr>
            <w:tcW w:w="1188" w:type="dxa"/>
          </w:tcPr>
          <w:p w14:paraId="4B87AF63" w14:textId="77777777" w:rsidR="00FD23FE" w:rsidRDefault="00FD23FE">
            <w:pPr>
              <w:rPr>
                <w:b/>
              </w:rPr>
            </w:pPr>
            <w:r>
              <w:rPr>
                <w:b/>
              </w:rPr>
              <w:t>From:</w:t>
            </w:r>
            <w:r>
              <w:tab/>
            </w:r>
          </w:p>
        </w:tc>
        <w:tc>
          <w:tcPr>
            <w:tcW w:w="8388" w:type="dxa"/>
          </w:tcPr>
          <w:p w14:paraId="4B87AF64"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4B87AF68" w14:textId="77777777">
        <w:tc>
          <w:tcPr>
            <w:tcW w:w="1188" w:type="dxa"/>
          </w:tcPr>
          <w:p w14:paraId="4B87AF66" w14:textId="77777777" w:rsidR="00FD23FE" w:rsidRDefault="00FD23FE">
            <w:pPr>
              <w:rPr>
                <w:b/>
              </w:rPr>
            </w:pPr>
            <w:r>
              <w:rPr>
                <w:b/>
              </w:rPr>
              <w:t>Date:</w:t>
            </w:r>
            <w:r>
              <w:tab/>
            </w:r>
          </w:p>
        </w:tc>
        <w:tc>
          <w:tcPr>
            <w:tcW w:w="8388" w:type="dxa"/>
          </w:tcPr>
          <w:p w14:paraId="4B87AF67" w14:textId="77777777" w:rsidR="00FD23FE" w:rsidRDefault="00D40214" w:rsidP="00564672">
            <w:pPr>
              <w:pStyle w:val="Footer"/>
              <w:widowControl w:val="0"/>
              <w:tabs>
                <w:tab w:val="clear" w:pos="4320"/>
                <w:tab w:val="clear" w:pos="8640"/>
              </w:tabs>
              <w:rPr>
                <w:bCs/>
                <w:snapToGrid w:val="0"/>
                <w:szCs w:val="20"/>
              </w:rPr>
            </w:pPr>
            <w:r>
              <w:rPr>
                <w:bCs/>
                <w:snapToGrid w:val="0"/>
                <w:szCs w:val="20"/>
              </w:rPr>
              <w:t>January 1</w:t>
            </w:r>
            <w:r w:rsidR="00564672">
              <w:rPr>
                <w:bCs/>
                <w:snapToGrid w:val="0"/>
                <w:szCs w:val="20"/>
              </w:rPr>
              <w:t>5</w:t>
            </w:r>
            <w:r w:rsidR="00CF5CA4">
              <w:rPr>
                <w:bCs/>
                <w:snapToGrid w:val="0"/>
                <w:szCs w:val="20"/>
              </w:rPr>
              <w:t>, 201</w:t>
            </w:r>
            <w:r>
              <w:rPr>
                <w:bCs/>
                <w:snapToGrid w:val="0"/>
                <w:szCs w:val="20"/>
              </w:rPr>
              <w:t>6</w:t>
            </w:r>
          </w:p>
        </w:tc>
      </w:tr>
      <w:tr w:rsidR="00FD23FE" w14:paraId="4B87AF6B" w14:textId="77777777" w:rsidTr="00281743">
        <w:trPr>
          <w:trHeight w:val="342"/>
        </w:trPr>
        <w:tc>
          <w:tcPr>
            <w:tcW w:w="1188" w:type="dxa"/>
          </w:tcPr>
          <w:p w14:paraId="4B87AF69" w14:textId="77777777" w:rsidR="00FD23FE" w:rsidRDefault="00FD23FE">
            <w:pPr>
              <w:rPr>
                <w:b/>
              </w:rPr>
            </w:pPr>
            <w:r>
              <w:rPr>
                <w:b/>
              </w:rPr>
              <w:t>Subject:</w:t>
            </w:r>
          </w:p>
        </w:tc>
        <w:tc>
          <w:tcPr>
            <w:tcW w:w="8388" w:type="dxa"/>
          </w:tcPr>
          <w:p w14:paraId="4B87AF6A" w14:textId="77777777" w:rsidR="004E02B6" w:rsidRPr="00DD5420" w:rsidRDefault="00CF5CA4" w:rsidP="00564672">
            <w:pPr>
              <w:pStyle w:val="Footer"/>
              <w:widowControl w:val="0"/>
              <w:tabs>
                <w:tab w:val="clear" w:pos="4320"/>
                <w:tab w:val="clear" w:pos="8640"/>
              </w:tabs>
              <w:rPr>
                <w:bCs/>
                <w:i/>
                <w:snapToGrid w:val="0"/>
                <w:szCs w:val="20"/>
              </w:rPr>
            </w:pPr>
            <w:r>
              <w:rPr>
                <w:bCs/>
                <w:snapToGrid w:val="0"/>
                <w:szCs w:val="20"/>
              </w:rPr>
              <w:t>Civic Learning and Engagement – Update</w:t>
            </w:r>
            <w:r w:rsidR="00D40214">
              <w:rPr>
                <w:bCs/>
                <w:snapToGrid w:val="0"/>
                <w:szCs w:val="20"/>
              </w:rPr>
              <w:t xml:space="preserve"> and Draft Timeline and Budget for </w:t>
            </w:r>
            <w:r w:rsidR="00564672">
              <w:rPr>
                <w:bCs/>
                <w:snapToGrid w:val="0"/>
                <w:szCs w:val="20"/>
              </w:rPr>
              <w:t>R</w:t>
            </w:r>
            <w:r w:rsidR="00D40214">
              <w:rPr>
                <w:bCs/>
                <w:snapToGrid w:val="0"/>
                <w:szCs w:val="20"/>
              </w:rPr>
              <w:t>evision of the History</w:t>
            </w:r>
            <w:r w:rsidR="00564672">
              <w:rPr>
                <w:bCs/>
                <w:snapToGrid w:val="0"/>
                <w:szCs w:val="20"/>
              </w:rPr>
              <w:t xml:space="preserve"> and </w:t>
            </w:r>
            <w:r w:rsidR="00D40214">
              <w:rPr>
                <w:bCs/>
                <w:snapToGrid w:val="0"/>
                <w:szCs w:val="20"/>
              </w:rPr>
              <w:t xml:space="preserve">Social Science </w:t>
            </w:r>
            <w:r w:rsidR="00E110FE">
              <w:rPr>
                <w:bCs/>
                <w:snapToGrid w:val="0"/>
                <w:szCs w:val="20"/>
              </w:rPr>
              <w:t xml:space="preserve">Curriculum </w:t>
            </w:r>
            <w:r w:rsidR="00D40214">
              <w:rPr>
                <w:bCs/>
                <w:snapToGrid w:val="0"/>
                <w:szCs w:val="20"/>
              </w:rPr>
              <w:t>Framework</w:t>
            </w:r>
          </w:p>
        </w:tc>
      </w:tr>
    </w:tbl>
    <w:p w14:paraId="4B87AF6C" w14:textId="77777777"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14:paraId="4B87AF6D"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4B87AF6E" w14:textId="77777777" w:rsidR="00FD23FE" w:rsidRDefault="00FD23FE">
      <w:pPr>
        <w:rPr>
          <w:sz w:val="16"/>
        </w:rPr>
      </w:pPr>
    </w:p>
    <w:p w14:paraId="4B87AF6F" w14:textId="77777777" w:rsidR="001D318F" w:rsidRPr="00564672" w:rsidRDefault="00564672" w:rsidP="00D21AB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 December 2015, I updated </w:t>
      </w:r>
      <w:r w:rsidR="00487600" w:rsidRPr="00487600">
        <w:rPr>
          <w:rFonts w:ascii="Times New Roman" w:hAnsi="Times New Roman" w:cs="Times New Roman"/>
          <w:sz w:val="24"/>
          <w:szCs w:val="24"/>
        </w:rPr>
        <w:t>the Board of Elementary and Secondary Education on projects currently underway to support civic learning and engagement. This memorandum and the attached documents provide the current status of those projects, including a proposed timeline and budget estimate for the revision of the Massachusetts History</w:t>
      </w:r>
      <w:r>
        <w:rPr>
          <w:rFonts w:ascii="Times New Roman" w:hAnsi="Times New Roman" w:cs="Times New Roman"/>
          <w:sz w:val="24"/>
          <w:szCs w:val="24"/>
        </w:rPr>
        <w:t xml:space="preserve"> and </w:t>
      </w:r>
      <w:r w:rsidR="00487600" w:rsidRPr="00487600">
        <w:rPr>
          <w:rFonts w:ascii="Times New Roman" w:hAnsi="Times New Roman" w:cs="Times New Roman"/>
          <w:sz w:val="24"/>
          <w:szCs w:val="24"/>
        </w:rPr>
        <w:t xml:space="preserve">Social Science Curriculum Framework. </w:t>
      </w:r>
    </w:p>
    <w:p w14:paraId="4B87AF70" w14:textId="77777777" w:rsidR="003B3D91" w:rsidRPr="00564672" w:rsidRDefault="003B3D91" w:rsidP="00D21AB3">
      <w:pPr>
        <w:pStyle w:val="Heading2"/>
        <w:ind w:left="0"/>
        <w:jc w:val="left"/>
        <w:rPr>
          <w:rFonts w:ascii="Times New Roman" w:hAnsi="Times New Roman"/>
          <w:b/>
          <w:i w:val="0"/>
          <w:sz w:val="24"/>
          <w:szCs w:val="24"/>
        </w:rPr>
      </w:pPr>
    </w:p>
    <w:p w14:paraId="4B87AF71" w14:textId="77777777" w:rsidR="001D318F" w:rsidRPr="00564672" w:rsidRDefault="00487600" w:rsidP="00D21AB3">
      <w:pPr>
        <w:pStyle w:val="Heading2"/>
        <w:ind w:left="0"/>
        <w:jc w:val="left"/>
        <w:rPr>
          <w:rFonts w:ascii="Times New Roman" w:hAnsi="Times New Roman"/>
          <w:b/>
          <w:i w:val="0"/>
          <w:sz w:val="24"/>
          <w:szCs w:val="24"/>
        </w:rPr>
      </w:pPr>
      <w:r w:rsidRPr="00487600">
        <w:rPr>
          <w:rFonts w:ascii="Times New Roman" w:hAnsi="Times New Roman"/>
          <w:b/>
          <w:i w:val="0"/>
          <w:sz w:val="24"/>
          <w:szCs w:val="24"/>
        </w:rPr>
        <w:t xml:space="preserve">Revised Definition of College and Career Readiness </w:t>
      </w:r>
      <w:bookmarkStart w:id="4" w:name="_GoBack"/>
      <w:bookmarkEnd w:id="4"/>
    </w:p>
    <w:p w14:paraId="4B87AF72" w14:textId="77777777" w:rsidR="001D318F" w:rsidRPr="00564672" w:rsidRDefault="00564672" w:rsidP="00D21AB3">
      <w:pPr>
        <w:rPr>
          <w:szCs w:val="24"/>
        </w:rPr>
      </w:pPr>
      <w:r>
        <w:rPr>
          <w:szCs w:val="24"/>
        </w:rPr>
        <w:t xml:space="preserve">The Department of </w:t>
      </w:r>
      <w:r w:rsidRPr="00564672">
        <w:rPr>
          <w:szCs w:val="24"/>
        </w:rPr>
        <w:t xml:space="preserve">Elementary and Secondary Education </w:t>
      </w:r>
      <w:r>
        <w:rPr>
          <w:szCs w:val="24"/>
        </w:rPr>
        <w:t>(</w:t>
      </w:r>
      <w:r w:rsidR="00487600" w:rsidRPr="00487600">
        <w:rPr>
          <w:szCs w:val="24"/>
        </w:rPr>
        <w:t>ESE</w:t>
      </w:r>
      <w:r>
        <w:rPr>
          <w:szCs w:val="24"/>
        </w:rPr>
        <w:t>)</w:t>
      </w:r>
      <w:r w:rsidR="00487600" w:rsidRPr="00487600">
        <w:rPr>
          <w:szCs w:val="24"/>
        </w:rPr>
        <w:t xml:space="preserve"> and the Department of Higher Education have collaborated to create a revised definition of college and career readiness that includes readiness for civic life. Discussion and a possible vote to adopt the revised definition will take place at the joint meeting of </w:t>
      </w:r>
      <w:r>
        <w:rPr>
          <w:szCs w:val="24"/>
        </w:rPr>
        <w:t xml:space="preserve">our Board </w:t>
      </w:r>
      <w:r w:rsidR="00487600" w:rsidRPr="00487600">
        <w:rPr>
          <w:szCs w:val="24"/>
        </w:rPr>
        <w:t>and Board of Higher Education on January 26, 2016.</w:t>
      </w:r>
    </w:p>
    <w:p w14:paraId="4B87AF73" w14:textId="77777777" w:rsidR="001D318F" w:rsidRPr="00564672" w:rsidRDefault="001D318F" w:rsidP="00D21AB3">
      <w:pPr>
        <w:rPr>
          <w:szCs w:val="24"/>
        </w:rPr>
      </w:pPr>
    </w:p>
    <w:p w14:paraId="4B87AF74" w14:textId="77777777" w:rsidR="001D318F" w:rsidRPr="00564672" w:rsidRDefault="00487600" w:rsidP="00D21AB3">
      <w:pPr>
        <w:pStyle w:val="Heading2"/>
        <w:ind w:left="0"/>
        <w:jc w:val="left"/>
        <w:rPr>
          <w:rFonts w:ascii="Times New Roman" w:hAnsi="Times New Roman"/>
          <w:b/>
          <w:i w:val="0"/>
          <w:sz w:val="24"/>
          <w:szCs w:val="24"/>
        </w:rPr>
      </w:pPr>
      <w:r w:rsidRPr="00487600">
        <w:rPr>
          <w:rFonts w:ascii="Times New Roman" w:hAnsi="Times New Roman"/>
          <w:b/>
          <w:i w:val="0"/>
          <w:sz w:val="24"/>
          <w:szCs w:val="24"/>
        </w:rPr>
        <w:t>Civic Learning and Engagement Task Force</w:t>
      </w:r>
    </w:p>
    <w:p w14:paraId="4B87AF75" w14:textId="77777777" w:rsidR="00A341A2" w:rsidRPr="00564672" w:rsidRDefault="00487600" w:rsidP="00D21AB3">
      <w:pPr>
        <w:rPr>
          <w:color w:val="000000" w:themeColor="text1"/>
          <w:szCs w:val="24"/>
        </w:rPr>
      </w:pPr>
      <w:r w:rsidRPr="00487600">
        <w:rPr>
          <w:szCs w:val="24"/>
        </w:rPr>
        <w:t>ESE is conducting outreach to potential members for the newly formed Task Force that will focus on drafting</w:t>
      </w:r>
      <w:r w:rsidRPr="00487600">
        <w:rPr>
          <w:color w:val="000000" w:themeColor="text1"/>
          <w:szCs w:val="24"/>
        </w:rPr>
        <w:t xml:space="preserve"> recommendations for a preliminary strategic plan to promote civic learning.</w:t>
      </w:r>
      <w:r w:rsidRPr="00487600">
        <w:rPr>
          <w:szCs w:val="24"/>
        </w:rPr>
        <w:t xml:space="preserve"> The group will include representatives from the Working Group on Civic Learning, Global Education Advisory Council, Community Service Learning Advisory Council, and State Student Advisory Council, as well as professional organizations and social studies educators.</w:t>
      </w:r>
      <w:r w:rsidRPr="00487600">
        <w:rPr>
          <w:color w:val="000000" w:themeColor="text1"/>
          <w:szCs w:val="24"/>
        </w:rPr>
        <w:t xml:space="preserve"> The Task Force will meet during the current school year and next year to develop recommendations for a strategic plan to promote civic learning by early 2017. </w:t>
      </w:r>
    </w:p>
    <w:p w14:paraId="4B87AF76" w14:textId="77777777" w:rsidR="00A341A2" w:rsidRPr="00564672" w:rsidRDefault="00A341A2" w:rsidP="00D21AB3">
      <w:pPr>
        <w:rPr>
          <w:szCs w:val="24"/>
        </w:rPr>
      </w:pPr>
    </w:p>
    <w:p w14:paraId="4B87AF77" w14:textId="77777777" w:rsidR="00A341A2" w:rsidRPr="00564672" w:rsidRDefault="00487600" w:rsidP="00D21AB3">
      <w:pPr>
        <w:pStyle w:val="Heading2"/>
        <w:ind w:left="0"/>
        <w:jc w:val="left"/>
        <w:rPr>
          <w:rFonts w:ascii="Times New Roman" w:hAnsi="Times New Roman"/>
          <w:b/>
          <w:i w:val="0"/>
          <w:sz w:val="24"/>
          <w:szCs w:val="24"/>
        </w:rPr>
      </w:pPr>
      <w:r w:rsidRPr="00487600">
        <w:rPr>
          <w:rFonts w:ascii="Times New Roman" w:hAnsi="Times New Roman"/>
          <w:b/>
          <w:i w:val="0"/>
          <w:sz w:val="24"/>
          <w:szCs w:val="24"/>
        </w:rPr>
        <w:t xml:space="preserve">Literacy Conference, Integrating History, Social Studies, and Civics </w:t>
      </w:r>
    </w:p>
    <w:p w14:paraId="4B87AF78" w14:textId="77777777" w:rsidR="00A341A2" w:rsidRPr="00564672" w:rsidRDefault="00487600" w:rsidP="00D21AB3">
      <w:pPr>
        <w:rPr>
          <w:szCs w:val="24"/>
        </w:rPr>
      </w:pPr>
      <w:r w:rsidRPr="00487600">
        <w:rPr>
          <w:szCs w:val="24"/>
        </w:rPr>
        <w:t xml:space="preserve">ESE is planning a statewide conference to take place in April/May 2016 which will afford the opportunity to host sessions devoted to civic learning and engagement as well as connections to literacy development. </w:t>
      </w:r>
    </w:p>
    <w:p w14:paraId="4B87AF79" w14:textId="77777777" w:rsidR="00FA0867" w:rsidRDefault="00FA0867">
      <w:pPr>
        <w:rPr>
          <w:i/>
        </w:rPr>
      </w:pPr>
    </w:p>
    <w:p w14:paraId="4B87AF7A" w14:textId="77777777" w:rsidR="00A341A2" w:rsidRPr="00564672" w:rsidRDefault="00487600" w:rsidP="00D21AB3">
      <w:pPr>
        <w:pStyle w:val="Heading2"/>
        <w:ind w:left="0"/>
        <w:jc w:val="left"/>
        <w:rPr>
          <w:rFonts w:ascii="Times New Roman" w:hAnsi="Times New Roman"/>
          <w:b/>
          <w:i w:val="0"/>
          <w:sz w:val="24"/>
          <w:szCs w:val="24"/>
        </w:rPr>
      </w:pPr>
      <w:r w:rsidRPr="00487600">
        <w:rPr>
          <w:rFonts w:ascii="Times New Roman" w:hAnsi="Times New Roman"/>
          <w:b/>
          <w:i w:val="0"/>
          <w:sz w:val="24"/>
          <w:szCs w:val="24"/>
        </w:rPr>
        <w:t>Revision of the 2003 Massachusetts History and Social Science Curriculum Framework</w:t>
      </w:r>
    </w:p>
    <w:p w14:paraId="4B87AF7B" w14:textId="77777777" w:rsidR="003D24BF" w:rsidRPr="00564672" w:rsidRDefault="00487600" w:rsidP="00323414">
      <w:pPr>
        <w:rPr>
          <w:szCs w:val="24"/>
        </w:rPr>
      </w:pPr>
      <w:r w:rsidRPr="00487600">
        <w:rPr>
          <w:szCs w:val="24"/>
        </w:rPr>
        <w:t>ESE has developed a timeline and proposed budget for the review and revision of the Massachusetts History and Social Science Curriculum Framework as well as a proposed timeline to re-establish the statewide assessment in history and social science, as follows:</w:t>
      </w:r>
    </w:p>
    <w:p w14:paraId="4B87AF7C" w14:textId="77777777" w:rsidR="003D24BF" w:rsidRPr="00564672" w:rsidRDefault="00487600" w:rsidP="00593CEB">
      <w:pPr>
        <w:rPr>
          <w:b/>
          <w:bCs/>
          <w:szCs w:val="24"/>
        </w:rPr>
      </w:pPr>
      <w:r w:rsidRPr="00487600">
        <w:rPr>
          <w:b/>
          <w:szCs w:val="24"/>
        </w:rPr>
        <w:lastRenderedPageBreak/>
        <w:t xml:space="preserve">Timeline - </w:t>
      </w:r>
      <w:r w:rsidRPr="00487600">
        <w:rPr>
          <w:b/>
          <w:bCs/>
          <w:szCs w:val="24"/>
        </w:rPr>
        <w:t>Overview of the review process</w:t>
      </w:r>
    </w:p>
    <w:p w14:paraId="4B87AF7D" w14:textId="77777777" w:rsidR="00F121F4" w:rsidRPr="00564672" w:rsidRDefault="00F121F4" w:rsidP="00593CEB">
      <w:pPr>
        <w:rPr>
          <w:b/>
          <w:szCs w:val="24"/>
        </w:rPr>
      </w:pPr>
    </w:p>
    <w:tbl>
      <w:tblPr>
        <w:tblStyle w:val="TableGrid"/>
        <w:tblW w:w="0" w:type="auto"/>
        <w:tblInd w:w="108" w:type="dxa"/>
        <w:tblLook w:val="04A0" w:firstRow="1" w:lastRow="0" w:firstColumn="1" w:lastColumn="0" w:noHBand="0" w:noVBand="1"/>
      </w:tblPr>
      <w:tblGrid>
        <w:gridCol w:w="1170"/>
        <w:gridCol w:w="8190"/>
      </w:tblGrid>
      <w:tr w:rsidR="0036141A" w:rsidRPr="00564672" w14:paraId="4B87AF80" w14:textId="77777777" w:rsidTr="00FC063D">
        <w:tc>
          <w:tcPr>
            <w:tcW w:w="1170" w:type="dxa"/>
          </w:tcPr>
          <w:p w14:paraId="4B87AF7E" w14:textId="77777777" w:rsidR="0036141A" w:rsidRPr="00564672" w:rsidRDefault="00487600" w:rsidP="00593CEB">
            <w:pPr>
              <w:rPr>
                <w:szCs w:val="24"/>
              </w:rPr>
            </w:pPr>
            <w:r w:rsidRPr="00487600">
              <w:rPr>
                <w:b/>
                <w:szCs w:val="24"/>
              </w:rPr>
              <w:t>Phase 1</w:t>
            </w:r>
            <w:r w:rsidRPr="00487600">
              <w:rPr>
                <w:szCs w:val="24"/>
              </w:rPr>
              <w:t>:</w:t>
            </w:r>
          </w:p>
        </w:tc>
        <w:tc>
          <w:tcPr>
            <w:tcW w:w="8190" w:type="dxa"/>
          </w:tcPr>
          <w:p w14:paraId="4B87AF7F" w14:textId="77777777" w:rsidR="0036141A" w:rsidRPr="00564672" w:rsidRDefault="003E1C24" w:rsidP="00564672">
            <w:pPr>
              <w:rPr>
                <w:szCs w:val="24"/>
              </w:rPr>
            </w:pPr>
            <w:r>
              <w:rPr>
                <w:szCs w:val="24"/>
              </w:rPr>
              <w:t>Gain input from K-12</w:t>
            </w:r>
            <w:r w:rsidR="001B5765">
              <w:rPr>
                <w:szCs w:val="24"/>
              </w:rPr>
              <w:t xml:space="preserve">, </w:t>
            </w:r>
            <w:r>
              <w:rPr>
                <w:szCs w:val="24"/>
              </w:rPr>
              <w:t>higher education</w:t>
            </w:r>
            <w:r w:rsidR="001B5765">
              <w:rPr>
                <w:szCs w:val="24"/>
              </w:rPr>
              <w:t>, and others</w:t>
            </w:r>
            <w:r>
              <w:rPr>
                <w:szCs w:val="24"/>
              </w:rPr>
              <w:t xml:space="preserve"> through panel meetings and other outreach to support d</w:t>
            </w:r>
            <w:r w:rsidR="00487600" w:rsidRPr="00487600">
              <w:rPr>
                <w:szCs w:val="24"/>
              </w:rPr>
              <w:t xml:space="preserve">evelopment and presentation of recommendations for revising the framework to the Board of Elementary and Secondary Education (Board). </w:t>
            </w:r>
          </w:p>
        </w:tc>
      </w:tr>
      <w:tr w:rsidR="0036141A" w:rsidRPr="00564672" w14:paraId="4B87AF83" w14:textId="77777777" w:rsidTr="00FC063D">
        <w:tc>
          <w:tcPr>
            <w:tcW w:w="1170" w:type="dxa"/>
          </w:tcPr>
          <w:p w14:paraId="4B87AF81" w14:textId="77777777" w:rsidR="0036141A" w:rsidRPr="00564672" w:rsidRDefault="00487600" w:rsidP="00593CEB">
            <w:pPr>
              <w:rPr>
                <w:szCs w:val="24"/>
              </w:rPr>
            </w:pPr>
            <w:r w:rsidRPr="00487600">
              <w:rPr>
                <w:b/>
                <w:szCs w:val="24"/>
              </w:rPr>
              <w:t>Phase 2</w:t>
            </w:r>
            <w:r w:rsidRPr="00487600">
              <w:rPr>
                <w:szCs w:val="24"/>
              </w:rPr>
              <w:t>:</w:t>
            </w:r>
          </w:p>
        </w:tc>
        <w:tc>
          <w:tcPr>
            <w:tcW w:w="8190" w:type="dxa"/>
          </w:tcPr>
          <w:p w14:paraId="4B87AF82" w14:textId="77777777" w:rsidR="0036141A" w:rsidRPr="00564672" w:rsidRDefault="00487600" w:rsidP="00D22604">
            <w:pPr>
              <w:rPr>
                <w:szCs w:val="24"/>
              </w:rPr>
            </w:pPr>
            <w:r w:rsidRPr="00487600">
              <w:rPr>
                <w:szCs w:val="24"/>
              </w:rPr>
              <w:t>Revision of state learning standards based on</w:t>
            </w:r>
            <w:r w:rsidR="001B5765">
              <w:rPr>
                <w:szCs w:val="24"/>
              </w:rPr>
              <w:t xml:space="preserve"> </w:t>
            </w:r>
            <w:r w:rsidRPr="00487600">
              <w:rPr>
                <w:szCs w:val="24"/>
              </w:rPr>
              <w:t>the recommendations approved by the Board</w:t>
            </w:r>
            <w:r w:rsidR="00D22604">
              <w:rPr>
                <w:szCs w:val="24"/>
              </w:rPr>
              <w:t>, including continued panel meetings and review of draft standards by K-12 and educators from higher education.</w:t>
            </w:r>
          </w:p>
        </w:tc>
      </w:tr>
      <w:tr w:rsidR="0036141A" w:rsidRPr="00564672" w14:paraId="4B87AF86" w14:textId="77777777" w:rsidTr="00FC063D">
        <w:tc>
          <w:tcPr>
            <w:tcW w:w="1170" w:type="dxa"/>
          </w:tcPr>
          <w:p w14:paraId="4B87AF84" w14:textId="77777777" w:rsidR="0036141A" w:rsidRPr="00564672" w:rsidRDefault="00487600" w:rsidP="00593CEB">
            <w:pPr>
              <w:rPr>
                <w:szCs w:val="24"/>
              </w:rPr>
            </w:pPr>
            <w:r w:rsidRPr="00487600">
              <w:rPr>
                <w:b/>
                <w:szCs w:val="24"/>
              </w:rPr>
              <w:t>Phase 3</w:t>
            </w:r>
            <w:r w:rsidRPr="00487600">
              <w:rPr>
                <w:szCs w:val="24"/>
              </w:rPr>
              <w:t>:</w:t>
            </w:r>
          </w:p>
        </w:tc>
        <w:tc>
          <w:tcPr>
            <w:tcW w:w="8190" w:type="dxa"/>
          </w:tcPr>
          <w:p w14:paraId="4B87AF85" w14:textId="77777777" w:rsidR="0036141A" w:rsidRPr="00564672" w:rsidRDefault="00487600" w:rsidP="00564672">
            <w:pPr>
              <w:rPr>
                <w:szCs w:val="24"/>
              </w:rPr>
            </w:pPr>
            <w:r w:rsidRPr="00487600">
              <w:rPr>
                <w:szCs w:val="24"/>
              </w:rPr>
              <w:t>Complete draft MA HSS Standards and seek public input, both from the field and external organizations with expertise in history-social science education. Board votes on adoption of revised standards.</w:t>
            </w:r>
          </w:p>
        </w:tc>
      </w:tr>
      <w:tr w:rsidR="0036141A" w:rsidRPr="00564672" w14:paraId="4B87AF89" w14:textId="77777777" w:rsidTr="00FC063D">
        <w:tc>
          <w:tcPr>
            <w:tcW w:w="1170" w:type="dxa"/>
          </w:tcPr>
          <w:p w14:paraId="4B87AF87" w14:textId="77777777" w:rsidR="0036141A" w:rsidRPr="00564672" w:rsidRDefault="00487600" w:rsidP="00593CEB">
            <w:pPr>
              <w:rPr>
                <w:szCs w:val="24"/>
              </w:rPr>
            </w:pPr>
            <w:r w:rsidRPr="00487600">
              <w:rPr>
                <w:b/>
                <w:szCs w:val="24"/>
              </w:rPr>
              <w:t>Phase 4</w:t>
            </w:r>
            <w:r w:rsidRPr="00487600">
              <w:rPr>
                <w:szCs w:val="24"/>
              </w:rPr>
              <w:t>:</w:t>
            </w:r>
          </w:p>
        </w:tc>
        <w:tc>
          <w:tcPr>
            <w:tcW w:w="8190" w:type="dxa"/>
          </w:tcPr>
          <w:p w14:paraId="4B87AF88" w14:textId="77777777" w:rsidR="0036141A" w:rsidRPr="00564672" w:rsidRDefault="00487600" w:rsidP="00593CEB">
            <w:pPr>
              <w:rPr>
                <w:szCs w:val="24"/>
              </w:rPr>
            </w:pPr>
            <w:r w:rsidRPr="00487600">
              <w:rPr>
                <w:szCs w:val="24"/>
              </w:rPr>
              <w:t>Dissemination of standards; district curriculum adjustment and implementation.</w:t>
            </w:r>
          </w:p>
        </w:tc>
      </w:tr>
      <w:tr w:rsidR="0036141A" w:rsidRPr="00564672" w14:paraId="4B87AF8C" w14:textId="77777777" w:rsidTr="00FC063D">
        <w:tc>
          <w:tcPr>
            <w:tcW w:w="1170" w:type="dxa"/>
          </w:tcPr>
          <w:p w14:paraId="4B87AF8A" w14:textId="77777777" w:rsidR="0036141A" w:rsidRPr="00564672" w:rsidRDefault="00487600" w:rsidP="00593CEB">
            <w:pPr>
              <w:rPr>
                <w:szCs w:val="24"/>
              </w:rPr>
            </w:pPr>
            <w:r w:rsidRPr="00487600">
              <w:rPr>
                <w:b/>
                <w:szCs w:val="24"/>
              </w:rPr>
              <w:t>Phase 5</w:t>
            </w:r>
            <w:r w:rsidRPr="00487600">
              <w:rPr>
                <w:szCs w:val="24"/>
              </w:rPr>
              <w:t>:</w:t>
            </w:r>
          </w:p>
        </w:tc>
        <w:tc>
          <w:tcPr>
            <w:tcW w:w="8190" w:type="dxa"/>
          </w:tcPr>
          <w:p w14:paraId="4B87AF8B" w14:textId="77777777" w:rsidR="0036141A" w:rsidRPr="00564672" w:rsidRDefault="00487600" w:rsidP="00593CEB">
            <w:pPr>
              <w:rPr>
                <w:szCs w:val="24"/>
              </w:rPr>
            </w:pPr>
            <w:r w:rsidRPr="00487600">
              <w:rPr>
                <w:szCs w:val="24"/>
              </w:rPr>
              <w:t xml:space="preserve">Development of state assessment – this phase will begin during previous phases. </w:t>
            </w:r>
          </w:p>
        </w:tc>
      </w:tr>
      <w:tr w:rsidR="0036141A" w:rsidRPr="00564672" w14:paraId="4B87AF8F" w14:textId="77777777" w:rsidTr="00FC063D">
        <w:tc>
          <w:tcPr>
            <w:tcW w:w="1170" w:type="dxa"/>
          </w:tcPr>
          <w:p w14:paraId="4B87AF8D" w14:textId="77777777" w:rsidR="0036141A" w:rsidRPr="00564672" w:rsidRDefault="00487600" w:rsidP="00593CEB">
            <w:pPr>
              <w:rPr>
                <w:szCs w:val="24"/>
              </w:rPr>
            </w:pPr>
            <w:r w:rsidRPr="00487600">
              <w:rPr>
                <w:b/>
                <w:szCs w:val="24"/>
              </w:rPr>
              <w:t>Phase 6</w:t>
            </w:r>
            <w:r w:rsidRPr="00487600">
              <w:rPr>
                <w:szCs w:val="24"/>
              </w:rPr>
              <w:t>:</w:t>
            </w:r>
          </w:p>
        </w:tc>
        <w:tc>
          <w:tcPr>
            <w:tcW w:w="8190" w:type="dxa"/>
          </w:tcPr>
          <w:p w14:paraId="4B87AF8E" w14:textId="77777777" w:rsidR="0036141A" w:rsidRPr="00564672" w:rsidRDefault="00487600" w:rsidP="009235E4">
            <w:pPr>
              <w:rPr>
                <w:szCs w:val="24"/>
              </w:rPr>
            </w:pPr>
            <w:r w:rsidRPr="00487600">
              <w:rPr>
                <w:szCs w:val="24"/>
              </w:rPr>
              <w:t xml:space="preserve">Board discussion and action on </w:t>
            </w:r>
            <w:r w:rsidR="009235E4">
              <w:rPr>
                <w:szCs w:val="24"/>
              </w:rPr>
              <w:t>i</w:t>
            </w:r>
            <w:r w:rsidRPr="00487600">
              <w:rPr>
                <w:szCs w:val="24"/>
              </w:rPr>
              <w:t>ncorporat</w:t>
            </w:r>
            <w:r w:rsidR="009235E4">
              <w:rPr>
                <w:szCs w:val="24"/>
              </w:rPr>
              <w:t>ing</w:t>
            </w:r>
            <w:r w:rsidRPr="00487600">
              <w:rPr>
                <w:szCs w:val="24"/>
              </w:rPr>
              <w:t xml:space="preserve"> HSS assessment as part of Competency Determination</w:t>
            </w:r>
          </w:p>
        </w:tc>
      </w:tr>
    </w:tbl>
    <w:p w14:paraId="4B87AF90" w14:textId="77777777" w:rsidR="003D24BF" w:rsidRPr="009736A6" w:rsidRDefault="003D24BF" w:rsidP="00593CEB">
      <w:pPr>
        <w:rPr>
          <w:sz w:val="22"/>
          <w:szCs w:val="22"/>
        </w:rPr>
      </w:pPr>
    </w:p>
    <w:p w14:paraId="4B87AF91" w14:textId="77777777" w:rsidR="007152A0" w:rsidRDefault="007152A0" w:rsidP="00D01B62">
      <w:pPr>
        <w:rPr>
          <w:b/>
          <w:bCs/>
          <w:szCs w:val="24"/>
        </w:rPr>
      </w:pPr>
    </w:p>
    <w:p w14:paraId="4B87AF92" w14:textId="77777777" w:rsidR="007152A0" w:rsidRDefault="007152A0" w:rsidP="00D01B62">
      <w:pPr>
        <w:rPr>
          <w:b/>
          <w:bCs/>
          <w:szCs w:val="24"/>
        </w:rPr>
      </w:pPr>
    </w:p>
    <w:p w14:paraId="4B87AF93" w14:textId="77777777" w:rsidR="00FC063D" w:rsidRPr="00564672" w:rsidRDefault="00487600" w:rsidP="00D01B62">
      <w:pPr>
        <w:rPr>
          <w:b/>
          <w:bCs/>
          <w:szCs w:val="24"/>
        </w:rPr>
      </w:pPr>
      <w:r w:rsidRPr="00487600">
        <w:rPr>
          <w:b/>
          <w:bCs/>
          <w:szCs w:val="24"/>
        </w:rPr>
        <w:t>Anticipated Timeline</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480"/>
      </w:tblGrid>
      <w:tr w:rsidR="003D24BF" w:rsidRPr="00564672" w14:paraId="4B87AFC8" w14:textId="77777777" w:rsidTr="00593CEB">
        <w:trPr>
          <w:tblCellSpacing w:w="0" w:type="dxa"/>
        </w:trPr>
        <w:tc>
          <w:tcPr>
            <w:tcW w:w="0" w:type="auto"/>
            <w:vAlign w:val="center"/>
            <w:hideMark/>
          </w:tcPr>
          <w:tbl>
            <w:tblPr>
              <w:tblStyle w:val="TableGrid"/>
              <w:tblW w:w="0" w:type="auto"/>
              <w:tblLook w:val="04A0" w:firstRow="1" w:lastRow="0" w:firstColumn="1" w:lastColumn="0" w:noHBand="0" w:noVBand="1"/>
            </w:tblPr>
            <w:tblGrid>
              <w:gridCol w:w="4718"/>
              <w:gridCol w:w="4632"/>
            </w:tblGrid>
            <w:tr w:rsidR="0036141A" w:rsidRPr="00564672" w14:paraId="4B87AF96" w14:textId="77777777" w:rsidTr="00FC063D">
              <w:tc>
                <w:tcPr>
                  <w:tcW w:w="4767" w:type="dxa"/>
                </w:tcPr>
                <w:p w14:paraId="4B87AF94" w14:textId="77777777" w:rsidR="0036141A" w:rsidRPr="00564672" w:rsidRDefault="00487600" w:rsidP="00593CEB">
                  <w:pPr>
                    <w:jc w:val="center"/>
                    <w:rPr>
                      <w:b/>
                      <w:bCs/>
                      <w:szCs w:val="24"/>
                    </w:rPr>
                  </w:pPr>
                  <w:r w:rsidRPr="00487600">
                    <w:rPr>
                      <w:b/>
                      <w:bCs/>
                      <w:szCs w:val="24"/>
                    </w:rPr>
                    <w:t>Action</w:t>
                  </w:r>
                </w:p>
              </w:tc>
              <w:tc>
                <w:tcPr>
                  <w:tcW w:w="4673" w:type="dxa"/>
                </w:tcPr>
                <w:p w14:paraId="4B87AF95" w14:textId="77777777" w:rsidR="0036141A" w:rsidRPr="00564672" w:rsidRDefault="00487600" w:rsidP="00593CEB">
                  <w:pPr>
                    <w:jc w:val="center"/>
                    <w:rPr>
                      <w:b/>
                      <w:bCs/>
                      <w:szCs w:val="24"/>
                    </w:rPr>
                  </w:pPr>
                  <w:r w:rsidRPr="00487600">
                    <w:rPr>
                      <w:b/>
                      <w:bCs/>
                      <w:szCs w:val="24"/>
                    </w:rPr>
                    <w:t>Timeline</w:t>
                  </w:r>
                </w:p>
              </w:tc>
            </w:tr>
            <w:tr w:rsidR="0036141A" w:rsidRPr="00564672" w14:paraId="4B87AF9A" w14:textId="77777777" w:rsidTr="00FC063D">
              <w:tc>
                <w:tcPr>
                  <w:tcW w:w="4767" w:type="dxa"/>
                </w:tcPr>
                <w:p w14:paraId="4B87AF97" w14:textId="77777777" w:rsidR="0036141A" w:rsidRPr="00564672" w:rsidRDefault="00487600" w:rsidP="0036141A">
                  <w:pPr>
                    <w:rPr>
                      <w:szCs w:val="24"/>
                    </w:rPr>
                  </w:pPr>
                  <w:r w:rsidRPr="00487600">
                    <w:rPr>
                      <w:szCs w:val="24"/>
                    </w:rPr>
                    <w:t xml:space="preserve">Recruit review panelists; </w:t>
                  </w:r>
                  <w:r w:rsidR="00150767">
                    <w:rPr>
                      <w:szCs w:val="24"/>
                    </w:rPr>
                    <w:t>s</w:t>
                  </w:r>
                  <w:r w:rsidRPr="00487600">
                    <w:rPr>
                      <w:szCs w:val="24"/>
                    </w:rPr>
                    <w:t>olicit input/ initial public survey</w:t>
                  </w:r>
                </w:p>
                <w:p w14:paraId="4B87AF98" w14:textId="77777777" w:rsidR="00D01B62" w:rsidRPr="00564672" w:rsidRDefault="00D01B62" w:rsidP="0036141A">
                  <w:pPr>
                    <w:rPr>
                      <w:b/>
                      <w:bCs/>
                      <w:szCs w:val="24"/>
                    </w:rPr>
                  </w:pPr>
                </w:p>
              </w:tc>
              <w:tc>
                <w:tcPr>
                  <w:tcW w:w="4673" w:type="dxa"/>
                </w:tcPr>
                <w:p w14:paraId="4B87AF99" w14:textId="77777777" w:rsidR="0036141A" w:rsidRPr="00564672" w:rsidRDefault="00487600" w:rsidP="009E2A5B">
                  <w:pPr>
                    <w:jc w:val="center"/>
                    <w:rPr>
                      <w:b/>
                      <w:bCs/>
                      <w:szCs w:val="24"/>
                    </w:rPr>
                  </w:pPr>
                  <w:r w:rsidRPr="00487600">
                    <w:rPr>
                      <w:szCs w:val="24"/>
                    </w:rPr>
                    <w:t>May/June 2016</w:t>
                  </w:r>
                </w:p>
              </w:tc>
            </w:tr>
            <w:tr w:rsidR="0036141A" w:rsidRPr="00564672" w14:paraId="4B87AF9E" w14:textId="77777777" w:rsidTr="00FC063D">
              <w:tc>
                <w:tcPr>
                  <w:tcW w:w="4767" w:type="dxa"/>
                </w:tcPr>
                <w:p w14:paraId="4B87AF9B" w14:textId="77777777" w:rsidR="0036141A" w:rsidRPr="00564672" w:rsidRDefault="00487600" w:rsidP="00D01B62">
                  <w:pPr>
                    <w:rPr>
                      <w:szCs w:val="24"/>
                    </w:rPr>
                  </w:pPr>
                  <w:r w:rsidRPr="00487600">
                    <w:rPr>
                      <w:szCs w:val="24"/>
                    </w:rPr>
                    <w:t>Phase 1: Review panel meetings (develop broad recommendations for changes; direction setting)</w:t>
                  </w:r>
                </w:p>
                <w:p w14:paraId="4B87AF9C" w14:textId="77777777" w:rsidR="00D01B62" w:rsidRPr="00564672" w:rsidRDefault="00D01B62" w:rsidP="00593CEB">
                  <w:pPr>
                    <w:jc w:val="center"/>
                    <w:rPr>
                      <w:b/>
                      <w:bCs/>
                      <w:szCs w:val="24"/>
                    </w:rPr>
                  </w:pPr>
                </w:p>
              </w:tc>
              <w:tc>
                <w:tcPr>
                  <w:tcW w:w="4673" w:type="dxa"/>
                </w:tcPr>
                <w:p w14:paraId="4B87AF9D" w14:textId="77777777" w:rsidR="0036141A" w:rsidRPr="00564672" w:rsidRDefault="00487600" w:rsidP="00D01B62">
                  <w:pPr>
                    <w:jc w:val="center"/>
                    <w:rPr>
                      <w:b/>
                      <w:bCs/>
                      <w:szCs w:val="24"/>
                    </w:rPr>
                  </w:pPr>
                  <w:r w:rsidRPr="00487600">
                    <w:rPr>
                      <w:szCs w:val="24"/>
                    </w:rPr>
                    <w:t>October 2016 – January 2017</w:t>
                  </w:r>
                </w:p>
              </w:tc>
            </w:tr>
            <w:tr w:rsidR="0036141A" w:rsidRPr="00564672" w14:paraId="4B87AFA2" w14:textId="77777777" w:rsidTr="00FC063D">
              <w:tc>
                <w:tcPr>
                  <w:tcW w:w="4767" w:type="dxa"/>
                </w:tcPr>
                <w:p w14:paraId="4B87AF9F" w14:textId="77777777" w:rsidR="0036141A" w:rsidRPr="00564672" w:rsidRDefault="00487600" w:rsidP="00D01B62">
                  <w:pPr>
                    <w:jc w:val="both"/>
                    <w:rPr>
                      <w:szCs w:val="24"/>
                    </w:rPr>
                  </w:pPr>
                  <w:r w:rsidRPr="00487600">
                    <w:rPr>
                      <w:szCs w:val="24"/>
                    </w:rPr>
                    <w:t xml:space="preserve">Phase 1: Regional focus groups on </w:t>
                  </w:r>
                  <w:r w:rsidR="007C1E19">
                    <w:rPr>
                      <w:szCs w:val="24"/>
                    </w:rPr>
                    <w:t>overview of vision and design features</w:t>
                  </w:r>
                </w:p>
                <w:p w14:paraId="4B87AFA0" w14:textId="77777777" w:rsidR="00D01B62" w:rsidRPr="00564672" w:rsidRDefault="00D01B62" w:rsidP="00593CEB">
                  <w:pPr>
                    <w:jc w:val="center"/>
                    <w:rPr>
                      <w:b/>
                      <w:bCs/>
                      <w:szCs w:val="24"/>
                    </w:rPr>
                  </w:pPr>
                </w:p>
              </w:tc>
              <w:tc>
                <w:tcPr>
                  <w:tcW w:w="4673" w:type="dxa"/>
                </w:tcPr>
                <w:p w14:paraId="4B87AFA1" w14:textId="77777777" w:rsidR="0036141A" w:rsidRPr="00564672" w:rsidRDefault="00487600" w:rsidP="00D01B62">
                  <w:pPr>
                    <w:jc w:val="center"/>
                    <w:rPr>
                      <w:b/>
                      <w:bCs/>
                      <w:szCs w:val="24"/>
                    </w:rPr>
                  </w:pPr>
                  <w:r w:rsidRPr="00487600">
                    <w:rPr>
                      <w:szCs w:val="24"/>
                    </w:rPr>
                    <w:t>February – April 2017</w:t>
                  </w:r>
                </w:p>
              </w:tc>
            </w:tr>
            <w:tr w:rsidR="0036141A" w:rsidRPr="00564672" w14:paraId="4B87AFA6" w14:textId="77777777" w:rsidTr="00FC063D">
              <w:tc>
                <w:tcPr>
                  <w:tcW w:w="4767" w:type="dxa"/>
                </w:tcPr>
                <w:p w14:paraId="4B87AFA3" w14:textId="77777777" w:rsidR="0036141A" w:rsidRPr="00564672" w:rsidRDefault="00487600" w:rsidP="00D01B62">
                  <w:pPr>
                    <w:rPr>
                      <w:szCs w:val="24"/>
                    </w:rPr>
                  </w:pPr>
                  <w:r w:rsidRPr="00487600">
                    <w:rPr>
                      <w:szCs w:val="24"/>
                    </w:rPr>
                    <w:t>Phase 1: Progress report presented to the Board</w:t>
                  </w:r>
                </w:p>
                <w:p w14:paraId="4B87AFA4" w14:textId="77777777" w:rsidR="00D01B62" w:rsidRPr="00564672" w:rsidRDefault="00D01B62" w:rsidP="00593CEB">
                  <w:pPr>
                    <w:jc w:val="center"/>
                    <w:rPr>
                      <w:b/>
                      <w:bCs/>
                      <w:szCs w:val="24"/>
                    </w:rPr>
                  </w:pPr>
                </w:p>
              </w:tc>
              <w:tc>
                <w:tcPr>
                  <w:tcW w:w="4673" w:type="dxa"/>
                </w:tcPr>
                <w:p w14:paraId="4B87AFA5" w14:textId="77777777" w:rsidR="0036141A" w:rsidRPr="00564672" w:rsidRDefault="00487600" w:rsidP="00D01B62">
                  <w:pPr>
                    <w:jc w:val="center"/>
                    <w:rPr>
                      <w:b/>
                      <w:bCs/>
                      <w:szCs w:val="24"/>
                    </w:rPr>
                  </w:pPr>
                  <w:r w:rsidRPr="00487600">
                    <w:rPr>
                      <w:szCs w:val="24"/>
                    </w:rPr>
                    <w:t>April/May 2017</w:t>
                  </w:r>
                </w:p>
              </w:tc>
            </w:tr>
            <w:tr w:rsidR="0036141A" w:rsidRPr="00564672" w14:paraId="4B87AFAA" w14:textId="77777777" w:rsidTr="00FC063D">
              <w:tc>
                <w:tcPr>
                  <w:tcW w:w="4767" w:type="dxa"/>
                </w:tcPr>
                <w:p w14:paraId="4B87AFA7" w14:textId="77777777" w:rsidR="0036141A" w:rsidRPr="00564672" w:rsidRDefault="00487600" w:rsidP="00D01B62">
                  <w:pPr>
                    <w:rPr>
                      <w:szCs w:val="24"/>
                    </w:rPr>
                  </w:pPr>
                  <w:r w:rsidRPr="00487600">
                    <w:rPr>
                      <w:szCs w:val="24"/>
                    </w:rPr>
                    <w:t>Phase 2: Review panel meetings (revising and reviewing draft standards)</w:t>
                  </w:r>
                </w:p>
                <w:p w14:paraId="4B87AFA8" w14:textId="77777777" w:rsidR="00D01B62" w:rsidRPr="00564672" w:rsidRDefault="00D01B62" w:rsidP="00D01B62">
                  <w:pPr>
                    <w:rPr>
                      <w:b/>
                      <w:bCs/>
                      <w:szCs w:val="24"/>
                    </w:rPr>
                  </w:pPr>
                </w:p>
              </w:tc>
              <w:tc>
                <w:tcPr>
                  <w:tcW w:w="4673" w:type="dxa"/>
                </w:tcPr>
                <w:p w14:paraId="4B87AFA9" w14:textId="77777777" w:rsidR="0036141A" w:rsidRPr="00564672" w:rsidRDefault="00487600" w:rsidP="00D01B62">
                  <w:pPr>
                    <w:jc w:val="center"/>
                    <w:rPr>
                      <w:b/>
                      <w:bCs/>
                      <w:szCs w:val="24"/>
                    </w:rPr>
                  </w:pPr>
                  <w:r w:rsidRPr="00487600">
                    <w:rPr>
                      <w:szCs w:val="24"/>
                    </w:rPr>
                    <w:t>May-September 2017</w:t>
                  </w:r>
                </w:p>
              </w:tc>
            </w:tr>
            <w:tr w:rsidR="0036141A" w:rsidRPr="00564672" w14:paraId="4B87AFAD" w14:textId="77777777" w:rsidTr="007152A0">
              <w:trPr>
                <w:trHeight w:val="737"/>
              </w:trPr>
              <w:tc>
                <w:tcPr>
                  <w:tcW w:w="4767" w:type="dxa"/>
                </w:tcPr>
                <w:p w14:paraId="4B87AFAB" w14:textId="77777777" w:rsidR="00FA0867" w:rsidRDefault="007152A0">
                  <w:pPr>
                    <w:rPr>
                      <w:b/>
                      <w:bCs/>
                      <w:szCs w:val="24"/>
                    </w:rPr>
                  </w:pPr>
                  <w:r w:rsidRPr="00487600">
                    <w:rPr>
                      <w:szCs w:val="24"/>
                    </w:rPr>
                    <w:t xml:space="preserve">Phase 3: Draft revised standards presented to the </w:t>
                  </w:r>
                  <w:r>
                    <w:rPr>
                      <w:szCs w:val="24"/>
                    </w:rPr>
                    <w:t>Board</w:t>
                  </w:r>
                </w:p>
              </w:tc>
              <w:tc>
                <w:tcPr>
                  <w:tcW w:w="4673" w:type="dxa"/>
                </w:tcPr>
                <w:p w14:paraId="4B87AFAC" w14:textId="77777777" w:rsidR="0036141A" w:rsidRPr="00564672" w:rsidRDefault="007152A0" w:rsidP="00D01B62">
                  <w:pPr>
                    <w:jc w:val="center"/>
                    <w:rPr>
                      <w:b/>
                      <w:bCs/>
                      <w:szCs w:val="24"/>
                    </w:rPr>
                  </w:pPr>
                  <w:r w:rsidRPr="00487600">
                    <w:rPr>
                      <w:szCs w:val="24"/>
                    </w:rPr>
                    <w:t>November/December 2017</w:t>
                  </w:r>
                </w:p>
              </w:tc>
            </w:tr>
            <w:tr w:rsidR="0036141A" w:rsidRPr="00564672" w14:paraId="4B87AFB2" w14:textId="77777777" w:rsidTr="00FC063D">
              <w:tc>
                <w:tcPr>
                  <w:tcW w:w="4767" w:type="dxa"/>
                </w:tcPr>
                <w:p w14:paraId="4B87AFAE" w14:textId="77777777" w:rsidR="00D76AE6" w:rsidRPr="00564672" w:rsidRDefault="00487600" w:rsidP="00D76AE6">
                  <w:pPr>
                    <w:rPr>
                      <w:szCs w:val="24"/>
                    </w:rPr>
                  </w:pPr>
                  <w:r w:rsidRPr="00487600">
                    <w:rPr>
                      <w:szCs w:val="24"/>
                    </w:rPr>
                    <w:t>Phase 3: Draft revised standards made available for public comment</w:t>
                  </w:r>
                </w:p>
                <w:p w14:paraId="4B87AFAF" w14:textId="77777777" w:rsidR="0036141A" w:rsidRPr="00564672" w:rsidRDefault="0036141A" w:rsidP="00593CEB">
                  <w:pPr>
                    <w:jc w:val="center"/>
                    <w:rPr>
                      <w:b/>
                      <w:bCs/>
                      <w:szCs w:val="24"/>
                    </w:rPr>
                  </w:pPr>
                </w:p>
              </w:tc>
              <w:tc>
                <w:tcPr>
                  <w:tcW w:w="4673" w:type="dxa"/>
                </w:tcPr>
                <w:p w14:paraId="4B87AFB0" w14:textId="77777777" w:rsidR="00D76AE6" w:rsidRPr="00564672" w:rsidRDefault="00487600" w:rsidP="00D01B62">
                  <w:pPr>
                    <w:jc w:val="center"/>
                    <w:rPr>
                      <w:szCs w:val="24"/>
                    </w:rPr>
                  </w:pPr>
                  <w:r w:rsidRPr="00487600">
                    <w:rPr>
                      <w:szCs w:val="24"/>
                    </w:rPr>
                    <w:t>December-February 2018</w:t>
                  </w:r>
                </w:p>
                <w:p w14:paraId="4B87AFB1" w14:textId="77777777" w:rsidR="0036141A" w:rsidRPr="00564672" w:rsidRDefault="0036141A" w:rsidP="00D01B62">
                  <w:pPr>
                    <w:jc w:val="center"/>
                    <w:rPr>
                      <w:b/>
                      <w:bCs/>
                      <w:szCs w:val="24"/>
                    </w:rPr>
                  </w:pPr>
                </w:p>
              </w:tc>
            </w:tr>
            <w:tr w:rsidR="00D76AE6" w:rsidRPr="00564672" w14:paraId="4B87AFB7" w14:textId="77777777" w:rsidTr="00FC063D">
              <w:tc>
                <w:tcPr>
                  <w:tcW w:w="4767" w:type="dxa"/>
                </w:tcPr>
                <w:p w14:paraId="4B87AFB3" w14:textId="77777777" w:rsidR="00D76AE6" w:rsidRPr="00564672" w:rsidRDefault="00487600" w:rsidP="00D76AE6">
                  <w:pPr>
                    <w:rPr>
                      <w:szCs w:val="24"/>
                    </w:rPr>
                  </w:pPr>
                  <w:r w:rsidRPr="00487600">
                    <w:rPr>
                      <w:szCs w:val="24"/>
                    </w:rPr>
                    <w:t xml:space="preserve">Phase 3: Final draft of revised standards presented to </w:t>
                  </w:r>
                  <w:r w:rsidR="009235E4">
                    <w:rPr>
                      <w:szCs w:val="24"/>
                    </w:rPr>
                    <w:t xml:space="preserve">Board </w:t>
                  </w:r>
                  <w:r w:rsidRPr="00487600">
                    <w:rPr>
                      <w:szCs w:val="24"/>
                    </w:rPr>
                    <w:t>for public comment and adoption</w:t>
                  </w:r>
                </w:p>
                <w:p w14:paraId="4B87AFB4" w14:textId="77777777" w:rsidR="00D01B62" w:rsidRDefault="00D01B62" w:rsidP="00D76AE6">
                  <w:pPr>
                    <w:rPr>
                      <w:szCs w:val="24"/>
                    </w:rPr>
                  </w:pPr>
                </w:p>
                <w:p w14:paraId="4B87AFB5" w14:textId="77777777" w:rsidR="007C1E19" w:rsidRPr="00564672" w:rsidRDefault="007C1E19" w:rsidP="00D76AE6">
                  <w:pPr>
                    <w:rPr>
                      <w:szCs w:val="24"/>
                    </w:rPr>
                  </w:pPr>
                </w:p>
              </w:tc>
              <w:tc>
                <w:tcPr>
                  <w:tcW w:w="4673" w:type="dxa"/>
                </w:tcPr>
                <w:p w14:paraId="4B87AFB6" w14:textId="77777777" w:rsidR="00D76AE6" w:rsidRPr="00564672" w:rsidRDefault="00487600" w:rsidP="00D01B62">
                  <w:pPr>
                    <w:jc w:val="center"/>
                    <w:rPr>
                      <w:szCs w:val="24"/>
                    </w:rPr>
                  </w:pPr>
                  <w:r w:rsidRPr="00487600">
                    <w:rPr>
                      <w:szCs w:val="24"/>
                    </w:rPr>
                    <w:t>May/June 2018</w:t>
                  </w:r>
                </w:p>
              </w:tc>
            </w:tr>
            <w:tr w:rsidR="00D76AE6" w:rsidRPr="00564672" w14:paraId="4B87AFBC" w14:textId="77777777" w:rsidTr="00FC063D">
              <w:tc>
                <w:tcPr>
                  <w:tcW w:w="4767" w:type="dxa"/>
                </w:tcPr>
                <w:p w14:paraId="4B87AFB8" w14:textId="77777777" w:rsidR="00D76AE6" w:rsidRPr="00564672" w:rsidRDefault="00487600" w:rsidP="00D01B62">
                  <w:pPr>
                    <w:rPr>
                      <w:szCs w:val="24"/>
                    </w:rPr>
                  </w:pPr>
                  <w:r w:rsidRPr="00487600">
                    <w:rPr>
                      <w:szCs w:val="24"/>
                    </w:rPr>
                    <w:lastRenderedPageBreak/>
                    <w:t>Phase 4: Dissemination of standards; district curriculum adjustment and implementation</w:t>
                  </w:r>
                </w:p>
                <w:p w14:paraId="4B87AFB9" w14:textId="77777777" w:rsidR="00D01B62" w:rsidRPr="00564672" w:rsidRDefault="00D01B62" w:rsidP="00D01B62">
                  <w:pPr>
                    <w:rPr>
                      <w:szCs w:val="24"/>
                    </w:rPr>
                  </w:pPr>
                </w:p>
              </w:tc>
              <w:tc>
                <w:tcPr>
                  <w:tcW w:w="4673" w:type="dxa"/>
                </w:tcPr>
                <w:p w14:paraId="4B87AFBA" w14:textId="77777777" w:rsidR="009F5508" w:rsidRPr="00564672" w:rsidRDefault="00487600" w:rsidP="00D01B62">
                  <w:pPr>
                    <w:jc w:val="center"/>
                    <w:rPr>
                      <w:szCs w:val="24"/>
                    </w:rPr>
                  </w:pPr>
                  <w:r w:rsidRPr="00487600">
                    <w:rPr>
                      <w:szCs w:val="24"/>
                    </w:rPr>
                    <w:t>Spring 2018 – Spring 2020</w:t>
                  </w:r>
                </w:p>
                <w:p w14:paraId="4B87AFBB" w14:textId="77777777" w:rsidR="00D76AE6" w:rsidRPr="00564672" w:rsidRDefault="00D76AE6" w:rsidP="00D01B62">
                  <w:pPr>
                    <w:jc w:val="center"/>
                    <w:rPr>
                      <w:szCs w:val="24"/>
                    </w:rPr>
                  </w:pPr>
                </w:p>
              </w:tc>
            </w:tr>
            <w:tr w:rsidR="00D76AE6" w:rsidRPr="00564672" w14:paraId="4B87AFC1" w14:textId="77777777" w:rsidTr="00FC063D">
              <w:tc>
                <w:tcPr>
                  <w:tcW w:w="4767" w:type="dxa"/>
                </w:tcPr>
                <w:p w14:paraId="4B87AFBD" w14:textId="77777777" w:rsidR="009F5508" w:rsidRPr="00564672" w:rsidRDefault="00487600" w:rsidP="009F5508">
                  <w:pPr>
                    <w:rPr>
                      <w:szCs w:val="24"/>
                    </w:rPr>
                  </w:pPr>
                  <w:r w:rsidRPr="00487600">
                    <w:rPr>
                      <w:szCs w:val="24"/>
                    </w:rPr>
                    <w:t>Phase 5: Development of state assessment/first administration</w:t>
                  </w:r>
                </w:p>
                <w:p w14:paraId="4B87AFBE" w14:textId="77777777" w:rsidR="00D76AE6" w:rsidRPr="00564672" w:rsidRDefault="00D76AE6" w:rsidP="00D76AE6">
                  <w:pPr>
                    <w:rPr>
                      <w:szCs w:val="24"/>
                    </w:rPr>
                  </w:pPr>
                </w:p>
              </w:tc>
              <w:tc>
                <w:tcPr>
                  <w:tcW w:w="4673" w:type="dxa"/>
                </w:tcPr>
                <w:p w14:paraId="4B87AFBF" w14:textId="77777777" w:rsidR="009F5508" w:rsidRPr="00564672" w:rsidRDefault="00487600" w:rsidP="00D01B62">
                  <w:pPr>
                    <w:jc w:val="center"/>
                    <w:rPr>
                      <w:szCs w:val="24"/>
                    </w:rPr>
                  </w:pPr>
                  <w:r w:rsidRPr="00487600">
                    <w:rPr>
                      <w:szCs w:val="24"/>
                    </w:rPr>
                    <w:t>April/May 2017  – December 2019; first administration – spring 2020</w:t>
                  </w:r>
                </w:p>
                <w:p w14:paraId="4B87AFC0" w14:textId="77777777" w:rsidR="00D76AE6" w:rsidRPr="00564672" w:rsidRDefault="00D76AE6" w:rsidP="00D01B62">
                  <w:pPr>
                    <w:jc w:val="center"/>
                    <w:rPr>
                      <w:szCs w:val="24"/>
                    </w:rPr>
                  </w:pPr>
                </w:p>
              </w:tc>
            </w:tr>
            <w:tr w:rsidR="00D76AE6" w:rsidRPr="00564672" w14:paraId="4B87AFC6" w14:textId="77777777" w:rsidTr="00FC063D">
              <w:tc>
                <w:tcPr>
                  <w:tcW w:w="4767" w:type="dxa"/>
                </w:tcPr>
                <w:p w14:paraId="4B87AFC2" w14:textId="77777777" w:rsidR="009F5508" w:rsidRPr="00564672" w:rsidRDefault="00487600" w:rsidP="009F5508">
                  <w:pPr>
                    <w:rPr>
                      <w:szCs w:val="24"/>
                    </w:rPr>
                  </w:pPr>
                  <w:r w:rsidRPr="00487600">
                    <w:rPr>
                      <w:szCs w:val="24"/>
                    </w:rPr>
                    <w:t>Phase 6: Incorporate HSS assessment as part of</w:t>
                  </w:r>
                  <w:r w:rsidR="00564672">
                    <w:rPr>
                      <w:szCs w:val="24"/>
                    </w:rPr>
                    <w:t xml:space="preserve"> </w:t>
                  </w:r>
                  <w:r w:rsidRPr="00487600">
                    <w:rPr>
                      <w:szCs w:val="24"/>
                    </w:rPr>
                    <w:t>Competency Determination</w:t>
                  </w:r>
                </w:p>
                <w:p w14:paraId="4B87AFC3" w14:textId="77777777" w:rsidR="00D76AE6" w:rsidRPr="00564672" w:rsidRDefault="00D76AE6" w:rsidP="00D76AE6">
                  <w:pPr>
                    <w:rPr>
                      <w:szCs w:val="24"/>
                    </w:rPr>
                  </w:pPr>
                </w:p>
              </w:tc>
              <w:tc>
                <w:tcPr>
                  <w:tcW w:w="4673" w:type="dxa"/>
                </w:tcPr>
                <w:p w14:paraId="4B87AFC4" w14:textId="77777777" w:rsidR="009F5508" w:rsidRPr="00564672" w:rsidRDefault="00487600" w:rsidP="00D01B62">
                  <w:pPr>
                    <w:jc w:val="center"/>
                    <w:rPr>
                      <w:szCs w:val="24"/>
                    </w:rPr>
                  </w:pPr>
                  <w:r w:rsidRPr="00487600">
                    <w:rPr>
                      <w:szCs w:val="24"/>
                    </w:rPr>
                    <w:t>To be determined</w:t>
                  </w:r>
                </w:p>
                <w:p w14:paraId="4B87AFC5" w14:textId="77777777" w:rsidR="00D76AE6" w:rsidRPr="00564672" w:rsidRDefault="00D76AE6" w:rsidP="00D01B62">
                  <w:pPr>
                    <w:jc w:val="center"/>
                    <w:rPr>
                      <w:szCs w:val="24"/>
                    </w:rPr>
                  </w:pPr>
                </w:p>
              </w:tc>
            </w:tr>
          </w:tbl>
          <w:p w14:paraId="4B87AFC7" w14:textId="77777777" w:rsidR="003D24BF" w:rsidRPr="00564672" w:rsidRDefault="003D24BF" w:rsidP="00593CEB">
            <w:pPr>
              <w:jc w:val="center"/>
              <w:rPr>
                <w:b/>
                <w:bCs/>
                <w:szCs w:val="24"/>
              </w:rPr>
            </w:pPr>
          </w:p>
        </w:tc>
      </w:tr>
    </w:tbl>
    <w:p w14:paraId="4B87AFC9" w14:textId="77777777" w:rsidR="003D24BF" w:rsidRPr="009235E4" w:rsidRDefault="00487600" w:rsidP="003D24BF">
      <w:pPr>
        <w:rPr>
          <w:b/>
          <w:szCs w:val="24"/>
        </w:rPr>
      </w:pPr>
      <w:r w:rsidRPr="00487600">
        <w:rPr>
          <w:b/>
          <w:szCs w:val="24"/>
        </w:rPr>
        <w:lastRenderedPageBreak/>
        <w:t>Budget</w:t>
      </w:r>
    </w:p>
    <w:p w14:paraId="4B87AFCA" w14:textId="77777777" w:rsidR="00C45DE4" w:rsidRPr="009235E4" w:rsidRDefault="00C45DE4" w:rsidP="003D24BF">
      <w:pPr>
        <w:rPr>
          <w:b/>
          <w:szCs w:val="24"/>
        </w:rPr>
      </w:pPr>
    </w:p>
    <w:tbl>
      <w:tblPr>
        <w:tblStyle w:val="TableGrid"/>
        <w:tblW w:w="9810" w:type="dxa"/>
        <w:tblInd w:w="108" w:type="dxa"/>
        <w:tblLook w:val="04A0" w:firstRow="1" w:lastRow="0" w:firstColumn="1" w:lastColumn="0" w:noHBand="0" w:noVBand="1"/>
      </w:tblPr>
      <w:tblGrid>
        <w:gridCol w:w="9810"/>
      </w:tblGrid>
      <w:tr w:rsidR="00B15925" w:rsidRPr="009235E4" w14:paraId="4B87AFCC" w14:textId="77777777" w:rsidTr="00FC063D">
        <w:tc>
          <w:tcPr>
            <w:tcW w:w="9810" w:type="dxa"/>
            <w:shd w:val="clear" w:color="auto" w:fill="BFBFBF" w:themeFill="background1" w:themeFillShade="BF"/>
          </w:tcPr>
          <w:p w14:paraId="4B87AFCB" w14:textId="77777777" w:rsidR="00B15925" w:rsidRPr="009235E4" w:rsidRDefault="00B15925" w:rsidP="003D24BF">
            <w:pPr>
              <w:rPr>
                <w:b/>
                <w:szCs w:val="24"/>
              </w:rPr>
            </w:pPr>
            <w:r w:rsidRPr="009235E4">
              <w:rPr>
                <w:b/>
                <w:szCs w:val="24"/>
              </w:rPr>
              <w:t xml:space="preserve">FY16 – Phase 1 </w:t>
            </w:r>
          </w:p>
        </w:tc>
      </w:tr>
      <w:tr w:rsidR="00B15925" w:rsidRPr="009235E4" w14:paraId="4B87AFCE" w14:textId="77777777" w:rsidTr="00FC063D">
        <w:tc>
          <w:tcPr>
            <w:tcW w:w="9810" w:type="dxa"/>
          </w:tcPr>
          <w:p w14:paraId="4B87AFCD" w14:textId="77777777" w:rsidR="00B15925" w:rsidRPr="009235E4" w:rsidRDefault="00487600" w:rsidP="003D24BF">
            <w:pPr>
              <w:rPr>
                <w:b/>
                <w:szCs w:val="24"/>
              </w:rPr>
            </w:pPr>
            <w:r w:rsidRPr="00487600">
              <w:rPr>
                <w:b/>
                <w:szCs w:val="24"/>
              </w:rPr>
              <w:t xml:space="preserve">Anticipated FY 16 Total: $10 – 20k </w:t>
            </w:r>
          </w:p>
        </w:tc>
      </w:tr>
      <w:tr w:rsidR="00B15925" w:rsidRPr="009235E4" w14:paraId="4B87AFD1" w14:textId="77777777" w:rsidTr="00FC063D">
        <w:trPr>
          <w:trHeight w:val="638"/>
        </w:trPr>
        <w:tc>
          <w:tcPr>
            <w:tcW w:w="9810" w:type="dxa"/>
          </w:tcPr>
          <w:p w14:paraId="4B87AFCF" w14:textId="77777777" w:rsidR="00B15925" w:rsidRPr="009235E4" w:rsidRDefault="00487600" w:rsidP="00B15925">
            <w:pPr>
              <w:pStyle w:val="ListParagraph"/>
              <w:numPr>
                <w:ilvl w:val="0"/>
                <w:numId w:val="17"/>
              </w:numPr>
              <w:spacing w:after="200"/>
              <w:rPr>
                <w:rFonts w:ascii="Times New Roman" w:hAnsi="Times New Roman" w:cs="Times New Roman"/>
                <w:b/>
                <w:sz w:val="24"/>
                <w:szCs w:val="24"/>
              </w:rPr>
            </w:pPr>
            <w:r w:rsidRPr="00487600">
              <w:rPr>
                <w:rFonts w:ascii="Times New Roman" w:hAnsi="Times New Roman" w:cs="Times New Roman"/>
                <w:b/>
                <w:sz w:val="24"/>
                <w:szCs w:val="24"/>
              </w:rPr>
              <w:t xml:space="preserve">Revision of standards  - </w:t>
            </w:r>
            <w:r w:rsidRPr="00487600">
              <w:rPr>
                <w:rFonts w:ascii="Times New Roman" w:hAnsi="Times New Roman" w:cs="Times New Roman"/>
                <w:sz w:val="24"/>
                <w:szCs w:val="24"/>
              </w:rPr>
              <w:t>Funding to:</w:t>
            </w:r>
            <w:r w:rsidRPr="00487600">
              <w:rPr>
                <w:rFonts w:ascii="Times New Roman" w:hAnsi="Times New Roman" w:cs="Times New Roman"/>
                <w:b/>
                <w:sz w:val="24"/>
                <w:szCs w:val="24"/>
              </w:rPr>
              <w:t xml:space="preserve"> </w:t>
            </w:r>
            <w:r w:rsidRPr="00487600">
              <w:rPr>
                <w:rFonts w:ascii="Times New Roman" w:hAnsi="Times New Roman" w:cs="Times New Roman"/>
                <w:sz w:val="24"/>
                <w:szCs w:val="24"/>
              </w:rPr>
              <w:t>recruit panelists, conduct outreach for initial input from the field</w:t>
            </w:r>
          </w:p>
          <w:p w14:paraId="4B87AFD0" w14:textId="77777777" w:rsidR="005B4333" w:rsidRPr="009235E4" w:rsidRDefault="00487600" w:rsidP="005B4333">
            <w:pPr>
              <w:pStyle w:val="ListParagraph"/>
              <w:numPr>
                <w:ilvl w:val="0"/>
                <w:numId w:val="17"/>
              </w:numPr>
              <w:spacing w:after="200"/>
              <w:rPr>
                <w:rFonts w:ascii="Times New Roman" w:hAnsi="Times New Roman" w:cs="Times New Roman"/>
                <w:sz w:val="24"/>
                <w:szCs w:val="24"/>
              </w:rPr>
            </w:pPr>
            <w:r w:rsidRPr="00487600">
              <w:rPr>
                <w:rFonts w:ascii="Times New Roman" w:hAnsi="Times New Roman" w:cs="Times New Roman"/>
                <w:b/>
                <w:sz w:val="24"/>
                <w:szCs w:val="24"/>
              </w:rPr>
              <w:t>Assessment</w:t>
            </w:r>
            <w:r w:rsidRPr="00487600">
              <w:rPr>
                <w:rFonts w:ascii="Times New Roman" w:hAnsi="Times New Roman" w:cs="Times New Roman"/>
                <w:sz w:val="24"/>
                <w:szCs w:val="24"/>
              </w:rPr>
              <w:t xml:space="preserve"> – no additional cost anticipated</w:t>
            </w:r>
          </w:p>
        </w:tc>
      </w:tr>
      <w:tr w:rsidR="00B15925" w:rsidRPr="009235E4" w14:paraId="4B87AFD3" w14:textId="77777777" w:rsidTr="00FC063D">
        <w:trPr>
          <w:trHeight w:val="233"/>
        </w:trPr>
        <w:tc>
          <w:tcPr>
            <w:tcW w:w="9810" w:type="dxa"/>
            <w:shd w:val="clear" w:color="auto" w:fill="BFBFBF" w:themeFill="background1" w:themeFillShade="BF"/>
          </w:tcPr>
          <w:p w14:paraId="4B87AFD2" w14:textId="77777777" w:rsidR="00B15925" w:rsidRPr="009235E4" w:rsidRDefault="00487600" w:rsidP="00B15925">
            <w:pPr>
              <w:rPr>
                <w:b/>
                <w:szCs w:val="24"/>
              </w:rPr>
            </w:pPr>
            <w:r>
              <w:rPr>
                <w:b/>
                <w:szCs w:val="24"/>
              </w:rPr>
              <w:t xml:space="preserve">FY17 – Phases 1, 2, 5 </w:t>
            </w:r>
          </w:p>
        </w:tc>
      </w:tr>
      <w:tr w:rsidR="00B15925" w:rsidRPr="009235E4" w14:paraId="4B87AFD5" w14:textId="77777777" w:rsidTr="00FC063D">
        <w:tc>
          <w:tcPr>
            <w:tcW w:w="9810" w:type="dxa"/>
          </w:tcPr>
          <w:p w14:paraId="4B87AFD4" w14:textId="77777777" w:rsidR="00B15925" w:rsidRPr="009235E4" w:rsidRDefault="00487600" w:rsidP="00B15925">
            <w:pPr>
              <w:rPr>
                <w:b/>
                <w:szCs w:val="24"/>
              </w:rPr>
            </w:pPr>
            <w:r w:rsidRPr="00487600">
              <w:rPr>
                <w:b/>
                <w:szCs w:val="24"/>
              </w:rPr>
              <w:t>Anticipated FY17 Total:  Revision of Framework $250-300k/ Assessment TBD</w:t>
            </w:r>
          </w:p>
        </w:tc>
      </w:tr>
      <w:tr w:rsidR="00B15925" w:rsidRPr="009235E4" w14:paraId="4B87AFDA" w14:textId="77777777" w:rsidTr="00FC063D">
        <w:tc>
          <w:tcPr>
            <w:tcW w:w="9810" w:type="dxa"/>
          </w:tcPr>
          <w:p w14:paraId="4B87AFD6" w14:textId="77777777" w:rsidR="003F6188" w:rsidRPr="009235E4" w:rsidRDefault="00487600" w:rsidP="003F6188">
            <w:pPr>
              <w:pStyle w:val="ListParagraph"/>
              <w:numPr>
                <w:ilvl w:val="0"/>
                <w:numId w:val="19"/>
              </w:numPr>
              <w:spacing w:after="200"/>
              <w:rPr>
                <w:rFonts w:ascii="Times New Roman" w:hAnsi="Times New Roman" w:cs="Times New Roman"/>
                <w:sz w:val="24"/>
                <w:szCs w:val="24"/>
              </w:rPr>
            </w:pPr>
            <w:r w:rsidRPr="00487600">
              <w:rPr>
                <w:rFonts w:ascii="Times New Roman" w:hAnsi="Times New Roman" w:cs="Times New Roman"/>
                <w:b/>
                <w:sz w:val="24"/>
                <w:szCs w:val="24"/>
              </w:rPr>
              <w:t xml:space="preserve">Revision of standards – </w:t>
            </w:r>
            <w:r w:rsidRPr="00487600">
              <w:rPr>
                <w:rFonts w:ascii="Times New Roman" w:hAnsi="Times New Roman" w:cs="Times New Roman"/>
                <w:sz w:val="24"/>
                <w:szCs w:val="24"/>
              </w:rPr>
              <w:t xml:space="preserve">Funding to: convene review panel meetings </w:t>
            </w:r>
            <w:r w:rsidR="009235E4">
              <w:rPr>
                <w:rFonts w:ascii="Times New Roman" w:hAnsi="Times New Roman" w:cs="Times New Roman"/>
                <w:sz w:val="24"/>
                <w:szCs w:val="24"/>
              </w:rPr>
              <w:t>and</w:t>
            </w:r>
            <w:r w:rsidRPr="00487600">
              <w:rPr>
                <w:rFonts w:ascii="Times New Roman" w:hAnsi="Times New Roman" w:cs="Times New Roman"/>
                <w:sz w:val="24"/>
                <w:szCs w:val="24"/>
              </w:rPr>
              <w:t xml:space="preserve"> regional focus/public feedback groups, develop progress report for</w:t>
            </w:r>
            <w:r w:rsidR="009235E4">
              <w:rPr>
                <w:rFonts w:ascii="Times New Roman" w:hAnsi="Times New Roman" w:cs="Times New Roman"/>
                <w:sz w:val="24"/>
                <w:szCs w:val="24"/>
              </w:rPr>
              <w:t xml:space="preserve"> Board</w:t>
            </w:r>
            <w:r w:rsidRPr="00487600">
              <w:rPr>
                <w:rFonts w:ascii="Times New Roman" w:hAnsi="Times New Roman" w:cs="Times New Roman"/>
                <w:sz w:val="24"/>
                <w:szCs w:val="24"/>
              </w:rPr>
              <w:t xml:space="preserve">; </w:t>
            </w:r>
          </w:p>
          <w:p w14:paraId="4B87AFD7" w14:textId="77777777" w:rsidR="00B15925" w:rsidRPr="009235E4" w:rsidRDefault="00487600" w:rsidP="003F6188">
            <w:pPr>
              <w:pStyle w:val="ListParagraph"/>
              <w:numPr>
                <w:ilvl w:val="0"/>
                <w:numId w:val="34"/>
              </w:numPr>
              <w:spacing w:after="200"/>
              <w:rPr>
                <w:rFonts w:ascii="Times New Roman" w:hAnsi="Times New Roman" w:cs="Times New Roman"/>
                <w:sz w:val="24"/>
                <w:szCs w:val="24"/>
              </w:rPr>
            </w:pPr>
            <w:r w:rsidRPr="00487600">
              <w:rPr>
                <w:rFonts w:ascii="Times New Roman" w:hAnsi="Times New Roman" w:cs="Times New Roman"/>
                <w:sz w:val="24"/>
                <w:szCs w:val="24"/>
              </w:rPr>
              <w:t xml:space="preserve">Hire staff/consultants, conduct research, draft initial standards, establish meeting space, convene annual HSS conference </w:t>
            </w:r>
          </w:p>
          <w:p w14:paraId="4B87AFD8" w14:textId="77777777" w:rsidR="00B15925" w:rsidRPr="009235E4" w:rsidRDefault="00487600" w:rsidP="00B15925">
            <w:pPr>
              <w:pStyle w:val="ListParagraph"/>
              <w:numPr>
                <w:ilvl w:val="0"/>
                <w:numId w:val="19"/>
              </w:numPr>
              <w:rPr>
                <w:rFonts w:ascii="Times New Roman" w:hAnsi="Times New Roman" w:cs="Times New Roman"/>
                <w:b/>
                <w:sz w:val="24"/>
                <w:szCs w:val="24"/>
              </w:rPr>
            </w:pPr>
            <w:r w:rsidRPr="00487600">
              <w:rPr>
                <w:rFonts w:ascii="Times New Roman" w:hAnsi="Times New Roman" w:cs="Times New Roman"/>
                <w:b/>
                <w:sz w:val="24"/>
                <w:szCs w:val="24"/>
              </w:rPr>
              <w:t xml:space="preserve">Assessment – </w:t>
            </w:r>
            <w:r w:rsidRPr="00487600">
              <w:rPr>
                <w:rFonts w:ascii="Times New Roman" w:hAnsi="Times New Roman" w:cs="Times New Roman"/>
                <w:sz w:val="24"/>
                <w:szCs w:val="24"/>
              </w:rPr>
              <w:t>some costs incurred as assessment development commences- $TBD</w:t>
            </w:r>
          </w:p>
          <w:p w14:paraId="4B87AFD9" w14:textId="77777777" w:rsidR="00B15925" w:rsidRPr="009235E4" w:rsidRDefault="00487600" w:rsidP="003D6144">
            <w:pPr>
              <w:pStyle w:val="ListParagraph"/>
              <w:numPr>
                <w:ilvl w:val="0"/>
                <w:numId w:val="22"/>
              </w:numPr>
              <w:rPr>
                <w:rFonts w:ascii="Times New Roman" w:hAnsi="Times New Roman" w:cs="Times New Roman"/>
                <w:b/>
                <w:sz w:val="24"/>
                <w:szCs w:val="24"/>
              </w:rPr>
            </w:pPr>
            <w:r w:rsidRPr="00487600">
              <w:rPr>
                <w:rFonts w:ascii="Times New Roman" w:hAnsi="Times New Roman" w:cs="Times New Roman"/>
                <w:sz w:val="24"/>
                <w:szCs w:val="24"/>
              </w:rPr>
              <w:t xml:space="preserve">Hire staff </w:t>
            </w:r>
          </w:p>
        </w:tc>
      </w:tr>
      <w:tr w:rsidR="00B15925" w:rsidRPr="009235E4" w14:paraId="4B87AFDC" w14:textId="77777777" w:rsidTr="00FC063D">
        <w:trPr>
          <w:trHeight w:val="305"/>
        </w:trPr>
        <w:tc>
          <w:tcPr>
            <w:tcW w:w="9810" w:type="dxa"/>
            <w:shd w:val="clear" w:color="auto" w:fill="BFBFBF" w:themeFill="background1" w:themeFillShade="BF"/>
          </w:tcPr>
          <w:p w14:paraId="4B87AFDB" w14:textId="77777777" w:rsidR="00B15925" w:rsidRPr="009235E4" w:rsidRDefault="00487600" w:rsidP="00B15925">
            <w:pPr>
              <w:rPr>
                <w:b/>
                <w:szCs w:val="24"/>
              </w:rPr>
            </w:pPr>
            <w:r>
              <w:rPr>
                <w:b/>
                <w:szCs w:val="24"/>
              </w:rPr>
              <w:t xml:space="preserve">FY18 – Phases 2, 3, 4, 5 </w:t>
            </w:r>
          </w:p>
        </w:tc>
      </w:tr>
      <w:tr w:rsidR="00B15925" w:rsidRPr="009235E4" w14:paraId="4B87AFDE" w14:textId="77777777" w:rsidTr="00FC063D">
        <w:tc>
          <w:tcPr>
            <w:tcW w:w="9810" w:type="dxa"/>
          </w:tcPr>
          <w:p w14:paraId="4B87AFDD" w14:textId="77777777" w:rsidR="00B15925" w:rsidRPr="009235E4" w:rsidRDefault="00487600" w:rsidP="00B15925">
            <w:pPr>
              <w:rPr>
                <w:b/>
                <w:szCs w:val="24"/>
              </w:rPr>
            </w:pPr>
            <w:r w:rsidRPr="00487600">
              <w:rPr>
                <w:b/>
                <w:szCs w:val="24"/>
              </w:rPr>
              <w:t>Anticipated FY18 Total: Revision of Framework $250-300k/ Assessment TBD</w:t>
            </w:r>
          </w:p>
        </w:tc>
      </w:tr>
      <w:tr w:rsidR="00B15925" w:rsidRPr="009235E4" w14:paraId="4B87AFE3" w14:textId="77777777" w:rsidTr="00FC063D">
        <w:tc>
          <w:tcPr>
            <w:tcW w:w="9810" w:type="dxa"/>
          </w:tcPr>
          <w:p w14:paraId="4B87AFDF" w14:textId="77777777" w:rsidR="003F6188" w:rsidRPr="009235E4" w:rsidRDefault="00487600" w:rsidP="003F6188">
            <w:pPr>
              <w:pStyle w:val="ListParagraph"/>
              <w:numPr>
                <w:ilvl w:val="0"/>
                <w:numId w:val="23"/>
              </w:numPr>
              <w:spacing w:after="200"/>
              <w:rPr>
                <w:rFonts w:ascii="Times New Roman" w:hAnsi="Times New Roman" w:cs="Times New Roman"/>
                <w:sz w:val="24"/>
                <w:szCs w:val="24"/>
              </w:rPr>
            </w:pPr>
            <w:r w:rsidRPr="00487600">
              <w:rPr>
                <w:rFonts w:ascii="Times New Roman" w:hAnsi="Times New Roman" w:cs="Times New Roman"/>
                <w:b/>
                <w:sz w:val="24"/>
                <w:szCs w:val="24"/>
              </w:rPr>
              <w:t xml:space="preserve">Revision of standards – </w:t>
            </w:r>
            <w:r w:rsidRPr="00487600">
              <w:rPr>
                <w:rFonts w:ascii="Times New Roman" w:hAnsi="Times New Roman" w:cs="Times New Roman"/>
                <w:sz w:val="24"/>
                <w:szCs w:val="24"/>
              </w:rPr>
              <w:t>Funding to: convene review panel meetings, draft revised standards-</w:t>
            </w:r>
            <w:r w:rsidR="009235E4">
              <w:rPr>
                <w:rFonts w:ascii="Times New Roman" w:hAnsi="Times New Roman" w:cs="Times New Roman"/>
                <w:sz w:val="24"/>
                <w:szCs w:val="24"/>
              </w:rPr>
              <w:t>Board</w:t>
            </w:r>
            <w:r w:rsidR="009235E4" w:rsidRPr="009235E4" w:rsidDel="009235E4">
              <w:rPr>
                <w:rFonts w:ascii="Times New Roman" w:hAnsi="Times New Roman" w:cs="Times New Roman"/>
                <w:sz w:val="24"/>
                <w:szCs w:val="24"/>
              </w:rPr>
              <w:t xml:space="preserve"> </w:t>
            </w:r>
            <w:r w:rsidRPr="00487600">
              <w:rPr>
                <w:rFonts w:ascii="Times New Roman" w:hAnsi="Times New Roman" w:cs="Times New Roman"/>
                <w:sz w:val="24"/>
                <w:szCs w:val="24"/>
              </w:rPr>
              <w:t>/public comment, make additional revisions, adopt revise</w:t>
            </w:r>
            <w:r w:rsidR="007152A0">
              <w:rPr>
                <w:rFonts w:ascii="Times New Roman" w:hAnsi="Times New Roman" w:cs="Times New Roman"/>
                <w:sz w:val="24"/>
                <w:szCs w:val="24"/>
              </w:rPr>
              <w:t>d</w:t>
            </w:r>
            <w:r w:rsidRPr="00487600">
              <w:rPr>
                <w:rFonts w:ascii="Times New Roman" w:hAnsi="Times New Roman" w:cs="Times New Roman"/>
                <w:sz w:val="24"/>
                <w:szCs w:val="24"/>
              </w:rPr>
              <w:t xml:space="preserve"> standards; fund dissemination/implementation/</w:t>
            </w:r>
            <w:r w:rsidR="009235E4">
              <w:rPr>
                <w:rFonts w:ascii="Times New Roman" w:hAnsi="Times New Roman" w:cs="Times New Roman"/>
                <w:sz w:val="24"/>
                <w:szCs w:val="24"/>
              </w:rPr>
              <w:t>professional development</w:t>
            </w:r>
          </w:p>
          <w:p w14:paraId="4B87AFE0" w14:textId="77777777" w:rsidR="00B15925" w:rsidRPr="009235E4" w:rsidRDefault="00487600" w:rsidP="008F5302">
            <w:pPr>
              <w:pStyle w:val="ListParagraph"/>
              <w:numPr>
                <w:ilvl w:val="0"/>
                <w:numId w:val="35"/>
              </w:numPr>
              <w:spacing w:after="200"/>
              <w:rPr>
                <w:rFonts w:ascii="Times New Roman" w:hAnsi="Times New Roman" w:cs="Times New Roman"/>
                <w:sz w:val="24"/>
                <w:szCs w:val="24"/>
              </w:rPr>
            </w:pPr>
            <w:r w:rsidRPr="00487600">
              <w:rPr>
                <w:rFonts w:ascii="Times New Roman" w:hAnsi="Times New Roman" w:cs="Times New Roman"/>
                <w:sz w:val="24"/>
                <w:szCs w:val="24"/>
              </w:rPr>
              <w:t xml:space="preserve">Fund staff salaries/consultants, draft revised standards, establish meeting space, convene annual HSS conference </w:t>
            </w:r>
          </w:p>
          <w:p w14:paraId="4B87AFE1" w14:textId="77777777" w:rsidR="00B15925" w:rsidRPr="009235E4" w:rsidRDefault="00487600" w:rsidP="00B15925">
            <w:pPr>
              <w:pStyle w:val="ListParagraph"/>
              <w:numPr>
                <w:ilvl w:val="0"/>
                <w:numId w:val="23"/>
              </w:numPr>
              <w:rPr>
                <w:rFonts w:ascii="Times New Roman" w:hAnsi="Times New Roman" w:cs="Times New Roman"/>
                <w:b/>
                <w:sz w:val="24"/>
                <w:szCs w:val="24"/>
              </w:rPr>
            </w:pPr>
            <w:r w:rsidRPr="00487600">
              <w:rPr>
                <w:rFonts w:ascii="Times New Roman" w:hAnsi="Times New Roman" w:cs="Times New Roman"/>
                <w:b/>
                <w:sz w:val="24"/>
                <w:szCs w:val="24"/>
              </w:rPr>
              <w:t xml:space="preserve">Assessment – </w:t>
            </w:r>
            <w:r w:rsidRPr="00487600">
              <w:rPr>
                <w:rFonts w:ascii="Times New Roman" w:hAnsi="Times New Roman" w:cs="Times New Roman"/>
                <w:sz w:val="24"/>
                <w:szCs w:val="24"/>
              </w:rPr>
              <w:t>item development, pilot</w:t>
            </w:r>
            <w:r w:rsidRPr="00487600">
              <w:rPr>
                <w:rFonts w:ascii="Times New Roman" w:hAnsi="Times New Roman" w:cs="Times New Roman"/>
                <w:b/>
                <w:sz w:val="24"/>
                <w:szCs w:val="24"/>
              </w:rPr>
              <w:t xml:space="preserve">  </w:t>
            </w:r>
            <w:r w:rsidRPr="00487600">
              <w:rPr>
                <w:rFonts w:ascii="Times New Roman" w:hAnsi="Times New Roman" w:cs="Times New Roman"/>
                <w:sz w:val="24"/>
                <w:szCs w:val="24"/>
              </w:rPr>
              <w:t>- $TBD</w:t>
            </w:r>
          </w:p>
          <w:p w14:paraId="4B87AFE2" w14:textId="77777777" w:rsidR="00B15925" w:rsidRPr="009235E4" w:rsidRDefault="00487600" w:rsidP="00B15925">
            <w:pPr>
              <w:pStyle w:val="ListParagraph"/>
              <w:numPr>
                <w:ilvl w:val="0"/>
                <w:numId w:val="25"/>
              </w:numPr>
              <w:rPr>
                <w:rFonts w:ascii="Times New Roman" w:hAnsi="Times New Roman" w:cs="Times New Roman"/>
                <w:sz w:val="24"/>
                <w:szCs w:val="24"/>
              </w:rPr>
            </w:pPr>
            <w:r w:rsidRPr="00487600">
              <w:rPr>
                <w:rFonts w:ascii="Times New Roman" w:hAnsi="Times New Roman" w:cs="Times New Roman"/>
                <w:sz w:val="24"/>
                <w:szCs w:val="24"/>
              </w:rPr>
              <w:t>Fund staff salaries, item development;  pilot assessment</w:t>
            </w:r>
          </w:p>
        </w:tc>
      </w:tr>
      <w:tr w:rsidR="00B15925" w:rsidRPr="009235E4" w14:paraId="4B87AFE5" w14:textId="77777777" w:rsidTr="00FC063D">
        <w:tc>
          <w:tcPr>
            <w:tcW w:w="9810" w:type="dxa"/>
            <w:shd w:val="clear" w:color="auto" w:fill="BFBFBF" w:themeFill="background1" w:themeFillShade="BF"/>
          </w:tcPr>
          <w:p w14:paraId="4B87AFE4" w14:textId="77777777" w:rsidR="00B15925" w:rsidRPr="009235E4" w:rsidRDefault="00487600" w:rsidP="00B15925">
            <w:pPr>
              <w:rPr>
                <w:b/>
                <w:szCs w:val="24"/>
              </w:rPr>
            </w:pPr>
            <w:r>
              <w:rPr>
                <w:b/>
                <w:szCs w:val="24"/>
              </w:rPr>
              <w:t>FY19 – Phases 4, 5</w:t>
            </w:r>
          </w:p>
        </w:tc>
      </w:tr>
      <w:tr w:rsidR="00B15925" w:rsidRPr="009235E4" w14:paraId="4B87AFE7" w14:textId="77777777" w:rsidTr="00FC063D">
        <w:tc>
          <w:tcPr>
            <w:tcW w:w="9810" w:type="dxa"/>
          </w:tcPr>
          <w:p w14:paraId="4B87AFE6" w14:textId="77777777" w:rsidR="00B15925" w:rsidRPr="009235E4" w:rsidRDefault="00487600" w:rsidP="00B15925">
            <w:pPr>
              <w:rPr>
                <w:szCs w:val="24"/>
              </w:rPr>
            </w:pPr>
            <w:r w:rsidRPr="00487600">
              <w:rPr>
                <w:b/>
                <w:szCs w:val="24"/>
              </w:rPr>
              <w:t>Anticipated FY19 Total: Revision of Framework $350-400k/ Assessment TBD</w:t>
            </w:r>
          </w:p>
        </w:tc>
      </w:tr>
      <w:tr w:rsidR="00B15925" w:rsidRPr="009235E4" w14:paraId="4B87AFED" w14:textId="77777777" w:rsidTr="00FC063D">
        <w:tc>
          <w:tcPr>
            <w:tcW w:w="9810" w:type="dxa"/>
          </w:tcPr>
          <w:p w14:paraId="4B87AFE8" w14:textId="77777777" w:rsidR="005B4333" w:rsidRPr="009235E4" w:rsidRDefault="00487600" w:rsidP="005B4333">
            <w:pPr>
              <w:pStyle w:val="ListParagraph"/>
              <w:numPr>
                <w:ilvl w:val="0"/>
                <w:numId w:val="27"/>
              </w:numPr>
              <w:rPr>
                <w:rFonts w:ascii="Times New Roman" w:hAnsi="Times New Roman" w:cs="Times New Roman"/>
                <w:b/>
                <w:sz w:val="24"/>
                <w:szCs w:val="24"/>
              </w:rPr>
            </w:pPr>
            <w:r w:rsidRPr="00487600">
              <w:rPr>
                <w:rFonts w:ascii="Times New Roman" w:hAnsi="Times New Roman" w:cs="Times New Roman"/>
                <w:b/>
                <w:sz w:val="24"/>
                <w:szCs w:val="24"/>
              </w:rPr>
              <w:t xml:space="preserve">Revision of standards- </w:t>
            </w:r>
            <w:r w:rsidRPr="00487600">
              <w:rPr>
                <w:rFonts w:ascii="Times New Roman" w:hAnsi="Times New Roman" w:cs="Times New Roman"/>
                <w:sz w:val="24"/>
                <w:szCs w:val="24"/>
              </w:rPr>
              <w:t>Funding to: support</w:t>
            </w:r>
            <w:r w:rsidRPr="00487600">
              <w:rPr>
                <w:rFonts w:ascii="Times New Roman" w:hAnsi="Times New Roman" w:cs="Times New Roman"/>
                <w:b/>
                <w:sz w:val="24"/>
                <w:szCs w:val="24"/>
              </w:rPr>
              <w:t xml:space="preserve"> </w:t>
            </w:r>
            <w:r w:rsidRPr="00487600">
              <w:rPr>
                <w:rFonts w:ascii="Times New Roman" w:hAnsi="Times New Roman" w:cs="Times New Roman"/>
                <w:sz w:val="24"/>
                <w:szCs w:val="24"/>
              </w:rPr>
              <w:t>dissemination/implementation/</w:t>
            </w:r>
            <w:r w:rsidR="009235E4">
              <w:rPr>
                <w:rFonts w:ascii="Times New Roman" w:hAnsi="Times New Roman" w:cs="Times New Roman"/>
                <w:sz w:val="24"/>
                <w:szCs w:val="24"/>
              </w:rPr>
              <w:t>professional development</w:t>
            </w:r>
          </w:p>
          <w:p w14:paraId="4B87AFE9" w14:textId="77777777" w:rsidR="005B4333" w:rsidRPr="009235E4" w:rsidRDefault="00487600" w:rsidP="005B4333">
            <w:pPr>
              <w:pStyle w:val="ListParagraph"/>
              <w:numPr>
                <w:ilvl w:val="1"/>
                <w:numId w:val="28"/>
              </w:numPr>
              <w:rPr>
                <w:rFonts w:ascii="Times New Roman" w:hAnsi="Times New Roman" w:cs="Times New Roman"/>
                <w:sz w:val="24"/>
                <w:szCs w:val="24"/>
              </w:rPr>
            </w:pPr>
            <w:r w:rsidRPr="00487600">
              <w:rPr>
                <w:rFonts w:ascii="Times New Roman" w:hAnsi="Times New Roman" w:cs="Times New Roman"/>
                <w:sz w:val="24"/>
                <w:szCs w:val="24"/>
              </w:rPr>
              <w:t xml:space="preserve">Fund staff salaries/consultants,  establish History–Social Science Fellows program to support dissemination/educator </w:t>
            </w:r>
            <w:r w:rsidR="009235E4">
              <w:rPr>
                <w:rFonts w:ascii="Times New Roman" w:hAnsi="Times New Roman" w:cs="Times New Roman"/>
                <w:sz w:val="24"/>
                <w:szCs w:val="24"/>
              </w:rPr>
              <w:t>professional development</w:t>
            </w:r>
            <w:r w:rsidRPr="00487600">
              <w:rPr>
                <w:rFonts w:ascii="Times New Roman" w:hAnsi="Times New Roman" w:cs="Times New Roman"/>
                <w:sz w:val="24"/>
                <w:szCs w:val="24"/>
              </w:rPr>
              <w:t>, convene annual HSS conference</w:t>
            </w:r>
          </w:p>
          <w:p w14:paraId="4B87AFEA" w14:textId="77777777" w:rsidR="005B4333" w:rsidRPr="009235E4" w:rsidRDefault="00487600" w:rsidP="005B4333">
            <w:pPr>
              <w:pStyle w:val="ListParagraph"/>
              <w:numPr>
                <w:ilvl w:val="0"/>
                <w:numId w:val="27"/>
              </w:numPr>
              <w:rPr>
                <w:rFonts w:ascii="Times New Roman" w:hAnsi="Times New Roman" w:cs="Times New Roman"/>
                <w:sz w:val="24"/>
                <w:szCs w:val="24"/>
              </w:rPr>
            </w:pPr>
            <w:r w:rsidRPr="00487600">
              <w:rPr>
                <w:rFonts w:ascii="Times New Roman" w:hAnsi="Times New Roman" w:cs="Times New Roman"/>
                <w:b/>
                <w:sz w:val="24"/>
                <w:szCs w:val="24"/>
              </w:rPr>
              <w:t xml:space="preserve">Assessment - </w:t>
            </w:r>
            <w:r w:rsidRPr="00487600">
              <w:rPr>
                <w:rFonts w:ascii="Times New Roman" w:hAnsi="Times New Roman" w:cs="Times New Roman"/>
                <w:sz w:val="24"/>
                <w:szCs w:val="24"/>
              </w:rPr>
              <w:t>item development, field test - $TBD</w:t>
            </w:r>
          </w:p>
          <w:p w14:paraId="4B87AFEB" w14:textId="77777777" w:rsidR="00B15925" w:rsidRDefault="00487600" w:rsidP="005B4333">
            <w:pPr>
              <w:pStyle w:val="ListParagraph"/>
              <w:numPr>
                <w:ilvl w:val="0"/>
                <w:numId w:val="29"/>
              </w:numPr>
              <w:rPr>
                <w:rFonts w:ascii="Times New Roman" w:hAnsi="Times New Roman" w:cs="Times New Roman"/>
                <w:sz w:val="24"/>
                <w:szCs w:val="24"/>
              </w:rPr>
            </w:pPr>
            <w:r w:rsidRPr="00487600">
              <w:rPr>
                <w:rFonts w:ascii="Times New Roman" w:hAnsi="Times New Roman" w:cs="Times New Roman"/>
                <w:sz w:val="24"/>
                <w:szCs w:val="24"/>
              </w:rPr>
              <w:t xml:space="preserve">Fund staff salaries, item development, </w:t>
            </w:r>
            <w:r w:rsidR="009235E4">
              <w:rPr>
                <w:rFonts w:ascii="Times New Roman" w:hAnsi="Times New Roman" w:cs="Times New Roman"/>
                <w:sz w:val="24"/>
                <w:szCs w:val="24"/>
              </w:rPr>
              <w:t>professional development</w:t>
            </w:r>
            <w:r w:rsidRPr="00487600">
              <w:rPr>
                <w:rFonts w:ascii="Times New Roman" w:hAnsi="Times New Roman" w:cs="Times New Roman"/>
                <w:sz w:val="24"/>
                <w:szCs w:val="24"/>
              </w:rPr>
              <w:t xml:space="preserve"> – more funds required if </w:t>
            </w:r>
            <w:r w:rsidR="009235E4">
              <w:rPr>
                <w:rFonts w:ascii="Times New Roman" w:hAnsi="Times New Roman" w:cs="Times New Roman"/>
                <w:sz w:val="24"/>
                <w:szCs w:val="24"/>
              </w:rPr>
              <w:t xml:space="preserve">assessments are </w:t>
            </w:r>
            <w:r w:rsidRPr="00487600">
              <w:rPr>
                <w:rFonts w:ascii="Times New Roman" w:hAnsi="Times New Roman" w:cs="Times New Roman"/>
                <w:sz w:val="24"/>
                <w:szCs w:val="24"/>
              </w:rPr>
              <w:t>locally scored</w:t>
            </w:r>
          </w:p>
          <w:p w14:paraId="4B87AFEC" w14:textId="77777777" w:rsidR="00653C3A" w:rsidRPr="00653C3A" w:rsidRDefault="00653C3A" w:rsidP="00653C3A">
            <w:pPr>
              <w:ind w:left="720"/>
              <w:rPr>
                <w:szCs w:val="24"/>
              </w:rPr>
            </w:pPr>
          </w:p>
        </w:tc>
      </w:tr>
      <w:tr w:rsidR="005B4333" w:rsidRPr="009235E4" w14:paraId="4B87AFEF" w14:textId="77777777" w:rsidTr="00FC063D">
        <w:tc>
          <w:tcPr>
            <w:tcW w:w="9810" w:type="dxa"/>
            <w:shd w:val="clear" w:color="auto" w:fill="BFBFBF" w:themeFill="background1" w:themeFillShade="BF"/>
          </w:tcPr>
          <w:p w14:paraId="4B87AFEE" w14:textId="77777777" w:rsidR="005B4333" w:rsidRPr="009235E4" w:rsidRDefault="00487600" w:rsidP="005B4333">
            <w:pPr>
              <w:rPr>
                <w:b/>
                <w:szCs w:val="24"/>
              </w:rPr>
            </w:pPr>
            <w:r>
              <w:rPr>
                <w:b/>
                <w:szCs w:val="24"/>
              </w:rPr>
              <w:lastRenderedPageBreak/>
              <w:t>FY20 – Phases 4, 5</w:t>
            </w:r>
          </w:p>
        </w:tc>
      </w:tr>
      <w:tr w:rsidR="005B4333" w:rsidRPr="009235E4" w14:paraId="4B87AFF1" w14:textId="77777777" w:rsidTr="00FC063D">
        <w:tc>
          <w:tcPr>
            <w:tcW w:w="9810" w:type="dxa"/>
          </w:tcPr>
          <w:p w14:paraId="4B87AFF0" w14:textId="77777777" w:rsidR="005B4333" w:rsidRPr="009235E4" w:rsidRDefault="00487600" w:rsidP="00073B34">
            <w:pPr>
              <w:rPr>
                <w:b/>
                <w:szCs w:val="24"/>
              </w:rPr>
            </w:pPr>
            <w:r w:rsidRPr="00487600">
              <w:rPr>
                <w:b/>
                <w:szCs w:val="24"/>
              </w:rPr>
              <w:t>Anticipated FY20 Total: Revision of Framework $350-400k/ Assessment TBD</w:t>
            </w:r>
          </w:p>
        </w:tc>
      </w:tr>
      <w:tr w:rsidR="00073B34" w:rsidRPr="009235E4" w14:paraId="4B87AFF6" w14:textId="77777777" w:rsidTr="00FC063D">
        <w:tc>
          <w:tcPr>
            <w:tcW w:w="9810" w:type="dxa"/>
          </w:tcPr>
          <w:p w14:paraId="4B87AFF2" w14:textId="77777777" w:rsidR="00073B34" w:rsidRPr="009235E4" w:rsidRDefault="00487600" w:rsidP="00073B34">
            <w:pPr>
              <w:pStyle w:val="ListParagraph"/>
              <w:numPr>
                <w:ilvl w:val="0"/>
                <w:numId w:val="26"/>
              </w:numPr>
              <w:spacing w:after="200"/>
              <w:rPr>
                <w:rFonts w:ascii="Times New Roman" w:hAnsi="Times New Roman" w:cs="Times New Roman"/>
                <w:b/>
                <w:sz w:val="24"/>
                <w:szCs w:val="24"/>
              </w:rPr>
            </w:pPr>
            <w:r w:rsidRPr="00487600">
              <w:rPr>
                <w:rFonts w:ascii="Times New Roman" w:hAnsi="Times New Roman" w:cs="Times New Roman"/>
                <w:b/>
                <w:sz w:val="24"/>
                <w:szCs w:val="24"/>
              </w:rPr>
              <w:t>Revision of standards –</w:t>
            </w:r>
            <w:r w:rsidRPr="00487600">
              <w:rPr>
                <w:rFonts w:ascii="Times New Roman" w:hAnsi="Times New Roman" w:cs="Times New Roman"/>
                <w:sz w:val="24"/>
                <w:szCs w:val="24"/>
              </w:rPr>
              <w:t>Funding to: support</w:t>
            </w:r>
            <w:r w:rsidRPr="00487600">
              <w:rPr>
                <w:rFonts w:ascii="Times New Roman" w:hAnsi="Times New Roman" w:cs="Times New Roman"/>
                <w:b/>
                <w:sz w:val="24"/>
                <w:szCs w:val="24"/>
              </w:rPr>
              <w:t xml:space="preserve"> </w:t>
            </w:r>
            <w:r w:rsidRPr="00487600">
              <w:rPr>
                <w:rFonts w:ascii="Times New Roman" w:hAnsi="Times New Roman" w:cs="Times New Roman"/>
                <w:sz w:val="24"/>
                <w:szCs w:val="24"/>
              </w:rPr>
              <w:t>dissemination/implementation/</w:t>
            </w:r>
            <w:r w:rsidR="009235E4">
              <w:rPr>
                <w:rFonts w:ascii="Times New Roman" w:hAnsi="Times New Roman" w:cs="Times New Roman"/>
                <w:sz w:val="24"/>
                <w:szCs w:val="24"/>
              </w:rPr>
              <w:t xml:space="preserve"> professional development</w:t>
            </w:r>
            <w:r w:rsidR="009235E4" w:rsidRPr="009235E4">
              <w:rPr>
                <w:rFonts w:ascii="Times New Roman" w:hAnsi="Times New Roman" w:cs="Times New Roman"/>
                <w:sz w:val="24"/>
                <w:szCs w:val="24"/>
              </w:rPr>
              <w:t xml:space="preserve"> </w:t>
            </w:r>
          </w:p>
          <w:p w14:paraId="4B87AFF3" w14:textId="77777777" w:rsidR="00073B34" w:rsidRPr="009235E4" w:rsidRDefault="00487600" w:rsidP="00073B34">
            <w:pPr>
              <w:pStyle w:val="ListParagraph"/>
              <w:numPr>
                <w:ilvl w:val="0"/>
                <w:numId w:val="30"/>
              </w:numPr>
              <w:rPr>
                <w:rFonts w:ascii="Times New Roman" w:hAnsi="Times New Roman" w:cs="Times New Roman"/>
                <w:sz w:val="24"/>
                <w:szCs w:val="24"/>
              </w:rPr>
            </w:pPr>
            <w:r w:rsidRPr="00487600">
              <w:rPr>
                <w:rFonts w:ascii="Times New Roman" w:hAnsi="Times New Roman" w:cs="Times New Roman"/>
                <w:sz w:val="24"/>
                <w:szCs w:val="24"/>
              </w:rPr>
              <w:t xml:space="preserve">Fund staff salaries/consultants, continue History –Social Science Fellows program to support dissemination/educator </w:t>
            </w:r>
            <w:r w:rsidR="009235E4">
              <w:rPr>
                <w:rFonts w:ascii="Times New Roman" w:hAnsi="Times New Roman" w:cs="Times New Roman"/>
                <w:sz w:val="24"/>
                <w:szCs w:val="24"/>
              </w:rPr>
              <w:t>professional development</w:t>
            </w:r>
            <w:r w:rsidRPr="00487600">
              <w:rPr>
                <w:rFonts w:ascii="Times New Roman" w:hAnsi="Times New Roman" w:cs="Times New Roman"/>
                <w:sz w:val="24"/>
                <w:szCs w:val="24"/>
              </w:rPr>
              <w:t>, convene annual HSS conference</w:t>
            </w:r>
          </w:p>
          <w:p w14:paraId="4B87AFF4" w14:textId="77777777" w:rsidR="00073B34" w:rsidRPr="009235E4" w:rsidRDefault="00487600" w:rsidP="00073B34">
            <w:pPr>
              <w:pStyle w:val="ListParagraph"/>
              <w:numPr>
                <w:ilvl w:val="0"/>
                <w:numId w:val="26"/>
              </w:numPr>
              <w:rPr>
                <w:rFonts w:ascii="Times New Roman" w:hAnsi="Times New Roman" w:cs="Times New Roman"/>
                <w:b/>
                <w:sz w:val="24"/>
                <w:szCs w:val="24"/>
              </w:rPr>
            </w:pPr>
            <w:r w:rsidRPr="00487600">
              <w:rPr>
                <w:rFonts w:ascii="Times New Roman" w:hAnsi="Times New Roman" w:cs="Times New Roman"/>
                <w:b/>
                <w:sz w:val="24"/>
                <w:szCs w:val="24"/>
              </w:rPr>
              <w:t xml:space="preserve">Assessment – </w:t>
            </w:r>
            <w:r w:rsidRPr="00487600">
              <w:rPr>
                <w:rFonts w:ascii="Times New Roman" w:hAnsi="Times New Roman" w:cs="Times New Roman"/>
                <w:sz w:val="24"/>
                <w:szCs w:val="24"/>
              </w:rPr>
              <w:t>first full administration $TBD</w:t>
            </w:r>
          </w:p>
          <w:p w14:paraId="4B87AFF5" w14:textId="77777777" w:rsidR="00073B34" w:rsidRPr="009235E4" w:rsidRDefault="00487600" w:rsidP="00D945AA">
            <w:pPr>
              <w:pStyle w:val="ListParagraph"/>
              <w:numPr>
                <w:ilvl w:val="0"/>
                <w:numId w:val="36"/>
              </w:numPr>
              <w:rPr>
                <w:rFonts w:ascii="Times New Roman" w:hAnsi="Times New Roman" w:cs="Times New Roman"/>
                <w:b/>
                <w:sz w:val="24"/>
                <w:szCs w:val="24"/>
              </w:rPr>
            </w:pPr>
            <w:r w:rsidRPr="00487600">
              <w:rPr>
                <w:rFonts w:ascii="Times New Roman" w:hAnsi="Times New Roman" w:cs="Times New Roman"/>
                <w:sz w:val="24"/>
                <w:szCs w:val="24"/>
              </w:rPr>
              <w:t xml:space="preserve">Fund staff salaries, item development, </w:t>
            </w:r>
            <w:r w:rsidR="009235E4">
              <w:rPr>
                <w:rFonts w:ascii="Times New Roman" w:hAnsi="Times New Roman" w:cs="Times New Roman"/>
                <w:sz w:val="24"/>
                <w:szCs w:val="24"/>
              </w:rPr>
              <w:t>professional development</w:t>
            </w:r>
            <w:r w:rsidRPr="00487600">
              <w:rPr>
                <w:rFonts w:ascii="Times New Roman" w:hAnsi="Times New Roman" w:cs="Times New Roman"/>
                <w:sz w:val="24"/>
                <w:szCs w:val="24"/>
              </w:rPr>
              <w:t xml:space="preserve"> – more funds required if </w:t>
            </w:r>
            <w:r w:rsidR="009235E4">
              <w:rPr>
                <w:rFonts w:ascii="Times New Roman" w:hAnsi="Times New Roman" w:cs="Times New Roman"/>
                <w:sz w:val="24"/>
                <w:szCs w:val="24"/>
              </w:rPr>
              <w:t xml:space="preserve">assessments are </w:t>
            </w:r>
            <w:r w:rsidRPr="00487600">
              <w:rPr>
                <w:rFonts w:ascii="Times New Roman" w:hAnsi="Times New Roman" w:cs="Times New Roman"/>
                <w:sz w:val="24"/>
                <w:szCs w:val="24"/>
              </w:rPr>
              <w:t>locally scored</w:t>
            </w:r>
          </w:p>
        </w:tc>
      </w:tr>
    </w:tbl>
    <w:p w14:paraId="4B87AFF7" w14:textId="77777777" w:rsidR="00D945AA" w:rsidRDefault="00D945AA" w:rsidP="007A165C">
      <w:pPr>
        <w:tabs>
          <w:tab w:val="left" w:pos="1200"/>
        </w:tabs>
        <w:rPr>
          <w:szCs w:val="24"/>
        </w:rPr>
      </w:pPr>
    </w:p>
    <w:p w14:paraId="4B87AFF8" w14:textId="77777777" w:rsidR="009235E4" w:rsidRDefault="009235E4" w:rsidP="007A165C">
      <w:pPr>
        <w:tabs>
          <w:tab w:val="left" w:pos="1200"/>
        </w:tabs>
        <w:rPr>
          <w:szCs w:val="24"/>
        </w:rPr>
      </w:pPr>
    </w:p>
    <w:p w14:paraId="4B87AFF9" w14:textId="77777777" w:rsidR="009235E4" w:rsidRPr="009235E4" w:rsidRDefault="009235E4" w:rsidP="007A165C">
      <w:pPr>
        <w:tabs>
          <w:tab w:val="left" w:pos="1200"/>
        </w:tabs>
        <w:rPr>
          <w:szCs w:val="24"/>
        </w:rPr>
      </w:pPr>
      <w:r>
        <w:rPr>
          <w:szCs w:val="24"/>
        </w:rPr>
        <w:t>Senior Associate Commissioner Brooke Clenchy and other members of the Department staff will be at the Board meeting on January 26 to answer your questions.</w:t>
      </w:r>
    </w:p>
    <w:sectPr w:rsidR="009235E4" w:rsidRPr="009235E4" w:rsidSect="00653C3A">
      <w:endnotePr>
        <w:numFmt w:val="decimal"/>
      </w:endnotePr>
      <w:type w:val="continuous"/>
      <w:pgSz w:w="12240" w:h="15840"/>
      <w:pgMar w:top="1152" w:right="1440" w:bottom="1152" w:left="1440" w:header="1008"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7AFFF" w14:textId="77777777" w:rsidR="00731ABE" w:rsidRDefault="00731ABE">
      <w:r>
        <w:separator/>
      </w:r>
    </w:p>
  </w:endnote>
  <w:endnote w:type="continuationSeparator" w:id="0">
    <w:p w14:paraId="4B87B000" w14:textId="77777777" w:rsidR="00731ABE" w:rsidRDefault="0073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B001" w14:textId="77777777" w:rsidR="00731ABE" w:rsidRDefault="00044456">
    <w:pPr>
      <w:pStyle w:val="Footer"/>
      <w:framePr w:wrap="around" w:vAnchor="text" w:hAnchor="margin" w:xAlign="right" w:y="1"/>
      <w:rPr>
        <w:rStyle w:val="PageNumber"/>
      </w:rPr>
    </w:pPr>
    <w:r>
      <w:rPr>
        <w:rStyle w:val="PageNumber"/>
      </w:rPr>
      <w:fldChar w:fldCharType="begin"/>
    </w:r>
    <w:r w:rsidR="00731ABE">
      <w:rPr>
        <w:rStyle w:val="PageNumber"/>
      </w:rPr>
      <w:instrText xml:space="preserve">PAGE  </w:instrText>
    </w:r>
    <w:r>
      <w:rPr>
        <w:rStyle w:val="PageNumber"/>
      </w:rPr>
      <w:fldChar w:fldCharType="end"/>
    </w:r>
  </w:p>
  <w:p w14:paraId="4B87B002" w14:textId="77777777" w:rsidR="00731ABE" w:rsidRDefault="00731A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B003" w14:textId="77777777" w:rsidR="00731ABE" w:rsidRDefault="009556BD">
    <w:pPr>
      <w:pStyle w:val="Footer"/>
      <w:jc w:val="right"/>
    </w:pPr>
    <w:r>
      <w:fldChar w:fldCharType="begin"/>
    </w:r>
    <w:r>
      <w:instrText xml:space="preserve"> PAGE   \* MERGEFORMAT </w:instrText>
    </w:r>
    <w:r>
      <w:fldChar w:fldCharType="separate"/>
    </w:r>
    <w:r>
      <w:rPr>
        <w:noProof/>
      </w:rPr>
      <w:t>2</w:t>
    </w:r>
    <w:r>
      <w:rPr>
        <w:noProof/>
      </w:rPr>
      <w:fldChar w:fldCharType="end"/>
    </w:r>
  </w:p>
  <w:p w14:paraId="4B87B004" w14:textId="77777777" w:rsidR="00731ABE" w:rsidRDefault="00731A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AFFD" w14:textId="77777777" w:rsidR="00731ABE" w:rsidRDefault="00731ABE">
      <w:r>
        <w:separator/>
      </w:r>
    </w:p>
  </w:footnote>
  <w:footnote w:type="continuationSeparator" w:id="0">
    <w:p w14:paraId="4B87AFFE" w14:textId="77777777" w:rsidR="00731ABE" w:rsidRDefault="00731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873F7"/>
    <w:multiLevelType w:val="hybridMultilevel"/>
    <w:tmpl w:val="2FF41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748F8"/>
    <w:multiLevelType w:val="hybridMultilevel"/>
    <w:tmpl w:val="0ED41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702BD"/>
    <w:multiLevelType w:val="hybridMultilevel"/>
    <w:tmpl w:val="57F8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57150"/>
    <w:multiLevelType w:val="hybridMultilevel"/>
    <w:tmpl w:val="22D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F65187"/>
    <w:multiLevelType w:val="hybridMultilevel"/>
    <w:tmpl w:val="DEAE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31AEC"/>
    <w:multiLevelType w:val="hybridMultilevel"/>
    <w:tmpl w:val="1C2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D6C4D"/>
    <w:multiLevelType w:val="hybridMultilevel"/>
    <w:tmpl w:val="2D5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9326E0"/>
    <w:multiLevelType w:val="hybridMultilevel"/>
    <w:tmpl w:val="144AAF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5">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877E0F"/>
    <w:multiLevelType w:val="hybridMultilevel"/>
    <w:tmpl w:val="C00E8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13F2D"/>
    <w:multiLevelType w:val="hybridMultilevel"/>
    <w:tmpl w:val="C6462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9274E3"/>
    <w:multiLevelType w:val="hybridMultilevel"/>
    <w:tmpl w:val="FAC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447CA"/>
    <w:multiLevelType w:val="hybridMultilevel"/>
    <w:tmpl w:val="B4FE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81688"/>
    <w:multiLevelType w:val="hybridMultilevel"/>
    <w:tmpl w:val="DF14AC4A"/>
    <w:lvl w:ilvl="0" w:tplc="D85E0A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732694A"/>
    <w:multiLevelType w:val="hybridMultilevel"/>
    <w:tmpl w:val="00F89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2B5E01"/>
    <w:multiLevelType w:val="hybridMultilevel"/>
    <w:tmpl w:val="2974B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D80B33"/>
    <w:multiLevelType w:val="hybridMultilevel"/>
    <w:tmpl w:val="B9DA5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4D6A9B"/>
    <w:multiLevelType w:val="hybridMultilevel"/>
    <w:tmpl w:val="0F98B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896F77"/>
    <w:multiLevelType w:val="hybridMultilevel"/>
    <w:tmpl w:val="D04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B7945"/>
    <w:multiLevelType w:val="hybridMultilevel"/>
    <w:tmpl w:val="1B8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65BCB"/>
    <w:multiLevelType w:val="hybridMultilevel"/>
    <w:tmpl w:val="6CB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D1A0B"/>
    <w:multiLevelType w:val="hybridMultilevel"/>
    <w:tmpl w:val="BE80C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ED3264"/>
    <w:multiLevelType w:val="hybridMultilevel"/>
    <w:tmpl w:val="DC925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D003859"/>
    <w:multiLevelType w:val="hybridMultilevel"/>
    <w:tmpl w:val="B51A13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5"/>
  </w:num>
  <w:num w:numId="3">
    <w:abstractNumId w:val="0"/>
  </w:num>
  <w:num w:numId="4">
    <w:abstractNumId w:val="25"/>
  </w:num>
  <w:num w:numId="5">
    <w:abstractNumId w:val="23"/>
  </w:num>
  <w:num w:numId="6">
    <w:abstractNumId w:val="3"/>
  </w:num>
  <w:num w:numId="7">
    <w:abstractNumId w:val="14"/>
  </w:num>
  <w:num w:numId="8">
    <w:abstractNumId w:val="21"/>
  </w:num>
  <w:num w:numId="9">
    <w:abstractNumId w:val="10"/>
  </w:num>
  <w:num w:numId="10">
    <w:abstractNumId w:val="26"/>
  </w:num>
  <w:num w:numId="11">
    <w:abstractNumId w:val="6"/>
  </w:num>
  <w:num w:numId="12">
    <w:abstractNumId w:val="13"/>
  </w:num>
  <w:num w:numId="13">
    <w:abstractNumId w:val="12"/>
  </w:num>
  <w:num w:numId="14">
    <w:abstractNumId w:val="8"/>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9"/>
  </w:num>
  <w:num w:numId="20">
    <w:abstractNumId w:val="32"/>
  </w:num>
  <w:num w:numId="21">
    <w:abstractNumId w:val="24"/>
  </w:num>
  <w:num w:numId="22">
    <w:abstractNumId w:val="16"/>
  </w:num>
  <w:num w:numId="23">
    <w:abstractNumId w:val="4"/>
  </w:num>
  <w:num w:numId="24">
    <w:abstractNumId w:val="11"/>
  </w:num>
  <w:num w:numId="25">
    <w:abstractNumId w:val="27"/>
  </w:num>
  <w:num w:numId="26">
    <w:abstractNumId w:val="9"/>
  </w:num>
  <w:num w:numId="27">
    <w:abstractNumId w:val="30"/>
  </w:num>
  <w:num w:numId="28">
    <w:abstractNumId w:val="33"/>
  </w:num>
  <w:num w:numId="29">
    <w:abstractNumId w:val="28"/>
  </w:num>
  <w:num w:numId="30">
    <w:abstractNumId w:val="35"/>
  </w:num>
  <w:num w:numId="31">
    <w:abstractNumId w:val="1"/>
  </w:num>
  <w:num w:numId="32">
    <w:abstractNumId w:val="31"/>
  </w:num>
  <w:num w:numId="33">
    <w:abstractNumId w:val="7"/>
  </w:num>
  <w:num w:numId="34">
    <w:abstractNumId w:val="22"/>
  </w:num>
  <w:num w:numId="35">
    <w:abstractNumId w:val="2"/>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4"/>
    <w:rsid w:val="00001329"/>
    <w:rsid w:val="000063B9"/>
    <w:rsid w:val="000072AA"/>
    <w:rsid w:val="0001606C"/>
    <w:rsid w:val="00022C57"/>
    <w:rsid w:val="00027086"/>
    <w:rsid w:val="00030DD3"/>
    <w:rsid w:val="00034C92"/>
    <w:rsid w:val="00036415"/>
    <w:rsid w:val="00043474"/>
    <w:rsid w:val="00044456"/>
    <w:rsid w:val="00053AA3"/>
    <w:rsid w:val="00055A3D"/>
    <w:rsid w:val="00056B96"/>
    <w:rsid w:val="00063782"/>
    <w:rsid w:val="00065B09"/>
    <w:rsid w:val="0007158E"/>
    <w:rsid w:val="0007250C"/>
    <w:rsid w:val="00073B34"/>
    <w:rsid w:val="00077595"/>
    <w:rsid w:val="000853D9"/>
    <w:rsid w:val="00090BBA"/>
    <w:rsid w:val="00097A70"/>
    <w:rsid w:val="000A0B86"/>
    <w:rsid w:val="000A1302"/>
    <w:rsid w:val="000A5AA5"/>
    <w:rsid w:val="000B2C99"/>
    <w:rsid w:val="000B2CBC"/>
    <w:rsid w:val="000B63DE"/>
    <w:rsid w:val="000B6697"/>
    <w:rsid w:val="000C0C91"/>
    <w:rsid w:val="000D052C"/>
    <w:rsid w:val="000E1B88"/>
    <w:rsid w:val="000E1DFE"/>
    <w:rsid w:val="000E3E64"/>
    <w:rsid w:val="000E3F4E"/>
    <w:rsid w:val="000E3F88"/>
    <w:rsid w:val="000E6832"/>
    <w:rsid w:val="000F7EAB"/>
    <w:rsid w:val="00102267"/>
    <w:rsid w:val="00103AB9"/>
    <w:rsid w:val="001072CF"/>
    <w:rsid w:val="001160EA"/>
    <w:rsid w:val="00121B6D"/>
    <w:rsid w:val="00132C9F"/>
    <w:rsid w:val="00132F44"/>
    <w:rsid w:val="00133302"/>
    <w:rsid w:val="001362F3"/>
    <w:rsid w:val="001406BB"/>
    <w:rsid w:val="00141A59"/>
    <w:rsid w:val="00150767"/>
    <w:rsid w:val="00163AEA"/>
    <w:rsid w:val="0017354B"/>
    <w:rsid w:val="00173F1B"/>
    <w:rsid w:val="0017686B"/>
    <w:rsid w:val="00181784"/>
    <w:rsid w:val="0018208E"/>
    <w:rsid w:val="00183DF0"/>
    <w:rsid w:val="001925A3"/>
    <w:rsid w:val="00193BBC"/>
    <w:rsid w:val="00195E0F"/>
    <w:rsid w:val="001A4CA9"/>
    <w:rsid w:val="001B3A5F"/>
    <w:rsid w:val="001B5765"/>
    <w:rsid w:val="001B71EB"/>
    <w:rsid w:val="001C13CC"/>
    <w:rsid w:val="001C2471"/>
    <w:rsid w:val="001C2712"/>
    <w:rsid w:val="001D318F"/>
    <w:rsid w:val="001D7ECC"/>
    <w:rsid w:val="001E0FC4"/>
    <w:rsid w:val="001E111C"/>
    <w:rsid w:val="001E7F70"/>
    <w:rsid w:val="001F1874"/>
    <w:rsid w:val="001F21C1"/>
    <w:rsid w:val="001F26EB"/>
    <w:rsid w:val="00200E06"/>
    <w:rsid w:val="00202DBD"/>
    <w:rsid w:val="002049E8"/>
    <w:rsid w:val="002123AB"/>
    <w:rsid w:val="00214CB2"/>
    <w:rsid w:val="002150AA"/>
    <w:rsid w:val="00215989"/>
    <w:rsid w:val="00226754"/>
    <w:rsid w:val="0023149B"/>
    <w:rsid w:val="00237924"/>
    <w:rsid w:val="002425E3"/>
    <w:rsid w:val="00246035"/>
    <w:rsid w:val="0025000B"/>
    <w:rsid w:val="00261E31"/>
    <w:rsid w:val="00262458"/>
    <w:rsid w:val="002652FE"/>
    <w:rsid w:val="0026636C"/>
    <w:rsid w:val="002673FE"/>
    <w:rsid w:val="0027262E"/>
    <w:rsid w:val="0027294B"/>
    <w:rsid w:val="00281743"/>
    <w:rsid w:val="002845F8"/>
    <w:rsid w:val="00287E6B"/>
    <w:rsid w:val="002A414D"/>
    <w:rsid w:val="002A70A7"/>
    <w:rsid w:val="002B014B"/>
    <w:rsid w:val="002B1A67"/>
    <w:rsid w:val="002B359D"/>
    <w:rsid w:val="002C2E4F"/>
    <w:rsid w:val="002C337A"/>
    <w:rsid w:val="002C7591"/>
    <w:rsid w:val="002D1039"/>
    <w:rsid w:val="002D5835"/>
    <w:rsid w:val="002E102C"/>
    <w:rsid w:val="002E41B2"/>
    <w:rsid w:val="002E51BC"/>
    <w:rsid w:val="002F061C"/>
    <w:rsid w:val="002F4159"/>
    <w:rsid w:val="002F71C2"/>
    <w:rsid w:val="00305463"/>
    <w:rsid w:val="003149DE"/>
    <w:rsid w:val="00317064"/>
    <w:rsid w:val="00323414"/>
    <w:rsid w:val="00324E4C"/>
    <w:rsid w:val="003275F7"/>
    <w:rsid w:val="00330A7E"/>
    <w:rsid w:val="00334D40"/>
    <w:rsid w:val="00340DC2"/>
    <w:rsid w:val="00346AB9"/>
    <w:rsid w:val="00353491"/>
    <w:rsid w:val="00356545"/>
    <w:rsid w:val="0036141A"/>
    <w:rsid w:val="003625A9"/>
    <w:rsid w:val="003641D0"/>
    <w:rsid w:val="00364FF1"/>
    <w:rsid w:val="0037790E"/>
    <w:rsid w:val="00387541"/>
    <w:rsid w:val="003906C7"/>
    <w:rsid w:val="00391E0B"/>
    <w:rsid w:val="00396344"/>
    <w:rsid w:val="003A17FE"/>
    <w:rsid w:val="003B31F6"/>
    <w:rsid w:val="003B3D91"/>
    <w:rsid w:val="003B4529"/>
    <w:rsid w:val="003C7113"/>
    <w:rsid w:val="003D24BF"/>
    <w:rsid w:val="003D5981"/>
    <w:rsid w:val="003D6144"/>
    <w:rsid w:val="003E1C24"/>
    <w:rsid w:val="003E2E9E"/>
    <w:rsid w:val="003F2098"/>
    <w:rsid w:val="003F45CB"/>
    <w:rsid w:val="003F6188"/>
    <w:rsid w:val="003F6746"/>
    <w:rsid w:val="004066EF"/>
    <w:rsid w:val="004117E5"/>
    <w:rsid w:val="0041778C"/>
    <w:rsid w:val="00424B50"/>
    <w:rsid w:val="00432013"/>
    <w:rsid w:val="004320BB"/>
    <w:rsid w:val="004323E2"/>
    <w:rsid w:val="004412C3"/>
    <w:rsid w:val="0044226F"/>
    <w:rsid w:val="004528BB"/>
    <w:rsid w:val="004628FA"/>
    <w:rsid w:val="00467314"/>
    <w:rsid w:val="00472450"/>
    <w:rsid w:val="00483A49"/>
    <w:rsid w:val="004864C6"/>
    <w:rsid w:val="00486520"/>
    <w:rsid w:val="00487600"/>
    <w:rsid w:val="0049108E"/>
    <w:rsid w:val="0049178A"/>
    <w:rsid w:val="00491797"/>
    <w:rsid w:val="00497E17"/>
    <w:rsid w:val="004A16E4"/>
    <w:rsid w:val="004A2086"/>
    <w:rsid w:val="004A3523"/>
    <w:rsid w:val="004A46FF"/>
    <w:rsid w:val="004A5CA3"/>
    <w:rsid w:val="004B1A61"/>
    <w:rsid w:val="004B7B7D"/>
    <w:rsid w:val="004C33BC"/>
    <w:rsid w:val="004D18E2"/>
    <w:rsid w:val="004D1CC7"/>
    <w:rsid w:val="004D7E25"/>
    <w:rsid w:val="004E02B6"/>
    <w:rsid w:val="004E295A"/>
    <w:rsid w:val="004E411A"/>
    <w:rsid w:val="004E5339"/>
    <w:rsid w:val="004E7FFB"/>
    <w:rsid w:val="004F377F"/>
    <w:rsid w:val="00512093"/>
    <w:rsid w:val="00512A29"/>
    <w:rsid w:val="00526BBE"/>
    <w:rsid w:val="00531C9F"/>
    <w:rsid w:val="00532967"/>
    <w:rsid w:val="00534010"/>
    <w:rsid w:val="00540887"/>
    <w:rsid w:val="00541E60"/>
    <w:rsid w:val="00552248"/>
    <w:rsid w:val="00553F34"/>
    <w:rsid w:val="00555582"/>
    <w:rsid w:val="005603C5"/>
    <w:rsid w:val="00561989"/>
    <w:rsid w:val="00561DC6"/>
    <w:rsid w:val="00561F0C"/>
    <w:rsid w:val="00561F32"/>
    <w:rsid w:val="005632C2"/>
    <w:rsid w:val="00564569"/>
    <w:rsid w:val="00564672"/>
    <w:rsid w:val="0058020F"/>
    <w:rsid w:val="00581828"/>
    <w:rsid w:val="005849A5"/>
    <w:rsid w:val="005873EE"/>
    <w:rsid w:val="00593CEB"/>
    <w:rsid w:val="00594483"/>
    <w:rsid w:val="005A2808"/>
    <w:rsid w:val="005A42B8"/>
    <w:rsid w:val="005A56AA"/>
    <w:rsid w:val="005B1E54"/>
    <w:rsid w:val="005B269E"/>
    <w:rsid w:val="005B4333"/>
    <w:rsid w:val="005B6D5E"/>
    <w:rsid w:val="005B7436"/>
    <w:rsid w:val="005C2724"/>
    <w:rsid w:val="005C42DA"/>
    <w:rsid w:val="005E2191"/>
    <w:rsid w:val="005E4844"/>
    <w:rsid w:val="005E5D8E"/>
    <w:rsid w:val="005F1874"/>
    <w:rsid w:val="005F22FB"/>
    <w:rsid w:val="00613BF0"/>
    <w:rsid w:val="006345E9"/>
    <w:rsid w:val="00636AC7"/>
    <w:rsid w:val="00641DFD"/>
    <w:rsid w:val="00653C3A"/>
    <w:rsid w:val="0066003C"/>
    <w:rsid w:val="0066491A"/>
    <w:rsid w:val="0066511D"/>
    <w:rsid w:val="00666BEC"/>
    <w:rsid w:val="00676217"/>
    <w:rsid w:val="00676769"/>
    <w:rsid w:val="00685AD0"/>
    <w:rsid w:val="00690654"/>
    <w:rsid w:val="00692A67"/>
    <w:rsid w:val="00693BC1"/>
    <w:rsid w:val="0069716C"/>
    <w:rsid w:val="006A3BCD"/>
    <w:rsid w:val="006B5DD1"/>
    <w:rsid w:val="006C60B0"/>
    <w:rsid w:val="006C6459"/>
    <w:rsid w:val="006D4CBC"/>
    <w:rsid w:val="006E620A"/>
    <w:rsid w:val="00705EED"/>
    <w:rsid w:val="0070733C"/>
    <w:rsid w:val="007152A0"/>
    <w:rsid w:val="00717A96"/>
    <w:rsid w:val="0072082D"/>
    <w:rsid w:val="00723057"/>
    <w:rsid w:val="00723D53"/>
    <w:rsid w:val="0072430F"/>
    <w:rsid w:val="00730853"/>
    <w:rsid w:val="00731ABE"/>
    <w:rsid w:val="00731AF4"/>
    <w:rsid w:val="007358F4"/>
    <w:rsid w:val="00735907"/>
    <w:rsid w:val="00735D52"/>
    <w:rsid w:val="00737900"/>
    <w:rsid w:val="007379AC"/>
    <w:rsid w:val="0074184A"/>
    <w:rsid w:val="00743AB6"/>
    <w:rsid w:val="007522FA"/>
    <w:rsid w:val="00753271"/>
    <w:rsid w:val="00766272"/>
    <w:rsid w:val="0077019F"/>
    <w:rsid w:val="007709BB"/>
    <w:rsid w:val="00770F7B"/>
    <w:rsid w:val="007718AD"/>
    <w:rsid w:val="0078028D"/>
    <w:rsid w:val="007965D9"/>
    <w:rsid w:val="007966DA"/>
    <w:rsid w:val="007A165C"/>
    <w:rsid w:val="007B5B50"/>
    <w:rsid w:val="007B65CB"/>
    <w:rsid w:val="007B6BE5"/>
    <w:rsid w:val="007B7FC8"/>
    <w:rsid w:val="007C1E19"/>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001"/>
    <w:rsid w:val="0088225A"/>
    <w:rsid w:val="00884064"/>
    <w:rsid w:val="0089083D"/>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E2C1D"/>
    <w:rsid w:val="008F2EC4"/>
    <w:rsid w:val="008F5302"/>
    <w:rsid w:val="008F7DF3"/>
    <w:rsid w:val="009026B6"/>
    <w:rsid w:val="00905A4F"/>
    <w:rsid w:val="009073FC"/>
    <w:rsid w:val="00911054"/>
    <w:rsid w:val="009147A5"/>
    <w:rsid w:val="0091782C"/>
    <w:rsid w:val="00920E7C"/>
    <w:rsid w:val="00921189"/>
    <w:rsid w:val="0092272F"/>
    <w:rsid w:val="009235E4"/>
    <w:rsid w:val="00927714"/>
    <w:rsid w:val="00930EB6"/>
    <w:rsid w:val="00937A15"/>
    <w:rsid w:val="00942697"/>
    <w:rsid w:val="00943163"/>
    <w:rsid w:val="00946642"/>
    <w:rsid w:val="009475FC"/>
    <w:rsid w:val="009524B3"/>
    <w:rsid w:val="009556BD"/>
    <w:rsid w:val="0095696F"/>
    <w:rsid w:val="00957155"/>
    <w:rsid w:val="00963B70"/>
    <w:rsid w:val="0097034F"/>
    <w:rsid w:val="00970C38"/>
    <w:rsid w:val="00970D92"/>
    <w:rsid w:val="0097243C"/>
    <w:rsid w:val="009736A6"/>
    <w:rsid w:val="00980B43"/>
    <w:rsid w:val="00991317"/>
    <w:rsid w:val="00991B9B"/>
    <w:rsid w:val="009A3651"/>
    <w:rsid w:val="009B4876"/>
    <w:rsid w:val="009D0E22"/>
    <w:rsid w:val="009D25AD"/>
    <w:rsid w:val="009D559B"/>
    <w:rsid w:val="009D5A72"/>
    <w:rsid w:val="009D6479"/>
    <w:rsid w:val="009D6BF9"/>
    <w:rsid w:val="009D73AA"/>
    <w:rsid w:val="009E2A5B"/>
    <w:rsid w:val="009E3257"/>
    <w:rsid w:val="009E5D9F"/>
    <w:rsid w:val="009E74CB"/>
    <w:rsid w:val="009F0450"/>
    <w:rsid w:val="009F1E11"/>
    <w:rsid w:val="009F3C73"/>
    <w:rsid w:val="009F5508"/>
    <w:rsid w:val="009F64AE"/>
    <w:rsid w:val="00A00281"/>
    <w:rsid w:val="00A0258F"/>
    <w:rsid w:val="00A11557"/>
    <w:rsid w:val="00A15085"/>
    <w:rsid w:val="00A20567"/>
    <w:rsid w:val="00A24C8B"/>
    <w:rsid w:val="00A30C5B"/>
    <w:rsid w:val="00A31947"/>
    <w:rsid w:val="00A341A2"/>
    <w:rsid w:val="00A36AED"/>
    <w:rsid w:val="00A375F5"/>
    <w:rsid w:val="00A40123"/>
    <w:rsid w:val="00A4026B"/>
    <w:rsid w:val="00A42F3D"/>
    <w:rsid w:val="00A443D7"/>
    <w:rsid w:val="00A46795"/>
    <w:rsid w:val="00A477B0"/>
    <w:rsid w:val="00A5336F"/>
    <w:rsid w:val="00A57ACB"/>
    <w:rsid w:val="00A6109C"/>
    <w:rsid w:val="00A645C5"/>
    <w:rsid w:val="00A65A44"/>
    <w:rsid w:val="00A65D6F"/>
    <w:rsid w:val="00A70BFE"/>
    <w:rsid w:val="00A72D38"/>
    <w:rsid w:val="00A74663"/>
    <w:rsid w:val="00A75214"/>
    <w:rsid w:val="00A76029"/>
    <w:rsid w:val="00A83364"/>
    <w:rsid w:val="00A85E46"/>
    <w:rsid w:val="00A925E5"/>
    <w:rsid w:val="00A964AC"/>
    <w:rsid w:val="00AA1067"/>
    <w:rsid w:val="00AA2373"/>
    <w:rsid w:val="00AB0230"/>
    <w:rsid w:val="00AC07B4"/>
    <w:rsid w:val="00AC1060"/>
    <w:rsid w:val="00AC2B41"/>
    <w:rsid w:val="00AC48C5"/>
    <w:rsid w:val="00AD11C2"/>
    <w:rsid w:val="00AD7FFB"/>
    <w:rsid w:val="00AE1D7A"/>
    <w:rsid w:val="00AE69A3"/>
    <w:rsid w:val="00AE708E"/>
    <w:rsid w:val="00AF2F55"/>
    <w:rsid w:val="00AF411A"/>
    <w:rsid w:val="00B04CB4"/>
    <w:rsid w:val="00B05511"/>
    <w:rsid w:val="00B10CD1"/>
    <w:rsid w:val="00B12122"/>
    <w:rsid w:val="00B14926"/>
    <w:rsid w:val="00B15925"/>
    <w:rsid w:val="00B31568"/>
    <w:rsid w:val="00B34436"/>
    <w:rsid w:val="00B346EC"/>
    <w:rsid w:val="00B36CC5"/>
    <w:rsid w:val="00B4785F"/>
    <w:rsid w:val="00B50B7E"/>
    <w:rsid w:val="00B6078C"/>
    <w:rsid w:val="00B64E34"/>
    <w:rsid w:val="00B678F6"/>
    <w:rsid w:val="00B70C76"/>
    <w:rsid w:val="00B714CF"/>
    <w:rsid w:val="00B71DC2"/>
    <w:rsid w:val="00B720CE"/>
    <w:rsid w:val="00B76A63"/>
    <w:rsid w:val="00B82F0A"/>
    <w:rsid w:val="00B87612"/>
    <w:rsid w:val="00B92842"/>
    <w:rsid w:val="00B95A8C"/>
    <w:rsid w:val="00BA3BBC"/>
    <w:rsid w:val="00BA3DED"/>
    <w:rsid w:val="00BA4316"/>
    <w:rsid w:val="00BB0169"/>
    <w:rsid w:val="00BB0A92"/>
    <w:rsid w:val="00BB5EA5"/>
    <w:rsid w:val="00BB6D04"/>
    <w:rsid w:val="00BC47EE"/>
    <w:rsid w:val="00BC7C35"/>
    <w:rsid w:val="00BD52B8"/>
    <w:rsid w:val="00BE2AD9"/>
    <w:rsid w:val="00BE371F"/>
    <w:rsid w:val="00BE6925"/>
    <w:rsid w:val="00BF06B2"/>
    <w:rsid w:val="00C02C99"/>
    <w:rsid w:val="00C02E92"/>
    <w:rsid w:val="00C0735A"/>
    <w:rsid w:val="00C12A11"/>
    <w:rsid w:val="00C14D9C"/>
    <w:rsid w:val="00C30352"/>
    <w:rsid w:val="00C406F1"/>
    <w:rsid w:val="00C414E3"/>
    <w:rsid w:val="00C43DA7"/>
    <w:rsid w:val="00C44992"/>
    <w:rsid w:val="00C45DE4"/>
    <w:rsid w:val="00C46D42"/>
    <w:rsid w:val="00C50F0A"/>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B2A"/>
    <w:rsid w:val="00CD2E04"/>
    <w:rsid w:val="00CE0A55"/>
    <w:rsid w:val="00CE739F"/>
    <w:rsid w:val="00CE76B7"/>
    <w:rsid w:val="00CF4B25"/>
    <w:rsid w:val="00CF4F03"/>
    <w:rsid w:val="00CF5CA4"/>
    <w:rsid w:val="00D01B62"/>
    <w:rsid w:val="00D07B9A"/>
    <w:rsid w:val="00D11EDE"/>
    <w:rsid w:val="00D21AB3"/>
    <w:rsid w:val="00D22604"/>
    <w:rsid w:val="00D229F5"/>
    <w:rsid w:val="00D22BBA"/>
    <w:rsid w:val="00D2338F"/>
    <w:rsid w:val="00D30764"/>
    <w:rsid w:val="00D32426"/>
    <w:rsid w:val="00D34B7E"/>
    <w:rsid w:val="00D372F5"/>
    <w:rsid w:val="00D40214"/>
    <w:rsid w:val="00D40BD2"/>
    <w:rsid w:val="00D5037F"/>
    <w:rsid w:val="00D5524E"/>
    <w:rsid w:val="00D642CB"/>
    <w:rsid w:val="00D71AFA"/>
    <w:rsid w:val="00D76AE6"/>
    <w:rsid w:val="00D8267B"/>
    <w:rsid w:val="00D84D0A"/>
    <w:rsid w:val="00D864A1"/>
    <w:rsid w:val="00D8784D"/>
    <w:rsid w:val="00D945AA"/>
    <w:rsid w:val="00DA0850"/>
    <w:rsid w:val="00DA0FF8"/>
    <w:rsid w:val="00DA2496"/>
    <w:rsid w:val="00DA738C"/>
    <w:rsid w:val="00DB0826"/>
    <w:rsid w:val="00DB7F7C"/>
    <w:rsid w:val="00DC5246"/>
    <w:rsid w:val="00DD5420"/>
    <w:rsid w:val="00DE18A3"/>
    <w:rsid w:val="00DF1633"/>
    <w:rsid w:val="00E01EFC"/>
    <w:rsid w:val="00E110FE"/>
    <w:rsid w:val="00E314A9"/>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B6741"/>
    <w:rsid w:val="00EC2323"/>
    <w:rsid w:val="00EC48D0"/>
    <w:rsid w:val="00EC6614"/>
    <w:rsid w:val="00EC6B6F"/>
    <w:rsid w:val="00ED1D14"/>
    <w:rsid w:val="00ED78C2"/>
    <w:rsid w:val="00ED7C97"/>
    <w:rsid w:val="00EE11C8"/>
    <w:rsid w:val="00EE1AA3"/>
    <w:rsid w:val="00EE29C5"/>
    <w:rsid w:val="00EE3A31"/>
    <w:rsid w:val="00EE4119"/>
    <w:rsid w:val="00EE5C4E"/>
    <w:rsid w:val="00EE64FC"/>
    <w:rsid w:val="00EE6A34"/>
    <w:rsid w:val="00EE7C20"/>
    <w:rsid w:val="00EF2EE2"/>
    <w:rsid w:val="00EF2F5D"/>
    <w:rsid w:val="00EF5DB0"/>
    <w:rsid w:val="00EF7985"/>
    <w:rsid w:val="00EF7A30"/>
    <w:rsid w:val="00F1120A"/>
    <w:rsid w:val="00F11BC7"/>
    <w:rsid w:val="00F121F4"/>
    <w:rsid w:val="00F1429A"/>
    <w:rsid w:val="00F33734"/>
    <w:rsid w:val="00F35503"/>
    <w:rsid w:val="00F4186B"/>
    <w:rsid w:val="00F47F6A"/>
    <w:rsid w:val="00F502A4"/>
    <w:rsid w:val="00F56E73"/>
    <w:rsid w:val="00F60C57"/>
    <w:rsid w:val="00F61C39"/>
    <w:rsid w:val="00F64DB1"/>
    <w:rsid w:val="00F75C76"/>
    <w:rsid w:val="00F87044"/>
    <w:rsid w:val="00F871B5"/>
    <w:rsid w:val="00F94E24"/>
    <w:rsid w:val="00F95F6E"/>
    <w:rsid w:val="00F9630B"/>
    <w:rsid w:val="00F96CAB"/>
    <w:rsid w:val="00FA0867"/>
    <w:rsid w:val="00FA7E0D"/>
    <w:rsid w:val="00FB577A"/>
    <w:rsid w:val="00FB7182"/>
    <w:rsid w:val="00FC063D"/>
    <w:rsid w:val="00FC100E"/>
    <w:rsid w:val="00FC1EF6"/>
    <w:rsid w:val="00FC2278"/>
    <w:rsid w:val="00FD23FE"/>
    <w:rsid w:val="00FE1348"/>
    <w:rsid w:val="00FE2208"/>
    <w:rsid w:val="00FE3D10"/>
    <w:rsid w:val="00FE6D6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4B8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6109C"/>
    <w:pPr>
      <w:keepNext/>
      <w:tabs>
        <w:tab w:val="center" w:pos="4680"/>
      </w:tabs>
      <w:jc w:val="center"/>
      <w:outlineLvl w:val="0"/>
    </w:pPr>
    <w:rPr>
      <w:b/>
    </w:rPr>
  </w:style>
  <w:style w:type="paragraph" w:styleId="Heading2">
    <w:name w:val="heading 2"/>
    <w:basedOn w:val="Normal"/>
    <w:next w:val="Normal"/>
    <w:qFormat/>
    <w:rsid w:val="00A6109C"/>
    <w:pPr>
      <w:keepNext/>
      <w:ind w:left="720"/>
      <w:jc w:val="right"/>
      <w:outlineLvl w:val="1"/>
    </w:pPr>
    <w:rPr>
      <w:rFonts w:ascii="Arial" w:hAnsi="Arial"/>
      <w:i/>
      <w:sz w:val="18"/>
    </w:rPr>
  </w:style>
  <w:style w:type="paragraph" w:styleId="Heading3">
    <w:name w:val="heading 3"/>
    <w:basedOn w:val="Normal"/>
    <w:next w:val="Normal"/>
    <w:qFormat/>
    <w:rsid w:val="00A6109C"/>
    <w:pPr>
      <w:keepNext/>
      <w:tabs>
        <w:tab w:val="left" w:pos="5400"/>
      </w:tabs>
      <w:ind w:left="720"/>
      <w:outlineLvl w:val="2"/>
    </w:pPr>
    <w:rPr>
      <w:rFonts w:ascii="Arial" w:hAnsi="Arial"/>
      <w:i/>
      <w:sz w:val="18"/>
    </w:rPr>
  </w:style>
  <w:style w:type="paragraph" w:styleId="Heading4">
    <w:name w:val="heading 4"/>
    <w:basedOn w:val="Normal"/>
    <w:next w:val="Normal"/>
    <w:qFormat/>
    <w:rsid w:val="00A6109C"/>
    <w:pPr>
      <w:keepNext/>
      <w:outlineLvl w:val="3"/>
    </w:pPr>
    <w:rPr>
      <w:b/>
      <w:bCs/>
    </w:rPr>
  </w:style>
  <w:style w:type="paragraph" w:styleId="Heading5">
    <w:name w:val="heading 5"/>
    <w:basedOn w:val="Normal"/>
    <w:next w:val="Normal"/>
    <w:qFormat/>
    <w:rsid w:val="00A6109C"/>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109C"/>
  </w:style>
  <w:style w:type="paragraph" w:styleId="Footer">
    <w:name w:val="footer"/>
    <w:basedOn w:val="Normal"/>
    <w:link w:val="FooterChar"/>
    <w:uiPriority w:val="99"/>
    <w:rsid w:val="00A6109C"/>
    <w:pPr>
      <w:widowControl/>
      <w:tabs>
        <w:tab w:val="center" w:pos="4320"/>
        <w:tab w:val="right" w:pos="8640"/>
      </w:tabs>
    </w:pPr>
    <w:rPr>
      <w:snapToGrid/>
      <w:szCs w:val="24"/>
    </w:rPr>
  </w:style>
  <w:style w:type="paragraph" w:styleId="BodyText">
    <w:name w:val="Body Text"/>
    <w:basedOn w:val="Normal"/>
    <w:rsid w:val="00A6109C"/>
    <w:pPr>
      <w:widowControl/>
    </w:pPr>
    <w:rPr>
      <w:rFonts w:ascii="Times" w:hAnsi="Times"/>
      <w:color w:val="000000"/>
    </w:rPr>
  </w:style>
  <w:style w:type="character" w:styleId="Hyperlink">
    <w:name w:val="Hyperlink"/>
    <w:rsid w:val="00A6109C"/>
    <w:rPr>
      <w:color w:val="0000FF"/>
      <w:u w:val="single"/>
    </w:rPr>
  </w:style>
  <w:style w:type="paragraph" w:styleId="BodyText2">
    <w:name w:val="Body Text 2"/>
    <w:basedOn w:val="Normal"/>
    <w:rsid w:val="00A6109C"/>
    <w:rPr>
      <w:i/>
      <w:iCs/>
    </w:rPr>
  </w:style>
  <w:style w:type="paragraph" w:styleId="BodyTextIndent">
    <w:name w:val="Body Text Indent"/>
    <w:basedOn w:val="Normal"/>
    <w:rsid w:val="00A6109C"/>
    <w:pPr>
      <w:autoSpaceDE w:val="0"/>
      <w:autoSpaceDN w:val="0"/>
      <w:adjustRightInd w:val="0"/>
      <w:ind w:left="-360"/>
    </w:pPr>
    <w:rPr>
      <w:snapToGrid/>
      <w:szCs w:val="24"/>
    </w:rPr>
  </w:style>
  <w:style w:type="character" w:styleId="PageNumber">
    <w:name w:val="page number"/>
    <w:basedOn w:val="DefaultParagraphFont"/>
    <w:rsid w:val="00A6109C"/>
  </w:style>
  <w:style w:type="paragraph" w:styleId="BodyTextIndent3">
    <w:name w:val="Body Text Indent 3"/>
    <w:basedOn w:val="Normal"/>
    <w:rsid w:val="00A6109C"/>
    <w:pPr>
      <w:widowControl/>
      <w:ind w:left="360" w:hanging="360"/>
    </w:pPr>
    <w:rPr>
      <w:szCs w:val="24"/>
    </w:rPr>
  </w:style>
  <w:style w:type="paragraph" w:styleId="BodyText3">
    <w:name w:val="Body Text 3"/>
    <w:basedOn w:val="Normal"/>
    <w:rsid w:val="00A6109C"/>
    <w:pPr>
      <w:autoSpaceDE w:val="0"/>
      <w:autoSpaceDN w:val="0"/>
      <w:adjustRightInd w:val="0"/>
    </w:pPr>
    <w:rPr>
      <w:b/>
      <w:bCs/>
    </w:rPr>
  </w:style>
  <w:style w:type="character" w:styleId="FollowedHyperlink">
    <w:name w:val="FollowedHyperlink"/>
    <w:rsid w:val="00A6109C"/>
    <w:rPr>
      <w:color w:val="800080"/>
      <w:u w:val="single"/>
    </w:rPr>
  </w:style>
  <w:style w:type="character" w:styleId="Strong">
    <w:name w:val="Strong"/>
    <w:qFormat/>
    <w:rsid w:val="00A6109C"/>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1D318F"/>
    <w:pPr>
      <w:widowControl/>
      <w:spacing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9235E4"/>
    <w:rPr>
      <w:sz w:val="16"/>
      <w:szCs w:val="16"/>
    </w:rPr>
  </w:style>
  <w:style w:type="paragraph" w:styleId="CommentText">
    <w:name w:val="annotation text"/>
    <w:basedOn w:val="Normal"/>
    <w:link w:val="CommentTextChar"/>
    <w:rsid w:val="009235E4"/>
    <w:rPr>
      <w:sz w:val="20"/>
    </w:rPr>
  </w:style>
  <w:style w:type="character" w:customStyle="1" w:styleId="CommentTextChar">
    <w:name w:val="Comment Text Char"/>
    <w:basedOn w:val="DefaultParagraphFont"/>
    <w:link w:val="CommentText"/>
    <w:rsid w:val="009235E4"/>
    <w:rPr>
      <w:snapToGrid w:val="0"/>
    </w:rPr>
  </w:style>
  <w:style w:type="paragraph" w:styleId="CommentSubject">
    <w:name w:val="annotation subject"/>
    <w:basedOn w:val="CommentText"/>
    <w:next w:val="CommentText"/>
    <w:link w:val="CommentSubjectChar"/>
    <w:rsid w:val="009235E4"/>
    <w:rPr>
      <w:b/>
      <w:bCs/>
    </w:rPr>
  </w:style>
  <w:style w:type="character" w:customStyle="1" w:styleId="CommentSubjectChar">
    <w:name w:val="Comment Subject Char"/>
    <w:basedOn w:val="CommentTextChar"/>
    <w:link w:val="CommentSubject"/>
    <w:rsid w:val="009235E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6109C"/>
    <w:pPr>
      <w:keepNext/>
      <w:tabs>
        <w:tab w:val="center" w:pos="4680"/>
      </w:tabs>
      <w:jc w:val="center"/>
      <w:outlineLvl w:val="0"/>
    </w:pPr>
    <w:rPr>
      <w:b/>
    </w:rPr>
  </w:style>
  <w:style w:type="paragraph" w:styleId="Heading2">
    <w:name w:val="heading 2"/>
    <w:basedOn w:val="Normal"/>
    <w:next w:val="Normal"/>
    <w:qFormat/>
    <w:rsid w:val="00A6109C"/>
    <w:pPr>
      <w:keepNext/>
      <w:ind w:left="720"/>
      <w:jc w:val="right"/>
      <w:outlineLvl w:val="1"/>
    </w:pPr>
    <w:rPr>
      <w:rFonts w:ascii="Arial" w:hAnsi="Arial"/>
      <w:i/>
      <w:sz w:val="18"/>
    </w:rPr>
  </w:style>
  <w:style w:type="paragraph" w:styleId="Heading3">
    <w:name w:val="heading 3"/>
    <w:basedOn w:val="Normal"/>
    <w:next w:val="Normal"/>
    <w:qFormat/>
    <w:rsid w:val="00A6109C"/>
    <w:pPr>
      <w:keepNext/>
      <w:tabs>
        <w:tab w:val="left" w:pos="5400"/>
      </w:tabs>
      <w:ind w:left="720"/>
      <w:outlineLvl w:val="2"/>
    </w:pPr>
    <w:rPr>
      <w:rFonts w:ascii="Arial" w:hAnsi="Arial"/>
      <w:i/>
      <w:sz w:val="18"/>
    </w:rPr>
  </w:style>
  <w:style w:type="paragraph" w:styleId="Heading4">
    <w:name w:val="heading 4"/>
    <w:basedOn w:val="Normal"/>
    <w:next w:val="Normal"/>
    <w:qFormat/>
    <w:rsid w:val="00A6109C"/>
    <w:pPr>
      <w:keepNext/>
      <w:outlineLvl w:val="3"/>
    </w:pPr>
    <w:rPr>
      <w:b/>
      <w:bCs/>
    </w:rPr>
  </w:style>
  <w:style w:type="paragraph" w:styleId="Heading5">
    <w:name w:val="heading 5"/>
    <w:basedOn w:val="Normal"/>
    <w:next w:val="Normal"/>
    <w:qFormat/>
    <w:rsid w:val="00A6109C"/>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109C"/>
  </w:style>
  <w:style w:type="paragraph" w:styleId="Footer">
    <w:name w:val="footer"/>
    <w:basedOn w:val="Normal"/>
    <w:link w:val="FooterChar"/>
    <w:uiPriority w:val="99"/>
    <w:rsid w:val="00A6109C"/>
    <w:pPr>
      <w:widowControl/>
      <w:tabs>
        <w:tab w:val="center" w:pos="4320"/>
        <w:tab w:val="right" w:pos="8640"/>
      </w:tabs>
    </w:pPr>
    <w:rPr>
      <w:snapToGrid/>
      <w:szCs w:val="24"/>
    </w:rPr>
  </w:style>
  <w:style w:type="paragraph" w:styleId="BodyText">
    <w:name w:val="Body Text"/>
    <w:basedOn w:val="Normal"/>
    <w:rsid w:val="00A6109C"/>
    <w:pPr>
      <w:widowControl/>
    </w:pPr>
    <w:rPr>
      <w:rFonts w:ascii="Times" w:hAnsi="Times"/>
      <w:color w:val="000000"/>
    </w:rPr>
  </w:style>
  <w:style w:type="character" w:styleId="Hyperlink">
    <w:name w:val="Hyperlink"/>
    <w:rsid w:val="00A6109C"/>
    <w:rPr>
      <w:color w:val="0000FF"/>
      <w:u w:val="single"/>
    </w:rPr>
  </w:style>
  <w:style w:type="paragraph" w:styleId="BodyText2">
    <w:name w:val="Body Text 2"/>
    <w:basedOn w:val="Normal"/>
    <w:rsid w:val="00A6109C"/>
    <w:rPr>
      <w:i/>
      <w:iCs/>
    </w:rPr>
  </w:style>
  <w:style w:type="paragraph" w:styleId="BodyTextIndent">
    <w:name w:val="Body Text Indent"/>
    <w:basedOn w:val="Normal"/>
    <w:rsid w:val="00A6109C"/>
    <w:pPr>
      <w:autoSpaceDE w:val="0"/>
      <w:autoSpaceDN w:val="0"/>
      <w:adjustRightInd w:val="0"/>
      <w:ind w:left="-360"/>
    </w:pPr>
    <w:rPr>
      <w:snapToGrid/>
      <w:szCs w:val="24"/>
    </w:rPr>
  </w:style>
  <w:style w:type="character" w:styleId="PageNumber">
    <w:name w:val="page number"/>
    <w:basedOn w:val="DefaultParagraphFont"/>
    <w:rsid w:val="00A6109C"/>
  </w:style>
  <w:style w:type="paragraph" w:styleId="BodyTextIndent3">
    <w:name w:val="Body Text Indent 3"/>
    <w:basedOn w:val="Normal"/>
    <w:rsid w:val="00A6109C"/>
    <w:pPr>
      <w:widowControl/>
      <w:ind w:left="360" w:hanging="360"/>
    </w:pPr>
    <w:rPr>
      <w:szCs w:val="24"/>
    </w:rPr>
  </w:style>
  <w:style w:type="paragraph" w:styleId="BodyText3">
    <w:name w:val="Body Text 3"/>
    <w:basedOn w:val="Normal"/>
    <w:rsid w:val="00A6109C"/>
    <w:pPr>
      <w:autoSpaceDE w:val="0"/>
      <w:autoSpaceDN w:val="0"/>
      <w:adjustRightInd w:val="0"/>
    </w:pPr>
    <w:rPr>
      <w:b/>
      <w:bCs/>
    </w:rPr>
  </w:style>
  <w:style w:type="character" w:styleId="FollowedHyperlink">
    <w:name w:val="FollowedHyperlink"/>
    <w:rsid w:val="00A6109C"/>
    <w:rPr>
      <w:color w:val="800080"/>
      <w:u w:val="single"/>
    </w:rPr>
  </w:style>
  <w:style w:type="character" w:styleId="Strong">
    <w:name w:val="Strong"/>
    <w:qFormat/>
    <w:rsid w:val="00A6109C"/>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1D318F"/>
    <w:pPr>
      <w:widowControl/>
      <w:spacing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9235E4"/>
    <w:rPr>
      <w:sz w:val="16"/>
      <w:szCs w:val="16"/>
    </w:rPr>
  </w:style>
  <w:style w:type="paragraph" w:styleId="CommentText">
    <w:name w:val="annotation text"/>
    <w:basedOn w:val="Normal"/>
    <w:link w:val="CommentTextChar"/>
    <w:rsid w:val="009235E4"/>
    <w:rPr>
      <w:sz w:val="20"/>
    </w:rPr>
  </w:style>
  <w:style w:type="character" w:customStyle="1" w:styleId="CommentTextChar">
    <w:name w:val="Comment Text Char"/>
    <w:basedOn w:val="DefaultParagraphFont"/>
    <w:link w:val="CommentText"/>
    <w:rsid w:val="009235E4"/>
    <w:rPr>
      <w:snapToGrid w:val="0"/>
    </w:rPr>
  </w:style>
  <w:style w:type="paragraph" w:styleId="CommentSubject">
    <w:name w:val="annotation subject"/>
    <w:basedOn w:val="CommentText"/>
    <w:next w:val="CommentText"/>
    <w:link w:val="CommentSubjectChar"/>
    <w:rsid w:val="009235E4"/>
    <w:rPr>
      <w:b/>
      <w:bCs/>
    </w:rPr>
  </w:style>
  <w:style w:type="character" w:customStyle="1" w:styleId="CommentSubjectChar">
    <w:name w:val="Comment Subject Char"/>
    <w:basedOn w:val="CommentTextChar"/>
    <w:link w:val="CommentSubject"/>
    <w:rsid w:val="009235E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DESE-231-22153</_dlc_DocId>
    <_dlc_DocIdUrl xmlns="733efe1c-5bbe-4968-87dc-d400e65c879f">
      <Url>https://sharepoint.doemass.org/ese/webteam/cps/_layouts/DocIdRedir.aspx?ID=DESE-231-22153</Url>
      <Description>DESE-231-22153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2774-828F-4B0C-94FC-C2493ECE1EA2}">
  <ds:schemaRefs>
    <ds:schemaRef ds:uri="0a4e05da-b9bc-4326-ad73-01ef31b95567"/>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733efe1c-5bbe-4968-87dc-d400e65c879f"/>
    <ds:schemaRef ds:uri="http://schemas.microsoft.com/office/2006/metadata/properties"/>
  </ds:schemaRefs>
</ds:datastoreItem>
</file>

<file path=customXml/itemProps2.xml><?xml version="1.0" encoding="utf-8"?>
<ds:datastoreItem xmlns:ds="http://schemas.openxmlformats.org/officeDocument/2006/customXml" ds:itemID="{2C348FAE-7765-40B1-8D5C-99CFC4A3D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A2A5E-6E41-4055-8912-8C16BB0F663F}">
  <ds:schemaRefs>
    <ds:schemaRef ds:uri="http://schemas.microsoft.com/sharepoint/events"/>
  </ds:schemaRefs>
</ds:datastoreItem>
</file>

<file path=customXml/itemProps4.xml><?xml version="1.0" encoding="utf-8"?>
<ds:datastoreItem xmlns:ds="http://schemas.openxmlformats.org/officeDocument/2006/customXml" ds:itemID="{CEC0791D-C78A-447D-92AA-7DAF560E1F93}">
  <ds:schemaRefs>
    <ds:schemaRef ds:uri="http://schemas.microsoft.com/sharepoint/v3/contenttype/forms"/>
  </ds:schemaRefs>
</ds:datastoreItem>
</file>

<file path=customXml/itemProps5.xml><?xml version="1.0" encoding="utf-8"?>
<ds:datastoreItem xmlns:ds="http://schemas.openxmlformats.org/officeDocument/2006/customXml" ds:itemID="{C90EE3C4-3D4C-4512-B37A-91603E29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4</Pages>
  <Words>1058</Words>
  <Characters>6225</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Item 9, BESE Memo, Civics update and HSS Framework, Jan 2016</vt:lpstr>
    </vt:vector>
  </TitlesOfParts>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BESE Memo, Civics update and HSS Framework, Jan 2016</dc:title>
  <dc:creator/>
  <cp:lastModifiedBy/>
  <cp:revision>1</cp:revision>
  <cp:lastPrinted>2011-01-14T19:54:00Z</cp:lastPrinted>
  <dcterms:created xsi:type="dcterms:W3CDTF">2016-01-25T22:11:00Z</dcterms:created>
  <dcterms:modified xsi:type="dcterms:W3CDTF">2016-01-25T22:11:00Z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ac8e14c0-bad0-427e-a528-9a150a11dbf3</vt:lpwstr>
  </property>
  <property fmtid="{D5CDD505-2E9C-101B-9397-08002B2CF9AE}" pid="4" name="metadate">
    <vt:lpwstr>Jan 25 2016</vt:lpwstr>
  </property>
</Properties>
</file>