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62F96" w14:textId="77777777" w:rsidR="00C742B1" w:rsidRDefault="00C742B1">
      <w:r w:rsidRPr="00C742B1">
        <w:rPr>
          <w:noProof/>
        </w:rPr>
        <w:drawing>
          <wp:anchor distT="0" distB="0" distL="114300" distR="114300" simplePos="0" relativeHeight="251658240" behindDoc="0" locked="0" layoutInCell="1" allowOverlap="1" wp14:anchorId="08E62FE8" wp14:editId="08E62FE9">
            <wp:simplePos x="0" y="0"/>
            <wp:positionH relativeFrom="column">
              <wp:posOffset>409575</wp:posOffset>
            </wp:positionH>
            <wp:positionV relativeFrom="paragraph">
              <wp:posOffset>-104775</wp:posOffset>
            </wp:positionV>
            <wp:extent cx="4943475" cy="3371850"/>
            <wp:effectExtent l="19050" t="0" r="0" b="0"/>
            <wp:wrapNone/>
            <wp:docPr id="2" name="Chart 2" descr="Massachusetts Public SChool Revenue Sources from FY2010 - FY2015 at the local state and federal level.&#10;&#10;&#10;FY Local State Federal Total&#10;FY10 $7.872 $4.847 $1.113 $13.833&#10;FY11 $8.280 $4.831 $1.183 $14.294&#10;FY12 $8.528 $5.240 $1.020 $14.788&#10;FY13 $8.904 $5.485 $0.889 $15.278&#10;FY14 $9.181 $5.557 $0.847 $15.584&#10;FY15 $9.465 $5.536 $0.831 $15.832&#10;$ = Billions        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08E62F97" w14:textId="77777777" w:rsidR="00C742B1" w:rsidRDefault="00C742B1"/>
    <w:p w14:paraId="08E62F98" w14:textId="77777777" w:rsidR="00DD3926" w:rsidRDefault="00DD3926"/>
    <w:p w14:paraId="08E62F99" w14:textId="77777777" w:rsidR="006D4656" w:rsidRDefault="006D4656"/>
    <w:p w14:paraId="08E62F9A" w14:textId="77777777" w:rsidR="006D4656" w:rsidRDefault="006D4656"/>
    <w:p w14:paraId="08E62F9B" w14:textId="77777777" w:rsidR="006D4656" w:rsidRDefault="006D4656"/>
    <w:p w14:paraId="08E62F9C" w14:textId="77777777" w:rsidR="006D4656" w:rsidRDefault="006D4656"/>
    <w:p w14:paraId="08E62F9D" w14:textId="77777777" w:rsidR="006D4656" w:rsidRDefault="006D4656"/>
    <w:p w14:paraId="08E62F9E" w14:textId="77777777" w:rsidR="006D4656" w:rsidRDefault="006D4656"/>
    <w:p w14:paraId="08E62F9F" w14:textId="77777777" w:rsidR="006D4656" w:rsidRDefault="006D4656"/>
    <w:tbl>
      <w:tblPr>
        <w:tblpPr w:leftFromText="180" w:rightFromText="180" w:vertAnchor="text" w:horzAnchor="margin" w:tblpXSpec="center" w:tblpY="416"/>
        <w:tblW w:w="6820" w:type="dxa"/>
        <w:tblLook w:val="04A0" w:firstRow="1" w:lastRow="0" w:firstColumn="1" w:lastColumn="0" w:noHBand="0" w:noVBand="1"/>
      </w:tblPr>
      <w:tblGrid>
        <w:gridCol w:w="1265"/>
        <w:gridCol w:w="1275"/>
        <w:gridCol w:w="1480"/>
        <w:gridCol w:w="1740"/>
        <w:gridCol w:w="1060"/>
      </w:tblGrid>
      <w:tr w:rsidR="006D4656" w:rsidRPr="00E30252" w14:paraId="08E62FA5" w14:textId="77777777" w:rsidTr="006D4656">
        <w:trPr>
          <w:trHeight w:val="31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E62FA0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FY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E62FA1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E62FA2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E62FA3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Federal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E62FA4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D4656" w:rsidRPr="00E30252" w14:paraId="08E62FAB" w14:textId="77777777" w:rsidTr="006D4656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A6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FY10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A7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$7.872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A8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$4.847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A9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$1.113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AA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$13.833</w:t>
            </w:r>
          </w:p>
        </w:tc>
      </w:tr>
      <w:tr w:rsidR="006D4656" w:rsidRPr="00E30252" w14:paraId="08E62FB1" w14:textId="77777777" w:rsidTr="006D4656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AC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FY11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AD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$8.280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AE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$4.831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AF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$1.183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0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$14.294</w:t>
            </w:r>
          </w:p>
        </w:tc>
      </w:tr>
      <w:tr w:rsidR="006D4656" w:rsidRPr="00E30252" w14:paraId="08E62FB7" w14:textId="77777777" w:rsidTr="006D4656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2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FY12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3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$8.528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4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$5.240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5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$1.020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6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$14.788</w:t>
            </w:r>
          </w:p>
        </w:tc>
      </w:tr>
      <w:tr w:rsidR="006D4656" w:rsidRPr="00E30252" w14:paraId="08E62FBD" w14:textId="77777777" w:rsidTr="006D4656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8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FY13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9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$8.904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A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$5.485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B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$0.889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C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$15.278</w:t>
            </w:r>
          </w:p>
        </w:tc>
      </w:tr>
      <w:tr w:rsidR="006D4656" w:rsidRPr="00E30252" w14:paraId="08E62FC3" w14:textId="77777777" w:rsidTr="006D4656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E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FY14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F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$9.181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C0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$5.557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C1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$0.847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C2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$15.584</w:t>
            </w:r>
          </w:p>
        </w:tc>
      </w:tr>
      <w:tr w:rsidR="006D4656" w:rsidRPr="00E30252" w14:paraId="08E62FC9" w14:textId="77777777" w:rsidTr="006D4656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C4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FY15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C5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$9.465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C6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$5.536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C7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$0.831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C8" w14:textId="77777777" w:rsidR="006D4656" w:rsidRPr="00E30252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$15.832</w:t>
            </w:r>
          </w:p>
        </w:tc>
      </w:tr>
      <w:tr w:rsidR="006D4656" w:rsidRPr="00E30252" w14:paraId="08E62FCF" w14:textId="77777777" w:rsidTr="006D4656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62FCA" w14:textId="77777777" w:rsidR="006D4656" w:rsidRPr="00E30252" w:rsidRDefault="006D4656" w:rsidP="006D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252">
              <w:rPr>
                <w:rFonts w:ascii="Times New Roman" w:eastAsia="Times New Roman" w:hAnsi="Times New Roman" w:cs="Times New Roman"/>
                <w:sz w:val="20"/>
                <w:szCs w:val="20"/>
              </w:rPr>
              <w:t>$ = Billions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62FCB" w14:textId="77777777" w:rsidR="006D4656" w:rsidRPr="00E30252" w:rsidRDefault="006D4656" w:rsidP="006D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62FCC" w14:textId="77777777" w:rsidR="006D4656" w:rsidRPr="00E30252" w:rsidRDefault="006D4656" w:rsidP="006D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62FCD" w14:textId="77777777" w:rsidR="006D4656" w:rsidRPr="00E30252" w:rsidRDefault="006D4656" w:rsidP="006D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CE" w14:textId="77777777" w:rsidR="006D4656" w:rsidRPr="00E30252" w:rsidRDefault="006D4656" w:rsidP="006D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8E62FD0" w14:textId="77777777" w:rsidR="006D4656" w:rsidRDefault="006D4656"/>
    <w:p w14:paraId="08E62FD1" w14:textId="77777777" w:rsidR="006D4656" w:rsidRDefault="006D4656"/>
    <w:p w14:paraId="08E62FD2" w14:textId="77777777" w:rsidR="00DD3926" w:rsidRDefault="006D4656">
      <w:r w:rsidRPr="00DD3926">
        <w:rPr>
          <w:noProof/>
        </w:rPr>
        <w:t xml:space="preserve"> </w:t>
      </w:r>
    </w:p>
    <w:p w14:paraId="08E62FD3" w14:textId="77777777" w:rsidR="00DD3926" w:rsidRDefault="00DD3926">
      <w:bookmarkStart w:id="0" w:name="_GoBack"/>
      <w:bookmarkEnd w:id="0"/>
    </w:p>
    <w:p w14:paraId="08E62FD4" w14:textId="77777777" w:rsidR="00DD3926" w:rsidRDefault="00DD3926"/>
    <w:p w14:paraId="08E62FD5" w14:textId="77777777" w:rsidR="00DD3926" w:rsidRDefault="00DD3926"/>
    <w:p w14:paraId="08E62FD6" w14:textId="77777777" w:rsidR="006D4656" w:rsidRDefault="006D4656"/>
    <w:p w14:paraId="08E62FD7" w14:textId="77777777" w:rsidR="006D4656" w:rsidRDefault="006D4656"/>
    <w:p w14:paraId="08E62FD8" w14:textId="77777777" w:rsidR="00DD3926" w:rsidRDefault="006D4656">
      <w:r>
        <w:rPr>
          <w:noProof/>
        </w:rPr>
        <w:drawing>
          <wp:anchor distT="0" distB="0" distL="114300" distR="114300" simplePos="0" relativeHeight="251659264" behindDoc="0" locked="0" layoutInCell="1" allowOverlap="1" wp14:anchorId="08E62FEA" wp14:editId="08E62FEB">
            <wp:simplePos x="0" y="0"/>
            <wp:positionH relativeFrom="column">
              <wp:posOffset>414835</wp:posOffset>
            </wp:positionH>
            <wp:positionV relativeFrom="paragraph">
              <wp:posOffset>18453</wp:posOffset>
            </wp:positionV>
            <wp:extent cx="5026490" cy="2398831"/>
            <wp:effectExtent l="19050" t="0" r="21760" b="1469"/>
            <wp:wrapNone/>
            <wp:docPr id="4" name="Chart 4" descr="FY15 MA Public School Revenue Sources &#10;Pie chart&#10;&#10;FY Local State Federal&#10;FY15 59.78% 34.97% 5.25%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08E62FD9" w14:textId="77777777" w:rsidR="00DD3926" w:rsidRDefault="00DD3926"/>
    <w:p w14:paraId="08E62FDA" w14:textId="77777777" w:rsidR="00DD3926" w:rsidRDefault="00DD3926"/>
    <w:p w14:paraId="08E62FDB" w14:textId="77777777" w:rsidR="00DD3926" w:rsidRDefault="00DD3926"/>
    <w:p w14:paraId="08E62FDC" w14:textId="77777777" w:rsidR="00DD3926" w:rsidRDefault="00DD3926"/>
    <w:tbl>
      <w:tblPr>
        <w:tblpPr w:leftFromText="180" w:rightFromText="180" w:vertAnchor="text" w:horzAnchor="margin" w:tblpXSpec="center" w:tblpY="1720"/>
        <w:tblW w:w="5340" w:type="dxa"/>
        <w:tblLook w:val="04A0" w:firstRow="1" w:lastRow="0" w:firstColumn="1" w:lastColumn="0" w:noHBand="0" w:noVBand="1"/>
      </w:tblPr>
      <w:tblGrid>
        <w:gridCol w:w="1480"/>
        <w:gridCol w:w="1740"/>
        <w:gridCol w:w="1060"/>
        <w:gridCol w:w="1060"/>
      </w:tblGrid>
      <w:tr w:rsidR="006D4656" w:rsidRPr="00DD3926" w14:paraId="08E62FE1" w14:textId="77777777" w:rsidTr="006D4656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E62FDD" w14:textId="77777777" w:rsidR="006D4656" w:rsidRPr="00DD3926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26">
              <w:rPr>
                <w:rFonts w:ascii="Times New Roman" w:eastAsia="Times New Roman" w:hAnsi="Times New Roman" w:cs="Times New Roman"/>
                <w:sz w:val="24"/>
                <w:szCs w:val="24"/>
              </w:rPr>
              <w:t>FY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E62FDE" w14:textId="77777777" w:rsidR="006D4656" w:rsidRPr="00DD3926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26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E62FDF" w14:textId="77777777" w:rsidR="006D4656" w:rsidRPr="00DD3926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26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E62FE0" w14:textId="77777777" w:rsidR="006D4656" w:rsidRPr="00DD3926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26">
              <w:rPr>
                <w:rFonts w:ascii="Times New Roman" w:eastAsia="Times New Roman" w:hAnsi="Times New Roman" w:cs="Times New Roman"/>
                <w:sz w:val="24"/>
                <w:szCs w:val="24"/>
              </w:rPr>
              <w:t>Federal</w:t>
            </w:r>
          </w:p>
        </w:tc>
      </w:tr>
      <w:tr w:rsidR="006D4656" w:rsidRPr="00DD3926" w14:paraId="08E62FE6" w14:textId="77777777" w:rsidTr="006D4656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E2" w14:textId="77777777" w:rsidR="006D4656" w:rsidRPr="00DD3926" w:rsidRDefault="006D4656" w:rsidP="006D4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3926">
              <w:rPr>
                <w:rFonts w:ascii="Arial" w:eastAsia="Times New Roman" w:hAnsi="Arial" w:cs="Arial"/>
                <w:sz w:val="20"/>
                <w:szCs w:val="20"/>
              </w:rPr>
              <w:t>FY15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E3" w14:textId="77777777" w:rsidR="006D4656" w:rsidRPr="00DD3926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26">
              <w:rPr>
                <w:rFonts w:ascii="Times New Roman" w:eastAsia="Times New Roman" w:hAnsi="Times New Roman" w:cs="Times New Roman"/>
                <w:sz w:val="24"/>
                <w:szCs w:val="24"/>
              </w:rPr>
              <w:t>59.78%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E4" w14:textId="77777777" w:rsidR="006D4656" w:rsidRPr="00DD3926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26">
              <w:rPr>
                <w:rFonts w:ascii="Times New Roman" w:eastAsia="Times New Roman" w:hAnsi="Times New Roman" w:cs="Times New Roman"/>
                <w:sz w:val="24"/>
                <w:szCs w:val="24"/>
              </w:rPr>
              <w:t>34.97%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E5" w14:textId="77777777" w:rsidR="006D4656" w:rsidRPr="00DD3926" w:rsidRDefault="006D4656" w:rsidP="006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26">
              <w:rPr>
                <w:rFonts w:ascii="Times New Roman" w:eastAsia="Times New Roman" w:hAnsi="Times New Roman" w:cs="Times New Roman"/>
                <w:sz w:val="24"/>
                <w:szCs w:val="24"/>
              </w:rPr>
              <w:t>5.25%</w:t>
            </w:r>
          </w:p>
        </w:tc>
      </w:tr>
    </w:tbl>
    <w:p w14:paraId="08E62FE7" w14:textId="77777777" w:rsidR="00DD3926" w:rsidRDefault="00DD3926"/>
    <w:sectPr w:rsidR="00DD3926" w:rsidSect="006D46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62FEE" w14:textId="77777777" w:rsidR="006D4656" w:rsidRDefault="006D4656" w:rsidP="006D4656">
      <w:pPr>
        <w:spacing w:after="0" w:line="240" w:lineRule="auto"/>
      </w:pPr>
      <w:r>
        <w:separator/>
      </w:r>
    </w:p>
  </w:endnote>
  <w:endnote w:type="continuationSeparator" w:id="0">
    <w:p w14:paraId="08E62FEF" w14:textId="77777777" w:rsidR="006D4656" w:rsidRDefault="006D4656" w:rsidP="006D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62FEC" w14:textId="77777777" w:rsidR="006D4656" w:rsidRDefault="006D4656" w:rsidP="006D4656">
      <w:pPr>
        <w:spacing w:after="0" w:line="240" w:lineRule="auto"/>
      </w:pPr>
      <w:r>
        <w:separator/>
      </w:r>
    </w:p>
  </w:footnote>
  <w:footnote w:type="continuationSeparator" w:id="0">
    <w:p w14:paraId="08E62FED" w14:textId="77777777" w:rsidR="006D4656" w:rsidRDefault="006D4656" w:rsidP="006D4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4D"/>
    <w:rsid w:val="005758CE"/>
    <w:rsid w:val="006260B8"/>
    <w:rsid w:val="00685C06"/>
    <w:rsid w:val="006A7083"/>
    <w:rsid w:val="006D4656"/>
    <w:rsid w:val="007B30AC"/>
    <w:rsid w:val="00C742B1"/>
    <w:rsid w:val="00C95DD1"/>
    <w:rsid w:val="00D8314D"/>
    <w:rsid w:val="00DD3926"/>
    <w:rsid w:val="00E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2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656"/>
  </w:style>
  <w:style w:type="paragraph" w:styleId="Footer">
    <w:name w:val="footer"/>
    <w:basedOn w:val="Normal"/>
    <w:link w:val="FooterChar"/>
    <w:uiPriority w:val="99"/>
    <w:semiHidden/>
    <w:unhideWhenUsed/>
    <w:rsid w:val="006D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656"/>
  </w:style>
  <w:style w:type="paragraph" w:styleId="Footer">
    <w:name w:val="footer"/>
    <w:basedOn w:val="Normal"/>
    <w:link w:val="FooterChar"/>
    <w:uiPriority w:val="99"/>
    <w:semiHidden/>
    <w:unhideWhenUsed/>
    <w:rsid w:val="006D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jb\AppData\Local\Microsoft\Windows\Temporary%20Internet%20Files\Content.Outlook\G0TIAZBM\Public%20School%20Expenditures%20by%20Revenue%20Sources.xlsx" TargetMode="External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jb\AppData\Local\Microsoft\Windows\Temporary%20Internet%20Files\Content.Outlook\G0TIAZBM\Public%20School%20Expenditures%20by%20Revenue%20Sourc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Massachusetts Public School Revenue Sources         (in billions)</a:t>
            </a:r>
          </a:p>
        </c:rich>
      </c:tx>
      <c:layout>
        <c:manualLayout>
          <c:xMode val="edge"/>
          <c:yMode val="edge"/>
          <c:x val="0.14638803229444217"/>
          <c:y val="4.1450777202072506E-2"/>
        </c:manualLayout>
      </c:layout>
      <c:overlay val="0"/>
      <c:spPr>
        <a:noFill/>
        <a:ln w="25400">
          <a:noFill/>
        </a:ln>
      </c:spPr>
    </c:title>
    <c:autoTitleDeleted val="0"/>
    <c:view3D>
      <c:rotX val="2"/>
      <c:hPercent val="100"/>
      <c:rotY val="144"/>
      <c:depthPercent val="100"/>
      <c:rAngAx val="0"/>
      <c:perspective val="3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2813709390696806E-2"/>
          <c:y val="0.13989637305699526"/>
          <c:w val="0.88403123888950375"/>
          <c:h val="0.66839378238342195"/>
        </c:manualLayout>
      </c:layout>
      <c:area3DChart>
        <c:grouping val="standard"/>
        <c:varyColors val="0"/>
        <c:ser>
          <c:idx val="0"/>
          <c:order val="0"/>
          <c:tx>
            <c:strRef>
              <c:f>graphs!$B$26</c:f>
              <c:strCache>
                <c:ptCount val="1"/>
                <c:pt idx="0">
                  <c:v>local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700">
              <a:solidFill>
                <a:srgbClr val="000000"/>
              </a:solidFill>
              <a:prstDash val="solid"/>
            </a:ln>
          </c:spPr>
          <c:cat>
            <c:strRef>
              <c:f>graphs!$A$27:$A$42</c:f>
              <c:strCache>
                <c:ptCount val="16"/>
                <c:pt idx="0">
                  <c:v>FY00</c:v>
                </c:pt>
                <c:pt idx="1">
                  <c:v>FY01</c:v>
                </c:pt>
                <c:pt idx="2">
                  <c:v>FY02</c:v>
                </c:pt>
                <c:pt idx="3">
                  <c:v>FY03</c:v>
                </c:pt>
                <c:pt idx="4">
                  <c:v>FY04</c:v>
                </c:pt>
                <c:pt idx="5">
                  <c:v>FY05</c:v>
                </c:pt>
                <c:pt idx="6">
                  <c:v>FY06</c:v>
                </c:pt>
                <c:pt idx="7">
                  <c:v>FY07</c:v>
                </c:pt>
                <c:pt idx="8">
                  <c:v>FY08</c:v>
                </c:pt>
                <c:pt idx="9">
                  <c:v>FY09</c:v>
                </c:pt>
                <c:pt idx="10">
                  <c:v>FY10</c:v>
                </c:pt>
                <c:pt idx="11">
                  <c:v>FY11</c:v>
                </c:pt>
                <c:pt idx="12">
                  <c:v>FY12</c:v>
                </c:pt>
                <c:pt idx="13">
                  <c:v>FY13</c:v>
                </c:pt>
                <c:pt idx="14">
                  <c:v>FY14</c:v>
                </c:pt>
                <c:pt idx="15">
                  <c:v>FY15</c:v>
                </c:pt>
              </c:strCache>
            </c:strRef>
          </c:cat>
          <c:val>
            <c:numRef>
              <c:f>graphs!$B$27:$B$42</c:f>
              <c:numCache>
                <c:formatCode>#,##0.000</c:formatCode>
                <c:ptCount val="16"/>
                <c:pt idx="0">
                  <c:v>4.8211637850000022</c:v>
                </c:pt>
                <c:pt idx="1">
                  <c:v>5.2005065699999964</c:v>
                </c:pt>
                <c:pt idx="2">
                  <c:v>5.5967037087376692</c:v>
                </c:pt>
                <c:pt idx="3">
                  <c:v>5.9869421799099989</c:v>
                </c:pt>
                <c:pt idx="4">
                  <c:v>6.2448463901300002</c:v>
                </c:pt>
                <c:pt idx="5">
                  <c:v>6.5825676674200055</c:v>
                </c:pt>
                <c:pt idx="6">
                  <c:v>6.7626229924783825</c:v>
                </c:pt>
                <c:pt idx="7">
                  <c:v>6.8836631843500076</c:v>
                </c:pt>
                <c:pt idx="8">
                  <c:v>7.5156782749630011</c:v>
                </c:pt>
                <c:pt idx="9">
                  <c:v>7.8442705128719981</c:v>
                </c:pt>
                <c:pt idx="10">
                  <c:v>7.871987242819996</c:v>
                </c:pt>
                <c:pt idx="11">
                  <c:v>8.2803297173165085</c:v>
                </c:pt>
                <c:pt idx="12">
                  <c:v>8.5282074557952985</c:v>
                </c:pt>
                <c:pt idx="13">
                  <c:v>8.9040508506282645</c:v>
                </c:pt>
                <c:pt idx="14">
                  <c:v>9.180978378999999</c:v>
                </c:pt>
                <c:pt idx="15">
                  <c:v>9.4648896349210485</c:v>
                </c:pt>
              </c:numCache>
            </c:numRef>
          </c:val>
        </c:ser>
        <c:ser>
          <c:idx val="1"/>
          <c:order val="1"/>
          <c:tx>
            <c:strRef>
              <c:f>graphs!$C$26</c:f>
              <c:strCache>
                <c:ptCount val="1"/>
                <c:pt idx="0">
                  <c:v>state 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graphs!$A$27:$A$42</c:f>
              <c:strCache>
                <c:ptCount val="16"/>
                <c:pt idx="0">
                  <c:v>FY00</c:v>
                </c:pt>
                <c:pt idx="1">
                  <c:v>FY01</c:v>
                </c:pt>
                <c:pt idx="2">
                  <c:v>FY02</c:v>
                </c:pt>
                <c:pt idx="3">
                  <c:v>FY03</c:v>
                </c:pt>
                <c:pt idx="4">
                  <c:v>FY04</c:v>
                </c:pt>
                <c:pt idx="5">
                  <c:v>FY05</c:v>
                </c:pt>
                <c:pt idx="6">
                  <c:v>FY06</c:v>
                </c:pt>
                <c:pt idx="7">
                  <c:v>FY07</c:v>
                </c:pt>
                <c:pt idx="8">
                  <c:v>FY08</c:v>
                </c:pt>
                <c:pt idx="9">
                  <c:v>FY09</c:v>
                </c:pt>
                <c:pt idx="10">
                  <c:v>FY10</c:v>
                </c:pt>
                <c:pt idx="11">
                  <c:v>FY11</c:v>
                </c:pt>
                <c:pt idx="12">
                  <c:v>FY12</c:v>
                </c:pt>
                <c:pt idx="13">
                  <c:v>FY13</c:v>
                </c:pt>
                <c:pt idx="14">
                  <c:v>FY14</c:v>
                </c:pt>
                <c:pt idx="15">
                  <c:v>FY15</c:v>
                </c:pt>
              </c:strCache>
            </c:strRef>
          </c:cat>
          <c:val>
            <c:numRef>
              <c:f>graphs!$C$27:$C$42</c:f>
              <c:numCache>
                <c:formatCode>#,##0.000</c:formatCode>
                <c:ptCount val="16"/>
                <c:pt idx="0">
                  <c:v>3.405601012</c:v>
                </c:pt>
                <c:pt idx="1">
                  <c:v>3.7181891010000001</c:v>
                </c:pt>
                <c:pt idx="2">
                  <c:v>3.9639841054800016</c:v>
                </c:pt>
                <c:pt idx="3">
                  <c:v>3.9292465618600003</c:v>
                </c:pt>
                <c:pt idx="4">
                  <c:v>3.8503666731500008</c:v>
                </c:pt>
                <c:pt idx="5">
                  <c:v>4.5866053531856812</c:v>
                </c:pt>
                <c:pt idx="6">
                  <c:v>5.5739469022753294</c:v>
                </c:pt>
                <c:pt idx="7">
                  <c:v>5.3889883425199949</c:v>
                </c:pt>
                <c:pt idx="8">
                  <c:v>4.9436445742599986</c:v>
                </c:pt>
                <c:pt idx="9">
                  <c:v>4.6951265101059585</c:v>
                </c:pt>
                <c:pt idx="10">
                  <c:v>4.8474591853399982</c:v>
                </c:pt>
                <c:pt idx="11">
                  <c:v>4.8309512187599992</c:v>
                </c:pt>
                <c:pt idx="12">
                  <c:v>5.2403579418899975</c:v>
                </c:pt>
                <c:pt idx="13">
                  <c:v>5.4851833584284986</c:v>
                </c:pt>
                <c:pt idx="14">
                  <c:v>5.5565258619999973</c:v>
                </c:pt>
                <c:pt idx="15">
                  <c:v>5.5359952083501467</c:v>
                </c:pt>
              </c:numCache>
            </c:numRef>
          </c:val>
        </c:ser>
        <c:ser>
          <c:idx val="2"/>
          <c:order val="2"/>
          <c:tx>
            <c:strRef>
              <c:f>graphs!$D$26</c:f>
              <c:strCache>
                <c:ptCount val="1"/>
                <c:pt idx="0">
                  <c:v>federal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700">
              <a:solidFill>
                <a:srgbClr val="000000"/>
              </a:solidFill>
              <a:prstDash val="solid"/>
            </a:ln>
          </c:spPr>
          <c:cat>
            <c:strRef>
              <c:f>graphs!$A$27:$A$42</c:f>
              <c:strCache>
                <c:ptCount val="16"/>
                <c:pt idx="0">
                  <c:v>FY00</c:v>
                </c:pt>
                <c:pt idx="1">
                  <c:v>FY01</c:v>
                </c:pt>
                <c:pt idx="2">
                  <c:v>FY02</c:v>
                </c:pt>
                <c:pt idx="3">
                  <c:v>FY03</c:v>
                </c:pt>
                <c:pt idx="4">
                  <c:v>FY04</c:v>
                </c:pt>
                <c:pt idx="5">
                  <c:v>FY05</c:v>
                </c:pt>
                <c:pt idx="6">
                  <c:v>FY06</c:v>
                </c:pt>
                <c:pt idx="7">
                  <c:v>FY07</c:v>
                </c:pt>
                <c:pt idx="8">
                  <c:v>FY08</c:v>
                </c:pt>
                <c:pt idx="9">
                  <c:v>FY09</c:v>
                </c:pt>
                <c:pt idx="10">
                  <c:v>FY10</c:v>
                </c:pt>
                <c:pt idx="11">
                  <c:v>FY11</c:v>
                </c:pt>
                <c:pt idx="12">
                  <c:v>FY12</c:v>
                </c:pt>
                <c:pt idx="13">
                  <c:v>FY13</c:v>
                </c:pt>
                <c:pt idx="14">
                  <c:v>FY14</c:v>
                </c:pt>
                <c:pt idx="15">
                  <c:v>FY15</c:v>
                </c:pt>
              </c:strCache>
            </c:strRef>
          </c:cat>
          <c:val>
            <c:numRef>
              <c:f>graphs!$D$27:$D$42</c:f>
              <c:numCache>
                <c:formatCode>#,##0.000</c:formatCode>
                <c:ptCount val="16"/>
                <c:pt idx="0">
                  <c:v>0.44336030400000015</c:v>
                </c:pt>
                <c:pt idx="1">
                  <c:v>0.48618639100000022</c:v>
                </c:pt>
                <c:pt idx="2">
                  <c:v>0.55262576163814281</c:v>
                </c:pt>
                <c:pt idx="3">
                  <c:v>0.64103234455327873</c:v>
                </c:pt>
                <c:pt idx="4">
                  <c:v>0.76940675064999975</c:v>
                </c:pt>
                <c:pt idx="5">
                  <c:v>0.76163052727704195</c:v>
                </c:pt>
                <c:pt idx="6">
                  <c:v>0.7847885068981667</c:v>
                </c:pt>
                <c:pt idx="7">
                  <c:v>0.82303382313000062</c:v>
                </c:pt>
                <c:pt idx="8">
                  <c:v>0.80058599787688522</c:v>
                </c:pt>
                <c:pt idx="9">
                  <c:v>1.2487265952443936</c:v>
                </c:pt>
                <c:pt idx="10">
                  <c:v>1.11320800488181</c:v>
                </c:pt>
                <c:pt idx="11">
                  <c:v>1.1826757786452424</c:v>
                </c:pt>
                <c:pt idx="12">
                  <c:v>1.0197252802599994</c:v>
                </c:pt>
                <c:pt idx="13">
                  <c:v>0.88899211997347583</c:v>
                </c:pt>
                <c:pt idx="14">
                  <c:v>0.84681425100000018</c:v>
                </c:pt>
                <c:pt idx="15">
                  <c:v>0.83104769336858964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720128"/>
        <c:axId val="54187072"/>
        <c:axId val="119992320"/>
      </c:area3DChart>
      <c:catAx>
        <c:axId val="44720128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418707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54187072"/>
        <c:scaling>
          <c:orientation val="minMax"/>
        </c:scaling>
        <c:delete val="0"/>
        <c:axPos val="r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.00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4720128"/>
        <c:crosses val="max"/>
        <c:crossBetween val="midCat"/>
      </c:valAx>
      <c:serAx>
        <c:axId val="119992320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ln w="3175">
            <a:solidFill>
              <a:srgbClr val="000000"/>
            </a:solidFill>
            <a:prstDash val="solid"/>
          </a:ln>
        </c:spPr>
        <c:crossAx val="54187072"/>
        <c:crosses val="autoZero"/>
        <c:tickMarkSkip val="1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5057034220532341E-2"/>
          <c:y val="0.88601036269430111"/>
          <c:w val="0.87642665389259966"/>
          <c:h val="0.1062176165803110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FY15 MA Public School Revenue Sources</a:t>
            </a:r>
          </a:p>
        </c:rich>
      </c:tx>
      <c:layout>
        <c:manualLayout>
          <c:xMode val="edge"/>
          <c:yMode val="edge"/>
          <c:x val="0.18410389845977701"/>
          <c:y val="5.144576790117721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0325516005963632"/>
          <c:y val="0.31141881248499448"/>
          <c:w val="0.4338749340997608"/>
          <c:h val="0.66753319217960405"/>
        </c:manualLayout>
      </c:layout>
      <c:pieChart>
        <c:varyColors val="1"/>
        <c:ser>
          <c:idx val="0"/>
          <c:order val="0"/>
          <c:tx>
            <c:strRef>
              <c:f>'graphs (2)'!$C$3</c:f>
              <c:strCache>
                <c:ptCount val="1"/>
                <c:pt idx="0">
                  <c:v>FY15</c:v>
                </c:pt>
              </c:strCache>
            </c:strRef>
          </c:tx>
          <c:explosion val="34"/>
          <c:dPt>
            <c:idx val="1"/>
            <c:bubble3D val="0"/>
            <c:explosion val="32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'graphs (2)'!$D$2:$F$2</c:f>
              <c:strCache>
                <c:ptCount val="3"/>
                <c:pt idx="0">
                  <c:v>Local</c:v>
                </c:pt>
                <c:pt idx="1">
                  <c:v>State</c:v>
                </c:pt>
                <c:pt idx="2">
                  <c:v>Federal</c:v>
                </c:pt>
              </c:strCache>
            </c:strRef>
          </c:cat>
          <c:val>
            <c:numRef>
              <c:f>'graphs (2)'!$D$3:$F$3</c:f>
              <c:numCache>
                <c:formatCode>0.00%</c:formatCode>
                <c:ptCount val="3"/>
                <c:pt idx="0">
                  <c:v>0.5978</c:v>
                </c:pt>
                <c:pt idx="1">
                  <c:v>0.34970000000000001</c:v>
                </c:pt>
                <c:pt idx="2">
                  <c:v>5.2500000000000012E-2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DESE-231-23597</_dlc_DocId>
    <_dlc_DocIdUrl xmlns="733efe1c-5bbe-4968-87dc-d400e65c879f">
      <Url>https://sharepoint.doemass.org/ese/webteam/cps/_layouts/DocIdRedir.aspx?ID=DESE-231-23597</Url>
      <Description>DESE-231-23597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8B77-C947-4B70-987C-AE9676FC1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B5E2D-A0A8-400C-A4DB-4C2BD013F1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A48467-6ABC-4268-813C-7E0E97E28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F8EB4-F15E-49A4-995C-1A07B08E1503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0a4e05da-b9bc-4326-ad73-01ef31b95567"/>
    <ds:schemaRef ds:uri="http://schemas.openxmlformats.org/package/2006/metadata/core-properties"/>
    <ds:schemaRef ds:uri="733efe1c-5bbe-4968-87dc-d400e65c879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532A368-7CA7-430F-9226-D9B315DE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1, Budget Update, Massachusetts Public School Revenue Sources, March 2016</vt:lpstr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1, Budget Update, Massachusetts Public School Revenue Sources, March 2016</dc:title>
  <dc:creator>ESE</dc:creator>
  <cp:lastModifiedBy>ESE</cp:lastModifiedBy>
  <cp:revision>2</cp:revision>
  <cp:lastPrinted>2016-03-11T18:51:00Z</cp:lastPrinted>
  <dcterms:created xsi:type="dcterms:W3CDTF">2016-03-17T17:34:00Z</dcterms:created>
  <dcterms:modified xsi:type="dcterms:W3CDTF">2016-03-17T17:34:00Z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1d15ebb1-54eb-425c-8fef-ffd4a2ac2676</vt:lpwstr>
  </property>
  <property fmtid="{D5CDD505-2E9C-101B-9397-08002B2CF9AE}" pid="4" name="metadate">
    <vt:lpwstr>Mar 17 2016</vt:lpwstr>
  </property>
</Properties>
</file>