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8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8349E6" w14:paraId="068C34FC" w14:textId="77777777" w:rsidTr="00AB183D">
        <w:trPr>
          <w:trHeight w:val="1167"/>
        </w:trPr>
        <w:tc>
          <w:tcPr>
            <w:tcW w:w="1513" w:type="pct"/>
            <w:vAlign w:val="bottom"/>
          </w:tcPr>
          <w:p w14:paraId="068C34FA" w14:textId="77777777" w:rsidR="008349E6" w:rsidRDefault="008349E6" w:rsidP="00255056">
            <w:bookmarkStart w:id="0" w:name="_GoBack"/>
            <w:r>
              <w:rPr>
                <w:noProof/>
              </w:rPr>
              <w:drawing>
                <wp:inline distT="0" distB="0" distL="0" distR="0" wp14:anchorId="068C3562" wp14:editId="50CC98B8">
                  <wp:extent cx="1668780" cy="648595"/>
                  <wp:effectExtent l="0" t="0" r="0" b="0"/>
                  <wp:docPr id="4" name="Picture 1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ter-Logo_695x338_color.png"/>
                          <pic:cNvPicPr/>
                        </pic:nvPicPr>
                        <pic:blipFill>
                          <a:blip r:embed="rId9" cstate="print"/>
                          <a:srcRect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357" cy="6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87" w:type="pct"/>
            <w:vAlign w:val="bottom"/>
          </w:tcPr>
          <w:p w14:paraId="068C34FB" w14:textId="77777777" w:rsidR="008349E6" w:rsidRPr="00AB183D" w:rsidRDefault="008349E6" w:rsidP="00AB183D">
            <w:pPr>
              <w:rPr>
                <w:sz w:val="28"/>
              </w:rPr>
            </w:pPr>
            <w:r w:rsidRPr="00AB183D">
              <w:rPr>
                <w:b/>
                <w:sz w:val="28"/>
              </w:rPr>
              <w:br/>
            </w:r>
            <w:r w:rsidR="00AB183D">
              <w:rPr>
                <w:b/>
                <w:sz w:val="28"/>
              </w:rPr>
              <w:t>I</w:t>
            </w:r>
            <w:r w:rsidR="000C2AE7" w:rsidRPr="00AB183D">
              <w:rPr>
                <w:b/>
                <w:sz w:val="28"/>
              </w:rPr>
              <w:t>ndicator</w:t>
            </w:r>
            <w:r w:rsidR="00AB183D" w:rsidRPr="00AB183D">
              <w:rPr>
                <w:b/>
                <w:sz w:val="28"/>
              </w:rPr>
              <w:t>s of school quality or student success</w:t>
            </w:r>
          </w:p>
        </w:tc>
      </w:tr>
    </w:tbl>
    <w:p w14:paraId="068C34FD" w14:textId="77777777" w:rsidR="004B03B8" w:rsidRPr="000C2AE7" w:rsidRDefault="007C3933" w:rsidP="00991A19">
      <w:pPr>
        <w:spacing w:before="240"/>
        <w:rPr>
          <w:bCs/>
        </w:rPr>
      </w:pPr>
      <w:r w:rsidRPr="000C2AE7">
        <w:rPr>
          <w:bCs/>
        </w:rPr>
        <w:t>The Every Student Succeeds Act (ESSA)</w:t>
      </w:r>
      <w:r w:rsidR="008349E6" w:rsidRPr="000C2AE7">
        <w:rPr>
          <w:bCs/>
        </w:rPr>
        <w:t xml:space="preserve"> requires states to include at least one additional indicator of school quality or student success in its accountability </w:t>
      </w:r>
      <w:r w:rsidR="00380FC8" w:rsidRPr="000C2AE7">
        <w:rPr>
          <w:bCs/>
        </w:rPr>
        <w:t>and</w:t>
      </w:r>
      <w:r w:rsidR="008349E6" w:rsidRPr="000C2AE7">
        <w:rPr>
          <w:bCs/>
        </w:rPr>
        <w:t xml:space="preserve"> assistance system, other than student as</w:t>
      </w:r>
      <w:r w:rsidR="000C2AE7" w:rsidRPr="000C2AE7">
        <w:rPr>
          <w:bCs/>
        </w:rPr>
        <w:t>sess</w:t>
      </w:r>
      <w:r w:rsidR="00C96AF2">
        <w:rPr>
          <w:bCs/>
        </w:rPr>
        <w:t xml:space="preserve">ment results, English language proficiency levels and graduation </w:t>
      </w:r>
      <w:r w:rsidR="008349E6" w:rsidRPr="000C2AE7">
        <w:rPr>
          <w:bCs/>
        </w:rPr>
        <w:t xml:space="preserve">rates. The law states that this could include such measures as student engagement, educator engagement, access to and completion of advanced coursework, postsecondary readiness, or school climate and safety.  </w:t>
      </w:r>
      <w:r w:rsidR="00380FC8" w:rsidRPr="000C2AE7">
        <w:rPr>
          <w:bCs/>
        </w:rPr>
        <w:t>The following</w:t>
      </w:r>
      <w:r w:rsidR="000C2AE7" w:rsidRPr="000C2AE7">
        <w:rPr>
          <w:bCs/>
        </w:rPr>
        <w:t xml:space="preserve"> list includes </w:t>
      </w:r>
      <w:r w:rsidR="00380FC8" w:rsidRPr="000C2AE7">
        <w:rPr>
          <w:bCs/>
        </w:rPr>
        <w:t xml:space="preserve">indicators </w:t>
      </w:r>
      <w:r w:rsidR="000C2AE7" w:rsidRPr="000C2AE7">
        <w:rPr>
          <w:bCs/>
        </w:rPr>
        <w:t xml:space="preserve">suggested by external stakeholders and ESE staff during the initial phase of </w:t>
      </w:r>
      <w:r w:rsidR="004616E5">
        <w:rPr>
          <w:bCs/>
        </w:rPr>
        <w:t>gathering feedback on Massachusetts’ accountability and assistance system.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0C2AE7" w:rsidRPr="000C2AE7" w14:paraId="068C3500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4FE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C2AE7">
              <w:rPr>
                <w:rFonts w:eastAsia="Times New Roman" w:cs="Times New Roman"/>
                <w:b/>
                <w:bCs/>
                <w:color w:val="000000"/>
              </w:rPr>
              <w:t xml:space="preserve">COURSE ACCESS &amp; OFFERINGS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4FF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C2AE7">
              <w:rPr>
                <w:rFonts w:eastAsia="Times New Roman" w:cs="Times New Roman"/>
                <w:b/>
                <w:bCs/>
                <w:color w:val="000000"/>
              </w:rPr>
              <w:t xml:space="preserve">HIGH SCHOOL </w:t>
            </w:r>
          </w:p>
        </w:tc>
      </w:tr>
      <w:tr w:rsidR="000C2AE7" w:rsidRPr="000C2AE7" w14:paraId="068C3503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01" w14:textId="77777777" w:rsidR="000C2AE7" w:rsidRPr="000C2AE7" w:rsidRDefault="000C2AE7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Access to advanced coursework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02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College enrollment/persistence</w:t>
            </w:r>
          </w:p>
        </w:tc>
      </w:tr>
      <w:tr w:rsidR="000C2AE7" w:rsidRPr="000C2AE7" w14:paraId="068C3506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04" w14:textId="77777777" w:rsidR="000C2AE7" w:rsidRPr="000C2AE7" w:rsidRDefault="000C2AE7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Access to arts education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05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Completion of advanced coursework</w:t>
            </w:r>
          </w:p>
        </w:tc>
      </w:tr>
      <w:tr w:rsidR="000C2AE7" w:rsidRPr="000C2AE7" w14:paraId="068C3509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07" w14:textId="77777777" w:rsidR="000C2AE7" w:rsidRPr="000C2AE7" w:rsidRDefault="000C2AE7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Access to dual-language programs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08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 xml:space="preserve">Course passing rates (9th grade) </w:t>
            </w:r>
          </w:p>
        </w:tc>
      </w:tr>
      <w:tr w:rsidR="000C2AE7" w:rsidRPr="000C2AE7" w14:paraId="068C350C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0A" w14:textId="77777777" w:rsidR="000C2AE7" w:rsidRPr="000C2AE7" w:rsidRDefault="000C2AE7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Access to recess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0B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Dropout reengagement</w:t>
            </w:r>
          </w:p>
        </w:tc>
      </w:tr>
      <w:tr w:rsidR="000C2AE7" w:rsidRPr="000C2AE7" w14:paraId="068C350F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0D" w14:textId="77777777" w:rsidR="000C2AE7" w:rsidRPr="000C2AE7" w:rsidRDefault="000C2AE7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Depth/breadth of course offerings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0E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Retention rates (9th grade)</w:t>
            </w:r>
          </w:p>
        </w:tc>
      </w:tr>
      <w:tr w:rsidR="000C2AE7" w:rsidRPr="000C2AE7" w14:paraId="068C3512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10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Foreign language acquisition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3511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Students' post-secondary readiness/plans/success</w:t>
            </w:r>
          </w:p>
        </w:tc>
      </w:tr>
      <w:tr w:rsidR="00AB183D" w:rsidRPr="000C2AE7" w14:paraId="068C3515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13" w14:textId="77777777" w:rsidR="00AB183D" w:rsidRPr="000C2AE7" w:rsidRDefault="00AB183D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3514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C2AE7" w:rsidRPr="000C2AE7" w14:paraId="068C3518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16" w14:textId="77777777" w:rsidR="000C2AE7" w:rsidRPr="000C2AE7" w:rsidRDefault="000C2AE7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3517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C2AE7" w:rsidRPr="000C2AE7" w14:paraId="068C351B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519" w14:textId="77777777" w:rsidR="000C2AE7" w:rsidRPr="000C2AE7" w:rsidRDefault="000C2AE7" w:rsidP="00991A1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C2AE7">
              <w:rPr>
                <w:rFonts w:eastAsia="Times New Roman" w:cs="Times New Roman"/>
                <w:b/>
                <w:bCs/>
                <w:color w:val="000000"/>
              </w:rPr>
              <w:t xml:space="preserve">CLIMATE, CULTURE &amp; STUDENT SUPPORT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351A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C2AE7">
              <w:rPr>
                <w:rFonts w:eastAsia="Times New Roman" w:cs="Times New Roman"/>
                <w:b/>
                <w:bCs/>
                <w:color w:val="000000"/>
              </w:rPr>
              <w:t xml:space="preserve">STUDENTS </w:t>
            </w:r>
          </w:p>
        </w:tc>
      </w:tr>
      <w:tr w:rsidR="000C2AE7" w:rsidRPr="000C2AE7" w14:paraId="068C351E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51C" w14:textId="77777777" w:rsidR="000C2AE7" w:rsidRPr="000C2AE7" w:rsidRDefault="000C2AE7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 xml:space="preserve">Community involvement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351D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 attendance</w:t>
            </w:r>
          </w:p>
        </w:tc>
      </w:tr>
      <w:tr w:rsidR="000C2AE7" w:rsidRPr="000C2AE7" w14:paraId="068C3521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51F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 xml:space="preserve">English learners identified for special education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20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 engagement</w:t>
            </w:r>
          </w:p>
        </w:tc>
      </w:tr>
      <w:tr w:rsidR="000C2AE7" w:rsidRPr="000C2AE7" w14:paraId="068C3524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3522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Family engagement/socioeconomic factors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23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 grades</w:t>
            </w:r>
          </w:p>
        </w:tc>
      </w:tr>
      <w:tr w:rsidR="000C2AE7" w:rsidRPr="000C2AE7" w14:paraId="068C3527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C3525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Inclusion/out-of-district placement rates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26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 grit</w:t>
            </w:r>
          </w:p>
        </w:tc>
      </w:tr>
      <w:tr w:rsidR="000C2AE7" w:rsidRPr="000C2AE7" w14:paraId="068C352A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3528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Kindergarten readiness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29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C2AE7" w:rsidRPr="000C2AE7" w14:paraId="068C352D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52B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Referrals to special education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2C" w14:textId="77777777" w:rsidR="000C2AE7" w:rsidRPr="000C2AE7" w:rsidRDefault="000C2AE7" w:rsidP="000C2AE7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AB183D" w:rsidRPr="000C2AE7" w14:paraId="068C3530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C352E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School climate/culture survey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2F" w14:textId="77777777" w:rsidR="00AB183D" w:rsidRPr="000C2AE7" w:rsidRDefault="00AB183D" w:rsidP="00A05E1C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 w:rsidRPr="000C2AE7">
              <w:rPr>
                <w:rFonts w:eastAsia="Times New Roman" w:cs="Times New Roman"/>
                <w:b/>
                <w:color w:val="000000"/>
              </w:rPr>
              <w:t xml:space="preserve">OTHER </w:t>
            </w:r>
          </w:p>
        </w:tc>
      </w:tr>
      <w:tr w:rsidR="00AB183D" w:rsidRPr="000C2AE7" w14:paraId="068C3533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31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School safety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32" w14:textId="77777777" w:rsidR="00AB183D" w:rsidRPr="000C2AE7" w:rsidRDefault="00AB183D" w:rsidP="00A05E1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 xml:space="preserve">Observations/interviews done by external parties </w:t>
            </w:r>
          </w:p>
        </w:tc>
      </w:tr>
      <w:tr w:rsidR="00AB183D" w:rsidRPr="000C2AE7" w14:paraId="068C3536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34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 discipline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35" w14:textId="77777777" w:rsidR="00AB183D" w:rsidRPr="000C2AE7" w:rsidRDefault="00AB183D" w:rsidP="00A05E1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Professional development offerings</w:t>
            </w:r>
          </w:p>
        </w:tc>
      </w:tr>
      <w:tr w:rsidR="00AB183D" w:rsidRPr="000C2AE7" w14:paraId="068C3539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37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Student/family survey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38" w14:textId="77777777" w:rsidR="00AB183D" w:rsidRPr="000C2AE7" w:rsidRDefault="00AB183D" w:rsidP="00A05E1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Self-assessments</w:t>
            </w:r>
            <w:r w:rsidRPr="000C2AE7">
              <w:rPr>
                <w:rFonts w:eastAsia="Times New Roman" w:cs="Times New Roman"/>
                <w:color w:val="000000"/>
              </w:rPr>
              <w:t xml:space="preserve"> by school/district administrators</w:t>
            </w:r>
          </w:p>
        </w:tc>
      </w:tr>
      <w:tr w:rsidR="00AB183D" w:rsidRPr="000C2AE7" w14:paraId="068C353C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3A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Students performing beyond grade level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3B" w14:textId="77777777" w:rsidR="00AB183D" w:rsidRPr="000C2AE7" w:rsidRDefault="00AB183D" w:rsidP="00A05E1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Spending (e.g., salaries, per-pupil spending)</w:t>
            </w:r>
          </w:p>
        </w:tc>
      </w:tr>
      <w:tr w:rsidR="00AB183D" w:rsidRPr="000C2AE7" w14:paraId="068C353F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3D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 social-emotional supports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3E" w14:textId="77777777" w:rsidR="00AB183D" w:rsidRPr="000C2AE7" w:rsidRDefault="00AB183D" w:rsidP="00A05E1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Student/teacher ratio</w:t>
            </w:r>
          </w:p>
        </w:tc>
      </w:tr>
      <w:tr w:rsidR="00AB183D" w:rsidRPr="000C2AE7" w14:paraId="068C3542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40" w14:textId="77777777" w:rsidR="00AB183D" w:rsidRPr="000C2AE7" w:rsidRDefault="00AB183D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41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45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43" w14:textId="77777777" w:rsidR="00AB183D" w:rsidRPr="000C2AE7" w:rsidRDefault="00AB183D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44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48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3546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C2AE7">
              <w:rPr>
                <w:rFonts w:eastAsia="Times New Roman" w:cs="Times New Roman"/>
                <w:b/>
                <w:bCs/>
                <w:color w:val="000000"/>
              </w:rPr>
              <w:t xml:space="preserve">EDUCATORS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47" w14:textId="77777777" w:rsidR="00AB183D" w:rsidRPr="000C2AE7" w:rsidRDefault="00AB183D" w:rsidP="00610B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4B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549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Educator attendance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354A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AB183D" w:rsidRPr="000C2AE7" w14:paraId="068C354E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C354C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Educator engagement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354D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51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4F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Educator evaluation</w:t>
            </w:r>
            <w:r w:rsidR="00C96AF2">
              <w:rPr>
                <w:rFonts w:eastAsia="Times New Roman" w:cs="Times New Roman"/>
                <w:color w:val="000000"/>
              </w:rPr>
              <w:t xml:space="preserve"> results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50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54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52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Educator licensure/dual licensure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53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57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55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Educator qualifications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56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5A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58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Educator survey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59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5D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5B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Educator turnover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5C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B183D" w:rsidRPr="000C2AE7" w14:paraId="068C3560" w14:textId="77777777" w:rsidTr="000C2AE7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355E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2AE7">
              <w:rPr>
                <w:rFonts w:eastAsia="Times New Roman" w:cs="Times New Roman"/>
                <w:color w:val="000000"/>
              </w:rPr>
              <w:t>Professional development attendance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355F" w14:textId="77777777" w:rsidR="00AB183D" w:rsidRPr="000C2AE7" w:rsidRDefault="00AB183D" w:rsidP="000C2AE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068C3561" w14:textId="77777777" w:rsidR="00AA6F9A" w:rsidRPr="000C2AE7" w:rsidRDefault="00AA6F9A" w:rsidP="009F104C"/>
    <w:sectPr w:rsidR="00AA6F9A" w:rsidRPr="000C2AE7" w:rsidSect="00AA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DE"/>
    <w:rsid w:val="00050C65"/>
    <w:rsid w:val="00090CF0"/>
    <w:rsid w:val="000B24A4"/>
    <w:rsid w:val="000C2AE7"/>
    <w:rsid w:val="000D114D"/>
    <w:rsid w:val="00113DC3"/>
    <w:rsid w:val="00132A4D"/>
    <w:rsid w:val="00153CA3"/>
    <w:rsid w:val="002261E6"/>
    <w:rsid w:val="00250ED6"/>
    <w:rsid w:val="00255056"/>
    <w:rsid w:val="00282132"/>
    <w:rsid w:val="002829E4"/>
    <w:rsid w:val="002A1EC5"/>
    <w:rsid w:val="002E24A8"/>
    <w:rsid w:val="002F54B5"/>
    <w:rsid w:val="003141B0"/>
    <w:rsid w:val="00356792"/>
    <w:rsid w:val="00380FC8"/>
    <w:rsid w:val="003942BC"/>
    <w:rsid w:val="00397710"/>
    <w:rsid w:val="003D56C2"/>
    <w:rsid w:val="003D7623"/>
    <w:rsid w:val="003F5966"/>
    <w:rsid w:val="004616E5"/>
    <w:rsid w:val="00493249"/>
    <w:rsid w:val="004B03B8"/>
    <w:rsid w:val="004E45AB"/>
    <w:rsid w:val="004F3B61"/>
    <w:rsid w:val="005967F0"/>
    <w:rsid w:val="00605BDE"/>
    <w:rsid w:val="00610B03"/>
    <w:rsid w:val="00622CD5"/>
    <w:rsid w:val="00624B58"/>
    <w:rsid w:val="00682EEF"/>
    <w:rsid w:val="006A385A"/>
    <w:rsid w:val="006A3F93"/>
    <w:rsid w:val="006E2A82"/>
    <w:rsid w:val="00732CE4"/>
    <w:rsid w:val="00737494"/>
    <w:rsid w:val="0076151C"/>
    <w:rsid w:val="007C3933"/>
    <w:rsid w:val="007E793F"/>
    <w:rsid w:val="008117DB"/>
    <w:rsid w:val="008349E6"/>
    <w:rsid w:val="008406A4"/>
    <w:rsid w:val="00885F7F"/>
    <w:rsid w:val="008869B5"/>
    <w:rsid w:val="008A48ED"/>
    <w:rsid w:val="008B0F59"/>
    <w:rsid w:val="008B5790"/>
    <w:rsid w:val="00962B7E"/>
    <w:rsid w:val="00991A19"/>
    <w:rsid w:val="009B649D"/>
    <w:rsid w:val="009B76F8"/>
    <w:rsid w:val="009C669A"/>
    <w:rsid w:val="009F104C"/>
    <w:rsid w:val="009F405A"/>
    <w:rsid w:val="00A23DAC"/>
    <w:rsid w:val="00AA6F9A"/>
    <w:rsid w:val="00AB183D"/>
    <w:rsid w:val="00AC149E"/>
    <w:rsid w:val="00AE0920"/>
    <w:rsid w:val="00BD5B1C"/>
    <w:rsid w:val="00BE6015"/>
    <w:rsid w:val="00C14A45"/>
    <w:rsid w:val="00C96AF2"/>
    <w:rsid w:val="00CD3C9A"/>
    <w:rsid w:val="00E72C17"/>
    <w:rsid w:val="00F33B4A"/>
    <w:rsid w:val="00F55B29"/>
    <w:rsid w:val="00F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3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6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6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DESE-231-27962</_dlc_DocId>
    <_dlc_DocIdUrl xmlns="733efe1c-5bbe-4968-87dc-d400e65c879f">
      <Url>https://sharepoint.doemass.org/ese/webteam/cps/_layouts/DocIdRedir.aspx?ID=DESE-231-27962</Url>
      <Description>DESE-231-27962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9CFDDDF-2074-499D-A2A3-D68E8414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C1D00-8679-4597-8223-4B21D358CB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521CBC-7AFD-4156-99AF-126CA9219967}">
  <ds:schemaRefs>
    <ds:schemaRef ds:uri="http://purl.org/dc/terms/"/>
    <ds:schemaRef ds:uri="733efe1c-5bbe-4968-87dc-d400e65c879f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a4e05da-b9bc-4326-ad73-01ef31b9556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6708B1-02AA-42A4-8086-3F97025C7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2, ESSA Suggested Indicators, Sept 2016</vt:lpstr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9/27/16 Meeting: Attachment 2, ESSA Suggested Indicators, Sept 2016</dc:title>
  <dc:creator>ESE</dc:creator>
  <cp:lastModifiedBy>ESE</cp:lastModifiedBy>
  <cp:revision>2</cp:revision>
  <cp:lastPrinted>2016-09-15T18:15:00Z</cp:lastPrinted>
  <dcterms:created xsi:type="dcterms:W3CDTF">2016-09-20T13:09:00Z</dcterms:created>
  <dcterms:modified xsi:type="dcterms:W3CDTF">2016-09-20T13:09:00Z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213487ec-de78-433f-96b8-3cda8bfebd72</vt:lpwstr>
  </property>
  <property fmtid="{D5CDD505-2E9C-101B-9397-08002B2CF9AE}" pid="4" name="metadate">
    <vt:lpwstr>Sep 20 2016</vt:lpwstr>
  </property>
</Properties>
</file>