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71ED7" w14:textId="77777777" w:rsidR="00B57FF3" w:rsidRDefault="003246FB">
      <w:pPr>
        <w:pStyle w:val="TableTitle"/>
      </w:pPr>
      <w:bookmarkStart w:id="0" w:name="_GoBack"/>
      <w:bookmarkEnd w:id="0"/>
      <w:r>
        <w:t>Level 5 Schools 2016–17 Quarter 1 Report: UP Academy Holland</w:t>
      </w:r>
    </w:p>
    <w:tbl>
      <w:tblPr>
        <w:tblW w:w="9495" w:type="dxa"/>
        <w:jc w:val="center"/>
        <w:tblInd w:w="-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
        <w:gridCol w:w="2811"/>
        <w:gridCol w:w="2099"/>
        <w:gridCol w:w="40"/>
        <w:gridCol w:w="2735"/>
        <w:gridCol w:w="1698"/>
        <w:gridCol w:w="67"/>
      </w:tblGrid>
      <w:tr w:rsidR="0031481E" w:rsidRPr="009643EF" w14:paraId="0A171EDA" w14:textId="77777777" w:rsidTr="008F3B89">
        <w:trPr>
          <w:gridAfter w:val="1"/>
          <w:wAfter w:w="67" w:type="dxa"/>
          <w:trHeight w:val="342"/>
          <w:jc w:val="center"/>
        </w:trPr>
        <w:tc>
          <w:tcPr>
            <w:tcW w:w="4955" w:type="dxa"/>
            <w:gridSpan w:val="3"/>
            <w:tcBorders>
              <w:top w:val="single" w:sz="4" w:space="0" w:color="000000"/>
              <w:left w:val="single" w:sz="4" w:space="0" w:color="000000"/>
              <w:bottom w:val="nil"/>
              <w:right w:val="single" w:sz="4" w:space="0" w:color="000000"/>
            </w:tcBorders>
            <w:shd w:val="clear" w:color="auto" w:fill="8DB3E2"/>
            <w:tcMar>
              <w:top w:w="80" w:type="dxa"/>
              <w:left w:w="80" w:type="dxa"/>
              <w:bottom w:w="80" w:type="dxa"/>
              <w:right w:w="80" w:type="dxa"/>
            </w:tcMar>
            <w:vAlign w:val="center"/>
          </w:tcPr>
          <w:p w14:paraId="0A171ED8" w14:textId="77777777" w:rsidR="0031481E" w:rsidRPr="00CF30C2" w:rsidRDefault="0031481E" w:rsidP="00CF30C2">
            <w:pPr>
              <w:pStyle w:val="Body"/>
              <w:jc w:val="center"/>
              <w:rPr>
                <w:b/>
                <w:bCs/>
                <w:sz w:val="22"/>
                <w:szCs w:val="22"/>
              </w:rPr>
            </w:pPr>
            <w:r w:rsidRPr="00CF30C2">
              <w:rPr>
                <w:b/>
                <w:bCs/>
                <w:sz w:val="22"/>
                <w:szCs w:val="22"/>
              </w:rPr>
              <w:t>School Information</w:t>
            </w:r>
          </w:p>
        </w:tc>
        <w:tc>
          <w:tcPr>
            <w:tcW w:w="4473" w:type="dxa"/>
            <w:gridSpan w:val="3"/>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0A171ED9" w14:textId="77777777" w:rsidR="0031481E" w:rsidRPr="009643EF" w:rsidRDefault="0031481E" w:rsidP="00D37BA0">
            <w:pPr>
              <w:pStyle w:val="Body"/>
              <w:jc w:val="center"/>
              <w:rPr>
                <w:b/>
                <w:bCs/>
                <w:sz w:val="22"/>
                <w:szCs w:val="22"/>
              </w:rPr>
            </w:pPr>
            <w:r w:rsidRPr="009643EF">
              <w:rPr>
                <w:b/>
                <w:bCs/>
                <w:sz w:val="22"/>
                <w:szCs w:val="22"/>
              </w:rPr>
              <w:t>Student Enrollment and Demographics</w:t>
            </w:r>
            <w:r>
              <w:rPr>
                <w:b/>
                <w:bCs/>
                <w:sz w:val="22"/>
                <w:szCs w:val="22"/>
                <w:vertAlign w:val="superscript"/>
              </w:rPr>
              <w:t>a</w:t>
            </w:r>
          </w:p>
        </w:tc>
      </w:tr>
      <w:tr w:rsidR="008F3B89" w:rsidRPr="000873E7" w14:paraId="0A171EDF"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0A171EDB" w14:textId="77777777" w:rsidR="008F3B89" w:rsidRDefault="008F3B89" w:rsidP="002A7E79">
            <w:pPr>
              <w:spacing w:before="40" w:after="40"/>
            </w:pPr>
            <w:r>
              <w:rPr>
                <w:rFonts w:eastAsia="Times New Roman"/>
                <w:b/>
              </w:rPr>
              <w:t>Location</w:t>
            </w:r>
          </w:p>
        </w:tc>
        <w:tc>
          <w:tcPr>
            <w:tcW w:w="2139" w:type="dxa"/>
            <w:gridSpan w:val="2"/>
            <w:tcBorders>
              <w:top w:val="single" w:sz="4" w:space="0" w:color="000000"/>
              <w:left w:val="nil"/>
              <w:bottom w:val="single" w:sz="4" w:space="0" w:color="auto"/>
              <w:right w:val="single" w:sz="4" w:space="0" w:color="auto"/>
            </w:tcBorders>
            <w:shd w:val="clear" w:color="auto" w:fill="auto"/>
            <w:tcMar>
              <w:left w:w="115" w:type="dxa"/>
              <w:right w:w="115" w:type="dxa"/>
            </w:tcMar>
            <w:vAlign w:val="center"/>
            <w:hideMark/>
          </w:tcPr>
          <w:p w14:paraId="0A171EDC" w14:textId="77777777" w:rsidR="008F3B89" w:rsidRPr="000873E7" w:rsidRDefault="008F3B89" w:rsidP="006A2DE1">
            <w:pPr>
              <w:pStyle w:val="TableText"/>
              <w:spacing w:before="40" w:after="40"/>
              <w:rPr>
                <w:rFonts w:ascii="Times New Roman" w:hAnsi="Times New Roman"/>
              </w:rPr>
            </w:pPr>
            <w:r w:rsidRPr="000873E7">
              <w:rPr>
                <w:rFonts w:ascii="Times New Roman" w:hAnsi="Times New Roman"/>
              </w:rPr>
              <w:t>Boston, Massachusetts</w:t>
            </w:r>
          </w:p>
        </w:tc>
        <w:tc>
          <w:tcPr>
            <w:tcW w:w="2735" w:type="dxa"/>
            <w:tcBorders>
              <w:top w:val="single" w:sz="4" w:space="0" w:color="000000"/>
              <w:left w:val="single" w:sz="4" w:space="0" w:color="auto"/>
              <w:bottom w:val="single" w:sz="4" w:space="0" w:color="auto"/>
              <w:right w:val="single" w:sz="4" w:space="0" w:color="auto"/>
            </w:tcBorders>
            <w:shd w:val="clear" w:color="auto" w:fill="C6D9F1"/>
            <w:tcMar>
              <w:left w:w="115" w:type="dxa"/>
              <w:right w:w="115" w:type="dxa"/>
            </w:tcMar>
            <w:vAlign w:val="center"/>
          </w:tcPr>
          <w:p w14:paraId="0A171EDD" w14:textId="77777777" w:rsidR="008F3B89" w:rsidRPr="000873E7" w:rsidRDefault="008F3B89" w:rsidP="006A2DE1">
            <w:pPr>
              <w:spacing w:before="40" w:after="40"/>
              <w:rPr>
                <w:b/>
                <w:color w:val="000000"/>
                <w:sz w:val="22"/>
                <w:szCs w:val="22"/>
              </w:rPr>
            </w:pPr>
            <w:r w:rsidRPr="000873E7">
              <w:rPr>
                <w:b/>
                <w:color w:val="000000"/>
                <w:sz w:val="22"/>
                <w:szCs w:val="22"/>
              </w:rPr>
              <w:t xml:space="preserve">Total SY </w:t>
            </w:r>
            <w:r>
              <w:rPr>
                <w:b/>
                <w:color w:val="000000"/>
              </w:rPr>
              <w:t>2016–17</w:t>
            </w:r>
            <w:r>
              <w:rPr>
                <w:b/>
                <w:color w:val="000000"/>
                <w:sz w:val="22"/>
                <w:szCs w:val="22"/>
              </w:rPr>
              <w:br/>
            </w:r>
            <w:r w:rsidRPr="000873E7">
              <w:rPr>
                <w:b/>
                <w:color w:val="000000"/>
                <w:sz w:val="22"/>
                <w:szCs w:val="22"/>
              </w:rPr>
              <w:t>Enrollment</w:t>
            </w:r>
          </w:p>
        </w:tc>
        <w:tc>
          <w:tcPr>
            <w:tcW w:w="1765" w:type="dxa"/>
            <w:gridSpan w:val="2"/>
            <w:tcBorders>
              <w:top w:val="single" w:sz="4" w:space="0" w:color="000000"/>
              <w:left w:val="single" w:sz="4" w:space="0" w:color="auto"/>
              <w:bottom w:val="single" w:sz="4" w:space="0" w:color="000000"/>
              <w:right w:val="single" w:sz="4" w:space="0" w:color="auto"/>
            </w:tcBorders>
            <w:shd w:val="clear" w:color="auto" w:fill="auto"/>
            <w:tcMar>
              <w:left w:w="115" w:type="dxa"/>
              <w:right w:w="115" w:type="dxa"/>
            </w:tcMar>
            <w:vAlign w:val="center"/>
          </w:tcPr>
          <w:p w14:paraId="0A171EDE" w14:textId="77777777" w:rsidR="008F3B89" w:rsidRPr="000873E7" w:rsidRDefault="008F3B89" w:rsidP="006A2DE1">
            <w:pPr>
              <w:spacing w:before="40" w:after="40"/>
              <w:rPr>
                <w:color w:val="000000"/>
                <w:sz w:val="22"/>
                <w:szCs w:val="22"/>
              </w:rPr>
            </w:pPr>
            <w:r>
              <w:t>809</w:t>
            </w:r>
          </w:p>
        </w:tc>
      </w:tr>
      <w:tr w:rsidR="008F3B89" w:rsidRPr="000873E7" w14:paraId="0A171EE4"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tcBorders>
              <w:top w:val="single" w:sz="4" w:space="0" w:color="auto"/>
              <w:left w:val="single" w:sz="4" w:space="0" w:color="auto"/>
              <w:right w:val="single" w:sz="4" w:space="0" w:color="auto"/>
            </w:tcBorders>
            <w:shd w:val="clear" w:color="auto" w:fill="C6D9F1"/>
            <w:tcMar>
              <w:left w:w="115" w:type="dxa"/>
              <w:right w:w="115" w:type="dxa"/>
            </w:tcMar>
            <w:vAlign w:val="center"/>
            <w:hideMark/>
          </w:tcPr>
          <w:p w14:paraId="0A171EE0" w14:textId="77777777" w:rsidR="008F3B89" w:rsidRDefault="008F3B89" w:rsidP="002A7E79">
            <w:pPr>
              <w:spacing w:before="40" w:after="40"/>
              <w:rPr>
                <w:rFonts w:eastAsia="Times New Roman"/>
                <w:b/>
              </w:rPr>
            </w:pPr>
            <w:r>
              <w:rPr>
                <w:rFonts w:eastAsia="Times New Roman"/>
                <w:b/>
              </w:rPr>
              <w:t>Current Status</w:t>
            </w:r>
          </w:p>
        </w:tc>
        <w:tc>
          <w:tcPr>
            <w:tcW w:w="2139" w:type="dxa"/>
            <w:gridSpan w:val="2"/>
            <w:tcBorders>
              <w:top w:val="nil"/>
              <w:left w:val="nil"/>
              <w:bottom w:val="single" w:sz="4" w:space="0" w:color="auto"/>
              <w:right w:val="single" w:sz="4" w:space="0" w:color="auto"/>
            </w:tcBorders>
            <w:shd w:val="clear" w:color="auto" w:fill="auto"/>
            <w:tcMar>
              <w:left w:w="115" w:type="dxa"/>
              <w:right w:w="115" w:type="dxa"/>
            </w:tcMar>
            <w:vAlign w:val="center"/>
            <w:hideMark/>
          </w:tcPr>
          <w:p w14:paraId="0A171EE1" w14:textId="77777777" w:rsidR="008F3B89" w:rsidRPr="000873E7" w:rsidRDefault="008F3B89" w:rsidP="00635C7A">
            <w:pPr>
              <w:spacing w:before="40" w:after="40"/>
              <w:rPr>
                <w:color w:val="000000"/>
                <w:sz w:val="22"/>
                <w:szCs w:val="22"/>
              </w:rPr>
            </w:pPr>
            <w:r w:rsidRPr="000873E7">
              <w:rPr>
                <w:color w:val="000000"/>
                <w:sz w:val="22"/>
                <w:szCs w:val="22"/>
              </w:rPr>
              <w:t>Level 5</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E2" w14:textId="77777777" w:rsidR="008F3B89" w:rsidRPr="000873E7" w:rsidRDefault="008F3B89" w:rsidP="00635C7A">
            <w:pPr>
              <w:spacing w:before="40" w:after="40"/>
              <w:rPr>
                <w:b/>
                <w:color w:val="000000"/>
                <w:sz w:val="22"/>
                <w:szCs w:val="22"/>
              </w:rPr>
            </w:pPr>
            <w:r>
              <w:rPr>
                <w:b/>
                <w:color w:val="000000"/>
                <w:sz w:val="22"/>
                <w:szCs w:val="22"/>
              </w:rPr>
              <w:t>Percentage Economically Disadvantaged</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E3" w14:textId="77777777" w:rsidR="008F3B89" w:rsidRPr="000873E7" w:rsidRDefault="008F3B89" w:rsidP="00635C7A">
            <w:pPr>
              <w:spacing w:before="40" w:after="40"/>
              <w:rPr>
                <w:color w:val="000000"/>
                <w:sz w:val="22"/>
                <w:szCs w:val="22"/>
              </w:rPr>
            </w:pPr>
            <w:r>
              <w:rPr>
                <w:color w:val="000000"/>
                <w:sz w:val="22"/>
                <w:szCs w:val="22"/>
              </w:rPr>
              <w:t>64%</w:t>
            </w:r>
          </w:p>
        </w:tc>
      </w:tr>
      <w:tr w:rsidR="0031481E" w:rsidRPr="000873E7" w14:paraId="0A171EE9"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val="restart"/>
            <w:tcBorders>
              <w:top w:val="single" w:sz="4" w:space="0" w:color="auto"/>
              <w:left w:val="single" w:sz="4" w:space="0" w:color="auto"/>
              <w:right w:val="single" w:sz="4" w:space="0" w:color="auto"/>
            </w:tcBorders>
            <w:shd w:val="clear" w:color="auto" w:fill="C6D9F1"/>
            <w:tcMar>
              <w:left w:w="115" w:type="dxa"/>
              <w:right w:w="115" w:type="dxa"/>
            </w:tcMar>
            <w:vAlign w:val="center"/>
          </w:tcPr>
          <w:p w14:paraId="0A171EE5" w14:textId="77777777" w:rsidR="0031481E" w:rsidRPr="00CF30C2" w:rsidRDefault="0031481E" w:rsidP="00CF30C2">
            <w:pPr>
              <w:spacing w:before="40" w:after="40"/>
              <w:rPr>
                <w:b/>
                <w:color w:val="000000"/>
                <w:sz w:val="22"/>
                <w:szCs w:val="22"/>
              </w:rPr>
            </w:pPr>
            <w:r w:rsidRPr="00CF30C2">
              <w:rPr>
                <w:b/>
                <w:color w:val="000000"/>
                <w:sz w:val="22"/>
                <w:szCs w:val="22"/>
              </w:rPr>
              <w:t>Receiver Name</w:t>
            </w:r>
          </w:p>
        </w:tc>
        <w:tc>
          <w:tcPr>
            <w:tcW w:w="2139" w:type="dxa"/>
            <w:gridSpan w:val="2"/>
            <w:vMerge w:val="restart"/>
            <w:tcBorders>
              <w:top w:val="nil"/>
              <w:left w:val="nil"/>
              <w:right w:val="single" w:sz="4" w:space="0" w:color="auto"/>
            </w:tcBorders>
            <w:shd w:val="clear" w:color="auto" w:fill="auto"/>
            <w:tcMar>
              <w:left w:w="115" w:type="dxa"/>
              <w:right w:w="115" w:type="dxa"/>
            </w:tcMar>
            <w:vAlign w:val="center"/>
          </w:tcPr>
          <w:p w14:paraId="0A171EE6" w14:textId="77777777" w:rsidR="0031481E" w:rsidRPr="000873E7" w:rsidRDefault="0031481E" w:rsidP="0031481E">
            <w:pPr>
              <w:spacing w:before="40" w:after="40"/>
              <w:rPr>
                <w:color w:val="000000"/>
                <w:sz w:val="22"/>
                <w:szCs w:val="22"/>
              </w:rPr>
            </w:pPr>
            <w:r>
              <w:t>UP Education Network</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E7" w14:textId="77777777" w:rsidR="0031481E" w:rsidRPr="000873E7" w:rsidRDefault="0031481E" w:rsidP="00635C7A">
            <w:pPr>
              <w:spacing w:before="40" w:after="40"/>
              <w:rPr>
                <w:b/>
                <w:color w:val="000000"/>
                <w:sz w:val="22"/>
                <w:szCs w:val="22"/>
              </w:rPr>
            </w:pPr>
            <w:r>
              <w:rPr>
                <w:b/>
                <w:color w:val="000000"/>
                <w:sz w:val="22"/>
                <w:szCs w:val="22"/>
              </w:rPr>
              <w:t>Percentage High Needs</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E8" w14:textId="77777777" w:rsidR="0031481E" w:rsidRDefault="0031481E" w:rsidP="00635C7A">
            <w:pPr>
              <w:spacing w:before="40" w:after="40"/>
              <w:rPr>
                <w:sz w:val="22"/>
                <w:szCs w:val="22"/>
              </w:rPr>
            </w:pPr>
            <w:r>
              <w:rPr>
                <w:sz w:val="22"/>
                <w:szCs w:val="22"/>
              </w:rPr>
              <w:t>82%</w:t>
            </w:r>
          </w:p>
        </w:tc>
      </w:tr>
      <w:tr w:rsidR="0031481E" w:rsidRPr="000873E7" w14:paraId="0A171EEE"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tcBorders>
              <w:left w:val="single" w:sz="4" w:space="0" w:color="auto"/>
              <w:right w:val="single" w:sz="4" w:space="0" w:color="auto"/>
            </w:tcBorders>
            <w:shd w:val="clear" w:color="auto" w:fill="C6D9F1"/>
            <w:tcMar>
              <w:left w:w="115" w:type="dxa"/>
              <w:right w:w="115" w:type="dxa"/>
            </w:tcMar>
            <w:vAlign w:val="center"/>
            <w:hideMark/>
          </w:tcPr>
          <w:p w14:paraId="0A171EEA" w14:textId="77777777" w:rsidR="0031481E" w:rsidRPr="00CF30C2" w:rsidRDefault="0031481E" w:rsidP="00CF30C2">
            <w:pPr>
              <w:spacing w:before="40" w:after="40"/>
              <w:rPr>
                <w:b/>
                <w:color w:val="000000"/>
                <w:sz w:val="22"/>
                <w:szCs w:val="22"/>
              </w:rPr>
            </w:pPr>
          </w:p>
        </w:tc>
        <w:tc>
          <w:tcPr>
            <w:tcW w:w="2139" w:type="dxa"/>
            <w:gridSpan w:val="2"/>
            <w:vMerge/>
            <w:tcBorders>
              <w:left w:val="nil"/>
              <w:bottom w:val="single" w:sz="4" w:space="0" w:color="auto"/>
              <w:right w:val="single" w:sz="4" w:space="0" w:color="auto"/>
            </w:tcBorders>
            <w:shd w:val="clear" w:color="auto" w:fill="auto"/>
            <w:tcMar>
              <w:left w:w="115" w:type="dxa"/>
              <w:right w:w="115" w:type="dxa"/>
            </w:tcMar>
            <w:vAlign w:val="center"/>
            <w:hideMark/>
          </w:tcPr>
          <w:p w14:paraId="0A171EEB" w14:textId="77777777" w:rsidR="0031481E" w:rsidRPr="000873E7" w:rsidRDefault="0031481E" w:rsidP="0031481E">
            <w:pPr>
              <w:spacing w:before="40" w:after="40"/>
              <w:rPr>
                <w:color w:val="000000"/>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EC" w14:textId="77777777" w:rsidR="0031481E" w:rsidRPr="000873E7" w:rsidRDefault="0031481E" w:rsidP="0031481E">
            <w:pPr>
              <w:spacing w:before="40" w:after="40"/>
              <w:rPr>
                <w:b/>
                <w:color w:val="000000"/>
                <w:sz w:val="22"/>
                <w:szCs w:val="22"/>
              </w:rPr>
            </w:pPr>
            <w:r w:rsidRPr="000873E7">
              <w:rPr>
                <w:b/>
                <w:color w:val="000000"/>
                <w:sz w:val="22"/>
                <w:szCs w:val="22"/>
              </w:rPr>
              <w:t>Percentage SWDs</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ED" w14:textId="77777777" w:rsidR="0031481E" w:rsidRPr="000873E7" w:rsidRDefault="0031481E" w:rsidP="0031481E">
            <w:pPr>
              <w:spacing w:before="40" w:after="40"/>
              <w:rPr>
                <w:color w:val="000000"/>
                <w:sz w:val="22"/>
                <w:szCs w:val="22"/>
              </w:rPr>
            </w:pPr>
            <w:r>
              <w:rPr>
                <w:sz w:val="22"/>
                <w:szCs w:val="22"/>
              </w:rPr>
              <w:t>15%</w:t>
            </w:r>
          </w:p>
        </w:tc>
      </w:tr>
      <w:tr w:rsidR="0031481E" w:rsidRPr="000873E7" w14:paraId="0A171EF3"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val="restart"/>
            <w:tcBorders>
              <w:top w:val="single" w:sz="4" w:space="0" w:color="auto"/>
              <w:left w:val="single" w:sz="4" w:space="0" w:color="auto"/>
              <w:right w:val="single" w:sz="4" w:space="0" w:color="auto"/>
            </w:tcBorders>
            <w:shd w:val="clear" w:color="auto" w:fill="C6D9F1"/>
            <w:tcMar>
              <w:left w:w="115" w:type="dxa"/>
              <w:right w:w="115" w:type="dxa"/>
            </w:tcMar>
            <w:vAlign w:val="center"/>
          </w:tcPr>
          <w:p w14:paraId="0A171EEF" w14:textId="77777777" w:rsidR="0031481E" w:rsidRPr="00CF30C2" w:rsidRDefault="0031481E" w:rsidP="00CF30C2">
            <w:pPr>
              <w:spacing w:before="40" w:after="40"/>
              <w:rPr>
                <w:b/>
                <w:color w:val="000000"/>
                <w:sz w:val="22"/>
                <w:szCs w:val="22"/>
              </w:rPr>
            </w:pPr>
            <w:r w:rsidRPr="00CF30C2">
              <w:rPr>
                <w:b/>
                <w:color w:val="000000"/>
                <w:sz w:val="22"/>
                <w:szCs w:val="22"/>
              </w:rPr>
              <w:t>Year Designated Level 5</w:t>
            </w:r>
          </w:p>
        </w:tc>
        <w:tc>
          <w:tcPr>
            <w:tcW w:w="2139" w:type="dxa"/>
            <w:gridSpan w:val="2"/>
            <w:vMerge w:val="restart"/>
            <w:tcBorders>
              <w:top w:val="nil"/>
              <w:left w:val="nil"/>
              <w:right w:val="single" w:sz="4" w:space="0" w:color="auto"/>
            </w:tcBorders>
            <w:shd w:val="clear" w:color="auto" w:fill="auto"/>
            <w:tcMar>
              <w:left w:w="115" w:type="dxa"/>
              <w:right w:w="115" w:type="dxa"/>
            </w:tcMar>
            <w:vAlign w:val="center"/>
          </w:tcPr>
          <w:p w14:paraId="0A171EF0" w14:textId="77777777" w:rsidR="0031481E" w:rsidRDefault="0031481E" w:rsidP="0031481E">
            <w:pPr>
              <w:spacing w:before="40" w:after="40"/>
            </w:pPr>
            <w:r>
              <w:t>2013</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F1" w14:textId="77777777" w:rsidR="0031481E" w:rsidRPr="000873E7" w:rsidRDefault="0031481E" w:rsidP="0031481E">
            <w:pPr>
              <w:spacing w:before="40" w:after="40"/>
              <w:rPr>
                <w:b/>
                <w:color w:val="000000"/>
                <w:sz w:val="22"/>
                <w:szCs w:val="22"/>
              </w:rPr>
            </w:pPr>
            <w:r w:rsidRPr="000873E7">
              <w:rPr>
                <w:b/>
                <w:color w:val="000000"/>
                <w:sz w:val="22"/>
                <w:szCs w:val="22"/>
              </w:rPr>
              <w:t>Percentage ELLs</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F2" w14:textId="77777777" w:rsidR="0031481E" w:rsidRDefault="0031481E" w:rsidP="0031481E">
            <w:pPr>
              <w:spacing w:before="40" w:after="40"/>
              <w:rPr>
                <w:sz w:val="22"/>
                <w:szCs w:val="22"/>
              </w:rPr>
            </w:pPr>
            <w:r>
              <w:rPr>
                <w:sz w:val="22"/>
                <w:szCs w:val="22"/>
              </w:rPr>
              <w:t>37%</w:t>
            </w:r>
          </w:p>
        </w:tc>
      </w:tr>
      <w:tr w:rsidR="0031481E" w:rsidRPr="000873E7" w14:paraId="0A171EF8"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tcBorders>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0A171EF4" w14:textId="77777777" w:rsidR="0031481E" w:rsidRPr="00CF30C2" w:rsidRDefault="0031481E" w:rsidP="00CF30C2">
            <w:pPr>
              <w:spacing w:before="40" w:after="40"/>
              <w:rPr>
                <w:b/>
                <w:color w:val="000000"/>
                <w:sz w:val="22"/>
                <w:szCs w:val="22"/>
              </w:rPr>
            </w:pPr>
          </w:p>
        </w:tc>
        <w:tc>
          <w:tcPr>
            <w:tcW w:w="2139" w:type="dxa"/>
            <w:gridSpan w:val="2"/>
            <w:vMerge/>
            <w:tcBorders>
              <w:left w:val="nil"/>
              <w:bottom w:val="single" w:sz="4" w:space="0" w:color="auto"/>
              <w:right w:val="single" w:sz="4" w:space="0" w:color="auto"/>
            </w:tcBorders>
            <w:shd w:val="clear" w:color="auto" w:fill="auto"/>
            <w:tcMar>
              <w:left w:w="115" w:type="dxa"/>
              <w:right w:w="115" w:type="dxa"/>
            </w:tcMar>
            <w:vAlign w:val="center"/>
            <w:hideMark/>
          </w:tcPr>
          <w:p w14:paraId="0A171EF5" w14:textId="77777777" w:rsidR="0031481E" w:rsidRPr="000873E7" w:rsidRDefault="0031481E" w:rsidP="0031481E">
            <w:pPr>
              <w:spacing w:before="40" w:after="40"/>
              <w:rPr>
                <w:color w:val="000000"/>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F6" w14:textId="77777777" w:rsidR="0031481E" w:rsidRPr="000873E7" w:rsidRDefault="0031481E" w:rsidP="0031481E">
            <w:pPr>
              <w:spacing w:before="40" w:after="40"/>
              <w:rPr>
                <w:b/>
                <w:color w:val="000000"/>
                <w:sz w:val="22"/>
                <w:szCs w:val="22"/>
              </w:rPr>
            </w:pPr>
            <w:r w:rsidRPr="000873E7">
              <w:rPr>
                <w:b/>
                <w:color w:val="000000"/>
                <w:sz w:val="22"/>
                <w:szCs w:val="22"/>
              </w:rPr>
              <w:t xml:space="preserve">Percentage Black </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F7" w14:textId="77777777" w:rsidR="0031481E" w:rsidRPr="000873E7" w:rsidRDefault="0031481E" w:rsidP="0031481E">
            <w:pPr>
              <w:spacing w:before="40" w:after="40"/>
              <w:rPr>
                <w:color w:val="000000"/>
                <w:sz w:val="22"/>
                <w:szCs w:val="22"/>
              </w:rPr>
            </w:pPr>
            <w:r>
              <w:rPr>
                <w:sz w:val="22"/>
                <w:szCs w:val="22"/>
              </w:rPr>
              <w:t>42%</w:t>
            </w:r>
          </w:p>
        </w:tc>
      </w:tr>
      <w:tr w:rsidR="0031481E" w:rsidRPr="000873E7" w14:paraId="0A171EFD"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0A171EF9" w14:textId="77777777" w:rsidR="0031481E" w:rsidRPr="00CF30C2" w:rsidRDefault="0031481E" w:rsidP="00CF30C2">
            <w:pPr>
              <w:spacing w:before="40" w:after="40"/>
              <w:rPr>
                <w:b/>
                <w:color w:val="000000"/>
                <w:sz w:val="22"/>
                <w:szCs w:val="22"/>
              </w:rPr>
            </w:pPr>
            <w:r w:rsidRPr="00CF30C2">
              <w:rPr>
                <w:b/>
                <w:color w:val="000000"/>
                <w:sz w:val="22"/>
                <w:szCs w:val="22"/>
              </w:rPr>
              <w:t>Year Designated Level 4</w:t>
            </w:r>
          </w:p>
        </w:tc>
        <w:tc>
          <w:tcPr>
            <w:tcW w:w="2139" w:type="dxa"/>
            <w:gridSpan w:val="2"/>
            <w:tcBorders>
              <w:top w:val="nil"/>
              <w:left w:val="nil"/>
              <w:bottom w:val="single" w:sz="4" w:space="0" w:color="auto"/>
              <w:right w:val="single" w:sz="4" w:space="0" w:color="auto"/>
            </w:tcBorders>
            <w:shd w:val="clear" w:color="auto" w:fill="auto"/>
            <w:tcMar>
              <w:left w:w="115" w:type="dxa"/>
              <w:right w:w="115" w:type="dxa"/>
            </w:tcMar>
            <w:vAlign w:val="center"/>
            <w:hideMark/>
          </w:tcPr>
          <w:p w14:paraId="0A171EFA" w14:textId="77777777" w:rsidR="0031481E" w:rsidRPr="000873E7" w:rsidRDefault="0031481E" w:rsidP="0031481E">
            <w:pPr>
              <w:spacing w:before="40" w:after="40"/>
              <w:rPr>
                <w:color w:val="000000"/>
                <w:sz w:val="22"/>
                <w:szCs w:val="22"/>
              </w:rPr>
            </w:pPr>
            <w:r>
              <w:t>2010</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EFB" w14:textId="77777777" w:rsidR="0031481E" w:rsidRPr="000873E7" w:rsidRDefault="0031481E" w:rsidP="0031481E">
            <w:pPr>
              <w:spacing w:before="40" w:after="40"/>
              <w:rPr>
                <w:b/>
                <w:color w:val="000000"/>
                <w:sz w:val="22"/>
                <w:szCs w:val="22"/>
              </w:rPr>
            </w:pPr>
            <w:r>
              <w:rPr>
                <w:b/>
                <w:color w:val="000000"/>
                <w:sz w:val="22"/>
                <w:szCs w:val="22"/>
              </w:rPr>
              <w:t>Percentage</w:t>
            </w:r>
            <w:r>
              <w:rPr>
                <w:b/>
                <w:color w:val="000000"/>
                <w:sz w:val="22"/>
                <w:szCs w:val="22"/>
              </w:rPr>
              <w:br/>
            </w:r>
            <w:r w:rsidRPr="000873E7">
              <w:rPr>
                <w:b/>
                <w:color w:val="000000"/>
                <w:sz w:val="22"/>
                <w:szCs w:val="22"/>
              </w:rPr>
              <w:t>Latino/Hispanic</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EFC" w14:textId="77777777" w:rsidR="0031481E" w:rsidRPr="000873E7" w:rsidRDefault="0031481E" w:rsidP="0031481E">
            <w:pPr>
              <w:spacing w:before="40" w:after="40"/>
              <w:rPr>
                <w:color w:val="000000"/>
                <w:sz w:val="22"/>
                <w:szCs w:val="22"/>
              </w:rPr>
            </w:pPr>
            <w:r>
              <w:rPr>
                <w:sz w:val="22"/>
                <w:szCs w:val="22"/>
              </w:rPr>
              <w:t>41%</w:t>
            </w:r>
          </w:p>
        </w:tc>
      </w:tr>
      <w:tr w:rsidR="0031481E" w:rsidRPr="000873E7" w14:paraId="0A171F02"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hideMark/>
          </w:tcPr>
          <w:p w14:paraId="0A171EFE" w14:textId="77777777" w:rsidR="0031481E" w:rsidRPr="00CF30C2" w:rsidRDefault="0031481E" w:rsidP="00CF30C2">
            <w:pPr>
              <w:spacing w:before="40" w:after="40"/>
              <w:rPr>
                <w:b/>
                <w:color w:val="000000"/>
                <w:sz w:val="22"/>
                <w:szCs w:val="22"/>
              </w:rPr>
            </w:pPr>
            <w:r w:rsidRPr="00CF30C2">
              <w:rPr>
                <w:b/>
                <w:color w:val="000000"/>
                <w:sz w:val="22"/>
                <w:szCs w:val="22"/>
              </w:rPr>
              <w:t>Grade Span</w:t>
            </w:r>
          </w:p>
        </w:tc>
        <w:tc>
          <w:tcPr>
            <w:tcW w:w="2139" w:type="dxa"/>
            <w:gridSpan w:val="2"/>
            <w:tcBorders>
              <w:top w:val="nil"/>
              <w:left w:val="nil"/>
              <w:bottom w:val="single" w:sz="4" w:space="0" w:color="auto"/>
              <w:right w:val="single" w:sz="4" w:space="0" w:color="auto"/>
            </w:tcBorders>
            <w:shd w:val="clear" w:color="auto" w:fill="auto"/>
            <w:tcMar>
              <w:left w:w="115" w:type="dxa"/>
              <w:right w:w="115" w:type="dxa"/>
            </w:tcMar>
            <w:vAlign w:val="center"/>
            <w:hideMark/>
          </w:tcPr>
          <w:p w14:paraId="0A171EFF" w14:textId="77777777" w:rsidR="0031481E" w:rsidRPr="000873E7" w:rsidRDefault="0031481E" w:rsidP="0031481E">
            <w:pPr>
              <w:spacing w:before="40" w:after="40"/>
              <w:rPr>
                <w:color w:val="000000"/>
                <w:sz w:val="22"/>
                <w:szCs w:val="22"/>
              </w:rPr>
            </w:pPr>
            <w:r>
              <w:t>PK–5</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F00" w14:textId="77777777" w:rsidR="0031481E" w:rsidRPr="000873E7" w:rsidRDefault="0031481E" w:rsidP="0031481E">
            <w:pPr>
              <w:spacing w:before="40" w:after="40"/>
              <w:rPr>
                <w:b/>
                <w:color w:val="000000"/>
                <w:sz w:val="22"/>
                <w:szCs w:val="22"/>
              </w:rPr>
            </w:pPr>
            <w:r w:rsidRPr="000873E7">
              <w:rPr>
                <w:b/>
                <w:color w:val="000000"/>
                <w:sz w:val="22"/>
                <w:szCs w:val="22"/>
              </w:rPr>
              <w:t>Percentage Asian</w:t>
            </w:r>
          </w:p>
        </w:tc>
        <w:tc>
          <w:tcPr>
            <w:tcW w:w="1765" w:type="dxa"/>
            <w:gridSpan w:val="2"/>
            <w:tcBorders>
              <w:top w:val="nil"/>
              <w:left w:val="single" w:sz="4" w:space="0" w:color="auto"/>
              <w:bottom w:val="single" w:sz="4" w:space="0" w:color="000000"/>
              <w:right w:val="single" w:sz="4" w:space="0" w:color="auto"/>
            </w:tcBorders>
            <w:shd w:val="clear" w:color="auto" w:fill="auto"/>
            <w:tcMar>
              <w:left w:w="115" w:type="dxa"/>
              <w:right w:w="115" w:type="dxa"/>
            </w:tcMar>
            <w:vAlign w:val="center"/>
          </w:tcPr>
          <w:p w14:paraId="0A171F01" w14:textId="77777777" w:rsidR="0031481E" w:rsidRPr="000873E7" w:rsidRDefault="0031481E" w:rsidP="0031481E">
            <w:pPr>
              <w:spacing w:before="40" w:after="40"/>
              <w:rPr>
                <w:color w:val="000000"/>
                <w:sz w:val="22"/>
                <w:szCs w:val="22"/>
              </w:rPr>
            </w:pPr>
            <w:r>
              <w:rPr>
                <w:sz w:val="22"/>
                <w:szCs w:val="22"/>
              </w:rPr>
              <w:t>4%</w:t>
            </w:r>
          </w:p>
        </w:tc>
      </w:tr>
      <w:tr w:rsidR="0031481E" w:rsidRPr="000873E7" w14:paraId="0A171F07"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val="restart"/>
            <w:tcBorders>
              <w:top w:val="single" w:sz="4" w:space="0" w:color="auto"/>
              <w:left w:val="single" w:sz="4" w:space="0" w:color="auto"/>
              <w:right w:val="single" w:sz="4" w:space="0" w:color="auto"/>
            </w:tcBorders>
            <w:shd w:val="clear" w:color="auto" w:fill="C6D9F1"/>
            <w:tcMar>
              <w:left w:w="115" w:type="dxa"/>
              <w:right w:w="115" w:type="dxa"/>
            </w:tcMar>
            <w:vAlign w:val="center"/>
          </w:tcPr>
          <w:p w14:paraId="0A171F03" w14:textId="77777777" w:rsidR="0031481E" w:rsidRPr="00CF30C2" w:rsidRDefault="0031481E" w:rsidP="00CF30C2">
            <w:pPr>
              <w:spacing w:before="40" w:after="40"/>
              <w:rPr>
                <w:b/>
                <w:color w:val="000000"/>
                <w:sz w:val="22"/>
                <w:szCs w:val="22"/>
              </w:rPr>
            </w:pPr>
            <w:r w:rsidRPr="00CF30C2">
              <w:rPr>
                <w:b/>
                <w:color w:val="000000"/>
                <w:sz w:val="22"/>
                <w:szCs w:val="22"/>
              </w:rPr>
              <w:t>Number of Full-Time Staff in SY 2016–17</w:t>
            </w:r>
          </w:p>
        </w:tc>
        <w:tc>
          <w:tcPr>
            <w:tcW w:w="2139" w:type="dxa"/>
            <w:gridSpan w:val="2"/>
            <w:vMerge w:val="restart"/>
            <w:tcBorders>
              <w:top w:val="nil"/>
              <w:left w:val="nil"/>
              <w:right w:val="single" w:sz="4" w:space="0" w:color="auto"/>
            </w:tcBorders>
            <w:shd w:val="clear" w:color="auto" w:fill="auto"/>
            <w:tcMar>
              <w:left w:w="115" w:type="dxa"/>
              <w:right w:w="115" w:type="dxa"/>
            </w:tcMar>
            <w:vAlign w:val="center"/>
          </w:tcPr>
          <w:p w14:paraId="0A171F04" w14:textId="77777777" w:rsidR="0031481E" w:rsidRPr="000873E7" w:rsidRDefault="0031481E" w:rsidP="0031481E">
            <w:pPr>
              <w:spacing w:before="40" w:after="40"/>
              <w:rPr>
                <w:noProof/>
                <w:sz w:val="22"/>
                <w:szCs w:val="22"/>
              </w:rPr>
            </w:pPr>
            <w:r>
              <w:t>86</w:t>
            </w: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F05" w14:textId="77777777" w:rsidR="0031481E" w:rsidRPr="000873E7" w:rsidRDefault="0031481E" w:rsidP="0031481E">
            <w:pPr>
              <w:spacing w:before="40" w:after="40"/>
              <w:rPr>
                <w:b/>
                <w:color w:val="000000"/>
                <w:sz w:val="22"/>
                <w:szCs w:val="22"/>
              </w:rPr>
            </w:pPr>
            <w:r w:rsidRPr="000873E7">
              <w:rPr>
                <w:b/>
                <w:color w:val="000000"/>
                <w:sz w:val="22"/>
                <w:szCs w:val="22"/>
              </w:rPr>
              <w:t>Percentage White</w:t>
            </w:r>
          </w:p>
        </w:tc>
        <w:tc>
          <w:tcPr>
            <w:tcW w:w="1765" w:type="dxa"/>
            <w:gridSpan w:val="2"/>
            <w:tcBorders>
              <w:top w:val="single" w:sz="4" w:space="0" w:color="000000"/>
              <w:left w:val="single" w:sz="4" w:space="0" w:color="auto"/>
              <w:bottom w:val="single" w:sz="4" w:space="0" w:color="auto"/>
              <w:right w:val="single" w:sz="4" w:space="0" w:color="auto"/>
            </w:tcBorders>
            <w:tcMar>
              <w:left w:w="115" w:type="dxa"/>
              <w:right w:w="115" w:type="dxa"/>
            </w:tcMar>
            <w:vAlign w:val="center"/>
          </w:tcPr>
          <w:p w14:paraId="0A171F06" w14:textId="77777777" w:rsidR="0031481E" w:rsidRPr="000873E7" w:rsidRDefault="0031481E" w:rsidP="0031481E">
            <w:pPr>
              <w:spacing w:before="40" w:after="40"/>
              <w:rPr>
                <w:color w:val="000000"/>
                <w:sz w:val="22"/>
                <w:szCs w:val="22"/>
              </w:rPr>
            </w:pPr>
            <w:r>
              <w:rPr>
                <w:sz w:val="22"/>
                <w:szCs w:val="22"/>
              </w:rPr>
              <w:t>4%</w:t>
            </w:r>
          </w:p>
        </w:tc>
      </w:tr>
      <w:tr w:rsidR="0031481E" w:rsidRPr="000873E7" w14:paraId="0A171F0C" w14:textId="77777777" w:rsidTr="008F3B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45" w:type="dxa"/>
        </w:trPr>
        <w:tc>
          <w:tcPr>
            <w:tcW w:w="2811" w:type="dxa"/>
            <w:vMerge/>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F08" w14:textId="77777777" w:rsidR="0031481E" w:rsidRPr="009643EF" w:rsidRDefault="0031481E" w:rsidP="0031481E">
            <w:pPr>
              <w:spacing w:before="40" w:after="40"/>
              <w:rPr>
                <w:color w:val="000000"/>
                <w:sz w:val="22"/>
                <w:szCs w:val="22"/>
              </w:rPr>
            </w:pPr>
          </w:p>
        </w:tc>
        <w:tc>
          <w:tcPr>
            <w:tcW w:w="2139" w:type="dxa"/>
            <w:gridSpan w:val="2"/>
            <w:vMerge/>
            <w:tcBorders>
              <w:left w:val="nil"/>
              <w:bottom w:val="single" w:sz="4" w:space="0" w:color="auto"/>
              <w:right w:val="single" w:sz="4" w:space="0" w:color="auto"/>
            </w:tcBorders>
            <w:shd w:val="clear" w:color="auto" w:fill="auto"/>
            <w:tcMar>
              <w:left w:w="115" w:type="dxa"/>
              <w:right w:w="115" w:type="dxa"/>
            </w:tcMar>
            <w:vAlign w:val="center"/>
          </w:tcPr>
          <w:p w14:paraId="0A171F09" w14:textId="77777777" w:rsidR="0031481E" w:rsidRPr="000873E7" w:rsidRDefault="0031481E" w:rsidP="0031481E">
            <w:pPr>
              <w:spacing w:before="40" w:after="40"/>
              <w:jc w:val="center"/>
              <w:rPr>
                <w:noProof/>
                <w:sz w:val="22"/>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C6D9F1"/>
            <w:tcMar>
              <w:left w:w="115" w:type="dxa"/>
              <w:right w:w="115" w:type="dxa"/>
            </w:tcMar>
            <w:vAlign w:val="center"/>
          </w:tcPr>
          <w:p w14:paraId="0A171F0A" w14:textId="77777777" w:rsidR="0031481E" w:rsidRPr="000873E7" w:rsidRDefault="0031481E" w:rsidP="0031481E">
            <w:pPr>
              <w:spacing w:before="40" w:after="40"/>
              <w:rPr>
                <w:b/>
                <w:color w:val="000000"/>
                <w:sz w:val="22"/>
                <w:szCs w:val="22"/>
              </w:rPr>
            </w:pPr>
            <w:r w:rsidRPr="000873E7">
              <w:rPr>
                <w:b/>
                <w:color w:val="000000"/>
                <w:sz w:val="22"/>
                <w:szCs w:val="22"/>
              </w:rPr>
              <w:t>Percentage Multirace</w:t>
            </w:r>
          </w:p>
        </w:tc>
        <w:tc>
          <w:tcPr>
            <w:tcW w:w="1765"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A171F0B" w14:textId="77777777" w:rsidR="0031481E" w:rsidRPr="000873E7" w:rsidRDefault="0031481E" w:rsidP="0031481E">
            <w:pPr>
              <w:spacing w:before="40" w:after="40"/>
              <w:rPr>
                <w:color w:val="000000"/>
                <w:sz w:val="22"/>
                <w:szCs w:val="22"/>
              </w:rPr>
            </w:pPr>
            <w:r>
              <w:rPr>
                <w:sz w:val="22"/>
                <w:szCs w:val="22"/>
              </w:rPr>
              <w:t>9%</w:t>
            </w:r>
          </w:p>
        </w:tc>
      </w:tr>
      <w:tr w:rsidR="0031481E" w14:paraId="0A171F0E" w14:textId="77777777" w:rsidTr="008F3B89">
        <w:trPr>
          <w:gridAfter w:val="1"/>
          <w:wAfter w:w="67" w:type="dxa"/>
          <w:trHeight w:val="241"/>
          <w:jc w:val="center"/>
        </w:trPr>
        <w:tc>
          <w:tcPr>
            <w:tcW w:w="9428" w:type="dxa"/>
            <w:gridSpan w:val="6"/>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14:paraId="0A171F0D" w14:textId="77777777" w:rsidR="0031481E" w:rsidRPr="00CF30C2" w:rsidRDefault="0031481E" w:rsidP="00CF30C2">
            <w:pPr>
              <w:pStyle w:val="Body"/>
              <w:jc w:val="center"/>
              <w:rPr>
                <w:b/>
                <w:bCs/>
                <w:sz w:val="22"/>
                <w:szCs w:val="22"/>
              </w:rPr>
            </w:pPr>
            <w:r>
              <w:rPr>
                <w:b/>
                <w:bCs/>
                <w:sz w:val="22"/>
                <w:szCs w:val="22"/>
              </w:rPr>
              <w:t>Priority Areas</w:t>
            </w:r>
          </w:p>
        </w:tc>
      </w:tr>
      <w:tr w:rsidR="0031481E" w14:paraId="0A171F14" w14:textId="77777777" w:rsidTr="008F3B89">
        <w:trPr>
          <w:gridAfter w:val="1"/>
          <w:wAfter w:w="67" w:type="dxa"/>
          <w:trHeight w:val="3420"/>
          <w:jc w:val="center"/>
        </w:trPr>
        <w:tc>
          <w:tcPr>
            <w:tcW w:w="942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71F0F" w14:textId="77777777" w:rsidR="0031481E" w:rsidRDefault="0031481E" w:rsidP="0031481E">
            <w:pPr>
              <w:pStyle w:val="TableText"/>
              <w:rPr>
                <w:sz w:val="24"/>
                <w:szCs w:val="24"/>
              </w:rPr>
            </w:pPr>
            <w:r>
              <w:rPr>
                <w:b/>
                <w:bCs/>
                <w:sz w:val="24"/>
                <w:szCs w:val="24"/>
              </w:rPr>
              <w:t>Priority Area 1:</w:t>
            </w:r>
            <w:r>
              <w:rPr>
                <w:sz w:val="24"/>
                <w:szCs w:val="24"/>
              </w:rPr>
              <w:t xml:space="preserve"> Transform the culture of the school into a culture of urgency, high expectations, accountability, excellence, and achievement.</w:t>
            </w:r>
          </w:p>
          <w:p w14:paraId="0A171F10" w14:textId="77777777" w:rsidR="0031481E" w:rsidRDefault="0031481E" w:rsidP="0031481E">
            <w:pPr>
              <w:pStyle w:val="TableText"/>
              <w:rPr>
                <w:sz w:val="24"/>
                <w:szCs w:val="24"/>
              </w:rPr>
            </w:pPr>
            <w:r>
              <w:rPr>
                <w:b/>
                <w:bCs/>
                <w:sz w:val="24"/>
                <w:szCs w:val="24"/>
              </w:rPr>
              <w:t>Priority Area 2:</w:t>
            </w:r>
            <w:r>
              <w:rPr>
                <w:sz w:val="24"/>
                <w:szCs w:val="24"/>
              </w:rPr>
              <w:t xml:space="preserve"> Enhance the rigor of the curricula, improve the effectiveness of instruction, and strengthen the utilization of assessment data.</w:t>
            </w:r>
          </w:p>
          <w:p w14:paraId="0A171F11" w14:textId="77777777" w:rsidR="0031481E" w:rsidRDefault="0031481E" w:rsidP="0031481E">
            <w:pPr>
              <w:pStyle w:val="TableText"/>
              <w:rPr>
                <w:sz w:val="24"/>
                <w:szCs w:val="24"/>
              </w:rPr>
            </w:pPr>
            <w:r>
              <w:rPr>
                <w:b/>
                <w:bCs/>
                <w:sz w:val="24"/>
                <w:szCs w:val="24"/>
              </w:rPr>
              <w:t>Priority Area 3:</w:t>
            </w:r>
            <w:r>
              <w:rPr>
                <w:sz w:val="24"/>
                <w:szCs w:val="24"/>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0A171F12" w14:textId="77777777" w:rsidR="0031481E" w:rsidRDefault="0031481E" w:rsidP="0031481E">
            <w:pPr>
              <w:pStyle w:val="TableText"/>
              <w:rPr>
                <w:sz w:val="24"/>
                <w:szCs w:val="24"/>
              </w:rPr>
            </w:pPr>
            <w:r>
              <w:rPr>
                <w:b/>
                <w:bCs/>
                <w:sz w:val="24"/>
                <w:szCs w:val="24"/>
              </w:rPr>
              <w:t>Priority Area 4:</w:t>
            </w:r>
            <w:r>
              <w:rPr>
                <w:sz w:val="24"/>
                <w:szCs w:val="24"/>
              </w:rPr>
              <w:t xml:space="preserve"> Recruit and hire extraordinary leaders, teachers, and support staff, and build and utilize systems to evaluate, develop, promote, reward, and retain this staff over the long term.</w:t>
            </w:r>
          </w:p>
          <w:p w14:paraId="0A171F13" w14:textId="77777777" w:rsidR="0031481E" w:rsidRDefault="0031481E" w:rsidP="0031481E">
            <w:pPr>
              <w:pStyle w:val="Body"/>
              <w:spacing w:before="40" w:after="40"/>
            </w:pPr>
            <w:r>
              <w:rPr>
                <w:b/>
                <w:bCs/>
              </w:rPr>
              <w:t>Priority Area 5:</w:t>
            </w:r>
            <w:r>
              <w:t xml:space="preserve"> Fully engage all of the school’s families in the learning of their children.</w:t>
            </w:r>
          </w:p>
        </w:tc>
      </w:tr>
    </w:tbl>
    <w:p w14:paraId="0A171F15" w14:textId="77777777" w:rsidR="00B57FF3" w:rsidRDefault="003246FB">
      <w:pPr>
        <w:pStyle w:val="TableNoteSecond"/>
        <w:spacing w:before="120"/>
      </w:pPr>
      <w:r>
        <w:rPr>
          <w:vertAlign w:val="superscript"/>
        </w:rPr>
        <w:t>a</w:t>
      </w:r>
      <w:r>
        <w:t xml:space="preserve"> Student demographic data, including percentages of students with disabilities (SWDs) and English language learners (ELLs) is from the 2015–16 school year </w:t>
      </w:r>
      <w:r w:rsidR="00B63241">
        <w:rPr>
          <w:rFonts w:eastAsia="Times New Roman" w:cs="Times New Roman"/>
        </w:rPr>
        <w:t xml:space="preserve">(SY 2015–16) </w:t>
      </w:r>
      <w:r>
        <w:t xml:space="preserve">due to the movement of students at the start of the school year. These data will be updated to reflect the 2016–17 school year </w:t>
      </w:r>
      <w:r w:rsidR="009A7588">
        <w:t xml:space="preserve">(SY 2016–17) </w:t>
      </w:r>
      <w:r>
        <w:t>in Quarter 2 reports.</w:t>
      </w:r>
    </w:p>
    <w:p w14:paraId="0A171F16" w14:textId="77777777" w:rsidR="00B57FF3" w:rsidRDefault="003246FB">
      <w:pPr>
        <w:pStyle w:val="Heading"/>
      </w:pPr>
      <w:r>
        <w:rPr>
          <w:rFonts w:ascii="Time New Roman" w:eastAsia="Time New Roman" w:hAnsi="Time New Roman" w:cs="Time New Roman"/>
          <w:b w:val="0"/>
          <w:bCs w:val="0"/>
          <w:sz w:val="24"/>
          <w:szCs w:val="24"/>
        </w:rPr>
        <w:t>Content provided by UP Education Network</w:t>
      </w:r>
    </w:p>
    <w:p w14:paraId="0A171F17" w14:textId="77777777" w:rsidR="00B57FF3" w:rsidRDefault="003246FB">
      <w:pPr>
        <w:pStyle w:val="Heading"/>
      </w:pPr>
      <w:r>
        <w:rPr>
          <w:rFonts w:ascii="Time New Roman" w:eastAsia="Time New Roman" w:hAnsi="Time New Roman" w:cs="Time New Roman"/>
          <w:sz w:val="24"/>
          <w:szCs w:val="24"/>
        </w:rPr>
        <w:t>Executive Summary</w:t>
      </w:r>
    </w:p>
    <w:p w14:paraId="0A171F18" w14:textId="77777777" w:rsidR="002379EE" w:rsidRPr="00305A20" w:rsidRDefault="003246FB" w:rsidP="002379EE">
      <w:pPr>
        <w:pStyle w:val="Body"/>
        <w:widowControl/>
      </w:pPr>
      <w:r w:rsidRPr="00305A20">
        <w:t xml:space="preserve">The </w:t>
      </w:r>
      <w:r w:rsidR="002379EE">
        <w:t xml:space="preserve">UP Academy Holland </w:t>
      </w:r>
      <w:r w:rsidRPr="00305A20">
        <w:t xml:space="preserve">leadership </w:t>
      </w:r>
      <w:r w:rsidR="002379EE">
        <w:t xml:space="preserve">team </w:t>
      </w:r>
      <w:r w:rsidRPr="00305A20">
        <w:t xml:space="preserve">identified a number of </w:t>
      </w:r>
      <w:r w:rsidR="002379EE">
        <w:t xml:space="preserve">schoolwide goals </w:t>
      </w:r>
      <w:r w:rsidRPr="00305A20">
        <w:t xml:space="preserve">designed to </w:t>
      </w:r>
      <w:r w:rsidR="002379EE">
        <w:t xml:space="preserve">further reinforce a calm and joyful school culture </w:t>
      </w:r>
      <w:r w:rsidRPr="00305A20">
        <w:t>and to accelerate student learning in the upcoming 2016</w:t>
      </w:r>
      <w:r w:rsidR="00B42220" w:rsidRPr="00305A20">
        <w:rPr>
          <w:rFonts w:cs="Times New Roman"/>
        </w:rPr>
        <w:t>–</w:t>
      </w:r>
      <w:r w:rsidRPr="00305A20">
        <w:t>17 school year.</w:t>
      </w:r>
      <w:r w:rsidR="00654AF5">
        <w:t xml:space="preserve"> </w:t>
      </w:r>
      <w:r w:rsidR="002379EE">
        <w:t>These schoolwide goals fall into three categories: teacher development, routinizing schoolwide systems</w:t>
      </w:r>
      <w:r w:rsidR="00654AF5">
        <w:t xml:space="preserve"> (i.e.</w:t>
      </w:r>
      <w:r w:rsidR="009A7588">
        <w:t>,</w:t>
      </w:r>
      <w:r w:rsidR="00654AF5">
        <w:t xml:space="preserve"> arrival, </w:t>
      </w:r>
      <w:r w:rsidR="006304AD">
        <w:t>morning meeting</w:t>
      </w:r>
      <w:r w:rsidR="00654AF5">
        <w:t xml:space="preserve">, dismissal, </w:t>
      </w:r>
      <w:r w:rsidR="006304AD">
        <w:t>closing circles</w:t>
      </w:r>
      <w:r w:rsidR="00654AF5">
        <w:t xml:space="preserve">), and intentionally developing self-advocacy and emotional self-regulation among students. </w:t>
      </w:r>
      <w:r w:rsidR="002379EE" w:rsidRPr="00305A20">
        <w:t xml:space="preserve">UP Academy Holland staff returned for staff professional development on August 1. </w:t>
      </w:r>
      <w:r w:rsidR="002379EE" w:rsidRPr="00305A20">
        <w:lastRenderedPageBreak/>
        <w:t xml:space="preserve">The school’s professional development schedule was </w:t>
      </w:r>
      <w:r w:rsidR="00D0777A">
        <w:t xml:space="preserve">designed </w:t>
      </w:r>
      <w:r w:rsidR="002379EE" w:rsidRPr="00305A20">
        <w:t>intentionally to re</w:t>
      </w:r>
      <w:r w:rsidR="002379EE">
        <w:t>flect the schoolwide goals</w:t>
      </w:r>
      <w:r w:rsidR="002379EE" w:rsidRPr="00305A20">
        <w:t xml:space="preserve"> with a special focus on developing stable classroom cultures. </w:t>
      </w:r>
    </w:p>
    <w:p w14:paraId="0A171F19" w14:textId="77777777" w:rsidR="00B57FF3" w:rsidRDefault="003246FB">
      <w:pPr>
        <w:pStyle w:val="Heading"/>
      </w:pPr>
      <w:r>
        <w:rPr>
          <w:rFonts w:ascii="Time New Roman" w:eastAsia="Time New Roman" w:hAnsi="Time New Roman" w:cs="Time New Roman"/>
          <w:sz w:val="24"/>
          <w:szCs w:val="24"/>
        </w:rPr>
        <w:t>Updates on Priority Areas</w:t>
      </w:r>
    </w:p>
    <w:p w14:paraId="0A171F1A" w14:textId="77777777" w:rsidR="00B57FF3" w:rsidRDefault="003246FB">
      <w:pPr>
        <w:pStyle w:val="BodyText"/>
        <w:keepNext/>
      </w:pPr>
      <w:r>
        <w:rPr>
          <w:rFonts w:ascii="Time New Roman" w:eastAsia="Time New Roman" w:hAnsi="Time New Roman" w:cs="Time New Roman"/>
          <w:b/>
          <w:bCs/>
        </w:rPr>
        <w:t xml:space="preserve">Priority Area 1: </w:t>
      </w:r>
      <w:r>
        <w:t>Transform the culture of the school into a culture of urgency, high expectations, accountability, excellence, and achievement.</w:t>
      </w:r>
    </w:p>
    <w:p w14:paraId="0A171F1B" w14:textId="77777777" w:rsidR="00B57FF3" w:rsidRPr="00247912" w:rsidRDefault="003246FB" w:rsidP="0031481E">
      <w:pPr>
        <w:pStyle w:val="Bullet1"/>
        <w:keepNext/>
        <w:numPr>
          <w:ilvl w:val="0"/>
          <w:numId w:val="10"/>
        </w:numPr>
        <w:rPr>
          <w:rFonts w:eastAsia="Time New Roman" w:cs="Times New Roman"/>
          <w:sz w:val="24"/>
          <w:szCs w:val="24"/>
        </w:rPr>
      </w:pPr>
      <w:r w:rsidRPr="00305A20">
        <w:rPr>
          <w:rFonts w:eastAsia="Time New Roman" w:cs="Times New Roman"/>
          <w:b/>
          <w:bCs/>
          <w:sz w:val="24"/>
          <w:szCs w:val="24"/>
        </w:rPr>
        <w:t xml:space="preserve">Highlight: </w:t>
      </w:r>
      <w:r w:rsidRPr="00305A20">
        <w:rPr>
          <w:rFonts w:eastAsia="Time New Roman" w:cs="Times New Roman"/>
          <w:sz w:val="24"/>
          <w:szCs w:val="24"/>
        </w:rPr>
        <w:t xml:space="preserve">During summer professional development, the school launched a collective focus on building stable cultures in the first </w:t>
      </w:r>
      <w:r w:rsidR="006D0A97">
        <w:rPr>
          <w:rFonts w:eastAsia="Time New Roman" w:cs="Times New Roman"/>
          <w:sz w:val="24"/>
          <w:szCs w:val="24"/>
        </w:rPr>
        <w:t>six</w:t>
      </w:r>
      <w:r w:rsidR="00404BB2">
        <w:rPr>
          <w:rFonts w:eastAsia="Time New Roman" w:cs="Times New Roman"/>
          <w:sz w:val="24"/>
          <w:szCs w:val="24"/>
        </w:rPr>
        <w:t xml:space="preserve"> </w:t>
      </w:r>
      <w:r w:rsidRPr="00305A20">
        <w:rPr>
          <w:rFonts w:eastAsia="Time New Roman" w:cs="Times New Roman"/>
          <w:sz w:val="24"/>
          <w:szCs w:val="24"/>
        </w:rPr>
        <w:t>weeks of school.</w:t>
      </w:r>
      <w:r w:rsidR="00654AF5">
        <w:rPr>
          <w:rFonts w:eastAsia="Time New Roman" w:cs="Times New Roman"/>
          <w:sz w:val="24"/>
          <w:szCs w:val="24"/>
        </w:rPr>
        <w:t xml:space="preserve"> </w:t>
      </w:r>
      <w:r w:rsidR="00247912" w:rsidRPr="00305A20">
        <w:rPr>
          <w:rFonts w:eastAsia="Time New Roman" w:cs="Times New Roman"/>
          <w:sz w:val="24"/>
          <w:szCs w:val="24"/>
        </w:rPr>
        <w:t xml:space="preserve">The </w:t>
      </w:r>
      <w:r w:rsidR="00247912">
        <w:rPr>
          <w:rFonts w:eastAsia="Time New Roman" w:cs="Times New Roman"/>
          <w:sz w:val="24"/>
          <w:szCs w:val="24"/>
        </w:rPr>
        <w:t xml:space="preserve">professional development </w:t>
      </w:r>
      <w:r w:rsidR="00247912" w:rsidRPr="00305A20">
        <w:rPr>
          <w:rFonts w:eastAsia="Time New Roman" w:cs="Times New Roman"/>
          <w:sz w:val="24"/>
          <w:szCs w:val="24"/>
        </w:rPr>
        <w:t>series included video exemplars as well as live modeling and coaching</w:t>
      </w:r>
      <w:r w:rsidR="00D37BA0">
        <w:rPr>
          <w:rFonts w:eastAsia="Time New Roman" w:cs="Times New Roman"/>
          <w:sz w:val="24"/>
          <w:szCs w:val="24"/>
        </w:rPr>
        <w:t xml:space="preserve"> from UP Education Network</w:t>
      </w:r>
      <w:r w:rsidR="00247912" w:rsidRPr="00305A20">
        <w:rPr>
          <w:rFonts w:eastAsia="Time New Roman" w:cs="Times New Roman"/>
          <w:sz w:val="24"/>
          <w:szCs w:val="24"/>
        </w:rPr>
        <w:t xml:space="preserve">. </w:t>
      </w:r>
      <w:r w:rsidR="00654AF5" w:rsidRPr="00247912">
        <w:rPr>
          <w:rFonts w:eastAsia="Time New Roman" w:cs="Times New Roman"/>
          <w:sz w:val="24"/>
          <w:szCs w:val="24"/>
        </w:rPr>
        <w:t xml:space="preserve">During the first </w:t>
      </w:r>
      <w:r w:rsidR="006D0A97">
        <w:rPr>
          <w:rFonts w:eastAsia="Time New Roman" w:cs="Times New Roman"/>
          <w:sz w:val="24"/>
          <w:szCs w:val="24"/>
        </w:rPr>
        <w:t>six</w:t>
      </w:r>
      <w:r w:rsidR="00654AF5" w:rsidRPr="00247912">
        <w:rPr>
          <w:rFonts w:eastAsia="Time New Roman" w:cs="Times New Roman"/>
          <w:sz w:val="24"/>
          <w:szCs w:val="24"/>
        </w:rPr>
        <w:t xml:space="preserve"> weeks of school, the school’s principal and Deans of Curriculum and Instruction will prioritize observing 100% of classrooms and identifying teacher </w:t>
      </w:r>
      <w:r w:rsidR="00247912" w:rsidRPr="004F2C96">
        <w:rPr>
          <w:rFonts w:eastAsia="Time New Roman" w:cs="Times New Roman"/>
          <w:sz w:val="24"/>
          <w:szCs w:val="24"/>
        </w:rPr>
        <w:t>strengths and growth areas based on the UP Education Network Teacher Pathway document</w:t>
      </w:r>
      <w:r w:rsidR="00247912">
        <w:rPr>
          <w:rFonts w:eastAsia="Time New Roman" w:cs="Times New Roman"/>
          <w:sz w:val="24"/>
          <w:szCs w:val="24"/>
        </w:rPr>
        <w:t>. Professional development during the first six weeks of school will build off of the school’s stable culture launch series. Each week, the school will focus on building one skill (i.e.</w:t>
      </w:r>
      <w:r w:rsidR="00322971">
        <w:rPr>
          <w:rFonts w:eastAsia="Time New Roman" w:cs="Times New Roman"/>
          <w:sz w:val="24"/>
          <w:szCs w:val="24"/>
        </w:rPr>
        <w:t>,</w:t>
      </w:r>
      <w:r w:rsidR="00247912">
        <w:rPr>
          <w:rFonts w:eastAsia="Time New Roman" w:cs="Times New Roman"/>
          <w:sz w:val="24"/>
          <w:szCs w:val="24"/>
        </w:rPr>
        <w:t xml:space="preserve"> scanning and narration</w:t>
      </w:r>
      <w:r w:rsidR="0062019A">
        <w:rPr>
          <w:rFonts w:eastAsia="Time New Roman" w:cs="Times New Roman"/>
          <w:sz w:val="24"/>
          <w:szCs w:val="24"/>
        </w:rPr>
        <w:t xml:space="preserve"> for students</w:t>
      </w:r>
      <w:r w:rsidR="00247912">
        <w:rPr>
          <w:rFonts w:eastAsia="Time New Roman" w:cs="Times New Roman"/>
          <w:sz w:val="24"/>
          <w:szCs w:val="24"/>
        </w:rPr>
        <w:t xml:space="preserve"> or </w:t>
      </w:r>
      <w:r w:rsidR="0062019A">
        <w:rPr>
          <w:rFonts w:eastAsia="Time New Roman" w:cs="Times New Roman"/>
          <w:sz w:val="24"/>
          <w:szCs w:val="24"/>
        </w:rPr>
        <w:t xml:space="preserve">teachers </w:t>
      </w:r>
      <w:r w:rsidR="00247912">
        <w:rPr>
          <w:rFonts w:eastAsia="Time New Roman" w:cs="Times New Roman"/>
          <w:sz w:val="24"/>
          <w:szCs w:val="24"/>
        </w:rPr>
        <w:t>providing students with consistent and clear feedback).</w:t>
      </w:r>
      <w:r w:rsidRPr="00247912">
        <w:rPr>
          <w:rFonts w:eastAsia="Time New Roman" w:cs="Times New Roman"/>
          <w:sz w:val="24"/>
          <w:szCs w:val="24"/>
        </w:rPr>
        <w:t xml:space="preserve"> </w:t>
      </w:r>
    </w:p>
    <w:p w14:paraId="0A171F1C" w14:textId="77777777" w:rsidR="00B57FF3" w:rsidRPr="00305A20" w:rsidRDefault="003246FB" w:rsidP="0031481E">
      <w:pPr>
        <w:pStyle w:val="Bullet1"/>
        <w:numPr>
          <w:ilvl w:val="0"/>
          <w:numId w:val="9"/>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UP Academy Holland enters the 2016</w:t>
      </w:r>
      <w:r w:rsidR="00F11B6F">
        <w:rPr>
          <w:rFonts w:eastAsia="Time New Roman" w:cs="Times New Roman"/>
          <w:sz w:val="24"/>
          <w:szCs w:val="24"/>
        </w:rPr>
        <w:t>–</w:t>
      </w:r>
      <w:r w:rsidRPr="00305A20">
        <w:rPr>
          <w:rFonts w:eastAsia="Time New Roman" w:cs="Times New Roman"/>
          <w:sz w:val="24"/>
          <w:szCs w:val="24"/>
        </w:rPr>
        <w:t xml:space="preserve">17 school </w:t>
      </w:r>
      <w:proofErr w:type="gramStart"/>
      <w:r w:rsidRPr="00305A20">
        <w:rPr>
          <w:rFonts w:eastAsia="Time New Roman" w:cs="Times New Roman"/>
          <w:sz w:val="24"/>
          <w:szCs w:val="24"/>
        </w:rPr>
        <w:t>year</w:t>
      </w:r>
      <w:proofErr w:type="gramEnd"/>
      <w:r w:rsidRPr="00305A20">
        <w:rPr>
          <w:rFonts w:eastAsia="Time New Roman" w:cs="Times New Roman"/>
          <w:sz w:val="24"/>
          <w:szCs w:val="24"/>
        </w:rPr>
        <w:t xml:space="preserve"> with a renewed focus on </w:t>
      </w:r>
      <w:r w:rsidR="0062019A">
        <w:rPr>
          <w:rFonts w:eastAsia="Time New Roman" w:cs="Times New Roman"/>
          <w:sz w:val="24"/>
          <w:szCs w:val="24"/>
        </w:rPr>
        <w:t>staff collaboration</w:t>
      </w:r>
      <w:r w:rsidRPr="00305A20">
        <w:rPr>
          <w:rFonts w:eastAsia="Time New Roman" w:cs="Times New Roman"/>
          <w:sz w:val="24"/>
          <w:szCs w:val="24"/>
        </w:rPr>
        <w:t xml:space="preserve">. In August, the school rolled out the network’s organizational adult values: </w:t>
      </w:r>
      <w:r w:rsidR="006D0A97" w:rsidRPr="00305A20">
        <w:rPr>
          <w:rFonts w:eastAsia="Time New Roman" w:cs="Times New Roman"/>
          <w:sz w:val="24"/>
          <w:szCs w:val="24"/>
        </w:rPr>
        <w:t>humility, community, humor, students, and resilience</w:t>
      </w:r>
      <w:r w:rsidRPr="00305A20">
        <w:rPr>
          <w:rFonts w:eastAsia="Time New Roman" w:cs="Times New Roman"/>
          <w:sz w:val="24"/>
          <w:szCs w:val="24"/>
        </w:rPr>
        <w:t xml:space="preserve">. The school’s </w:t>
      </w:r>
      <w:r w:rsidR="00F11B6F">
        <w:rPr>
          <w:rFonts w:eastAsia="Time New Roman" w:cs="Times New Roman"/>
          <w:sz w:val="24"/>
          <w:szCs w:val="24"/>
        </w:rPr>
        <w:t xml:space="preserve">new </w:t>
      </w:r>
      <w:r w:rsidRPr="00305A20">
        <w:rPr>
          <w:rFonts w:eastAsia="Time New Roman" w:cs="Times New Roman"/>
          <w:sz w:val="24"/>
          <w:szCs w:val="24"/>
        </w:rPr>
        <w:t xml:space="preserve">principal held a “Listening Tour” to hear staff reflections on their experiences at the school. The school also scheduled a staff social gathering during summer professional development to continue to support staff in building relationships across teams. </w:t>
      </w:r>
    </w:p>
    <w:p w14:paraId="0A171F1D" w14:textId="77777777" w:rsidR="00B57FF3" w:rsidRPr="00305A20" w:rsidRDefault="003246FB" w:rsidP="0031481E">
      <w:pPr>
        <w:pStyle w:val="Bullet1"/>
        <w:numPr>
          <w:ilvl w:val="0"/>
          <w:numId w:val="8"/>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w:t>
      </w:r>
      <w:r w:rsidRPr="00305A20">
        <w:rPr>
          <w:rFonts w:eastAsia="Time New Roman" w:cs="Times New Roman"/>
          <w:color w:val="212121"/>
          <w:sz w:val="24"/>
          <w:szCs w:val="24"/>
          <w:u w:color="808080"/>
        </w:rPr>
        <w:t>This school year, UP Academy Holland will continue its use of Dovetail Learning, the school’s social and emotional learning curriculum. During August professional development, the UP Academy Holland team focused on tying the Dovetail curriculum to the school’s focus on stable culture.</w:t>
      </w:r>
      <w:r w:rsidR="001750B7">
        <w:rPr>
          <w:rFonts w:eastAsia="Time New Roman" w:cs="Times New Roman"/>
          <w:color w:val="212121"/>
          <w:sz w:val="24"/>
          <w:szCs w:val="24"/>
          <w:u w:color="808080"/>
        </w:rPr>
        <w:t xml:space="preserve"> For </w:t>
      </w:r>
      <w:r w:rsidR="006A2DE1">
        <w:rPr>
          <w:rFonts w:eastAsia="Time New Roman" w:cs="Times New Roman"/>
          <w:color w:val="212121"/>
          <w:sz w:val="24"/>
          <w:szCs w:val="24"/>
          <w:u w:color="808080"/>
        </w:rPr>
        <w:t>example</w:t>
      </w:r>
      <w:r w:rsidR="001750B7">
        <w:rPr>
          <w:rFonts w:eastAsia="Time New Roman" w:cs="Times New Roman"/>
          <w:color w:val="212121"/>
          <w:sz w:val="24"/>
          <w:szCs w:val="24"/>
          <w:u w:color="808080"/>
        </w:rPr>
        <w:t>, the school leadership team highlight</w:t>
      </w:r>
      <w:r w:rsidR="006A2DE1">
        <w:rPr>
          <w:rFonts w:eastAsia="Time New Roman" w:cs="Times New Roman"/>
          <w:color w:val="212121"/>
          <w:sz w:val="24"/>
          <w:szCs w:val="24"/>
          <w:u w:color="808080"/>
        </w:rPr>
        <w:t>ed</w:t>
      </w:r>
      <w:r w:rsidR="001750B7">
        <w:rPr>
          <w:rFonts w:eastAsia="Time New Roman" w:cs="Times New Roman"/>
          <w:color w:val="212121"/>
          <w:sz w:val="24"/>
          <w:szCs w:val="24"/>
          <w:u w:color="808080"/>
        </w:rPr>
        <w:t xml:space="preserve"> the ways in which Dovetail tools can be used to help students build emotional self-regulation skills (one of the school’s SY 2016</w:t>
      </w:r>
      <w:r w:rsidR="00404BB2" w:rsidRPr="00B63241">
        <w:rPr>
          <w:iCs/>
        </w:rPr>
        <w:t>–</w:t>
      </w:r>
      <w:r w:rsidR="001750B7">
        <w:rPr>
          <w:rFonts w:eastAsia="Time New Roman" w:cs="Times New Roman"/>
          <w:color w:val="212121"/>
          <w:sz w:val="24"/>
          <w:szCs w:val="24"/>
          <w:u w:color="808080"/>
        </w:rPr>
        <w:t>17 schoolwide goals).</w:t>
      </w:r>
      <w:r w:rsidRPr="00305A20">
        <w:rPr>
          <w:rFonts w:eastAsia="Time New Roman" w:cs="Times New Roman"/>
          <w:color w:val="212121"/>
          <w:sz w:val="24"/>
          <w:szCs w:val="24"/>
          <w:u w:color="808080"/>
        </w:rPr>
        <w:t xml:space="preserve"> During the first grading period, in order to ensure regular engagement with Dovetail tools, the school will identify a Dovetail “Tool of the Week” to highlight and </w:t>
      </w:r>
      <w:r w:rsidR="00F11B6F" w:rsidRPr="00305A20">
        <w:rPr>
          <w:rFonts w:eastAsia="Time New Roman" w:cs="Times New Roman"/>
          <w:color w:val="212121"/>
          <w:sz w:val="24"/>
          <w:szCs w:val="24"/>
          <w:u w:color="808080"/>
        </w:rPr>
        <w:t xml:space="preserve">with </w:t>
      </w:r>
      <w:r w:rsidR="00F11B6F">
        <w:rPr>
          <w:rFonts w:eastAsia="Time New Roman" w:cs="Times New Roman"/>
          <w:color w:val="212121"/>
          <w:sz w:val="24"/>
          <w:szCs w:val="24"/>
          <w:u w:color="808080"/>
        </w:rPr>
        <w:t xml:space="preserve">which to </w:t>
      </w:r>
      <w:r w:rsidRPr="00305A20">
        <w:rPr>
          <w:rFonts w:eastAsia="Time New Roman" w:cs="Times New Roman"/>
          <w:color w:val="212121"/>
          <w:sz w:val="24"/>
          <w:szCs w:val="24"/>
          <w:u w:color="808080"/>
        </w:rPr>
        <w:t xml:space="preserve">engage. </w:t>
      </w:r>
    </w:p>
    <w:p w14:paraId="0A171F1E" w14:textId="77777777" w:rsidR="00B57FF3" w:rsidRPr="00305A20" w:rsidRDefault="003246FB" w:rsidP="0031481E">
      <w:pPr>
        <w:pStyle w:val="Bullet1Last"/>
        <w:numPr>
          <w:ilvl w:val="0"/>
          <w:numId w:val="7"/>
        </w:numPr>
        <w:spacing w:after="0"/>
        <w:rPr>
          <w:rFonts w:eastAsia="Time New Roman" w:cs="Times New Roman"/>
          <w:sz w:val="24"/>
          <w:szCs w:val="24"/>
        </w:rPr>
      </w:pPr>
      <w:r w:rsidRPr="00305A20">
        <w:rPr>
          <w:rFonts w:eastAsia="Time New Roman" w:cs="Times New Roman"/>
          <w:b/>
          <w:bCs/>
          <w:sz w:val="24"/>
          <w:szCs w:val="24"/>
        </w:rPr>
        <w:t xml:space="preserve">Challenge: </w:t>
      </w:r>
      <w:r w:rsidR="00404BB2">
        <w:rPr>
          <w:rFonts w:eastAsia="Time New Roman" w:cs="Times New Roman"/>
          <w:sz w:val="24"/>
          <w:szCs w:val="24"/>
        </w:rPr>
        <w:t xml:space="preserve">Although </w:t>
      </w:r>
      <w:r w:rsidRPr="00305A20">
        <w:rPr>
          <w:rFonts w:eastAsia="Time New Roman" w:cs="Times New Roman"/>
          <w:sz w:val="24"/>
          <w:szCs w:val="24"/>
        </w:rPr>
        <w:t>the school year has begun with an intensive focus on building stable culture</w:t>
      </w:r>
      <w:r w:rsidR="00404BB2">
        <w:rPr>
          <w:rFonts w:eastAsia="Time New Roman" w:cs="Times New Roman"/>
          <w:sz w:val="24"/>
          <w:szCs w:val="24"/>
        </w:rPr>
        <w:t>,</w:t>
      </w:r>
      <w:r w:rsidRPr="00305A20">
        <w:rPr>
          <w:rFonts w:eastAsia="Time New Roman" w:cs="Times New Roman"/>
          <w:sz w:val="24"/>
          <w:szCs w:val="24"/>
        </w:rPr>
        <w:t xml:space="preserve"> and </w:t>
      </w:r>
      <w:r w:rsidR="00404BB2">
        <w:rPr>
          <w:rFonts w:eastAsia="Time New Roman" w:cs="Times New Roman"/>
          <w:sz w:val="24"/>
          <w:szCs w:val="24"/>
        </w:rPr>
        <w:t>whereas</w:t>
      </w:r>
      <w:r w:rsidR="00404BB2" w:rsidRPr="00305A20">
        <w:rPr>
          <w:rFonts w:eastAsia="Time New Roman" w:cs="Times New Roman"/>
          <w:sz w:val="24"/>
          <w:szCs w:val="24"/>
        </w:rPr>
        <w:t xml:space="preserve"> </w:t>
      </w:r>
      <w:r w:rsidRPr="00305A20">
        <w:rPr>
          <w:rFonts w:eastAsia="Time New Roman" w:cs="Times New Roman"/>
          <w:sz w:val="24"/>
          <w:szCs w:val="24"/>
        </w:rPr>
        <w:t xml:space="preserve">the majority of UP Academy Holland classrooms are making strong progress, there is some variability in the consistent implementation of the behavior management cycle. </w:t>
      </w:r>
      <w:r w:rsidR="004F2C96">
        <w:rPr>
          <w:rFonts w:eastAsia="Time New Roman" w:cs="Times New Roman"/>
          <w:sz w:val="24"/>
          <w:szCs w:val="24"/>
        </w:rPr>
        <w:t xml:space="preserve">Both the school principal and the school’s Deans of Curriculum and Instruction are observing classrooms with an intensive focus on stable culture. To address the variability seen in classrooms, weekly professional development will include differentiated sessions to support all teachers based on where they land on the Teacher Pathway rubric.  </w:t>
      </w:r>
    </w:p>
    <w:p w14:paraId="0A171F1F" w14:textId="77777777" w:rsidR="00B57FF3" w:rsidRPr="00305A20" w:rsidRDefault="003246FB" w:rsidP="00BA2328">
      <w:pPr>
        <w:pStyle w:val="BodyText"/>
        <w:spacing w:before="240"/>
        <w:rPr>
          <w:rFonts w:cs="Times New Roman"/>
        </w:rPr>
      </w:pPr>
      <w:r w:rsidRPr="00305A20">
        <w:rPr>
          <w:rFonts w:eastAsia="Time New Roman" w:cs="Times New Roman"/>
          <w:b/>
          <w:bCs/>
        </w:rPr>
        <w:t xml:space="preserve">Priority Area 2: </w:t>
      </w:r>
      <w:r w:rsidRPr="00305A20">
        <w:rPr>
          <w:rFonts w:cs="Times New Roman"/>
        </w:rPr>
        <w:t>Enhance the rigor of the curricula, improve the effectiveness of instruction, and strengthen the utilization of assessment data.</w:t>
      </w:r>
    </w:p>
    <w:p w14:paraId="0A171F20" w14:textId="77777777" w:rsidR="00B57FF3" w:rsidRPr="006A2DE1"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lastRenderedPageBreak/>
        <w:t>Highlight:</w:t>
      </w:r>
      <w:r w:rsidRPr="00305A20">
        <w:rPr>
          <w:rFonts w:eastAsia="Time New Roman" w:cs="Times New Roman"/>
          <w:sz w:val="24"/>
          <w:szCs w:val="24"/>
        </w:rPr>
        <w:t xml:space="preserve"> During summer professional development, all Deans of Curriculum and Instruction attended a series of sessions on the UP Education Network Teaching Pathway. The Teaching Pathway is a network</w:t>
      </w:r>
      <w:r w:rsidR="00B63241">
        <w:rPr>
          <w:rFonts w:eastAsia="Time New Roman" w:cs="Times New Roman"/>
          <w:sz w:val="24"/>
          <w:szCs w:val="24"/>
        </w:rPr>
        <w:t>-</w:t>
      </w:r>
      <w:r w:rsidRPr="00305A20">
        <w:rPr>
          <w:rFonts w:eastAsia="Time New Roman" w:cs="Times New Roman"/>
          <w:sz w:val="24"/>
          <w:szCs w:val="24"/>
        </w:rPr>
        <w:t>wide tool that codifies what goes on inside a great coach</w:t>
      </w:r>
      <w:r w:rsidRPr="00305A20">
        <w:rPr>
          <w:rFonts w:eastAsia="Time New Roman" w:cs="Times New Roman"/>
          <w:sz w:val="24"/>
          <w:szCs w:val="24"/>
          <w:lang w:val="fr-FR"/>
        </w:rPr>
        <w:t>’</w:t>
      </w:r>
      <w:r w:rsidRPr="00305A20">
        <w:rPr>
          <w:rFonts w:eastAsia="Time New Roman" w:cs="Times New Roman"/>
          <w:sz w:val="24"/>
          <w:szCs w:val="24"/>
        </w:rPr>
        <w:t xml:space="preserve">s head when working with a teacher. The tool presents a vision for an excellent classroom, and it allows for coaches and teachers to use a shared language in coaching. </w:t>
      </w:r>
      <w:r w:rsidR="004F2C96" w:rsidRPr="006A2DE1">
        <w:rPr>
          <w:rFonts w:eastAsia="Time New Roman"/>
          <w:sz w:val="24"/>
          <w:szCs w:val="24"/>
        </w:rPr>
        <w:t xml:space="preserve">This tool will help </w:t>
      </w:r>
      <w:r w:rsidR="006A2DE1">
        <w:rPr>
          <w:rFonts w:eastAsia="Time New Roman" w:cs="Times New Roman"/>
          <w:sz w:val="24"/>
          <w:szCs w:val="24"/>
        </w:rPr>
        <w:t xml:space="preserve">the Deans </w:t>
      </w:r>
      <w:r w:rsidR="004F2C96" w:rsidRPr="006A2DE1">
        <w:rPr>
          <w:rFonts w:eastAsia="Time New Roman"/>
          <w:sz w:val="24"/>
          <w:szCs w:val="24"/>
        </w:rPr>
        <w:t>answer two important questions</w:t>
      </w:r>
      <w:r w:rsidR="006A2DE1">
        <w:rPr>
          <w:rFonts w:eastAsia="Time New Roman"/>
          <w:sz w:val="24"/>
          <w:szCs w:val="24"/>
        </w:rPr>
        <w:t>:</w:t>
      </w:r>
      <w:r w:rsidR="004F2C96" w:rsidRPr="006A2DE1">
        <w:rPr>
          <w:rFonts w:eastAsia="Time New Roman"/>
          <w:sz w:val="24"/>
          <w:szCs w:val="24"/>
        </w:rPr>
        <w:t xml:space="preserve"> “What’s the most essential outcome to coach towards right now?” and “How do I know when to shift the focus of my coaching?” The tool shows teaching outcomes in a logical order as a teacher increases learning in the classroom</w:t>
      </w:r>
      <w:r w:rsidR="006A2DE1">
        <w:rPr>
          <w:rFonts w:eastAsia="Time New Roman"/>
          <w:sz w:val="24"/>
          <w:szCs w:val="24"/>
        </w:rPr>
        <w:t>. I</w:t>
      </w:r>
      <w:r w:rsidR="004F2C96" w:rsidRPr="006A2DE1">
        <w:rPr>
          <w:rFonts w:eastAsia="Time New Roman"/>
          <w:sz w:val="24"/>
          <w:szCs w:val="24"/>
        </w:rPr>
        <w:t>t leaves the analysis of why an outcome isn’t being reached and the prescription of strategies that might help reach the outcome to the coach</w:t>
      </w:r>
      <w:r w:rsidR="006A2DE1">
        <w:rPr>
          <w:rFonts w:eastAsia="Time New Roman"/>
          <w:sz w:val="24"/>
          <w:szCs w:val="24"/>
        </w:rPr>
        <w:t>. The tool also</w:t>
      </w:r>
      <w:r w:rsidR="004F2C96" w:rsidRPr="006A2DE1">
        <w:rPr>
          <w:rFonts w:eastAsia="Time New Roman"/>
          <w:sz w:val="24"/>
          <w:szCs w:val="24"/>
        </w:rPr>
        <w:t xml:space="preserve"> lets the coach focus on the conversation and practice rather than explaining the diagnosis. This allows for more thoughtful differentiation of professional development</w:t>
      </w:r>
      <w:r w:rsidR="004F2C96">
        <w:rPr>
          <w:rFonts w:eastAsia="Time New Roman"/>
          <w:sz w:val="24"/>
          <w:szCs w:val="24"/>
        </w:rPr>
        <w:t xml:space="preserve"> as well as</w:t>
      </w:r>
      <w:r w:rsidR="004F2C96" w:rsidRPr="004F2C96">
        <w:rPr>
          <w:rFonts w:eastAsia="Time New Roman" w:cs="Times New Roman"/>
          <w:sz w:val="24"/>
          <w:szCs w:val="24"/>
        </w:rPr>
        <w:t xml:space="preserve"> a shared language for desired teaching outcomes in the areas of cultur</w:t>
      </w:r>
      <w:r w:rsidR="004F2C96">
        <w:rPr>
          <w:rFonts w:eastAsia="Time New Roman" w:cs="Times New Roman"/>
          <w:sz w:val="24"/>
          <w:szCs w:val="24"/>
        </w:rPr>
        <w:t>e, curriculum, and instruction.</w:t>
      </w:r>
    </w:p>
    <w:p w14:paraId="0A171F21"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During August professional development, all UP Academy Holland teachers took part in a series of Clear Instruction professional development sessions. These sessions, led by the school</w:t>
      </w:r>
      <w:r w:rsidRPr="00305A20">
        <w:rPr>
          <w:rFonts w:eastAsia="Time New Roman" w:cs="Times New Roman"/>
          <w:sz w:val="24"/>
          <w:szCs w:val="24"/>
          <w:lang w:val="fr-FR"/>
        </w:rPr>
        <w:t>’</w:t>
      </w:r>
      <w:r w:rsidRPr="00305A20">
        <w:rPr>
          <w:rFonts w:eastAsia="Time New Roman" w:cs="Times New Roman"/>
          <w:sz w:val="24"/>
          <w:szCs w:val="24"/>
        </w:rPr>
        <w:t>s Deans of Curriculum and Instruction, were aligned with the Teaching Pathway and focused on intellectual preparation, delivering mistake free content and moving through lesson components purposefully.</w:t>
      </w:r>
      <w:r w:rsidR="00BE7596">
        <w:rPr>
          <w:rFonts w:eastAsia="Time New Roman" w:cs="Times New Roman"/>
          <w:sz w:val="24"/>
          <w:szCs w:val="24"/>
        </w:rPr>
        <w:t xml:space="preserve"> UP Education Network will continue to provide additional professional development around Clear Instruction as well as Stable Culture for Deans throughout the school year. </w:t>
      </w:r>
    </w:p>
    <w:p w14:paraId="0A171F22"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The UP Academy Holland team enters the 2016</w:t>
      </w:r>
      <w:r w:rsidR="003C6579">
        <w:rPr>
          <w:rFonts w:eastAsia="Time New Roman" w:cs="Times New Roman"/>
          <w:sz w:val="24"/>
          <w:szCs w:val="24"/>
        </w:rPr>
        <w:t>–</w:t>
      </w:r>
      <w:r w:rsidRPr="00305A20">
        <w:rPr>
          <w:rFonts w:eastAsia="Time New Roman" w:cs="Times New Roman"/>
          <w:sz w:val="24"/>
          <w:szCs w:val="24"/>
        </w:rPr>
        <w:t>17 school year with a renewed focus on data-informed decision making and action planning</w:t>
      </w:r>
      <w:r w:rsidR="0076254E" w:rsidRPr="00305A20">
        <w:rPr>
          <w:rFonts w:eastAsia="Time New Roman" w:cs="Times New Roman"/>
          <w:sz w:val="24"/>
          <w:szCs w:val="24"/>
        </w:rPr>
        <w:t>.</w:t>
      </w:r>
      <w:r w:rsidR="0076254E">
        <w:rPr>
          <w:rFonts w:eastAsia="Time New Roman" w:cs="Times New Roman"/>
          <w:sz w:val="24"/>
          <w:szCs w:val="24"/>
        </w:rPr>
        <w:t xml:space="preserve"> The school will continue working with the UP Education Strategy and Evaluation team to invest teachers in the importance of regularly entering data into DeansList. </w:t>
      </w:r>
      <w:r w:rsidRPr="00305A20">
        <w:rPr>
          <w:rFonts w:eastAsia="Time New Roman" w:cs="Times New Roman"/>
          <w:sz w:val="24"/>
          <w:szCs w:val="24"/>
        </w:rPr>
        <w:t xml:space="preserve">A new team meeting protocol was developed to support more effective and regular action planning. </w:t>
      </w:r>
    </w:p>
    <w:p w14:paraId="0A171F23" w14:textId="77777777" w:rsidR="00B57FF3" w:rsidRPr="00305A20" w:rsidRDefault="003246FB" w:rsidP="0031481E">
      <w:pPr>
        <w:pStyle w:val="Bullet1Last"/>
        <w:numPr>
          <w:ilvl w:val="0"/>
          <w:numId w:val="6"/>
        </w:numPr>
        <w:spacing w:after="0"/>
        <w:rPr>
          <w:rFonts w:eastAsia="Time New Roman" w:cs="Times New Roman"/>
          <w:sz w:val="24"/>
          <w:szCs w:val="24"/>
        </w:rPr>
      </w:pPr>
      <w:r w:rsidRPr="00305A20">
        <w:rPr>
          <w:rFonts w:eastAsia="Time New Roman" w:cs="Times New Roman"/>
          <w:b/>
          <w:bCs/>
          <w:sz w:val="24"/>
          <w:szCs w:val="24"/>
        </w:rPr>
        <w:t xml:space="preserve">Challenge: </w:t>
      </w:r>
      <w:r w:rsidRPr="00305A20">
        <w:rPr>
          <w:rFonts w:eastAsia="Time New Roman" w:cs="Times New Roman"/>
          <w:sz w:val="24"/>
          <w:szCs w:val="24"/>
        </w:rPr>
        <w:t xml:space="preserve">The school has identified upper grade science as an area needing improvement. The school’s </w:t>
      </w:r>
      <w:r w:rsidR="006A2DE1" w:rsidRPr="00247912">
        <w:rPr>
          <w:rFonts w:eastAsia="Time New Roman" w:cs="Times New Roman"/>
          <w:sz w:val="24"/>
          <w:szCs w:val="24"/>
        </w:rPr>
        <w:t xml:space="preserve">Deans of Curriculum and Instruction </w:t>
      </w:r>
      <w:r w:rsidRPr="00305A20">
        <w:rPr>
          <w:rFonts w:eastAsia="Time New Roman" w:cs="Times New Roman"/>
          <w:sz w:val="24"/>
          <w:szCs w:val="24"/>
        </w:rPr>
        <w:t>team is working with the school’s D</w:t>
      </w:r>
      <w:r w:rsidR="00B63241">
        <w:rPr>
          <w:rFonts w:eastAsia="Time New Roman" w:cs="Times New Roman"/>
          <w:sz w:val="24"/>
          <w:szCs w:val="24"/>
        </w:rPr>
        <w:t xml:space="preserve">epartment of </w:t>
      </w:r>
      <w:r w:rsidRPr="00305A20">
        <w:rPr>
          <w:rFonts w:eastAsia="Time New Roman" w:cs="Times New Roman"/>
          <w:sz w:val="24"/>
          <w:szCs w:val="24"/>
        </w:rPr>
        <w:t>E</w:t>
      </w:r>
      <w:r w:rsidR="00B63241">
        <w:rPr>
          <w:rFonts w:eastAsia="Time New Roman" w:cs="Times New Roman"/>
          <w:sz w:val="24"/>
          <w:szCs w:val="24"/>
        </w:rPr>
        <w:t xml:space="preserve">lementary and </w:t>
      </w:r>
      <w:r w:rsidRPr="00305A20">
        <w:rPr>
          <w:rFonts w:eastAsia="Time New Roman" w:cs="Times New Roman"/>
          <w:sz w:val="24"/>
          <w:szCs w:val="24"/>
        </w:rPr>
        <w:t>S</w:t>
      </w:r>
      <w:r w:rsidR="00B63241">
        <w:rPr>
          <w:rFonts w:eastAsia="Time New Roman" w:cs="Times New Roman"/>
          <w:sz w:val="24"/>
          <w:szCs w:val="24"/>
        </w:rPr>
        <w:t xml:space="preserve">econdary </w:t>
      </w:r>
      <w:r w:rsidRPr="00305A20">
        <w:rPr>
          <w:rFonts w:eastAsia="Time New Roman" w:cs="Times New Roman"/>
          <w:sz w:val="24"/>
          <w:szCs w:val="24"/>
        </w:rPr>
        <w:t>E</w:t>
      </w:r>
      <w:r w:rsidR="00B63241">
        <w:rPr>
          <w:rFonts w:eastAsia="Time New Roman" w:cs="Times New Roman"/>
          <w:sz w:val="24"/>
          <w:szCs w:val="24"/>
        </w:rPr>
        <w:t>ducation (ESE)</w:t>
      </w:r>
      <w:r w:rsidRPr="00305A20">
        <w:rPr>
          <w:rFonts w:eastAsia="Time New Roman" w:cs="Times New Roman"/>
          <w:sz w:val="24"/>
          <w:szCs w:val="24"/>
        </w:rPr>
        <w:t xml:space="preserve"> liaison to connect</w:t>
      </w:r>
      <w:r w:rsidR="003C6579">
        <w:rPr>
          <w:rFonts w:eastAsia="Time New Roman" w:cs="Times New Roman"/>
          <w:sz w:val="24"/>
          <w:szCs w:val="24"/>
        </w:rPr>
        <w:t xml:space="preserve"> with</w:t>
      </w:r>
      <w:r w:rsidRPr="00305A20">
        <w:rPr>
          <w:rFonts w:eastAsia="Time New Roman" w:cs="Times New Roman"/>
          <w:sz w:val="24"/>
          <w:szCs w:val="24"/>
        </w:rPr>
        <w:t xml:space="preserve"> the ESE science specialist on a review of standards.  </w:t>
      </w:r>
    </w:p>
    <w:p w14:paraId="0A171F24" w14:textId="77777777" w:rsidR="00B57FF3" w:rsidRPr="00305A20" w:rsidRDefault="003246FB" w:rsidP="00BA2328">
      <w:pPr>
        <w:pStyle w:val="BodyText"/>
        <w:spacing w:before="240"/>
        <w:rPr>
          <w:rFonts w:cs="Times New Roman"/>
        </w:rPr>
      </w:pPr>
      <w:r w:rsidRPr="00305A20">
        <w:rPr>
          <w:rFonts w:eastAsia="Time New Roman" w:cs="Times New Roman"/>
          <w:b/>
          <w:bCs/>
        </w:rPr>
        <w:t xml:space="preserve">Priority Area 3: </w:t>
      </w:r>
      <w:r w:rsidRPr="00305A20">
        <w:rPr>
          <w:rFonts w:cs="Times New Roman"/>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0A171F25"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 xml:space="preserve">Highlight: </w:t>
      </w:r>
      <w:r w:rsidRPr="00305A20">
        <w:rPr>
          <w:rFonts w:eastAsia="Time New Roman" w:cs="Times New Roman"/>
          <w:sz w:val="24"/>
          <w:szCs w:val="24"/>
        </w:rPr>
        <w:t>UP Academy Holland began a new planning initiative called “Drop Everything and Prep</w:t>
      </w:r>
      <w:r w:rsidR="0047377E">
        <w:rPr>
          <w:rFonts w:eastAsia="Time New Roman" w:cs="Times New Roman"/>
          <w:sz w:val="24"/>
          <w:szCs w:val="24"/>
        </w:rPr>
        <w:t>,</w:t>
      </w:r>
      <w:r w:rsidRPr="00305A20">
        <w:rPr>
          <w:rFonts w:eastAsia="Time New Roman" w:cs="Times New Roman"/>
          <w:sz w:val="24"/>
          <w:szCs w:val="24"/>
        </w:rPr>
        <w:t xml:space="preserve">” which carves out dedicated planning time each day for teachers to plan across </w:t>
      </w:r>
      <w:r w:rsidR="003769B9">
        <w:rPr>
          <w:rFonts w:eastAsia="Time New Roman" w:cs="Times New Roman"/>
          <w:sz w:val="24"/>
          <w:szCs w:val="24"/>
        </w:rPr>
        <w:t>content</w:t>
      </w:r>
      <w:r w:rsidR="006061C0">
        <w:rPr>
          <w:rFonts w:eastAsia="Time New Roman" w:cs="Times New Roman"/>
          <w:sz w:val="24"/>
          <w:szCs w:val="24"/>
        </w:rPr>
        <w:t>-</w:t>
      </w:r>
      <w:r w:rsidR="003769B9">
        <w:rPr>
          <w:rFonts w:eastAsia="Time New Roman" w:cs="Times New Roman"/>
          <w:sz w:val="24"/>
          <w:szCs w:val="24"/>
        </w:rPr>
        <w:t xml:space="preserve">area </w:t>
      </w:r>
      <w:r w:rsidRPr="00305A20">
        <w:rPr>
          <w:rFonts w:eastAsia="Time New Roman" w:cs="Times New Roman"/>
          <w:sz w:val="24"/>
          <w:szCs w:val="24"/>
        </w:rPr>
        <w:t xml:space="preserve">teams. This initiative was designed with the school’s English as a </w:t>
      </w:r>
      <w:r w:rsidR="006061C0" w:rsidRPr="00305A20">
        <w:rPr>
          <w:rFonts w:eastAsia="Time New Roman" w:cs="Times New Roman"/>
          <w:sz w:val="24"/>
          <w:szCs w:val="24"/>
        </w:rPr>
        <w:t xml:space="preserve">second language </w:t>
      </w:r>
      <w:r w:rsidRPr="00305A20">
        <w:rPr>
          <w:rFonts w:eastAsia="Time New Roman" w:cs="Times New Roman"/>
          <w:sz w:val="24"/>
          <w:szCs w:val="24"/>
        </w:rPr>
        <w:t xml:space="preserve">(ESL) instructors in mind as a time for ESL and general content teachers to partner and plan. </w:t>
      </w:r>
    </w:p>
    <w:p w14:paraId="0A171F26"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 xml:space="preserve">Highlight: </w:t>
      </w:r>
      <w:r w:rsidRPr="00305A20">
        <w:rPr>
          <w:rFonts w:eastAsia="Time New Roman" w:cs="Times New Roman"/>
          <w:sz w:val="24"/>
          <w:szCs w:val="24"/>
        </w:rPr>
        <w:t xml:space="preserve">The school’s </w:t>
      </w:r>
      <w:r w:rsidR="00624E26" w:rsidRPr="00305A20">
        <w:rPr>
          <w:rFonts w:eastAsia="Time New Roman" w:cs="Times New Roman"/>
          <w:sz w:val="24"/>
          <w:szCs w:val="24"/>
        </w:rPr>
        <w:t xml:space="preserve">special education </w:t>
      </w:r>
      <w:r w:rsidRPr="00305A20">
        <w:rPr>
          <w:rFonts w:eastAsia="Time New Roman" w:cs="Times New Roman"/>
          <w:sz w:val="24"/>
          <w:szCs w:val="24"/>
        </w:rPr>
        <w:t xml:space="preserve">Dean of Curriculum and Instruction attended an intensive professional development series led by the UP Education Network Academic team. This series, focused on supporting and coaching </w:t>
      </w:r>
      <w:r w:rsidR="00AA7044" w:rsidRPr="00305A20">
        <w:rPr>
          <w:rFonts w:eastAsia="Time New Roman" w:cs="Times New Roman"/>
          <w:sz w:val="24"/>
          <w:szCs w:val="24"/>
        </w:rPr>
        <w:t xml:space="preserve">special education </w:t>
      </w:r>
      <w:r w:rsidRPr="00305A20">
        <w:rPr>
          <w:rFonts w:eastAsia="Time New Roman" w:cs="Times New Roman"/>
          <w:sz w:val="24"/>
          <w:szCs w:val="24"/>
        </w:rPr>
        <w:t xml:space="preserve">teachers, </w:t>
      </w:r>
      <w:r w:rsidRPr="00305A20">
        <w:rPr>
          <w:rFonts w:eastAsia="Time New Roman" w:cs="Times New Roman"/>
          <w:sz w:val="24"/>
          <w:szCs w:val="24"/>
        </w:rPr>
        <w:lastRenderedPageBreak/>
        <w:t xml:space="preserve">allowed </w:t>
      </w:r>
      <w:r w:rsidR="00624E26">
        <w:rPr>
          <w:rFonts w:eastAsia="Time New Roman" w:cs="Times New Roman"/>
          <w:sz w:val="24"/>
          <w:szCs w:val="24"/>
        </w:rPr>
        <w:t xml:space="preserve">special education </w:t>
      </w:r>
      <w:r w:rsidR="006A2DE1" w:rsidRPr="00247912">
        <w:rPr>
          <w:rFonts w:eastAsia="Time New Roman" w:cs="Times New Roman"/>
          <w:sz w:val="24"/>
          <w:szCs w:val="24"/>
        </w:rPr>
        <w:t xml:space="preserve">Deans of Curriculum and Instruction </w:t>
      </w:r>
      <w:r w:rsidRPr="00305A20">
        <w:rPr>
          <w:rFonts w:eastAsia="Time New Roman" w:cs="Times New Roman"/>
          <w:sz w:val="24"/>
          <w:szCs w:val="24"/>
        </w:rPr>
        <w:t xml:space="preserve">from across the network to connect and share best practices. </w:t>
      </w:r>
    </w:p>
    <w:p w14:paraId="0A171F27"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UP Academy Holland has partnered with Ramapo for Children with the aim of learning additional best practices in supporting students with acute social and emotional learning needs. </w:t>
      </w:r>
      <w:r w:rsidR="00EF0835">
        <w:rPr>
          <w:rFonts w:eastAsia="Time New Roman" w:cs="Times New Roman"/>
          <w:sz w:val="24"/>
          <w:szCs w:val="24"/>
        </w:rPr>
        <w:t>Ramapo for Children will partner with the school’s Deans to provide coaching around supporting students’ social and emotional learning needs.</w:t>
      </w:r>
    </w:p>
    <w:p w14:paraId="0A171F28" w14:textId="77777777" w:rsidR="00B57FF3" w:rsidRPr="00305A20" w:rsidRDefault="003246FB" w:rsidP="0031481E">
      <w:pPr>
        <w:pStyle w:val="Bullet1Last"/>
        <w:numPr>
          <w:ilvl w:val="0"/>
          <w:numId w:val="6"/>
        </w:numPr>
        <w:spacing w:after="0"/>
        <w:rPr>
          <w:rFonts w:eastAsia="Time New Roman" w:cs="Times New Roman"/>
          <w:sz w:val="24"/>
          <w:szCs w:val="24"/>
        </w:rPr>
      </w:pPr>
      <w:r w:rsidRPr="00305A20">
        <w:rPr>
          <w:rFonts w:eastAsia="Time New Roman" w:cs="Times New Roman"/>
          <w:b/>
          <w:bCs/>
          <w:sz w:val="24"/>
          <w:szCs w:val="24"/>
        </w:rPr>
        <w:t>Challenge:</w:t>
      </w:r>
      <w:r w:rsidRPr="00305A20">
        <w:rPr>
          <w:rFonts w:eastAsia="Time New Roman" w:cs="Times New Roman"/>
          <w:sz w:val="24"/>
          <w:szCs w:val="24"/>
        </w:rPr>
        <w:t xml:space="preserve"> </w:t>
      </w:r>
      <w:r w:rsidRPr="00305A20">
        <w:rPr>
          <w:rFonts w:eastAsia="Time New Roman" w:cs="Times New Roman"/>
          <w:sz w:val="24"/>
          <w:szCs w:val="24"/>
          <w:u w:color="808080"/>
        </w:rPr>
        <w:t xml:space="preserve">The school would like to encourage </w:t>
      </w:r>
      <w:r w:rsidR="0062019A">
        <w:rPr>
          <w:rFonts w:eastAsia="Time New Roman" w:cs="Times New Roman"/>
          <w:sz w:val="24"/>
          <w:szCs w:val="24"/>
          <w:u w:color="808080"/>
        </w:rPr>
        <w:t>all</w:t>
      </w:r>
      <w:r w:rsidR="0062019A" w:rsidRPr="00305A20">
        <w:rPr>
          <w:rFonts w:eastAsia="Time New Roman" w:cs="Times New Roman"/>
          <w:sz w:val="24"/>
          <w:szCs w:val="24"/>
          <w:u w:color="808080"/>
        </w:rPr>
        <w:t xml:space="preserve"> </w:t>
      </w:r>
      <w:r w:rsidRPr="00305A20">
        <w:rPr>
          <w:rFonts w:eastAsia="Time New Roman" w:cs="Times New Roman"/>
          <w:sz w:val="24"/>
          <w:szCs w:val="24"/>
          <w:u w:color="808080"/>
        </w:rPr>
        <w:t xml:space="preserve">teachers to pursue </w:t>
      </w:r>
      <w:r w:rsidR="00B63241">
        <w:rPr>
          <w:rFonts w:eastAsia="Time New Roman" w:cs="Times New Roman"/>
          <w:sz w:val="24"/>
          <w:szCs w:val="24"/>
          <w:u w:color="808080"/>
        </w:rPr>
        <w:t>Sheltered English Immersion (</w:t>
      </w:r>
      <w:r w:rsidR="003769B9">
        <w:rPr>
          <w:rFonts w:eastAsia="Time New Roman" w:cs="Times New Roman"/>
          <w:sz w:val="24"/>
          <w:szCs w:val="24"/>
          <w:u w:color="808080"/>
        </w:rPr>
        <w:t>SEI</w:t>
      </w:r>
      <w:r w:rsidR="00B63241">
        <w:rPr>
          <w:rFonts w:eastAsia="Time New Roman" w:cs="Times New Roman"/>
          <w:sz w:val="24"/>
          <w:szCs w:val="24"/>
          <w:u w:color="808080"/>
        </w:rPr>
        <w:t>)</w:t>
      </w:r>
      <w:r w:rsidR="003769B9">
        <w:rPr>
          <w:rFonts w:eastAsia="Time New Roman" w:cs="Times New Roman"/>
          <w:sz w:val="24"/>
          <w:szCs w:val="24"/>
          <w:u w:color="808080"/>
        </w:rPr>
        <w:t xml:space="preserve"> endorsements </w:t>
      </w:r>
      <w:r w:rsidRPr="00305A20">
        <w:rPr>
          <w:rFonts w:eastAsia="Time New Roman" w:cs="Times New Roman"/>
          <w:sz w:val="24"/>
          <w:szCs w:val="24"/>
          <w:u w:color="808080"/>
        </w:rPr>
        <w:t xml:space="preserve">to better support English </w:t>
      </w:r>
      <w:r w:rsidR="00071CC2" w:rsidRPr="00305A20">
        <w:rPr>
          <w:rFonts w:eastAsia="Time New Roman" w:cs="Times New Roman"/>
          <w:sz w:val="24"/>
          <w:szCs w:val="24"/>
          <w:u w:color="808080"/>
        </w:rPr>
        <w:t>language learners</w:t>
      </w:r>
      <w:r w:rsidRPr="00305A20">
        <w:rPr>
          <w:rFonts w:eastAsia="Time New Roman" w:cs="Times New Roman"/>
          <w:sz w:val="24"/>
          <w:szCs w:val="24"/>
          <w:u w:color="808080"/>
        </w:rPr>
        <w:t>.</w:t>
      </w:r>
      <w:r w:rsidR="003769B9">
        <w:rPr>
          <w:rFonts w:eastAsia="Time New Roman" w:cs="Times New Roman"/>
          <w:sz w:val="24"/>
          <w:szCs w:val="24"/>
          <w:u w:color="808080"/>
        </w:rPr>
        <w:t xml:space="preserve"> The school is working with the UP Education Network</w:t>
      </w:r>
      <w:r w:rsidR="006A2DE1">
        <w:rPr>
          <w:rFonts w:eastAsia="Time New Roman" w:cs="Times New Roman"/>
          <w:sz w:val="24"/>
          <w:szCs w:val="24"/>
          <w:u w:color="808080"/>
        </w:rPr>
        <w:t>’s</w:t>
      </w:r>
      <w:r w:rsidR="003769B9">
        <w:rPr>
          <w:rFonts w:eastAsia="Time New Roman" w:cs="Times New Roman"/>
          <w:sz w:val="24"/>
          <w:szCs w:val="24"/>
          <w:u w:color="808080"/>
        </w:rPr>
        <w:t xml:space="preserve"> Director of English Language Learning and Talent Program and Policy team to better understand what incentives it might be able to offer to teachers.</w:t>
      </w:r>
    </w:p>
    <w:p w14:paraId="0A171F29" w14:textId="77777777" w:rsidR="00B57FF3" w:rsidRPr="00305A20" w:rsidRDefault="003246FB" w:rsidP="00BA2328">
      <w:pPr>
        <w:pStyle w:val="BodyText"/>
        <w:spacing w:before="240"/>
        <w:rPr>
          <w:rFonts w:cs="Times New Roman"/>
        </w:rPr>
      </w:pPr>
      <w:r w:rsidRPr="00305A20">
        <w:rPr>
          <w:rFonts w:eastAsia="Time New Roman" w:cs="Times New Roman"/>
          <w:b/>
          <w:bCs/>
        </w:rPr>
        <w:t xml:space="preserve">Priority Area 4: </w:t>
      </w:r>
      <w:r w:rsidRPr="00305A20">
        <w:rPr>
          <w:rFonts w:cs="Times New Roman"/>
        </w:rPr>
        <w:t>Recruit and hire extraordinary leaders, teachers, and support staff, and build and utilize systems to evaluate, develop, promote, reward, and retain this staff over the long term.</w:t>
      </w:r>
    </w:p>
    <w:p w14:paraId="0A171F2A" w14:textId="77777777" w:rsidR="00B57FF3" w:rsidRPr="00305A20" w:rsidRDefault="003246FB" w:rsidP="0031481E">
      <w:pPr>
        <w:pStyle w:val="Bullet1"/>
        <w:numPr>
          <w:ilvl w:val="0"/>
          <w:numId w:val="6"/>
        </w:numPr>
        <w:rPr>
          <w:rFonts w:eastAsia="Time New Roman" w:cs="Times New Roman"/>
          <w:sz w:val="24"/>
          <w:szCs w:val="24"/>
        </w:rPr>
      </w:pPr>
      <w:r w:rsidRPr="00305A20">
        <w:rPr>
          <w:rFonts w:eastAsia="Time New Roman" w:cs="Times New Roman"/>
          <w:b/>
          <w:bCs/>
          <w:sz w:val="24"/>
          <w:szCs w:val="24"/>
        </w:rPr>
        <w:t xml:space="preserve">Highlight: </w:t>
      </w:r>
      <w:r w:rsidRPr="00305A20">
        <w:rPr>
          <w:rFonts w:eastAsia="Time New Roman" w:cs="Times New Roman"/>
          <w:sz w:val="24"/>
          <w:szCs w:val="24"/>
        </w:rPr>
        <w:t xml:space="preserve">UP Academy Holland’s school leadership team is 100% staffed. </w:t>
      </w:r>
      <w:r w:rsidR="00FE1F28">
        <w:rPr>
          <w:rFonts w:eastAsia="Time New Roman" w:cs="Times New Roman"/>
          <w:sz w:val="24"/>
          <w:szCs w:val="24"/>
        </w:rPr>
        <w:t>Six of the seven leadership team members are returning members (with the school principal moving from Dean to principal).</w:t>
      </w:r>
    </w:p>
    <w:p w14:paraId="0A171F2B" w14:textId="77777777" w:rsidR="00B57FF3" w:rsidRPr="00305A20" w:rsidRDefault="003246FB" w:rsidP="0031481E">
      <w:pPr>
        <w:pStyle w:val="Bullet1"/>
        <w:numPr>
          <w:ilvl w:val="0"/>
          <w:numId w:val="5"/>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At the time of this report, the UP Academy Holland instructional staff was 100% staffed (does not include UP Teaching Fellows)</w:t>
      </w:r>
      <w:r w:rsidR="0062019A">
        <w:rPr>
          <w:rFonts w:eastAsia="Time New Roman" w:cs="Times New Roman"/>
          <w:sz w:val="24"/>
          <w:szCs w:val="24"/>
        </w:rPr>
        <w:t xml:space="preserve"> into new and consolidated positions</w:t>
      </w:r>
      <w:r w:rsidRPr="00305A20">
        <w:rPr>
          <w:rFonts w:eastAsia="Time New Roman" w:cs="Times New Roman"/>
          <w:sz w:val="24"/>
          <w:szCs w:val="24"/>
        </w:rPr>
        <w:t xml:space="preserve">. </w:t>
      </w:r>
      <w:r w:rsidR="00FE1F28">
        <w:rPr>
          <w:rFonts w:eastAsia="Time New Roman" w:cs="Times New Roman"/>
          <w:sz w:val="24"/>
          <w:szCs w:val="24"/>
        </w:rPr>
        <w:t>This includes 38 instructional staff members who are new to the school.</w:t>
      </w:r>
      <w:r w:rsidR="00D37BA0">
        <w:rPr>
          <w:rFonts w:eastAsia="Time New Roman" w:cs="Times New Roman"/>
          <w:sz w:val="24"/>
          <w:szCs w:val="24"/>
        </w:rPr>
        <w:t xml:space="preserve"> Overall, 62% of staff at UP Academy Holland (54 out of 86) are returning from the previous school year.</w:t>
      </w:r>
    </w:p>
    <w:p w14:paraId="0A171F2C" w14:textId="77777777" w:rsidR="00B57FF3" w:rsidRPr="00305A20" w:rsidRDefault="003246FB" w:rsidP="0031481E">
      <w:pPr>
        <w:pStyle w:val="Bullet1"/>
        <w:numPr>
          <w:ilvl w:val="0"/>
          <w:numId w:val="5"/>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w:t>
      </w:r>
      <w:r w:rsidRPr="00305A20">
        <w:rPr>
          <w:rFonts w:eastAsia="Time New Roman" w:cs="Times New Roman"/>
          <w:sz w:val="24"/>
          <w:szCs w:val="24"/>
          <w:u w:color="808080"/>
        </w:rPr>
        <w:t>This school year, UP Academy Holland will take part in the UP Education Network UP Teaching Fellows program. This innovative teacher preparation program, run in partnership with the Sposato Graduate School of Education, is aimed at building a pipeline of exceptionally</w:t>
      </w:r>
      <w:r w:rsidR="0047377E">
        <w:rPr>
          <w:rFonts w:eastAsia="Time New Roman" w:cs="Times New Roman"/>
          <w:sz w:val="24"/>
          <w:szCs w:val="24"/>
          <w:u w:color="808080"/>
        </w:rPr>
        <w:t xml:space="preserve"> </w:t>
      </w:r>
      <w:r w:rsidRPr="00305A20">
        <w:rPr>
          <w:rFonts w:eastAsia="Time New Roman" w:cs="Times New Roman"/>
          <w:sz w:val="24"/>
          <w:szCs w:val="24"/>
          <w:u w:color="808080"/>
        </w:rPr>
        <w:t xml:space="preserve">trained teachers at UP Education Network schools. </w:t>
      </w:r>
      <w:r w:rsidR="00FE1F28">
        <w:rPr>
          <w:rFonts w:eastAsia="Time New Roman" w:cs="Times New Roman"/>
          <w:sz w:val="24"/>
          <w:szCs w:val="24"/>
          <w:u w:color="808080"/>
        </w:rPr>
        <w:t xml:space="preserve">Teaching fellows at </w:t>
      </w:r>
      <w:r w:rsidR="00D37BA0">
        <w:rPr>
          <w:rFonts w:eastAsia="Time New Roman" w:cs="Times New Roman"/>
          <w:sz w:val="24"/>
          <w:szCs w:val="24"/>
          <w:u w:color="808080"/>
        </w:rPr>
        <w:t xml:space="preserve">UP Academy </w:t>
      </w:r>
      <w:r w:rsidR="00FE1F28">
        <w:rPr>
          <w:rFonts w:eastAsia="Time New Roman" w:cs="Times New Roman"/>
          <w:sz w:val="24"/>
          <w:szCs w:val="24"/>
          <w:u w:color="808080"/>
        </w:rPr>
        <w:t xml:space="preserve">Holland will provide additional capacity when the school has coverage needs. </w:t>
      </w:r>
    </w:p>
    <w:p w14:paraId="0A171F2D" w14:textId="77777777" w:rsidR="00B57FF3" w:rsidRPr="00305A20" w:rsidRDefault="003246FB" w:rsidP="0031481E">
      <w:pPr>
        <w:pStyle w:val="Bullet1Last"/>
        <w:numPr>
          <w:ilvl w:val="0"/>
          <w:numId w:val="5"/>
        </w:numPr>
        <w:spacing w:after="0"/>
        <w:rPr>
          <w:rFonts w:eastAsia="Time New Roman" w:cs="Times New Roman"/>
          <w:sz w:val="24"/>
          <w:szCs w:val="24"/>
        </w:rPr>
      </w:pPr>
      <w:r w:rsidRPr="00305A20">
        <w:rPr>
          <w:rFonts w:eastAsia="Time New Roman" w:cs="Times New Roman"/>
          <w:b/>
          <w:bCs/>
          <w:sz w:val="24"/>
          <w:szCs w:val="24"/>
        </w:rPr>
        <w:t xml:space="preserve">Challenge: </w:t>
      </w:r>
      <w:r w:rsidRPr="00305A20">
        <w:rPr>
          <w:rFonts w:eastAsia="Time New Roman" w:cs="Times New Roman"/>
          <w:sz w:val="24"/>
          <w:szCs w:val="24"/>
        </w:rPr>
        <w:t xml:space="preserve">Two UP Teaching Fellows placements remain open at UP Academy Holland. The UP Education Network recruitment team is holding selection days for the remaining vacancies. </w:t>
      </w:r>
    </w:p>
    <w:p w14:paraId="0A171F2E" w14:textId="77777777" w:rsidR="00B57FF3" w:rsidRPr="00305A20" w:rsidRDefault="003246FB" w:rsidP="00BA2328">
      <w:pPr>
        <w:pStyle w:val="BodyText"/>
        <w:keepNext/>
        <w:spacing w:before="240"/>
        <w:rPr>
          <w:rFonts w:cs="Times New Roman"/>
        </w:rPr>
      </w:pPr>
      <w:r w:rsidRPr="00305A20">
        <w:rPr>
          <w:rFonts w:eastAsia="Time New Roman" w:cs="Times New Roman"/>
          <w:b/>
          <w:bCs/>
        </w:rPr>
        <w:t xml:space="preserve">Priority Area 5: </w:t>
      </w:r>
      <w:r w:rsidRPr="00305A20">
        <w:rPr>
          <w:rFonts w:cs="Times New Roman"/>
        </w:rPr>
        <w:t>Fully engage all of the school</w:t>
      </w:r>
      <w:r w:rsidRPr="00305A20">
        <w:rPr>
          <w:rFonts w:cs="Times New Roman"/>
          <w:lang w:val="fr-FR"/>
        </w:rPr>
        <w:t>’</w:t>
      </w:r>
      <w:r w:rsidRPr="00305A20">
        <w:rPr>
          <w:rFonts w:cs="Times New Roman"/>
        </w:rPr>
        <w:t>s families in the learning of their children.</w:t>
      </w:r>
    </w:p>
    <w:p w14:paraId="0A171F2F" w14:textId="77777777" w:rsidR="00B57FF3" w:rsidRPr="00305A20" w:rsidRDefault="003246FB" w:rsidP="0031481E">
      <w:pPr>
        <w:pStyle w:val="Bullet1"/>
        <w:numPr>
          <w:ilvl w:val="0"/>
          <w:numId w:val="5"/>
        </w:numPr>
        <w:rPr>
          <w:rFonts w:eastAsia="Time New Roman" w:cs="Times New Roman"/>
          <w:sz w:val="24"/>
          <w:szCs w:val="24"/>
        </w:rPr>
      </w:pPr>
      <w:r w:rsidRPr="00305A20">
        <w:rPr>
          <w:rFonts w:eastAsia="Time New Roman" w:cs="Times New Roman"/>
          <w:b/>
          <w:bCs/>
          <w:sz w:val="24"/>
          <w:szCs w:val="24"/>
        </w:rPr>
        <w:t>Highlight:</w:t>
      </w:r>
      <w:r w:rsidRPr="00305A20">
        <w:rPr>
          <w:rFonts w:eastAsia="Time New Roman" w:cs="Times New Roman"/>
          <w:sz w:val="24"/>
          <w:szCs w:val="24"/>
        </w:rPr>
        <w:t xml:space="preserve"> </w:t>
      </w:r>
      <w:r w:rsidRPr="00305A20">
        <w:rPr>
          <w:rFonts w:eastAsia="Time New Roman" w:cs="Times New Roman"/>
          <w:sz w:val="24"/>
          <w:szCs w:val="24"/>
          <w:u w:color="808080"/>
        </w:rPr>
        <w:t xml:space="preserve">UP Academy Holland hosted four separate family nights to accommodate parent schedules. The orientation sessions were well attended and provided families with an overview of the UP Academy Holland student/family experience according to grade band. </w:t>
      </w:r>
    </w:p>
    <w:p w14:paraId="0A171F30" w14:textId="77777777" w:rsidR="00B57FF3" w:rsidRPr="00305A20" w:rsidRDefault="003246FB" w:rsidP="0031481E">
      <w:pPr>
        <w:pStyle w:val="Bullet1"/>
        <w:numPr>
          <w:ilvl w:val="0"/>
          <w:numId w:val="5"/>
        </w:numPr>
        <w:rPr>
          <w:rFonts w:eastAsia="Time New Roman" w:cs="Times New Roman"/>
          <w:sz w:val="24"/>
          <w:szCs w:val="24"/>
        </w:rPr>
      </w:pPr>
      <w:r w:rsidRPr="00305A20">
        <w:rPr>
          <w:rFonts w:eastAsia="Time New Roman" w:cs="Times New Roman"/>
          <w:b/>
          <w:bCs/>
          <w:sz w:val="24"/>
          <w:szCs w:val="24"/>
        </w:rPr>
        <w:t xml:space="preserve">Highlight: </w:t>
      </w:r>
      <w:r w:rsidRPr="00305A20">
        <w:rPr>
          <w:rFonts w:eastAsia="Time New Roman" w:cs="Times New Roman"/>
          <w:sz w:val="24"/>
          <w:szCs w:val="24"/>
        </w:rPr>
        <w:t xml:space="preserve">This school year, UP Academy Holland will use DeansList to track family communication. All staff members were trained on logging family communication in DeansList over the summer. </w:t>
      </w:r>
    </w:p>
    <w:p w14:paraId="0A171F31" w14:textId="77777777" w:rsidR="00B57FF3" w:rsidRPr="00305A20" w:rsidRDefault="003246FB" w:rsidP="0031481E">
      <w:pPr>
        <w:pStyle w:val="Bullet1"/>
        <w:numPr>
          <w:ilvl w:val="0"/>
          <w:numId w:val="5"/>
        </w:numPr>
        <w:rPr>
          <w:rFonts w:eastAsia="Time New Roman" w:cs="Times New Roman"/>
          <w:sz w:val="24"/>
          <w:szCs w:val="24"/>
        </w:rPr>
      </w:pPr>
      <w:r w:rsidRPr="00305A20">
        <w:rPr>
          <w:rFonts w:eastAsia="Time New Roman" w:cs="Times New Roman"/>
          <w:b/>
          <w:bCs/>
          <w:sz w:val="24"/>
          <w:szCs w:val="24"/>
        </w:rPr>
        <w:lastRenderedPageBreak/>
        <w:t>Highlight:</w:t>
      </w:r>
      <w:r w:rsidRPr="00305A20">
        <w:rPr>
          <w:rFonts w:eastAsia="Time New Roman" w:cs="Times New Roman"/>
          <w:sz w:val="24"/>
          <w:szCs w:val="24"/>
        </w:rPr>
        <w:t xml:space="preserve"> </w:t>
      </w:r>
      <w:r w:rsidRPr="00305A20">
        <w:rPr>
          <w:rFonts w:eastAsia="Time New Roman" w:cs="Times New Roman"/>
          <w:sz w:val="24"/>
          <w:szCs w:val="24"/>
          <w:u w:color="808080"/>
        </w:rPr>
        <w:t xml:space="preserve">The UP Education Network Director of Family and Community Engagement led a professional development session at the school focused on building authentic relationships and trust with families. </w:t>
      </w:r>
      <w:r w:rsidR="00FE1F28">
        <w:rPr>
          <w:rFonts w:eastAsia="Time New Roman" w:cs="Times New Roman"/>
          <w:sz w:val="24"/>
          <w:szCs w:val="24"/>
          <w:u w:color="808080"/>
        </w:rPr>
        <w:t>All tea</w:t>
      </w:r>
      <w:r w:rsidR="00622439">
        <w:rPr>
          <w:rFonts w:eastAsia="Time New Roman" w:cs="Times New Roman"/>
          <w:sz w:val="24"/>
          <w:szCs w:val="24"/>
          <w:u w:color="808080"/>
        </w:rPr>
        <w:t xml:space="preserve">chers attended this session which highlighted a variety of communication </w:t>
      </w:r>
      <w:r w:rsidR="007C56B3">
        <w:rPr>
          <w:rFonts w:eastAsia="Time New Roman" w:cs="Times New Roman"/>
          <w:sz w:val="24"/>
          <w:szCs w:val="24"/>
          <w:u w:color="808080"/>
        </w:rPr>
        <w:t xml:space="preserve">strategies </w:t>
      </w:r>
      <w:r w:rsidR="00622439">
        <w:rPr>
          <w:rFonts w:eastAsia="Time New Roman" w:cs="Times New Roman"/>
          <w:sz w:val="24"/>
          <w:szCs w:val="24"/>
          <w:u w:color="808080"/>
        </w:rPr>
        <w:t xml:space="preserve">and best practices. </w:t>
      </w:r>
    </w:p>
    <w:p w14:paraId="0A171F32" w14:textId="77777777" w:rsidR="00B57FF3" w:rsidRPr="00305A20" w:rsidRDefault="003246FB" w:rsidP="0031481E">
      <w:pPr>
        <w:pStyle w:val="Bullet1Last"/>
        <w:numPr>
          <w:ilvl w:val="0"/>
          <w:numId w:val="5"/>
        </w:numPr>
        <w:spacing w:after="0"/>
        <w:rPr>
          <w:rFonts w:eastAsia="Time New Roman" w:cs="Times New Roman"/>
          <w:sz w:val="24"/>
          <w:szCs w:val="24"/>
        </w:rPr>
      </w:pPr>
      <w:r w:rsidRPr="00305A20">
        <w:rPr>
          <w:rFonts w:eastAsia="Time New Roman" w:cs="Times New Roman"/>
          <w:b/>
          <w:bCs/>
          <w:sz w:val="24"/>
          <w:szCs w:val="24"/>
        </w:rPr>
        <w:t>Challenge:</w:t>
      </w:r>
      <w:r w:rsidRPr="00305A20">
        <w:rPr>
          <w:rFonts w:eastAsia="Time New Roman" w:cs="Times New Roman"/>
          <w:sz w:val="24"/>
          <w:szCs w:val="24"/>
        </w:rPr>
        <w:t xml:space="preserve"> </w:t>
      </w:r>
      <w:r w:rsidRPr="00305A20">
        <w:rPr>
          <w:rFonts w:eastAsia="Time New Roman" w:cs="Times New Roman"/>
          <w:sz w:val="24"/>
          <w:szCs w:val="24"/>
          <w:u w:color="808080"/>
        </w:rPr>
        <w:t>UP Academy Holland did not systematically track family communication across grade levels during school year 2015</w:t>
      </w:r>
      <w:r w:rsidR="003E50A1">
        <w:rPr>
          <w:rFonts w:eastAsia="Time New Roman" w:cs="Times New Roman"/>
          <w:sz w:val="24"/>
          <w:szCs w:val="24"/>
          <w:u w:color="808080"/>
        </w:rPr>
        <w:t>–</w:t>
      </w:r>
      <w:r w:rsidRPr="00305A20">
        <w:rPr>
          <w:rFonts w:eastAsia="Time New Roman" w:cs="Times New Roman"/>
          <w:sz w:val="24"/>
          <w:szCs w:val="24"/>
          <w:u w:color="808080"/>
        </w:rPr>
        <w:t>16</w:t>
      </w:r>
      <w:r w:rsidR="0047377E">
        <w:rPr>
          <w:rFonts w:eastAsia="Time New Roman" w:cs="Times New Roman"/>
          <w:sz w:val="24"/>
          <w:szCs w:val="24"/>
          <w:u w:color="808080"/>
        </w:rPr>
        <w:t>,</w:t>
      </w:r>
      <w:r w:rsidRPr="00305A20">
        <w:rPr>
          <w:rFonts w:eastAsia="Time New Roman" w:cs="Times New Roman"/>
          <w:sz w:val="24"/>
          <w:szCs w:val="24"/>
          <w:u w:color="808080"/>
        </w:rPr>
        <w:t xml:space="preserve"> although teachers were having regular and consistent communication with families. Although the school has adopted DeansList, the school leadership team will need </w:t>
      </w:r>
      <w:r w:rsidR="003E50A1">
        <w:rPr>
          <w:rFonts w:eastAsia="Time New Roman" w:cs="Times New Roman"/>
          <w:sz w:val="24"/>
          <w:szCs w:val="24"/>
          <w:u w:color="808080"/>
        </w:rPr>
        <w:t xml:space="preserve">to </w:t>
      </w:r>
      <w:r w:rsidRPr="00305A20">
        <w:rPr>
          <w:rFonts w:eastAsia="Time New Roman" w:cs="Times New Roman"/>
          <w:sz w:val="24"/>
          <w:szCs w:val="24"/>
          <w:u w:color="808080"/>
        </w:rPr>
        <w:t xml:space="preserve">continuously </w:t>
      </w:r>
      <w:r w:rsidR="0062019A">
        <w:rPr>
          <w:rFonts w:eastAsia="Time New Roman" w:cs="Times New Roman"/>
          <w:sz w:val="24"/>
          <w:szCs w:val="24"/>
          <w:u w:color="808080"/>
        </w:rPr>
        <w:t>interest</w:t>
      </w:r>
      <w:r w:rsidR="0062019A" w:rsidRPr="00305A20">
        <w:rPr>
          <w:rFonts w:eastAsia="Time New Roman" w:cs="Times New Roman"/>
          <w:sz w:val="24"/>
          <w:szCs w:val="24"/>
          <w:u w:color="808080"/>
        </w:rPr>
        <w:t xml:space="preserve"> </w:t>
      </w:r>
      <w:r w:rsidRPr="00305A20">
        <w:rPr>
          <w:rFonts w:eastAsia="Time New Roman" w:cs="Times New Roman"/>
          <w:sz w:val="24"/>
          <w:szCs w:val="24"/>
          <w:u w:color="808080"/>
        </w:rPr>
        <w:t xml:space="preserve">teachers in the importance of consistent data entry and tracking. </w:t>
      </w:r>
    </w:p>
    <w:sectPr w:rsidR="00B57FF3" w:rsidRPr="00305A20" w:rsidSect="004D08D5">
      <w:footerReference w:type="defaul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1F35" w14:textId="77777777" w:rsidR="00552E27" w:rsidRDefault="00552E27">
      <w:r>
        <w:separator/>
      </w:r>
    </w:p>
  </w:endnote>
  <w:endnote w:type="continuationSeparator" w:id="0">
    <w:p w14:paraId="0A171F36" w14:textId="77777777" w:rsidR="00552E27" w:rsidRDefault="0055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1F37" w14:textId="77777777" w:rsidR="00B57FF3" w:rsidRDefault="003246FB">
    <w:pPr>
      <w:pStyle w:val="Footer"/>
      <w:tabs>
        <w:tab w:val="clear" w:pos="4320"/>
        <w:tab w:val="clear" w:pos="8640"/>
        <w:tab w:val="right" w:pos="9340"/>
      </w:tabs>
    </w:pPr>
    <w:r>
      <w:rPr>
        <w:sz w:val="20"/>
        <w:szCs w:val="20"/>
      </w:rPr>
      <w:t>Level 5 Schools Quarterly Report</w:t>
    </w:r>
    <w:r>
      <w:rPr>
        <w:sz w:val="20"/>
        <w:szCs w:val="20"/>
      </w:rPr>
      <w:tab/>
      <w:t>UP Academy Holland—</w:t>
    </w:r>
    <w:r w:rsidR="00504F28">
      <w:rPr>
        <w:sz w:val="20"/>
        <w:szCs w:val="20"/>
      </w:rPr>
      <w:fldChar w:fldCharType="begin"/>
    </w:r>
    <w:r>
      <w:rPr>
        <w:sz w:val="20"/>
        <w:szCs w:val="20"/>
      </w:rPr>
      <w:instrText xml:space="preserve"> PAGE </w:instrText>
    </w:r>
    <w:r w:rsidR="00504F28">
      <w:rPr>
        <w:sz w:val="20"/>
        <w:szCs w:val="20"/>
      </w:rPr>
      <w:fldChar w:fldCharType="separate"/>
    </w:r>
    <w:r w:rsidR="002614EF">
      <w:rPr>
        <w:noProof/>
        <w:sz w:val="20"/>
        <w:szCs w:val="20"/>
      </w:rPr>
      <w:t>5</w:t>
    </w:r>
    <w:r w:rsidR="00504F28">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1F38" w14:textId="77777777" w:rsidR="00B57FF3" w:rsidRDefault="003246FB">
    <w:pPr>
      <w:pStyle w:val="Footer"/>
      <w:tabs>
        <w:tab w:val="clear" w:pos="4320"/>
        <w:tab w:val="clear" w:pos="8640"/>
        <w:tab w:val="right" w:pos="9340"/>
      </w:tabs>
    </w:pPr>
    <w:r>
      <w:rPr>
        <w:sz w:val="20"/>
        <w:szCs w:val="20"/>
      </w:rPr>
      <w:t>Level 5 Schools Quarterly Report</w:t>
    </w:r>
    <w:r>
      <w:rPr>
        <w:sz w:val="20"/>
        <w:szCs w:val="20"/>
      </w:rPr>
      <w:tab/>
      <w:t>UP Academy Holland—</w:t>
    </w:r>
    <w:r w:rsidR="00504F28">
      <w:rPr>
        <w:sz w:val="20"/>
        <w:szCs w:val="20"/>
      </w:rPr>
      <w:fldChar w:fldCharType="begin"/>
    </w:r>
    <w:r>
      <w:rPr>
        <w:sz w:val="20"/>
        <w:szCs w:val="20"/>
      </w:rPr>
      <w:instrText xml:space="preserve"> PAGE </w:instrText>
    </w:r>
    <w:r w:rsidR="00504F28">
      <w:rPr>
        <w:sz w:val="20"/>
        <w:szCs w:val="20"/>
      </w:rPr>
      <w:fldChar w:fldCharType="separate"/>
    </w:r>
    <w:r w:rsidR="00842CFE">
      <w:rPr>
        <w:sz w:val="20"/>
        <w:szCs w:val="20"/>
      </w:rPr>
      <w:t>1</w:t>
    </w:r>
    <w:r w:rsidR="00504F2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71F33" w14:textId="77777777" w:rsidR="00552E27" w:rsidRDefault="00552E27">
      <w:r>
        <w:separator/>
      </w:r>
    </w:p>
  </w:footnote>
  <w:footnote w:type="continuationSeparator" w:id="0">
    <w:p w14:paraId="0A171F34" w14:textId="77777777" w:rsidR="00552E27" w:rsidRDefault="00552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7B77"/>
    <w:multiLevelType w:val="hybridMultilevel"/>
    <w:tmpl w:val="9278A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C0A44"/>
    <w:multiLevelType w:val="hybridMultilevel"/>
    <w:tmpl w:val="1EFE5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645F1"/>
    <w:multiLevelType w:val="hybridMultilevel"/>
    <w:tmpl w:val="038A3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55C85"/>
    <w:multiLevelType w:val="hybridMultilevel"/>
    <w:tmpl w:val="41EA1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97245"/>
    <w:multiLevelType w:val="hybridMultilevel"/>
    <w:tmpl w:val="FFF85804"/>
    <w:styleLink w:val="ImportedStyle2"/>
    <w:lvl w:ilvl="0" w:tplc="006EC1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BC38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64AB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49A7C6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F3AB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AC6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463E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ECC3C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5E4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523A3565"/>
    <w:multiLevelType w:val="hybridMultilevel"/>
    <w:tmpl w:val="40E63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C674E"/>
    <w:multiLevelType w:val="multilevel"/>
    <w:tmpl w:val="C0B2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F1C03"/>
    <w:multiLevelType w:val="hybridMultilevel"/>
    <w:tmpl w:val="FFF85804"/>
    <w:numStyleLink w:val="ImportedStyle2"/>
  </w:abstractNum>
  <w:abstractNum w:abstractNumId="8">
    <w:nsid w:val="7A99075F"/>
    <w:multiLevelType w:val="hybridMultilevel"/>
    <w:tmpl w:val="D73CB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lvlOverride w:ilvl="0">
      <w:lvl w:ilvl="0" w:tplc="7F94EA04">
        <w:start w:val="1"/>
        <w:numFmt w:val="bullet"/>
        <w:lvlText w:val="▪"/>
        <w:lvlJc w:val="left"/>
        <w:pPr>
          <w:ind w:left="7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sz w:val="24"/>
          <w:szCs w:val="24"/>
          <w:highlight w:val="none"/>
          <w:vertAlign w:val="baseline"/>
        </w:rPr>
      </w:lvl>
    </w:lvlOverride>
  </w:num>
  <w:num w:numId="3">
    <w:abstractNumId w:val="6"/>
  </w:num>
  <w:num w:numId="4">
    <w:abstractNumId w:val="7"/>
  </w:num>
  <w:num w:numId="5">
    <w:abstractNumId w:val="3"/>
  </w:num>
  <w:num w:numId="6">
    <w:abstractNumId w:val="0"/>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F3"/>
    <w:rsid w:val="000374DF"/>
    <w:rsid w:val="00043998"/>
    <w:rsid w:val="00052F52"/>
    <w:rsid w:val="00071CC2"/>
    <w:rsid w:val="000A469B"/>
    <w:rsid w:val="00152B1F"/>
    <w:rsid w:val="001750B7"/>
    <w:rsid w:val="002379EE"/>
    <w:rsid w:val="00247912"/>
    <w:rsid w:val="002614EF"/>
    <w:rsid w:val="00271653"/>
    <w:rsid w:val="00284935"/>
    <w:rsid w:val="00305A20"/>
    <w:rsid w:val="0030762B"/>
    <w:rsid w:val="0031481E"/>
    <w:rsid w:val="00322971"/>
    <w:rsid w:val="003246FB"/>
    <w:rsid w:val="0037588D"/>
    <w:rsid w:val="003769B9"/>
    <w:rsid w:val="003A780E"/>
    <w:rsid w:val="003C6579"/>
    <w:rsid w:val="003E50A1"/>
    <w:rsid w:val="00404BB2"/>
    <w:rsid w:val="0047377E"/>
    <w:rsid w:val="00484842"/>
    <w:rsid w:val="004A4A8E"/>
    <w:rsid w:val="004B2776"/>
    <w:rsid w:val="004C0C58"/>
    <w:rsid w:val="004D0457"/>
    <w:rsid w:val="004D08D5"/>
    <w:rsid w:val="004F2C96"/>
    <w:rsid w:val="00504F28"/>
    <w:rsid w:val="0050545E"/>
    <w:rsid w:val="00516915"/>
    <w:rsid w:val="00552E27"/>
    <w:rsid w:val="006061C0"/>
    <w:rsid w:val="0062019A"/>
    <w:rsid w:val="00622439"/>
    <w:rsid w:val="00623E87"/>
    <w:rsid w:val="00624E26"/>
    <w:rsid w:val="00626B20"/>
    <w:rsid w:val="006304AD"/>
    <w:rsid w:val="00635C7A"/>
    <w:rsid w:val="00654AF5"/>
    <w:rsid w:val="006A2DE1"/>
    <w:rsid w:val="006D0A97"/>
    <w:rsid w:val="00731E52"/>
    <w:rsid w:val="00755E4C"/>
    <w:rsid w:val="0076254E"/>
    <w:rsid w:val="007665A1"/>
    <w:rsid w:val="007A66C9"/>
    <w:rsid w:val="007C56B3"/>
    <w:rsid w:val="007E69D4"/>
    <w:rsid w:val="00842CFE"/>
    <w:rsid w:val="008E5D92"/>
    <w:rsid w:val="008F3B89"/>
    <w:rsid w:val="009A7588"/>
    <w:rsid w:val="009F253E"/>
    <w:rsid w:val="009F25EA"/>
    <w:rsid w:val="00A53D2E"/>
    <w:rsid w:val="00A71B9A"/>
    <w:rsid w:val="00AA7044"/>
    <w:rsid w:val="00B42220"/>
    <w:rsid w:val="00B57FF3"/>
    <w:rsid w:val="00B63241"/>
    <w:rsid w:val="00B976E0"/>
    <w:rsid w:val="00BA2328"/>
    <w:rsid w:val="00BC0A92"/>
    <w:rsid w:val="00BE7596"/>
    <w:rsid w:val="00CA1D0E"/>
    <w:rsid w:val="00CB1B1B"/>
    <w:rsid w:val="00CF30C2"/>
    <w:rsid w:val="00CF4B19"/>
    <w:rsid w:val="00D0777A"/>
    <w:rsid w:val="00D37BA0"/>
    <w:rsid w:val="00D519F5"/>
    <w:rsid w:val="00DE401F"/>
    <w:rsid w:val="00DF0108"/>
    <w:rsid w:val="00E947B2"/>
    <w:rsid w:val="00EB3ECB"/>
    <w:rsid w:val="00EF0835"/>
    <w:rsid w:val="00F02AFC"/>
    <w:rsid w:val="00F11B6F"/>
    <w:rsid w:val="00F33294"/>
    <w:rsid w:val="00FA64B4"/>
    <w:rsid w:val="00FC742A"/>
    <w:rsid w:val="00FE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7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8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08D5"/>
    <w:rPr>
      <w:u w:val="single"/>
    </w:rPr>
  </w:style>
  <w:style w:type="paragraph" w:customStyle="1" w:styleId="HeaderFooter">
    <w:name w:val="Header &amp; Footer"/>
    <w:rsid w:val="004D08D5"/>
    <w:pPr>
      <w:tabs>
        <w:tab w:val="right" w:pos="9020"/>
      </w:tabs>
    </w:pPr>
    <w:rPr>
      <w:rFonts w:ascii="Helvetica" w:hAnsi="Helvetica" w:cs="Arial Unicode MS"/>
      <w:color w:val="000000"/>
      <w:sz w:val="24"/>
      <w:szCs w:val="24"/>
    </w:rPr>
  </w:style>
  <w:style w:type="paragraph" w:styleId="Footer">
    <w:name w:val="footer"/>
    <w:rsid w:val="004D08D5"/>
    <w:pPr>
      <w:tabs>
        <w:tab w:val="center" w:pos="4320"/>
        <w:tab w:val="right" w:pos="8640"/>
      </w:tabs>
    </w:pPr>
    <w:rPr>
      <w:rFonts w:cs="Arial Unicode MS"/>
      <w:color w:val="000000"/>
      <w:sz w:val="24"/>
      <w:szCs w:val="24"/>
      <w:u w:color="000000"/>
    </w:rPr>
  </w:style>
  <w:style w:type="paragraph" w:customStyle="1" w:styleId="TableTitle">
    <w:name w:val="Table Title"/>
    <w:rsid w:val="004D08D5"/>
    <w:pPr>
      <w:spacing w:after="120"/>
      <w:jc w:val="center"/>
    </w:pPr>
    <w:rPr>
      <w:rFonts w:cs="Arial Unicode MS"/>
      <w:b/>
      <w:bCs/>
      <w:color w:val="000000"/>
      <w:sz w:val="24"/>
      <w:szCs w:val="24"/>
      <w:u w:color="000000"/>
    </w:rPr>
  </w:style>
  <w:style w:type="paragraph" w:customStyle="1" w:styleId="TableHeadingCenter">
    <w:name w:val="Table Heading Center"/>
    <w:qFormat/>
    <w:rsid w:val="004D08D5"/>
    <w:pPr>
      <w:jc w:val="center"/>
    </w:pPr>
    <w:rPr>
      <w:rFonts w:ascii="Time New Roman" w:eastAsia="Time New Roman" w:hAnsi="Time New Roman" w:cs="Time New Roman"/>
      <w:b/>
      <w:bCs/>
      <w:color w:val="000000"/>
      <w:sz w:val="22"/>
      <w:szCs w:val="22"/>
      <w:u w:color="000000"/>
    </w:rPr>
  </w:style>
  <w:style w:type="paragraph" w:customStyle="1" w:styleId="Body">
    <w:name w:val="Body"/>
    <w:rsid w:val="004D08D5"/>
    <w:pPr>
      <w:widowControl w:val="0"/>
    </w:pPr>
    <w:rPr>
      <w:rFonts w:cs="Arial Unicode MS"/>
      <w:color w:val="000000"/>
      <w:sz w:val="24"/>
      <w:szCs w:val="24"/>
      <w:u w:color="000000"/>
    </w:rPr>
  </w:style>
  <w:style w:type="paragraph" w:customStyle="1" w:styleId="TableSubheading">
    <w:name w:val="Table Subheading"/>
    <w:qFormat/>
    <w:rsid w:val="004D08D5"/>
    <w:rPr>
      <w:rFonts w:ascii="Time New Roman" w:eastAsia="Time New Roman" w:hAnsi="Time New Roman" w:cs="Time New Roman"/>
      <w:b/>
      <w:bCs/>
      <w:color w:val="000000"/>
      <w:sz w:val="22"/>
      <w:szCs w:val="22"/>
      <w:u w:color="000000"/>
    </w:rPr>
  </w:style>
  <w:style w:type="paragraph" w:customStyle="1" w:styleId="TableText">
    <w:name w:val="Table Text"/>
    <w:qFormat/>
    <w:rsid w:val="004D08D5"/>
    <w:rPr>
      <w:rFonts w:ascii="Time New Roman" w:eastAsia="Time New Roman" w:hAnsi="Time New Roman" w:cs="Time New Roman"/>
      <w:color w:val="000000"/>
      <w:sz w:val="22"/>
      <w:szCs w:val="22"/>
      <w:u w:color="000000"/>
    </w:rPr>
  </w:style>
  <w:style w:type="paragraph" w:customStyle="1" w:styleId="TableNoteSecond">
    <w:name w:val="Table Note Second"/>
    <w:rsid w:val="004D08D5"/>
    <w:rPr>
      <w:rFonts w:cs="Arial Unicode MS"/>
      <w:color w:val="000000"/>
      <w:sz w:val="18"/>
      <w:szCs w:val="18"/>
      <w:u w:color="000000"/>
    </w:rPr>
  </w:style>
  <w:style w:type="paragraph" w:customStyle="1" w:styleId="Heading">
    <w:name w:val="Heading"/>
    <w:next w:val="Body"/>
    <w:rsid w:val="004D08D5"/>
    <w:pPr>
      <w:keepNext/>
      <w:widowControl w:val="0"/>
      <w:tabs>
        <w:tab w:val="center" w:pos="4680"/>
      </w:tabs>
      <w:spacing w:before="240" w:after="120"/>
      <w:outlineLvl w:val="0"/>
    </w:pPr>
    <w:rPr>
      <w:rFonts w:cs="Arial Unicode MS"/>
      <w:b/>
      <w:bCs/>
      <w:color w:val="000000"/>
      <w:sz w:val="28"/>
      <w:szCs w:val="28"/>
      <w:u w:color="000000"/>
    </w:rPr>
  </w:style>
  <w:style w:type="paragraph" w:styleId="BodyText">
    <w:name w:val="Body Text"/>
    <w:rsid w:val="004D08D5"/>
    <w:pPr>
      <w:spacing w:after="240"/>
    </w:pPr>
    <w:rPr>
      <w:rFonts w:cs="Arial Unicode MS"/>
      <w:color w:val="000000"/>
      <w:sz w:val="24"/>
      <w:szCs w:val="24"/>
      <w:u w:color="000000"/>
    </w:rPr>
  </w:style>
  <w:style w:type="paragraph" w:customStyle="1" w:styleId="Bullet1">
    <w:name w:val="Bullet 1"/>
    <w:rsid w:val="004D08D5"/>
    <w:pPr>
      <w:spacing w:before="120"/>
    </w:pPr>
    <w:rPr>
      <w:rFonts w:cs="Arial Unicode MS"/>
      <w:color w:val="000000"/>
      <w:sz w:val="22"/>
      <w:szCs w:val="22"/>
      <w:u w:color="000000"/>
    </w:rPr>
  </w:style>
  <w:style w:type="numbering" w:customStyle="1" w:styleId="ImportedStyle2">
    <w:name w:val="Imported Style 2"/>
    <w:rsid w:val="004D08D5"/>
    <w:pPr>
      <w:numPr>
        <w:numId w:val="1"/>
      </w:numPr>
    </w:pPr>
  </w:style>
  <w:style w:type="paragraph" w:customStyle="1" w:styleId="Bullet1Last">
    <w:name w:val="Bullet 1 Last"/>
    <w:rsid w:val="004D08D5"/>
    <w:pPr>
      <w:spacing w:before="120" w:after="24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B4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20"/>
    <w:rPr>
      <w:rFonts w:ascii="Segoe UI" w:hAnsi="Segoe UI" w:cs="Segoe UI"/>
      <w:sz w:val="18"/>
      <w:szCs w:val="18"/>
    </w:rPr>
  </w:style>
  <w:style w:type="character" w:styleId="CommentReference">
    <w:name w:val="annotation reference"/>
    <w:basedOn w:val="DefaultParagraphFont"/>
    <w:uiPriority w:val="99"/>
    <w:semiHidden/>
    <w:unhideWhenUsed/>
    <w:rsid w:val="00B42220"/>
    <w:rPr>
      <w:sz w:val="16"/>
      <w:szCs w:val="16"/>
    </w:rPr>
  </w:style>
  <w:style w:type="paragraph" w:styleId="CommentText">
    <w:name w:val="annotation text"/>
    <w:basedOn w:val="Normal"/>
    <w:link w:val="CommentTextChar"/>
    <w:uiPriority w:val="99"/>
    <w:semiHidden/>
    <w:unhideWhenUsed/>
    <w:rsid w:val="00B42220"/>
    <w:rPr>
      <w:sz w:val="20"/>
      <w:szCs w:val="20"/>
    </w:rPr>
  </w:style>
  <w:style w:type="character" w:customStyle="1" w:styleId="CommentTextChar">
    <w:name w:val="Comment Text Char"/>
    <w:basedOn w:val="DefaultParagraphFont"/>
    <w:link w:val="CommentText"/>
    <w:uiPriority w:val="99"/>
    <w:semiHidden/>
    <w:rsid w:val="00B42220"/>
  </w:style>
  <w:style w:type="paragraph" w:styleId="CommentSubject">
    <w:name w:val="annotation subject"/>
    <w:basedOn w:val="CommentText"/>
    <w:next w:val="CommentText"/>
    <w:link w:val="CommentSubjectChar"/>
    <w:uiPriority w:val="99"/>
    <w:semiHidden/>
    <w:unhideWhenUsed/>
    <w:rsid w:val="00B42220"/>
    <w:rPr>
      <w:b/>
      <w:bCs/>
    </w:rPr>
  </w:style>
  <w:style w:type="character" w:customStyle="1" w:styleId="CommentSubjectChar">
    <w:name w:val="Comment Subject Char"/>
    <w:basedOn w:val="CommentTextChar"/>
    <w:link w:val="CommentSubject"/>
    <w:uiPriority w:val="99"/>
    <w:semiHidden/>
    <w:rsid w:val="00B42220"/>
    <w:rPr>
      <w:b/>
      <w:bCs/>
    </w:rPr>
  </w:style>
  <w:style w:type="paragraph" w:styleId="NormalWeb">
    <w:name w:val="Normal (Web)"/>
    <w:basedOn w:val="Normal"/>
    <w:uiPriority w:val="99"/>
    <w:semiHidden/>
    <w:unhideWhenUsed/>
    <w:rsid w:val="004F2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08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08D5"/>
    <w:rPr>
      <w:u w:val="single"/>
    </w:rPr>
  </w:style>
  <w:style w:type="paragraph" w:customStyle="1" w:styleId="HeaderFooter">
    <w:name w:val="Header &amp; Footer"/>
    <w:rsid w:val="004D08D5"/>
    <w:pPr>
      <w:tabs>
        <w:tab w:val="right" w:pos="9020"/>
      </w:tabs>
    </w:pPr>
    <w:rPr>
      <w:rFonts w:ascii="Helvetica" w:hAnsi="Helvetica" w:cs="Arial Unicode MS"/>
      <w:color w:val="000000"/>
      <w:sz w:val="24"/>
      <w:szCs w:val="24"/>
    </w:rPr>
  </w:style>
  <w:style w:type="paragraph" w:styleId="Footer">
    <w:name w:val="footer"/>
    <w:rsid w:val="004D08D5"/>
    <w:pPr>
      <w:tabs>
        <w:tab w:val="center" w:pos="4320"/>
        <w:tab w:val="right" w:pos="8640"/>
      </w:tabs>
    </w:pPr>
    <w:rPr>
      <w:rFonts w:cs="Arial Unicode MS"/>
      <w:color w:val="000000"/>
      <w:sz w:val="24"/>
      <w:szCs w:val="24"/>
      <w:u w:color="000000"/>
    </w:rPr>
  </w:style>
  <w:style w:type="paragraph" w:customStyle="1" w:styleId="TableTitle">
    <w:name w:val="Table Title"/>
    <w:rsid w:val="004D08D5"/>
    <w:pPr>
      <w:spacing w:after="120"/>
      <w:jc w:val="center"/>
    </w:pPr>
    <w:rPr>
      <w:rFonts w:cs="Arial Unicode MS"/>
      <w:b/>
      <w:bCs/>
      <w:color w:val="000000"/>
      <w:sz w:val="24"/>
      <w:szCs w:val="24"/>
      <w:u w:color="000000"/>
    </w:rPr>
  </w:style>
  <w:style w:type="paragraph" w:customStyle="1" w:styleId="TableHeadingCenter">
    <w:name w:val="Table Heading Center"/>
    <w:qFormat/>
    <w:rsid w:val="004D08D5"/>
    <w:pPr>
      <w:jc w:val="center"/>
    </w:pPr>
    <w:rPr>
      <w:rFonts w:ascii="Time New Roman" w:eastAsia="Time New Roman" w:hAnsi="Time New Roman" w:cs="Time New Roman"/>
      <w:b/>
      <w:bCs/>
      <w:color w:val="000000"/>
      <w:sz w:val="22"/>
      <w:szCs w:val="22"/>
      <w:u w:color="000000"/>
    </w:rPr>
  </w:style>
  <w:style w:type="paragraph" w:customStyle="1" w:styleId="Body">
    <w:name w:val="Body"/>
    <w:rsid w:val="004D08D5"/>
    <w:pPr>
      <w:widowControl w:val="0"/>
    </w:pPr>
    <w:rPr>
      <w:rFonts w:cs="Arial Unicode MS"/>
      <w:color w:val="000000"/>
      <w:sz w:val="24"/>
      <w:szCs w:val="24"/>
      <w:u w:color="000000"/>
    </w:rPr>
  </w:style>
  <w:style w:type="paragraph" w:customStyle="1" w:styleId="TableSubheading">
    <w:name w:val="Table Subheading"/>
    <w:qFormat/>
    <w:rsid w:val="004D08D5"/>
    <w:rPr>
      <w:rFonts w:ascii="Time New Roman" w:eastAsia="Time New Roman" w:hAnsi="Time New Roman" w:cs="Time New Roman"/>
      <w:b/>
      <w:bCs/>
      <w:color w:val="000000"/>
      <w:sz w:val="22"/>
      <w:szCs w:val="22"/>
      <w:u w:color="000000"/>
    </w:rPr>
  </w:style>
  <w:style w:type="paragraph" w:customStyle="1" w:styleId="TableText">
    <w:name w:val="Table Text"/>
    <w:qFormat/>
    <w:rsid w:val="004D08D5"/>
    <w:rPr>
      <w:rFonts w:ascii="Time New Roman" w:eastAsia="Time New Roman" w:hAnsi="Time New Roman" w:cs="Time New Roman"/>
      <w:color w:val="000000"/>
      <w:sz w:val="22"/>
      <w:szCs w:val="22"/>
      <w:u w:color="000000"/>
    </w:rPr>
  </w:style>
  <w:style w:type="paragraph" w:customStyle="1" w:styleId="TableNoteSecond">
    <w:name w:val="Table Note Second"/>
    <w:rsid w:val="004D08D5"/>
    <w:rPr>
      <w:rFonts w:cs="Arial Unicode MS"/>
      <w:color w:val="000000"/>
      <w:sz w:val="18"/>
      <w:szCs w:val="18"/>
      <w:u w:color="000000"/>
    </w:rPr>
  </w:style>
  <w:style w:type="paragraph" w:customStyle="1" w:styleId="Heading">
    <w:name w:val="Heading"/>
    <w:next w:val="Body"/>
    <w:rsid w:val="004D08D5"/>
    <w:pPr>
      <w:keepNext/>
      <w:widowControl w:val="0"/>
      <w:tabs>
        <w:tab w:val="center" w:pos="4680"/>
      </w:tabs>
      <w:spacing w:before="240" w:after="120"/>
      <w:outlineLvl w:val="0"/>
    </w:pPr>
    <w:rPr>
      <w:rFonts w:cs="Arial Unicode MS"/>
      <w:b/>
      <w:bCs/>
      <w:color w:val="000000"/>
      <w:sz w:val="28"/>
      <w:szCs w:val="28"/>
      <w:u w:color="000000"/>
    </w:rPr>
  </w:style>
  <w:style w:type="paragraph" w:styleId="BodyText">
    <w:name w:val="Body Text"/>
    <w:rsid w:val="004D08D5"/>
    <w:pPr>
      <w:spacing w:after="240"/>
    </w:pPr>
    <w:rPr>
      <w:rFonts w:cs="Arial Unicode MS"/>
      <w:color w:val="000000"/>
      <w:sz w:val="24"/>
      <w:szCs w:val="24"/>
      <w:u w:color="000000"/>
    </w:rPr>
  </w:style>
  <w:style w:type="paragraph" w:customStyle="1" w:styleId="Bullet1">
    <w:name w:val="Bullet 1"/>
    <w:rsid w:val="004D08D5"/>
    <w:pPr>
      <w:spacing w:before="120"/>
    </w:pPr>
    <w:rPr>
      <w:rFonts w:cs="Arial Unicode MS"/>
      <w:color w:val="000000"/>
      <w:sz w:val="22"/>
      <w:szCs w:val="22"/>
      <w:u w:color="000000"/>
    </w:rPr>
  </w:style>
  <w:style w:type="numbering" w:customStyle="1" w:styleId="ImportedStyle2">
    <w:name w:val="Imported Style 2"/>
    <w:rsid w:val="004D08D5"/>
    <w:pPr>
      <w:numPr>
        <w:numId w:val="1"/>
      </w:numPr>
    </w:pPr>
  </w:style>
  <w:style w:type="paragraph" w:customStyle="1" w:styleId="Bullet1Last">
    <w:name w:val="Bullet 1 Last"/>
    <w:rsid w:val="004D08D5"/>
    <w:pPr>
      <w:spacing w:before="120" w:after="24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B4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20"/>
    <w:rPr>
      <w:rFonts w:ascii="Segoe UI" w:hAnsi="Segoe UI" w:cs="Segoe UI"/>
      <w:sz w:val="18"/>
      <w:szCs w:val="18"/>
    </w:rPr>
  </w:style>
  <w:style w:type="character" w:styleId="CommentReference">
    <w:name w:val="annotation reference"/>
    <w:basedOn w:val="DefaultParagraphFont"/>
    <w:uiPriority w:val="99"/>
    <w:semiHidden/>
    <w:unhideWhenUsed/>
    <w:rsid w:val="00B42220"/>
    <w:rPr>
      <w:sz w:val="16"/>
      <w:szCs w:val="16"/>
    </w:rPr>
  </w:style>
  <w:style w:type="paragraph" w:styleId="CommentText">
    <w:name w:val="annotation text"/>
    <w:basedOn w:val="Normal"/>
    <w:link w:val="CommentTextChar"/>
    <w:uiPriority w:val="99"/>
    <w:semiHidden/>
    <w:unhideWhenUsed/>
    <w:rsid w:val="00B42220"/>
    <w:rPr>
      <w:sz w:val="20"/>
      <w:szCs w:val="20"/>
    </w:rPr>
  </w:style>
  <w:style w:type="character" w:customStyle="1" w:styleId="CommentTextChar">
    <w:name w:val="Comment Text Char"/>
    <w:basedOn w:val="DefaultParagraphFont"/>
    <w:link w:val="CommentText"/>
    <w:uiPriority w:val="99"/>
    <w:semiHidden/>
    <w:rsid w:val="00B42220"/>
  </w:style>
  <w:style w:type="paragraph" w:styleId="CommentSubject">
    <w:name w:val="annotation subject"/>
    <w:basedOn w:val="CommentText"/>
    <w:next w:val="CommentText"/>
    <w:link w:val="CommentSubjectChar"/>
    <w:uiPriority w:val="99"/>
    <w:semiHidden/>
    <w:unhideWhenUsed/>
    <w:rsid w:val="00B42220"/>
    <w:rPr>
      <w:b/>
      <w:bCs/>
    </w:rPr>
  </w:style>
  <w:style w:type="character" w:customStyle="1" w:styleId="CommentSubjectChar">
    <w:name w:val="Comment Subject Char"/>
    <w:basedOn w:val="CommentTextChar"/>
    <w:link w:val="CommentSubject"/>
    <w:uiPriority w:val="99"/>
    <w:semiHidden/>
    <w:rsid w:val="00B42220"/>
    <w:rPr>
      <w:b/>
      <w:bCs/>
    </w:rPr>
  </w:style>
  <w:style w:type="paragraph" w:styleId="NormalWeb">
    <w:name w:val="Normal (Web)"/>
    <w:basedOn w:val="Normal"/>
    <w:uiPriority w:val="99"/>
    <w:semiHidden/>
    <w:unhideWhenUsed/>
    <w:rsid w:val="004F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1369">
      <w:bodyDiv w:val="1"/>
      <w:marLeft w:val="0"/>
      <w:marRight w:val="0"/>
      <w:marTop w:val="0"/>
      <w:marBottom w:val="0"/>
      <w:divBdr>
        <w:top w:val="none" w:sz="0" w:space="0" w:color="auto"/>
        <w:left w:val="none" w:sz="0" w:space="0" w:color="auto"/>
        <w:bottom w:val="none" w:sz="0" w:space="0" w:color="auto"/>
        <w:right w:val="none" w:sz="0" w:space="0" w:color="auto"/>
      </w:divBdr>
    </w:div>
    <w:div w:id="97074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 New Roman"/>
            <a:ea typeface="Time New Roman"/>
            <a:cs typeface="Time New Roman"/>
            <a:sym typeface="Time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DESE-231-28805</_dlc_DocId>
    <_dlc_DocIdUrl xmlns="733efe1c-5bbe-4968-87dc-d400e65c879f">
      <Url>https://sharepoint.doemass.org/ese/webteam/cps/_layouts/DocIdRedir.aspx?ID=DESE-231-28805</Url>
      <Description>DESE-231-28805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CCE8-487C-4C2C-A454-0F4073159EE6}">
  <ds:schemaRefs>
    <ds:schemaRef ds:uri="http://www.w3.org/XML/1998/namespace"/>
    <ds:schemaRef ds:uri="0a4e05da-b9bc-4326-ad73-01ef31b95567"/>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733efe1c-5bbe-4968-87dc-d400e65c879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C29008-3B9B-4320-A264-617C9A2B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B7AC7-076D-4A9E-9DC0-FA99DB282996}">
  <ds:schemaRefs>
    <ds:schemaRef ds:uri="http://schemas.microsoft.com/sharepoint/events"/>
  </ds:schemaRefs>
</ds:datastoreItem>
</file>

<file path=customXml/itemProps4.xml><?xml version="1.0" encoding="utf-8"?>
<ds:datastoreItem xmlns:ds="http://schemas.openxmlformats.org/officeDocument/2006/customXml" ds:itemID="{F936A0E0-DD71-4645-8EF5-446C8BB29BAD}">
  <ds:schemaRefs>
    <ds:schemaRef ds:uri="http://schemas.microsoft.com/sharepoint/v3/contenttype/forms"/>
  </ds:schemaRefs>
</ds:datastoreItem>
</file>

<file path=customXml/itemProps5.xml><?xml version="1.0" encoding="utf-8"?>
<ds:datastoreItem xmlns:ds="http://schemas.openxmlformats.org/officeDocument/2006/customXml" ds:itemID="{11316BFB-CC1E-4CA8-8350-C918EE47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1828</Words>
  <Characters>10568</Characters>
  <Application>Microsoft Office Word</Application>
  <DocSecurity>0</DocSecurity>
  <Lines>185</Lines>
  <Paragraphs>64</Paragraphs>
  <ScaleCrop>false</ScaleCrop>
  <HeadingPairs>
    <vt:vector size="2" baseType="variant">
      <vt:variant>
        <vt:lpstr>Title</vt:lpstr>
      </vt:variant>
      <vt:variant>
        <vt:i4>1</vt:i4>
      </vt:variant>
    </vt:vector>
  </HeadingPairs>
  <TitlesOfParts>
    <vt:vector size="1" baseType="lpstr">
      <vt:lpstr>Level 5 Quarter 1 Report, UP Academy Holland</vt:lpstr>
    </vt:vector>
  </TitlesOfParts>
  <Company>American Institutes for Research</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Quarter 1 Report, UP Academy Holland</dc:title>
  <dc:creator>ESE</dc:creator>
  <cp:lastModifiedBy>ESE</cp:lastModifiedBy>
  <cp:revision>3</cp:revision>
  <dcterms:created xsi:type="dcterms:W3CDTF">2016-10-19T16:50:00Z</dcterms:created>
  <dcterms:modified xsi:type="dcterms:W3CDTF">2016-10-19T16:50:00Z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f59008c4-c157-42ba-8685-a30740f1a249</vt:lpwstr>
  </property>
  <property fmtid="{D5CDD505-2E9C-101B-9397-08002B2CF9AE}" pid="4" name="metadate">
    <vt:lpwstr>Oct 19 2016</vt:lpwstr>
  </property>
</Properties>
</file>