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860"/>
      </w:tblGrid>
      <w:tr w:rsidR="00ED574E" w14:paraId="371E4B5D" w14:textId="77777777" w:rsidTr="00A87C72">
        <w:trPr>
          <w:trHeight w:val="4220"/>
        </w:trPr>
        <w:tc>
          <w:tcPr>
            <w:tcW w:w="6300" w:type="dxa"/>
          </w:tcPr>
          <w:p w14:paraId="371E4B4A" w14:textId="77777777" w:rsidR="00ED574E" w:rsidRPr="00D17D11" w:rsidRDefault="003F0F26" w:rsidP="00882C0D">
            <w:pPr>
              <w:spacing w:after="120" w:line="276" w:lineRule="auto"/>
              <w:rPr>
                <w:sz w:val="20"/>
              </w:rPr>
            </w:pPr>
            <w:r w:rsidRPr="00D17D11">
              <w:rPr>
                <w:sz w:val="20"/>
              </w:rPr>
              <w:t xml:space="preserve">In 2017 </w:t>
            </w:r>
            <w:r w:rsidR="00782D23" w:rsidRPr="00D17D11">
              <w:rPr>
                <w:sz w:val="20"/>
              </w:rPr>
              <w:t xml:space="preserve">the </w:t>
            </w:r>
            <w:r w:rsidR="00ED574E" w:rsidRPr="00D17D11">
              <w:rPr>
                <w:sz w:val="20"/>
              </w:rPr>
              <w:t xml:space="preserve">Board of Elementary and Secondary Education </w:t>
            </w:r>
            <w:r w:rsidRPr="00D17D11">
              <w:rPr>
                <w:sz w:val="20"/>
              </w:rPr>
              <w:t xml:space="preserve">will </w:t>
            </w:r>
            <w:r w:rsidR="00ED574E" w:rsidRPr="00D17D11">
              <w:rPr>
                <w:sz w:val="20"/>
              </w:rPr>
              <w:t xml:space="preserve">consider adopting changes to the Massachusetts </w:t>
            </w:r>
            <w:r w:rsidR="00C0461A" w:rsidRPr="00D17D11">
              <w:rPr>
                <w:sz w:val="20"/>
              </w:rPr>
              <w:t>ELA/literacy</w:t>
            </w:r>
            <w:r w:rsidR="00ED574E" w:rsidRPr="00D17D11">
              <w:rPr>
                <w:sz w:val="20"/>
              </w:rPr>
              <w:t xml:space="preserve"> standards </w:t>
            </w:r>
            <w:r w:rsidR="008409E1">
              <w:rPr>
                <w:sz w:val="20"/>
              </w:rPr>
              <w:t>in order to</w:t>
            </w:r>
            <w:r w:rsidR="008409E1" w:rsidRPr="00D17D11">
              <w:rPr>
                <w:sz w:val="20"/>
              </w:rPr>
              <w:t xml:space="preserve"> </w:t>
            </w:r>
            <w:r w:rsidR="00ED574E" w:rsidRPr="00D17D11">
              <w:rPr>
                <w:sz w:val="20"/>
              </w:rPr>
              <w:t xml:space="preserve">increase </w:t>
            </w:r>
            <w:r w:rsidR="00ED574E" w:rsidRPr="00D17D11">
              <w:rPr>
                <w:b/>
                <w:color w:val="1F497D" w:themeColor="text2"/>
                <w:sz w:val="20"/>
              </w:rPr>
              <w:t>coherence and focus</w:t>
            </w:r>
            <w:r w:rsidR="00ED574E" w:rsidRPr="00D17D11">
              <w:rPr>
                <w:sz w:val="20"/>
              </w:rPr>
              <w:t xml:space="preserve">, </w:t>
            </w:r>
            <w:r w:rsidR="00ED574E" w:rsidRPr="00D17D11">
              <w:rPr>
                <w:b/>
                <w:color w:val="1F497D" w:themeColor="text2"/>
                <w:sz w:val="20"/>
              </w:rPr>
              <w:t>rigor</w:t>
            </w:r>
            <w:r w:rsidR="00ED574E" w:rsidRPr="00D17D11">
              <w:rPr>
                <w:sz w:val="20"/>
              </w:rPr>
              <w:t xml:space="preserve">, and </w:t>
            </w:r>
            <w:r w:rsidR="00ED574E" w:rsidRPr="00D17D11">
              <w:rPr>
                <w:b/>
                <w:color w:val="1F497D" w:themeColor="text2"/>
                <w:sz w:val="20"/>
              </w:rPr>
              <w:t>clarity</w:t>
            </w:r>
            <w:r w:rsidR="00ED574E" w:rsidRPr="00D17D11">
              <w:rPr>
                <w:sz w:val="20"/>
              </w:rPr>
              <w:t>.</w:t>
            </w:r>
          </w:p>
          <w:tbl>
            <w:tblPr>
              <w:tblStyle w:val="MediumList2-Accent6"/>
              <w:tblW w:w="0" w:type="auto"/>
              <w:tblLook w:val="04A0" w:firstRow="1" w:lastRow="0" w:firstColumn="1" w:lastColumn="0" w:noHBand="0" w:noVBand="1"/>
            </w:tblPr>
            <w:tblGrid>
              <w:gridCol w:w="1242"/>
              <w:gridCol w:w="4608"/>
            </w:tblGrid>
            <w:tr w:rsidR="00ED574E" w:rsidRPr="0083438B" w14:paraId="371E4B4D" w14:textId="77777777" w:rsidTr="008343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42" w:type="dxa"/>
                </w:tcPr>
                <w:p w14:paraId="371E4B4B"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Goal</w:t>
                  </w:r>
                </w:p>
              </w:tc>
              <w:tc>
                <w:tcPr>
                  <w:tcW w:w="4608" w:type="dxa"/>
                </w:tcPr>
                <w:p w14:paraId="371E4B4C" w14:textId="77777777" w:rsidR="00ED574E" w:rsidRPr="0083438B" w:rsidRDefault="008F18CF" w:rsidP="00882C0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83438B">
                    <w:rPr>
                      <w:rFonts w:asciiTheme="minorHAnsi" w:hAnsiTheme="minorHAnsi"/>
                      <w:sz w:val="20"/>
                      <w:szCs w:val="20"/>
                    </w:rPr>
                    <w:t>Example</w:t>
                  </w:r>
                  <w:r w:rsidR="00FB53CB">
                    <w:rPr>
                      <w:rFonts w:asciiTheme="minorHAnsi" w:hAnsiTheme="minorHAnsi"/>
                      <w:sz w:val="20"/>
                      <w:szCs w:val="20"/>
                    </w:rPr>
                    <w:t xml:space="preserve"> of Proposed Change</w:t>
                  </w:r>
                </w:p>
              </w:tc>
            </w:tr>
            <w:tr w:rsidR="00ED574E" w:rsidRPr="0083438B" w14:paraId="371E4B50" w14:textId="77777777" w:rsidTr="0083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bottom w:val="single" w:sz="8" w:space="0" w:color="F79646" w:themeColor="accent6"/>
                  </w:tcBorders>
                  <w:vAlign w:val="center"/>
                </w:tcPr>
                <w:p w14:paraId="371E4B4E"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Coherence and focus</w:t>
                  </w:r>
                </w:p>
              </w:tc>
              <w:tc>
                <w:tcPr>
                  <w:tcW w:w="4608" w:type="dxa"/>
                  <w:tcBorders>
                    <w:top w:val="single" w:sz="24" w:space="0" w:color="F79646" w:themeColor="accent6"/>
                    <w:bottom w:val="single" w:sz="8" w:space="0" w:color="F79646" w:themeColor="accent6"/>
                    <w:right w:val="nil"/>
                  </w:tcBorders>
                  <w:shd w:val="clear" w:color="auto" w:fill="auto"/>
                </w:tcPr>
                <w:p w14:paraId="371E4B4F" w14:textId="77777777" w:rsidR="00ED574E" w:rsidRPr="0083438B" w:rsidRDefault="00ED574E" w:rsidP="00882C0D">
                  <w:pPr>
                    <w:pStyle w:val="ListParagraph"/>
                    <w:numPr>
                      <w:ilvl w:val="0"/>
                      <w:numId w:val="7"/>
                    </w:numPr>
                    <w:spacing w:line="276" w:lineRule="auto"/>
                    <w:ind w:left="162" w:hanging="16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3438B">
                    <w:rPr>
                      <w:rFonts w:asciiTheme="minorHAnsi" w:hAnsiTheme="minorHAnsi"/>
                      <w:sz w:val="20"/>
                      <w:szCs w:val="20"/>
                    </w:rPr>
                    <w:t xml:space="preserve">Increased cross-referencing </w:t>
                  </w:r>
                  <w:r w:rsidR="00930C21">
                    <w:rPr>
                      <w:rFonts w:asciiTheme="minorHAnsi" w:hAnsiTheme="minorHAnsi"/>
                      <w:sz w:val="20"/>
                      <w:szCs w:val="20"/>
                    </w:rPr>
                    <w:t>among</w:t>
                  </w:r>
                  <w:r w:rsidR="00930C21" w:rsidRPr="0083438B">
                    <w:rPr>
                      <w:rFonts w:asciiTheme="minorHAnsi" w:hAnsiTheme="minorHAnsi"/>
                      <w:sz w:val="20"/>
                      <w:szCs w:val="20"/>
                    </w:rPr>
                    <w:t xml:space="preserve"> </w:t>
                  </w:r>
                  <w:r w:rsidRPr="0083438B">
                    <w:rPr>
                      <w:rFonts w:asciiTheme="minorHAnsi" w:hAnsiTheme="minorHAnsi"/>
                      <w:sz w:val="20"/>
                      <w:szCs w:val="20"/>
                    </w:rPr>
                    <w:t xml:space="preserve">the </w:t>
                  </w:r>
                  <w:r w:rsidR="007D7340">
                    <w:rPr>
                      <w:rFonts w:asciiTheme="minorHAnsi" w:hAnsiTheme="minorHAnsi"/>
                      <w:sz w:val="20"/>
                      <w:szCs w:val="20"/>
                    </w:rPr>
                    <w:t xml:space="preserve">Reading, </w:t>
                  </w:r>
                  <w:r w:rsidRPr="0083438B">
                    <w:rPr>
                      <w:rFonts w:asciiTheme="minorHAnsi" w:hAnsiTheme="minorHAnsi"/>
                      <w:sz w:val="20"/>
                      <w:szCs w:val="20"/>
                    </w:rPr>
                    <w:t>Writing, Speaking and Listening</w:t>
                  </w:r>
                  <w:r w:rsidR="007D7340">
                    <w:rPr>
                      <w:rFonts w:asciiTheme="minorHAnsi" w:hAnsiTheme="minorHAnsi"/>
                      <w:sz w:val="20"/>
                      <w:szCs w:val="20"/>
                    </w:rPr>
                    <w:t>, and Language</w:t>
                  </w:r>
                  <w:r w:rsidRPr="0083438B">
                    <w:rPr>
                      <w:rFonts w:asciiTheme="minorHAnsi" w:hAnsiTheme="minorHAnsi"/>
                      <w:sz w:val="20"/>
                      <w:szCs w:val="20"/>
                    </w:rPr>
                    <w:t xml:space="preserve"> </w:t>
                  </w:r>
                  <w:r w:rsidR="00C0461A">
                    <w:rPr>
                      <w:rFonts w:asciiTheme="minorHAnsi" w:hAnsiTheme="minorHAnsi"/>
                      <w:sz w:val="20"/>
                      <w:szCs w:val="20"/>
                    </w:rPr>
                    <w:t>s</w:t>
                  </w:r>
                  <w:r w:rsidR="00C0461A" w:rsidRPr="0083438B">
                    <w:rPr>
                      <w:rFonts w:asciiTheme="minorHAnsi" w:hAnsiTheme="minorHAnsi"/>
                      <w:sz w:val="20"/>
                      <w:szCs w:val="20"/>
                    </w:rPr>
                    <w:t xml:space="preserve">tandards </w:t>
                  </w:r>
                  <w:r w:rsidRPr="0083438B">
                    <w:rPr>
                      <w:rFonts w:asciiTheme="minorHAnsi" w:hAnsiTheme="minorHAnsi"/>
                      <w:sz w:val="20"/>
                      <w:szCs w:val="20"/>
                    </w:rPr>
                    <w:t>helps educators make connections across the standards in their teaching.</w:t>
                  </w:r>
                </w:p>
              </w:tc>
            </w:tr>
            <w:tr w:rsidR="00ED574E" w:rsidRPr="0083438B" w14:paraId="371E4B53" w14:textId="77777777" w:rsidTr="0083438B">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F79646" w:themeColor="accent6"/>
                    <w:bottom w:val="single" w:sz="8" w:space="0" w:color="F79646" w:themeColor="accent6"/>
                  </w:tcBorders>
                  <w:vAlign w:val="center"/>
                </w:tcPr>
                <w:p w14:paraId="371E4B51"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Rigor</w:t>
                  </w:r>
                </w:p>
              </w:tc>
              <w:tc>
                <w:tcPr>
                  <w:tcW w:w="4608" w:type="dxa"/>
                  <w:tcBorders>
                    <w:top w:val="single" w:sz="8" w:space="0" w:color="F79646" w:themeColor="accent6"/>
                    <w:bottom w:val="single" w:sz="8" w:space="0" w:color="F79646" w:themeColor="accent6"/>
                    <w:right w:val="nil"/>
                  </w:tcBorders>
                </w:tcPr>
                <w:p w14:paraId="371E4B52" w14:textId="77777777" w:rsidR="00ED574E" w:rsidRPr="0083438B" w:rsidRDefault="00930C21" w:rsidP="00882C0D">
                  <w:pPr>
                    <w:pStyle w:val="ListParagraph"/>
                    <w:numPr>
                      <w:ilvl w:val="0"/>
                      <w:numId w:val="7"/>
                    </w:numPr>
                    <w:spacing w:line="276" w:lineRule="auto"/>
                    <w:ind w:left="162" w:hanging="162"/>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Revised</w:t>
                  </w:r>
                  <w:r w:rsidRPr="0083438B">
                    <w:rPr>
                      <w:rFonts w:asciiTheme="minorHAnsi" w:hAnsiTheme="minorHAnsi"/>
                      <w:sz w:val="20"/>
                      <w:szCs w:val="20"/>
                    </w:rPr>
                    <w:t xml:space="preserve"> </w:t>
                  </w:r>
                  <w:r w:rsidR="00ED574E" w:rsidRPr="0083438B">
                    <w:rPr>
                      <w:rFonts w:asciiTheme="minorHAnsi" w:hAnsiTheme="minorHAnsi"/>
                      <w:sz w:val="20"/>
                      <w:szCs w:val="20"/>
                    </w:rPr>
                    <w:t xml:space="preserve">high school Reading Literature </w:t>
                  </w:r>
                  <w:r w:rsidR="00C0461A">
                    <w:rPr>
                      <w:rFonts w:asciiTheme="minorHAnsi" w:hAnsiTheme="minorHAnsi"/>
                      <w:sz w:val="20"/>
                      <w:szCs w:val="20"/>
                    </w:rPr>
                    <w:t>s</w:t>
                  </w:r>
                  <w:r w:rsidR="00C0461A" w:rsidRPr="0083438B">
                    <w:rPr>
                      <w:rFonts w:asciiTheme="minorHAnsi" w:hAnsiTheme="minorHAnsi"/>
                      <w:sz w:val="20"/>
                      <w:szCs w:val="20"/>
                    </w:rPr>
                    <w:t>tandards</w:t>
                  </w:r>
                  <w:r w:rsidR="007D7340">
                    <w:rPr>
                      <w:rFonts w:asciiTheme="minorHAnsi" w:hAnsiTheme="minorHAnsi"/>
                      <w:sz w:val="20"/>
                      <w:szCs w:val="20"/>
                    </w:rPr>
                    <w:t xml:space="preserve"> </w:t>
                  </w:r>
                  <w:r>
                    <w:rPr>
                      <w:rFonts w:asciiTheme="minorHAnsi" w:hAnsiTheme="minorHAnsi"/>
                      <w:sz w:val="20"/>
                      <w:szCs w:val="20"/>
                    </w:rPr>
                    <w:t xml:space="preserve">add </w:t>
                  </w:r>
                  <w:r w:rsidR="007D7340">
                    <w:rPr>
                      <w:rFonts w:asciiTheme="minorHAnsi" w:hAnsiTheme="minorHAnsi"/>
                      <w:sz w:val="20"/>
                      <w:szCs w:val="20"/>
                    </w:rPr>
                    <w:t xml:space="preserve">the </w:t>
                  </w:r>
                  <w:r w:rsidR="00ED574E" w:rsidRPr="0083438B">
                    <w:rPr>
                      <w:rFonts w:asciiTheme="minorHAnsi" w:hAnsiTheme="minorHAnsi"/>
                      <w:sz w:val="20"/>
                      <w:szCs w:val="20"/>
                    </w:rPr>
                    <w:t xml:space="preserve">genres of </w:t>
                  </w:r>
                  <w:r w:rsidR="007D7340" w:rsidRPr="0083438B">
                    <w:rPr>
                      <w:rFonts w:asciiTheme="minorHAnsi" w:hAnsiTheme="minorHAnsi"/>
                      <w:sz w:val="20"/>
                      <w:szCs w:val="20"/>
                    </w:rPr>
                    <w:t>litera</w:t>
                  </w:r>
                  <w:r w:rsidR="007D7340">
                    <w:rPr>
                      <w:rFonts w:asciiTheme="minorHAnsi" w:hAnsiTheme="minorHAnsi"/>
                      <w:sz w:val="20"/>
                      <w:szCs w:val="20"/>
                    </w:rPr>
                    <w:t>r</w:t>
                  </w:r>
                  <w:r w:rsidR="007D7340" w:rsidRPr="0083438B">
                    <w:rPr>
                      <w:rFonts w:asciiTheme="minorHAnsi" w:hAnsiTheme="minorHAnsi"/>
                      <w:sz w:val="20"/>
                      <w:szCs w:val="20"/>
                    </w:rPr>
                    <w:t xml:space="preserve">y </w:t>
                  </w:r>
                  <w:r w:rsidR="00ED574E" w:rsidRPr="0083438B">
                    <w:rPr>
                      <w:rFonts w:asciiTheme="minorHAnsi" w:hAnsiTheme="minorHAnsi"/>
                      <w:sz w:val="20"/>
                      <w:szCs w:val="20"/>
                    </w:rPr>
                    <w:t>history, biography, and criticism to expose students to different approaches to literary study and prepare them to write literary analyses, a common assignment in</w:t>
                  </w:r>
                  <w:r w:rsidR="007D7340">
                    <w:rPr>
                      <w:rFonts w:asciiTheme="minorHAnsi" w:hAnsiTheme="minorHAnsi"/>
                      <w:sz w:val="20"/>
                      <w:szCs w:val="20"/>
                    </w:rPr>
                    <w:t xml:space="preserve"> high schools and</w:t>
                  </w:r>
                  <w:r w:rsidR="00ED574E" w:rsidRPr="0083438B">
                    <w:rPr>
                      <w:rFonts w:asciiTheme="minorHAnsi" w:hAnsiTheme="minorHAnsi"/>
                      <w:sz w:val="20"/>
                      <w:szCs w:val="20"/>
                    </w:rPr>
                    <w:t xml:space="preserve"> college literature and writing courses. </w:t>
                  </w:r>
                </w:p>
              </w:tc>
            </w:tr>
            <w:tr w:rsidR="00ED574E" w:rsidRPr="0083438B" w14:paraId="371E4B56" w14:textId="77777777" w:rsidTr="008343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F79646" w:themeColor="accent6"/>
                  </w:tcBorders>
                  <w:vAlign w:val="center"/>
                </w:tcPr>
                <w:p w14:paraId="371E4B54" w14:textId="77777777" w:rsidR="00ED574E" w:rsidRPr="0083438B" w:rsidRDefault="00ED574E" w:rsidP="00882C0D">
                  <w:pPr>
                    <w:spacing w:line="276" w:lineRule="auto"/>
                    <w:rPr>
                      <w:rFonts w:asciiTheme="minorHAnsi" w:hAnsiTheme="minorHAnsi"/>
                      <w:sz w:val="20"/>
                      <w:szCs w:val="20"/>
                    </w:rPr>
                  </w:pPr>
                  <w:r w:rsidRPr="0083438B">
                    <w:rPr>
                      <w:rFonts w:asciiTheme="minorHAnsi" w:hAnsiTheme="minorHAnsi"/>
                      <w:sz w:val="20"/>
                      <w:szCs w:val="20"/>
                    </w:rPr>
                    <w:t>Clarity</w:t>
                  </w:r>
                </w:p>
              </w:tc>
              <w:tc>
                <w:tcPr>
                  <w:tcW w:w="4608" w:type="dxa"/>
                  <w:tcBorders>
                    <w:top w:val="single" w:sz="8" w:space="0" w:color="F79646" w:themeColor="accent6"/>
                    <w:right w:val="nil"/>
                  </w:tcBorders>
                  <w:shd w:val="clear" w:color="auto" w:fill="auto"/>
                </w:tcPr>
                <w:p w14:paraId="371E4B55" w14:textId="77777777" w:rsidR="00ED574E" w:rsidRPr="0083438B" w:rsidRDefault="00ED574E" w:rsidP="00882C0D">
                  <w:pPr>
                    <w:pStyle w:val="ListParagraph"/>
                    <w:numPr>
                      <w:ilvl w:val="0"/>
                      <w:numId w:val="7"/>
                    </w:numPr>
                    <w:spacing w:line="276" w:lineRule="auto"/>
                    <w:ind w:left="162" w:hanging="162"/>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83438B">
                    <w:rPr>
                      <w:rFonts w:asciiTheme="minorHAnsi" w:hAnsiTheme="minorHAnsi"/>
                      <w:sz w:val="20"/>
                      <w:szCs w:val="20"/>
                    </w:rPr>
                    <w:t xml:space="preserve">New and improved glossary entries define terms critical to understanding the standards, such as “read closely,” “analysis,” and “metaphor.” </w:t>
                  </w:r>
                </w:p>
              </w:tc>
            </w:tr>
          </w:tbl>
          <w:p w14:paraId="371E4B57" w14:textId="77777777" w:rsidR="00ED574E" w:rsidRPr="00005195" w:rsidRDefault="00ED574E" w:rsidP="00882C0D">
            <w:pPr>
              <w:spacing w:line="276" w:lineRule="auto"/>
            </w:pPr>
          </w:p>
        </w:tc>
        <w:tc>
          <w:tcPr>
            <w:tcW w:w="4860" w:type="dxa"/>
            <w:shd w:val="clear" w:color="auto" w:fill="EAF1DD" w:themeFill="accent3" w:themeFillTint="33"/>
            <w:tcMar>
              <w:left w:w="216" w:type="dxa"/>
              <w:right w:w="216" w:type="dxa"/>
            </w:tcMar>
          </w:tcPr>
          <w:p w14:paraId="371E4B58" w14:textId="77777777" w:rsidR="00ED574E" w:rsidRPr="00005195" w:rsidRDefault="00ED574E" w:rsidP="00882C0D">
            <w:pPr>
              <w:spacing w:before="120" w:after="120" w:line="276" w:lineRule="auto"/>
              <w:rPr>
                <w:rFonts w:ascii="Verdana" w:hAnsi="Verdana"/>
                <w:b/>
                <w:color w:val="1F497D" w:themeColor="text2"/>
                <w:sz w:val="16"/>
              </w:rPr>
            </w:pPr>
            <w:r w:rsidRPr="00005195">
              <w:rPr>
                <w:rFonts w:ascii="Verdana" w:hAnsi="Verdana"/>
                <w:b/>
                <w:color w:val="1F497D" w:themeColor="text2"/>
                <w:sz w:val="16"/>
              </w:rPr>
              <w:t>A Brief History of Standards in Massachusetts</w:t>
            </w:r>
          </w:p>
          <w:p w14:paraId="371E4B59" w14:textId="77777777" w:rsidR="00ED574E" w:rsidRPr="00005195" w:rsidRDefault="00ED574E" w:rsidP="00882C0D">
            <w:pPr>
              <w:spacing w:before="120" w:after="120" w:line="276" w:lineRule="auto"/>
              <w:rPr>
                <w:sz w:val="16"/>
              </w:rPr>
            </w:pPr>
            <w:r w:rsidRPr="00005195">
              <w:rPr>
                <w:sz w:val="16"/>
              </w:rPr>
              <w:t xml:space="preserve">Massachusetts was one of the first states to implement standards-based reform and is considered a national leader in developing rigorous </w:t>
            </w:r>
            <w:r w:rsidR="00C0461A">
              <w:rPr>
                <w:sz w:val="16"/>
              </w:rPr>
              <w:t>learning</w:t>
            </w:r>
            <w:r w:rsidR="00C0461A" w:rsidRPr="00005195">
              <w:rPr>
                <w:sz w:val="16"/>
              </w:rPr>
              <w:t xml:space="preserve"> </w:t>
            </w:r>
            <w:r w:rsidRPr="00005195">
              <w:rPr>
                <w:sz w:val="16"/>
              </w:rPr>
              <w:t>standards with clear expectations for how students build knowledge and skills over time. The Department</w:t>
            </w:r>
            <w:r w:rsidR="00C0461A">
              <w:rPr>
                <w:sz w:val="16"/>
              </w:rPr>
              <w:t xml:space="preserve"> of Elementary and Secondary Education (ESE)</w:t>
            </w:r>
            <w:r w:rsidRPr="00005195">
              <w:rPr>
                <w:sz w:val="16"/>
              </w:rPr>
              <w:t xml:space="preserve"> first worked with educators to develop </w:t>
            </w:r>
            <w:r w:rsidR="00C0461A">
              <w:rPr>
                <w:sz w:val="16"/>
              </w:rPr>
              <w:t>learning</w:t>
            </w:r>
            <w:r w:rsidR="00C0461A" w:rsidRPr="00005195">
              <w:rPr>
                <w:sz w:val="16"/>
              </w:rPr>
              <w:t xml:space="preserve"> </w:t>
            </w:r>
            <w:r w:rsidRPr="00005195">
              <w:rPr>
                <w:sz w:val="16"/>
              </w:rPr>
              <w:t xml:space="preserve">standards in English </w:t>
            </w:r>
            <w:r w:rsidR="00C0461A">
              <w:rPr>
                <w:sz w:val="16"/>
              </w:rPr>
              <w:t>l</w:t>
            </w:r>
            <w:r w:rsidR="00C0461A" w:rsidRPr="00005195">
              <w:rPr>
                <w:sz w:val="16"/>
              </w:rPr>
              <w:t xml:space="preserve">anguage </w:t>
            </w:r>
            <w:r w:rsidR="00C0461A">
              <w:rPr>
                <w:sz w:val="16"/>
              </w:rPr>
              <w:t>a</w:t>
            </w:r>
            <w:r w:rsidR="00C0461A" w:rsidRPr="00005195">
              <w:rPr>
                <w:sz w:val="16"/>
              </w:rPr>
              <w:t xml:space="preserve">rts </w:t>
            </w:r>
            <w:r w:rsidR="00F17D20">
              <w:rPr>
                <w:sz w:val="16"/>
              </w:rPr>
              <w:t xml:space="preserve">and </w:t>
            </w:r>
            <w:r w:rsidR="00C0461A">
              <w:rPr>
                <w:sz w:val="16"/>
              </w:rPr>
              <w:t xml:space="preserve">literacy </w:t>
            </w:r>
            <w:r w:rsidRPr="00005195">
              <w:rPr>
                <w:sz w:val="16"/>
              </w:rPr>
              <w:t>(</w:t>
            </w:r>
            <w:r w:rsidR="00C0461A">
              <w:rPr>
                <w:sz w:val="16"/>
              </w:rPr>
              <w:t>ELA/literacy</w:t>
            </w:r>
            <w:r w:rsidRPr="00005195">
              <w:rPr>
                <w:sz w:val="16"/>
              </w:rPr>
              <w:t>)</w:t>
            </w:r>
            <w:r w:rsidR="003F0F26">
              <w:rPr>
                <w:sz w:val="16"/>
              </w:rPr>
              <w:t>,</w:t>
            </w:r>
            <w:r w:rsidRPr="00005195">
              <w:rPr>
                <w:sz w:val="16"/>
              </w:rPr>
              <w:t xml:space="preserve"> mathematics</w:t>
            </w:r>
            <w:r w:rsidR="003F0F26">
              <w:rPr>
                <w:sz w:val="16"/>
              </w:rPr>
              <w:t>, and other subjects</w:t>
            </w:r>
            <w:r w:rsidRPr="00005195">
              <w:rPr>
                <w:sz w:val="16"/>
              </w:rPr>
              <w:t xml:space="preserve"> in the mid</w:t>
            </w:r>
            <w:r w:rsidR="00A21F21">
              <w:rPr>
                <w:sz w:val="16"/>
              </w:rPr>
              <w:t>-</w:t>
            </w:r>
            <w:r w:rsidRPr="00005195">
              <w:rPr>
                <w:sz w:val="16"/>
              </w:rPr>
              <w:t>1990s.</w:t>
            </w:r>
          </w:p>
          <w:p w14:paraId="371E4B5A" w14:textId="77777777" w:rsidR="00ED574E" w:rsidRPr="00005195" w:rsidRDefault="00ED574E" w:rsidP="00882C0D">
            <w:pPr>
              <w:spacing w:before="120" w:after="120" w:line="276" w:lineRule="auto"/>
              <w:rPr>
                <w:sz w:val="16"/>
              </w:rPr>
            </w:pPr>
            <w:r w:rsidRPr="00005195">
              <w:rPr>
                <w:sz w:val="16"/>
              </w:rPr>
              <w:t>Since that time, ESE has periodically brought together educators to revise the standards, such as in 2000</w:t>
            </w:r>
            <w:r w:rsidR="00A21F21">
              <w:rPr>
                <w:sz w:val="16"/>
              </w:rPr>
              <w:t>–</w:t>
            </w:r>
            <w:r w:rsidRPr="00005195">
              <w:rPr>
                <w:sz w:val="16"/>
              </w:rPr>
              <w:t>01, 2004, and 2007</w:t>
            </w:r>
            <w:r w:rsidR="00A21F21">
              <w:rPr>
                <w:sz w:val="16"/>
              </w:rPr>
              <w:t>–</w:t>
            </w:r>
            <w:r w:rsidRPr="00005195">
              <w:rPr>
                <w:sz w:val="16"/>
              </w:rPr>
              <w:t xml:space="preserve">10. </w:t>
            </w:r>
          </w:p>
          <w:p w14:paraId="371E4B5B" w14:textId="77777777" w:rsidR="00ED574E" w:rsidRPr="00005195" w:rsidRDefault="00ED574E" w:rsidP="00882C0D">
            <w:pPr>
              <w:spacing w:before="120" w:after="120" w:line="276" w:lineRule="auto"/>
              <w:rPr>
                <w:sz w:val="16"/>
              </w:rPr>
            </w:pPr>
            <w:r w:rsidRPr="00005195">
              <w:rPr>
                <w:sz w:val="16"/>
              </w:rPr>
              <w:t xml:space="preserve">The current </w:t>
            </w:r>
            <w:r w:rsidR="00C0461A">
              <w:rPr>
                <w:sz w:val="16"/>
              </w:rPr>
              <w:t>ELA/literacy</w:t>
            </w:r>
            <w:r w:rsidRPr="00005195">
              <w:rPr>
                <w:sz w:val="16"/>
              </w:rPr>
              <w:t xml:space="preserve"> and mathematics standards were adopted by the Board of Elementary and Secondary Education in </w:t>
            </w:r>
            <w:r w:rsidR="008A584C">
              <w:rPr>
                <w:sz w:val="16"/>
              </w:rPr>
              <w:t>2010</w:t>
            </w:r>
            <w:r w:rsidRPr="00005195">
              <w:rPr>
                <w:sz w:val="16"/>
              </w:rPr>
              <w:t xml:space="preserve">. These standards incorporate the Common Core State Standards (CCSS) used by many states and include additional standards unique to Massachusetts. Massachusetts educators and scholars were influential in the development of the CCSS. </w:t>
            </w:r>
          </w:p>
          <w:p w14:paraId="371E4B5C" w14:textId="77777777" w:rsidR="00ED574E" w:rsidRPr="00005195" w:rsidRDefault="00ED574E" w:rsidP="00E153D9">
            <w:pPr>
              <w:spacing w:before="120" w:after="120" w:line="276" w:lineRule="auto"/>
              <w:rPr>
                <w:b/>
                <w:sz w:val="16"/>
              </w:rPr>
            </w:pPr>
            <w:r w:rsidRPr="00005195">
              <w:rPr>
                <w:sz w:val="16"/>
              </w:rPr>
              <w:t xml:space="preserve">Now, </w:t>
            </w:r>
            <w:r w:rsidR="00E153D9">
              <w:rPr>
                <w:sz w:val="16"/>
              </w:rPr>
              <w:t>six</w:t>
            </w:r>
            <w:r w:rsidRPr="00005195">
              <w:rPr>
                <w:sz w:val="16"/>
              </w:rPr>
              <w:t xml:space="preserve"> years </w:t>
            </w:r>
            <w:r w:rsidR="00A21F21">
              <w:rPr>
                <w:sz w:val="16"/>
              </w:rPr>
              <w:t>after</w:t>
            </w:r>
            <w:r w:rsidR="00A21F21" w:rsidRPr="00005195">
              <w:rPr>
                <w:sz w:val="16"/>
              </w:rPr>
              <w:t xml:space="preserve"> </w:t>
            </w:r>
            <w:r w:rsidRPr="00005195">
              <w:rPr>
                <w:sz w:val="16"/>
              </w:rPr>
              <w:t xml:space="preserve">the last update, educators are again working with ESE to take another look at the standards and to make recommendations for their improvement informed by </w:t>
            </w:r>
            <w:r w:rsidR="008409E1">
              <w:rPr>
                <w:sz w:val="16"/>
              </w:rPr>
              <w:t>over five</w:t>
            </w:r>
            <w:r w:rsidR="008409E1" w:rsidRPr="00005195">
              <w:rPr>
                <w:sz w:val="16"/>
              </w:rPr>
              <w:t xml:space="preserve"> </w:t>
            </w:r>
            <w:r w:rsidRPr="00005195">
              <w:rPr>
                <w:sz w:val="16"/>
              </w:rPr>
              <w:t xml:space="preserve">years of use by teachers with students in our classrooms. </w:t>
            </w:r>
          </w:p>
        </w:tc>
      </w:tr>
      <w:tr w:rsidR="00ED574E" w14:paraId="371E4B5F" w14:textId="77777777" w:rsidTr="00D17D11">
        <w:trPr>
          <w:trHeight w:val="675"/>
        </w:trPr>
        <w:tc>
          <w:tcPr>
            <w:tcW w:w="11160" w:type="dxa"/>
            <w:gridSpan w:val="2"/>
          </w:tcPr>
          <w:p w14:paraId="371E4B5E" w14:textId="77777777" w:rsidR="00ED574E" w:rsidRPr="00D17D11" w:rsidRDefault="00ED574E" w:rsidP="008409E1">
            <w:pPr>
              <w:spacing w:after="120" w:line="276" w:lineRule="auto"/>
              <w:rPr>
                <w:rFonts w:ascii="Verdana" w:hAnsi="Verdana"/>
                <w:b/>
                <w:color w:val="1F497D" w:themeColor="text2"/>
                <w:sz w:val="20"/>
              </w:rPr>
            </w:pPr>
            <w:r w:rsidRPr="00D17D11">
              <w:rPr>
                <w:sz w:val="20"/>
              </w:rPr>
              <w:t xml:space="preserve">The proposed changes also </w:t>
            </w:r>
            <w:r w:rsidR="0083438B" w:rsidRPr="00D17D11">
              <w:rPr>
                <w:sz w:val="20"/>
              </w:rPr>
              <w:t xml:space="preserve">include more detailed information on the ways in which effective writing often </w:t>
            </w:r>
            <w:r w:rsidR="008409E1">
              <w:rPr>
                <w:sz w:val="20"/>
              </w:rPr>
              <w:t>includes</w:t>
            </w:r>
            <w:r w:rsidR="008409E1" w:rsidRPr="00D17D11">
              <w:rPr>
                <w:sz w:val="20"/>
              </w:rPr>
              <w:t xml:space="preserve"> </w:t>
            </w:r>
            <w:r w:rsidR="0083438B" w:rsidRPr="00D17D11">
              <w:rPr>
                <w:sz w:val="20"/>
              </w:rPr>
              <w:t xml:space="preserve">argument, explanation, and narrative, </w:t>
            </w:r>
            <w:r w:rsidR="00C0461A" w:rsidRPr="00D17D11">
              <w:rPr>
                <w:sz w:val="20"/>
              </w:rPr>
              <w:t>to clarify that the intent of the standards is not to draw rigid distinctions between the</w:t>
            </w:r>
            <w:r w:rsidR="00E153D9">
              <w:rPr>
                <w:sz w:val="20"/>
              </w:rPr>
              <w:t>se</w:t>
            </w:r>
            <w:r w:rsidR="00C0461A" w:rsidRPr="00D17D11">
              <w:rPr>
                <w:sz w:val="20"/>
              </w:rPr>
              <w:t xml:space="preserve"> three types of writing</w:t>
            </w:r>
            <w:r w:rsidR="0083438B" w:rsidRPr="00D17D11">
              <w:rPr>
                <w:sz w:val="20"/>
              </w:rPr>
              <w:t>.</w:t>
            </w:r>
          </w:p>
        </w:tc>
      </w:tr>
    </w:tbl>
    <w:p w14:paraId="371E4B60" w14:textId="77777777" w:rsidR="00882C0D" w:rsidRDefault="00882C0D" w:rsidP="00882C0D">
      <w:pPr>
        <w:spacing w:after="120" w:line="276" w:lineRule="auto"/>
        <w:rPr>
          <w:rFonts w:ascii="Verdana" w:hAnsi="Verdana"/>
          <w:b/>
          <w:color w:val="1F497D" w:themeColor="text2"/>
          <w:sz w:val="20"/>
        </w:rPr>
      </w:pPr>
      <w:r>
        <w:rPr>
          <w:rFonts w:ascii="Verdana" w:hAnsi="Verdana"/>
          <w:b/>
          <w:color w:val="1F497D" w:themeColor="text2"/>
          <w:sz w:val="20"/>
        </w:rPr>
        <w:t>Key Elements of the Proposed Changes</w:t>
      </w:r>
    </w:p>
    <w:tbl>
      <w:tblPr>
        <w:tblStyle w:val="MediumShading1-Accent11"/>
        <w:tblW w:w="11160" w:type="dxa"/>
        <w:tblInd w:w="-72" w:type="dxa"/>
        <w:tblLook w:val="04A0" w:firstRow="1" w:lastRow="0" w:firstColumn="1" w:lastColumn="0" w:noHBand="0" w:noVBand="1"/>
      </w:tblPr>
      <w:tblGrid>
        <w:gridCol w:w="1350"/>
        <w:gridCol w:w="3330"/>
        <w:gridCol w:w="6480"/>
      </w:tblGrid>
      <w:tr w:rsidR="00882C0D" w:rsidRPr="007D7340" w14:paraId="371E4B64" w14:textId="77777777" w:rsidTr="003E4CB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50" w:type="dxa"/>
          </w:tcPr>
          <w:p w14:paraId="371E4B61" w14:textId="77777777" w:rsidR="00882C0D" w:rsidRPr="007D7340" w:rsidRDefault="00882C0D" w:rsidP="00882C0D">
            <w:pPr>
              <w:spacing w:line="276" w:lineRule="auto"/>
              <w:rPr>
                <w:sz w:val="20"/>
                <w:szCs w:val="19"/>
              </w:rPr>
            </w:pPr>
            <w:r>
              <w:rPr>
                <w:sz w:val="20"/>
                <w:szCs w:val="19"/>
              </w:rPr>
              <w:t>Element</w:t>
            </w:r>
          </w:p>
        </w:tc>
        <w:tc>
          <w:tcPr>
            <w:tcW w:w="3330" w:type="dxa"/>
          </w:tcPr>
          <w:p w14:paraId="371E4B62" w14:textId="77777777" w:rsidR="00882C0D" w:rsidRPr="007D7340" w:rsidRDefault="00882C0D" w:rsidP="00882C0D">
            <w:pPr>
              <w:spacing w:line="276" w:lineRule="auto"/>
              <w:cnfStyle w:val="100000000000" w:firstRow="1" w:lastRow="0" w:firstColumn="0" w:lastColumn="0" w:oddVBand="0" w:evenVBand="0" w:oddHBand="0" w:evenHBand="0" w:firstRowFirstColumn="0" w:firstRowLastColumn="0" w:lastRowFirstColumn="0" w:lastRowLastColumn="0"/>
              <w:rPr>
                <w:sz w:val="20"/>
                <w:szCs w:val="19"/>
              </w:rPr>
            </w:pPr>
            <w:r w:rsidRPr="007D7340">
              <w:rPr>
                <w:sz w:val="20"/>
                <w:szCs w:val="19"/>
              </w:rPr>
              <w:t>Why is it important?</w:t>
            </w:r>
          </w:p>
        </w:tc>
        <w:tc>
          <w:tcPr>
            <w:tcW w:w="6480" w:type="dxa"/>
          </w:tcPr>
          <w:p w14:paraId="371E4B63" w14:textId="77777777" w:rsidR="00882C0D" w:rsidRPr="007D7340" w:rsidRDefault="00882C0D" w:rsidP="00882C0D">
            <w:pPr>
              <w:spacing w:line="276" w:lineRule="auto"/>
              <w:cnfStyle w:val="100000000000" w:firstRow="1" w:lastRow="0" w:firstColumn="0" w:lastColumn="0" w:oddVBand="0" w:evenVBand="0" w:oddHBand="0" w:evenHBand="0" w:firstRowFirstColumn="0" w:firstRowLastColumn="0" w:lastRowFirstColumn="0" w:lastRowLastColumn="0"/>
              <w:rPr>
                <w:sz w:val="20"/>
                <w:szCs w:val="19"/>
              </w:rPr>
            </w:pPr>
            <w:r w:rsidRPr="007D7340">
              <w:rPr>
                <w:sz w:val="20"/>
                <w:szCs w:val="19"/>
              </w:rPr>
              <w:t>What will the proposed changes do?</w:t>
            </w:r>
          </w:p>
        </w:tc>
      </w:tr>
      <w:tr w:rsidR="00882C0D" w:rsidRPr="007D7340" w14:paraId="371E4B6A" w14:textId="77777777" w:rsidTr="003E4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71E4B65" w14:textId="77777777" w:rsidR="00882C0D" w:rsidRPr="00A112FC" w:rsidRDefault="00882C0D" w:rsidP="00882C0D">
            <w:pPr>
              <w:spacing w:line="276" w:lineRule="auto"/>
              <w:rPr>
                <w:rFonts w:ascii="Verdana" w:hAnsi="Verdana"/>
                <w:color w:val="1F497D" w:themeColor="text2"/>
                <w:sz w:val="20"/>
                <w:szCs w:val="19"/>
              </w:rPr>
            </w:pPr>
            <w:r w:rsidRPr="00A112FC">
              <w:rPr>
                <w:sz w:val="20"/>
                <w:szCs w:val="19"/>
              </w:rPr>
              <w:t>How and When to Read Closely</w:t>
            </w:r>
          </w:p>
        </w:tc>
        <w:tc>
          <w:tcPr>
            <w:tcW w:w="3330" w:type="dxa"/>
          </w:tcPr>
          <w:p w14:paraId="371E4B66" w14:textId="77777777" w:rsidR="00882C0D" w:rsidRPr="007D7340" w:rsidRDefault="00882C0D" w:rsidP="006364F2">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b/>
                <w:color w:val="1F497D" w:themeColor="text2"/>
                <w:sz w:val="20"/>
                <w:szCs w:val="19"/>
              </w:rPr>
            </w:pPr>
            <w:r w:rsidRPr="007D7340">
              <w:rPr>
                <w:sz w:val="20"/>
                <w:szCs w:val="19"/>
              </w:rPr>
              <w:t>Reading closely focuses on determining what a literary text means by examining word choice and the structure of sentences. In English language arts classes, reading closely is a prerequisite to literary analysis. Reading closely often involves re-reading a passage several times in order to determine meaning—a useful practice to learn and one that skilled readers employ automatically.</w:t>
            </w:r>
          </w:p>
        </w:tc>
        <w:tc>
          <w:tcPr>
            <w:tcW w:w="6480" w:type="dxa"/>
          </w:tcPr>
          <w:p w14:paraId="371E4B67" w14:textId="77777777" w:rsidR="00882C0D" w:rsidRPr="007D7340" w:rsidRDefault="00882C0D" w:rsidP="00E153D9">
            <w:pPr>
              <w:pStyle w:val="ListParagraph"/>
              <w:numPr>
                <w:ilvl w:val="0"/>
                <w:numId w:val="7"/>
              </w:numPr>
              <w:spacing w:after="120" w:line="276" w:lineRule="auto"/>
              <w:ind w:left="252" w:hanging="162"/>
              <w:cnfStyle w:val="000000100000" w:firstRow="0" w:lastRow="0" w:firstColumn="0" w:lastColumn="0" w:oddVBand="0" w:evenVBand="0" w:oddHBand="1" w:evenHBand="0" w:firstRowFirstColumn="0" w:firstRowLastColumn="0" w:lastRowFirstColumn="0" w:lastRowLastColumn="0"/>
              <w:rPr>
                <w:sz w:val="20"/>
                <w:szCs w:val="19"/>
              </w:rPr>
            </w:pPr>
            <w:r w:rsidRPr="007D7340">
              <w:rPr>
                <w:sz w:val="20"/>
                <w:szCs w:val="19"/>
              </w:rPr>
              <w:t xml:space="preserve">The proposed changes acknowledge that reading closely is most effectively applied to poetry or other short complex texts with multiple layers of meaning or to excerpts from </w:t>
            </w:r>
            <w:r w:rsidR="0006506D">
              <w:rPr>
                <w:sz w:val="20"/>
                <w:szCs w:val="19"/>
              </w:rPr>
              <w:t>longer</w:t>
            </w:r>
            <w:r w:rsidR="0006506D" w:rsidRPr="007D7340">
              <w:rPr>
                <w:sz w:val="20"/>
                <w:szCs w:val="19"/>
              </w:rPr>
              <w:t xml:space="preserve"> </w:t>
            </w:r>
            <w:r w:rsidRPr="007D7340">
              <w:rPr>
                <w:sz w:val="20"/>
                <w:szCs w:val="19"/>
              </w:rPr>
              <w:t>complex texts. This method of analysis is not appropriate for reading an entire extended text, because it slows the reader and potentially leads her to miss an author’s overarching ideas while focusing on details of vocabulary and syntax.</w:t>
            </w:r>
          </w:p>
          <w:p w14:paraId="371E4B68" w14:textId="77777777" w:rsidR="00882C0D" w:rsidRPr="007D7340" w:rsidRDefault="00882C0D" w:rsidP="00E153D9">
            <w:pPr>
              <w:pStyle w:val="ListParagraph"/>
              <w:numPr>
                <w:ilvl w:val="1"/>
                <w:numId w:val="7"/>
              </w:numPr>
              <w:spacing w:after="120" w:line="276" w:lineRule="auto"/>
              <w:ind w:left="522" w:hanging="162"/>
              <w:cnfStyle w:val="000000100000" w:firstRow="0" w:lastRow="0" w:firstColumn="0" w:lastColumn="0" w:oddVBand="0" w:evenVBand="0" w:oddHBand="1" w:evenHBand="0" w:firstRowFirstColumn="0" w:firstRowLastColumn="0" w:lastRowFirstColumn="0" w:lastRowLastColumn="0"/>
              <w:rPr>
                <w:rFonts w:ascii="Verdana" w:hAnsi="Verdana"/>
                <w:b/>
                <w:color w:val="1F497D" w:themeColor="text2"/>
                <w:sz w:val="20"/>
                <w:szCs w:val="19"/>
              </w:rPr>
            </w:pPr>
            <w:r w:rsidRPr="007D7340">
              <w:rPr>
                <w:sz w:val="20"/>
                <w:szCs w:val="19"/>
              </w:rPr>
              <w:t xml:space="preserve">The proposed changes include content-specific examples signaling not just </w:t>
            </w:r>
            <w:r w:rsidRPr="007D7340">
              <w:rPr>
                <w:i/>
                <w:sz w:val="20"/>
                <w:szCs w:val="19"/>
              </w:rPr>
              <w:t xml:space="preserve">how </w:t>
            </w:r>
            <w:r w:rsidRPr="007D7340">
              <w:rPr>
                <w:sz w:val="20"/>
                <w:szCs w:val="19"/>
              </w:rPr>
              <w:t xml:space="preserve">to read closely, but </w:t>
            </w:r>
            <w:r w:rsidRPr="007D7340">
              <w:rPr>
                <w:i/>
                <w:sz w:val="20"/>
                <w:szCs w:val="19"/>
              </w:rPr>
              <w:t xml:space="preserve">when </w:t>
            </w:r>
            <w:r w:rsidRPr="007D7340">
              <w:rPr>
                <w:sz w:val="20"/>
                <w:szCs w:val="19"/>
              </w:rPr>
              <w:t>it is appropriate.</w:t>
            </w:r>
          </w:p>
          <w:p w14:paraId="371E4B69" w14:textId="77777777" w:rsidR="00882C0D" w:rsidRPr="007D7340" w:rsidRDefault="00882C0D" w:rsidP="00E153D9">
            <w:pPr>
              <w:pStyle w:val="ListParagraph"/>
              <w:numPr>
                <w:ilvl w:val="1"/>
                <w:numId w:val="7"/>
              </w:numPr>
              <w:spacing w:after="120" w:line="276" w:lineRule="auto"/>
              <w:ind w:left="522" w:hanging="162"/>
              <w:cnfStyle w:val="000000100000" w:firstRow="0" w:lastRow="0" w:firstColumn="0" w:lastColumn="0" w:oddVBand="0" w:evenVBand="0" w:oddHBand="1" w:evenHBand="0" w:firstRowFirstColumn="0" w:firstRowLastColumn="0" w:lastRowFirstColumn="0" w:lastRowLastColumn="0"/>
              <w:rPr>
                <w:rFonts w:ascii="Verdana" w:hAnsi="Verdana"/>
                <w:b/>
                <w:color w:val="1F497D" w:themeColor="text2"/>
                <w:sz w:val="20"/>
                <w:szCs w:val="19"/>
              </w:rPr>
            </w:pPr>
            <w:r w:rsidRPr="007D7340">
              <w:rPr>
                <w:sz w:val="20"/>
                <w:szCs w:val="19"/>
              </w:rPr>
              <w:t xml:space="preserve">The current </w:t>
            </w:r>
            <w:r w:rsidR="0006506D">
              <w:rPr>
                <w:sz w:val="20"/>
                <w:szCs w:val="19"/>
              </w:rPr>
              <w:t>g</w:t>
            </w:r>
            <w:r w:rsidRPr="007D7340">
              <w:rPr>
                <w:sz w:val="20"/>
                <w:szCs w:val="19"/>
              </w:rPr>
              <w:t>lossary does not define all of the key terms in the standards related to reading closely. The proposed changes add to the</w:t>
            </w:r>
            <w:r w:rsidR="006364F2">
              <w:rPr>
                <w:sz w:val="20"/>
                <w:szCs w:val="19"/>
              </w:rPr>
              <w:t xml:space="preserve"> </w:t>
            </w:r>
            <w:r w:rsidR="0006506D">
              <w:rPr>
                <w:sz w:val="20"/>
                <w:szCs w:val="19"/>
              </w:rPr>
              <w:t>g</w:t>
            </w:r>
            <w:r w:rsidRPr="007D7340">
              <w:rPr>
                <w:sz w:val="20"/>
                <w:szCs w:val="19"/>
              </w:rPr>
              <w:t>lossary to clarify this concept.</w:t>
            </w:r>
          </w:p>
        </w:tc>
      </w:tr>
      <w:tr w:rsidR="00882C0D" w:rsidRPr="007D7340" w14:paraId="371E4B6F" w14:textId="77777777" w:rsidTr="003E4C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71E4B6B" w14:textId="77777777" w:rsidR="00882C0D" w:rsidRPr="00A112FC" w:rsidRDefault="00882C0D" w:rsidP="00882C0D">
            <w:pPr>
              <w:spacing w:line="276" w:lineRule="auto"/>
              <w:rPr>
                <w:sz w:val="20"/>
                <w:szCs w:val="19"/>
              </w:rPr>
            </w:pPr>
            <w:r w:rsidRPr="00A112FC">
              <w:rPr>
                <w:sz w:val="20"/>
                <w:szCs w:val="19"/>
              </w:rPr>
              <w:t>Engaging with Complex Texts</w:t>
            </w:r>
          </w:p>
        </w:tc>
        <w:tc>
          <w:tcPr>
            <w:tcW w:w="3330" w:type="dxa"/>
          </w:tcPr>
          <w:p w14:paraId="371E4B6C" w14:textId="77777777" w:rsidR="00882C0D" w:rsidRPr="007D7340" w:rsidRDefault="00882C0D" w:rsidP="00882C0D">
            <w:pPr>
              <w:spacing w:line="276" w:lineRule="auto"/>
              <w:cnfStyle w:val="000000010000" w:firstRow="0" w:lastRow="0" w:firstColumn="0" w:lastColumn="0" w:oddVBand="0" w:evenVBand="0" w:oddHBand="0" w:evenHBand="1" w:firstRowFirstColumn="0" w:firstRowLastColumn="0" w:lastRowFirstColumn="0" w:lastRowLastColumn="0"/>
              <w:rPr>
                <w:sz w:val="20"/>
                <w:szCs w:val="19"/>
              </w:rPr>
            </w:pPr>
            <w:r w:rsidRPr="007D7340">
              <w:rPr>
                <w:sz w:val="20"/>
                <w:szCs w:val="19"/>
              </w:rPr>
              <w:t xml:space="preserve">College, career, and civic participation require people to read and communicate independently about complex texts. Students must have opportunities to engage with a broad range of high quality, increasingly challenging literary and informational texts. </w:t>
            </w:r>
          </w:p>
        </w:tc>
        <w:tc>
          <w:tcPr>
            <w:tcW w:w="6480" w:type="dxa"/>
          </w:tcPr>
          <w:p w14:paraId="371E4B6D" w14:textId="77777777" w:rsidR="00882C0D" w:rsidRPr="007D7340" w:rsidRDefault="00882C0D" w:rsidP="00E153D9">
            <w:pPr>
              <w:pStyle w:val="ListParagraph"/>
              <w:numPr>
                <w:ilvl w:val="0"/>
                <w:numId w:val="7"/>
              </w:numPr>
              <w:spacing w:after="120" w:line="276" w:lineRule="auto"/>
              <w:ind w:left="252" w:hanging="162"/>
              <w:cnfStyle w:val="000000010000" w:firstRow="0" w:lastRow="0" w:firstColumn="0" w:lastColumn="0" w:oddVBand="0" w:evenVBand="0" w:oddHBand="0" w:evenHBand="1" w:firstRowFirstColumn="0" w:firstRowLastColumn="0" w:lastRowFirstColumn="0" w:lastRowLastColumn="0"/>
              <w:rPr>
                <w:rFonts w:ascii="Verdana" w:hAnsi="Verdana"/>
                <w:b/>
                <w:color w:val="1F497D" w:themeColor="text2"/>
                <w:sz w:val="20"/>
                <w:szCs w:val="19"/>
              </w:rPr>
            </w:pPr>
            <w:r w:rsidRPr="007D7340">
              <w:rPr>
                <w:sz w:val="20"/>
                <w:szCs w:val="19"/>
              </w:rPr>
              <w:t xml:space="preserve">The current standards lack examples of effective practices for integrating reading, writing, and language skills and knowledge when engaging with complex texts. The proposed </w:t>
            </w:r>
            <w:r>
              <w:rPr>
                <w:sz w:val="20"/>
                <w:szCs w:val="19"/>
              </w:rPr>
              <w:t>revisions</w:t>
            </w:r>
            <w:r w:rsidRPr="007D7340">
              <w:rPr>
                <w:sz w:val="20"/>
                <w:szCs w:val="19"/>
              </w:rPr>
              <w:t xml:space="preserve"> include examples </w:t>
            </w:r>
            <w:r w:rsidR="00D17D11">
              <w:rPr>
                <w:sz w:val="20"/>
                <w:szCs w:val="19"/>
              </w:rPr>
              <w:t xml:space="preserve">that reference an array of specific texts and describe how educators can </w:t>
            </w:r>
            <w:r w:rsidR="00E63F75">
              <w:rPr>
                <w:sz w:val="20"/>
                <w:szCs w:val="19"/>
              </w:rPr>
              <w:t xml:space="preserve">integrate and </w:t>
            </w:r>
            <w:r w:rsidR="00D17D11">
              <w:rPr>
                <w:sz w:val="20"/>
                <w:szCs w:val="19"/>
              </w:rPr>
              <w:t>use</w:t>
            </w:r>
            <w:r w:rsidRPr="007D7340">
              <w:rPr>
                <w:sz w:val="20"/>
                <w:szCs w:val="19"/>
              </w:rPr>
              <w:t xml:space="preserve"> multiple standards </w:t>
            </w:r>
            <w:r>
              <w:rPr>
                <w:sz w:val="20"/>
                <w:szCs w:val="19"/>
              </w:rPr>
              <w:t>in curriculum and lesson design</w:t>
            </w:r>
            <w:r w:rsidR="00D17D11">
              <w:rPr>
                <w:sz w:val="20"/>
                <w:szCs w:val="19"/>
              </w:rPr>
              <w:t>.</w:t>
            </w:r>
          </w:p>
          <w:p w14:paraId="371E4B6E" w14:textId="77777777" w:rsidR="00882C0D" w:rsidRDefault="00882C0D" w:rsidP="00E153D9">
            <w:pPr>
              <w:pStyle w:val="ListParagraph"/>
              <w:numPr>
                <w:ilvl w:val="0"/>
                <w:numId w:val="7"/>
              </w:numPr>
              <w:spacing w:after="120" w:line="276" w:lineRule="auto"/>
              <w:ind w:left="252" w:hanging="162"/>
              <w:cnfStyle w:val="000000010000" w:firstRow="0" w:lastRow="0" w:firstColumn="0" w:lastColumn="0" w:oddVBand="0" w:evenVBand="0" w:oddHBand="0" w:evenHBand="1" w:firstRowFirstColumn="0" w:firstRowLastColumn="0" w:lastRowFirstColumn="0" w:lastRowLastColumn="0"/>
              <w:rPr>
                <w:sz w:val="20"/>
                <w:szCs w:val="19"/>
              </w:rPr>
            </w:pPr>
            <w:r w:rsidRPr="007D7340">
              <w:rPr>
                <w:sz w:val="20"/>
                <w:szCs w:val="19"/>
              </w:rPr>
              <w:t>The current Reading standards identify three factors in measuring text complexity: (1) qualitative evaluation of text, (2) quantitative evaluation of text, and (3) matching reader to text and task. The proposed changes includ</w:t>
            </w:r>
            <w:r>
              <w:rPr>
                <w:sz w:val="20"/>
                <w:szCs w:val="19"/>
              </w:rPr>
              <w:t>e</w:t>
            </w:r>
            <w:r w:rsidRPr="007D7340">
              <w:rPr>
                <w:sz w:val="20"/>
                <w:szCs w:val="19"/>
              </w:rPr>
              <w:t xml:space="preserve"> </w:t>
            </w:r>
            <w:r>
              <w:rPr>
                <w:sz w:val="20"/>
                <w:szCs w:val="19"/>
              </w:rPr>
              <w:t>more information on qualitative dimensions of text complexity</w:t>
            </w:r>
            <w:r w:rsidR="00803A91">
              <w:rPr>
                <w:sz w:val="20"/>
                <w:szCs w:val="19"/>
              </w:rPr>
              <w:t>.</w:t>
            </w:r>
          </w:p>
        </w:tc>
      </w:tr>
      <w:tr w:rsidR="00FD08FE" w:rsidRPr="007D7340" w14:paraId="371E4B75" w14:textId="77777777" w:rsidTr="003E4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371E4B70" w14:textId="77777777" w:rsidR="00FD08FE" w:rsidRPr="00A112FC" w:rsidRDefault="00FD08FE" w:rsidP="00CE69AC">
            <w:pPr>
              <w:spacing w:line="276" w:lineRule="auto"/>
              <w:rPr>
                <w:sz w:val="20"/>
                <w:szCs w:val="19"/>
              </w:rPr>
            </w:pPr>
            <w:r w:rsidRPr="00A112FC">
              <w:rPr>
                <w:sz w:val="20"/>
                <w:szCs w:val="19"/>
              </w:rPr>
              <w:lastRenderedPageBreak/>
              <w:t>Changes in</w:t>
            </w:r>
            <w:r w:rsidR="003E4CB7">
              <w:rPr>
                <w:sz w:val="20"/>
                <w:szCs w:val="19"/>
              </w:rPr>
              <w:t xml:space="preserve"> </w:t>
            </w:r>
            <w:r w:rsidRPr="00A112FC">
              <w:rPr>
                <w:sz w:val="20"/>
                <w:szCs w:val="19"/>
              </w:rPr>
              <w:t>two PK-12</w:t>
            </w:r>
          </w:p>
          <w:p w14:paraId="371E4B71" w14:textId="77777777" w:rsidR="00FD08FE" w:rsidRPr="00A112FC" w:rsidRDefault="00FD08FE" w:rsidP="00CE69AC">
            <w:pPr>
              <w:spacing w:line="276" w:lineRule="auto"/>
              <w:rPr>
                <w:sz w:val="20"/>
                <w:szCs w:val="19"/>
              </w:rPr>
            </w:pPr>
            <w:r w:rsidRPr="00A112FC">
              <w:rPr>
                <w:sz w:val="20"/>
                <w:szCs w:val="19"/>
              </w:rPr>
              <w:t>Standards for Reading Literature and Writing</w:t>
            </w:r>
          </w:p>
        </w:tc>
        <w:tc>
          <w:tcPr>
            <w:tcW w:w="3330" w:type="dxa"/>
          </w:tcPr>
          <w:p w14:paraId="371E4B72" w14:textId="77777777" w:rsidR="00FD08FE" w:rsidRPr="00250C10" w:rsidRDefault="00FD08FE" w:rsidP="007B6E2F">
            <w:pPr>
              <w:spacing w:line="276" w:lineRule="auto"/>
              <w:cnfStyle w:val="000000100000" w:firstRow="0" w:lastRow="0" w:firstColumn="0" w:lastColumn="0" w:oddVBand="0" w:evenVBand="0" w:oddHBand="1" w:evenHBand="0" w:firstRowFirstColumn="0" w:firstRowLastColumn="0" w:lastRowFirstColumn="0" w:lastRowLastColumn="0"/>
              <w:rPr>
                <w:sz w:val="20"/>
                <w:szCs w:val="19"/>
              </w:rPr>
            </w:pPr>
            <w:r w:rsidRPr="00250C10">
              <w:rPr>
                <w:sz w:val="20"/>
                <w:szCs w:val="19"/>
              </w:rPr>
              <w:t xml:space="preserve">The current standards include </w:t>
            </w:r>
            <w:r>
              <w:rPr>
                <w:sz w:val="20"/>
                <w:szCs w:val="19"/>
              </w:rPr>
              <w:t>two</w:t>
            </w:r>
            <w:r w:rsidRPr="00250C10">
              <w:rPr>
                <w:sz w:val="20"/>
                <w:szCs w:val="19"/>
              </w:rPr>
              <w:t xml:space="preserve"> standards focused solely on applying knowledge of literary concepts to reading and writing. Educators said that these standards were too narrow and specific</w:t>
            </w:r>
            <w:r w:rsidR="006364F2">
              <w:rPr>
                <w:sz w:val="20"/>
                <w:szCs w:val="19"/>
              </w:rPr>
              <w:t xml:space="preserve">. As a result, these standards </w:t>
            </w:r>
            <w:r w:rsidR="0037630A">
              <w:rPr>
                <w:sz w:val="20"/>
                <w:szCs w:val="19"/>
              </w:rPr>
              <w:t>have proven</w:t>
            </w:r>
            <w:r w:rsidR="006364F2">
              <w:rPr>
                <w:sz w:val="20"/>
                <w:szCs w:val="19"/>
              </w:rPr>
              <w:t xml:space="preserve"> </w:t>
            </w:r>
            <w:r w:rsidRPr="00250C10">
              <w:rPr>
                <w:sz w:val="20"/>
                <w:szCs w:val="19"/>
              </w:rPr>
              <w:t>difficult to implement</w:t>
            </w:r>
            <w:r w:rsidR="007B6E2F">
              <w:rPr>
                <w:sz w:val="20"/>
                <w:szCs w:val="19"/>
              </w:rPr>
              <w:t>.</w:t>
            </w:r>
          </w:p>
        </w:tc>
        <w:tc>
          <w:tcPr>
            <w:tcW w:w="6480" w:type="dxa"/>
          </w:tcPr>
          <w:p w14:paraId="371E4B73" w14:textId="77777777" w:rsidR="00FD08FE" w:rsidRPr="00250C10" w:rsidRDefault="00FD08FE" w:rsidP="00FD08FE">
            <w:pPr>
              <w:pStyle w:val="ListParagraph"/>
              <w:numPr>
                <w:ilvl w:val="0"/>
                <w:numId w:val="7"/>
              </w:numPr>
              <w:spacing w:line="276" w:lineRule="auto"/>
              <w:ind w:left="252" w:hanging="162"/>
              <w:cnfStyle w:val="000000100000" w:firstRow="0" w:lastRow="0" w:firstColumn="0" w:lastColumn="0" w:oddVBand="0" w:evenVBand="0" w:oddHBand="1" w:evenHBand="0" w:firstRowFirstColumn="0" w:firstRowLastColumn="0" w:lastRowFirstColumn="0" w:lastRowLastColumn="0"/>
              <w:rPr>
                <w:rFonts w:ascii="Verdana" w:hAnsi="Verdana"/>
                <w:color w:val="1F497D" w:themeColor="text2"/>
                <w:sz w:val="20"/>
                <w:szCs w:val="19"/>
              </w:rPr>
            </w:pPr>
            <w:r w:rsidRPr="00250C10">
              <w:rPr>
                <w:sz w:val="20"/>
                <w:szCs w:val="19"/>
              </w:rPr>
              <w:t xml:space="preserve">The proposed changes incorporate the content of the </w:t>
            </w:r>
            <w:r>
              <w:rPr>
                <w:sz w:val="20"/>
                <w:szCs w:val="19"/>
              </w:rPr>
              <w:t>two</w:t>
            </w:r>
            <w:r w:rsidRPr="00250C10">
              <w:rPr>
                <w:sz w:val="20"/>
                <w:szCs w:val="19"/>
              </w:rPr>
              <w:t xml:space="preserve"> standards related to literary concepts within existing Reading, Writing, </w:t>
            </w:r>
            <w:r>
              <w:rPr>
                <w:sz w:val="20"/>
                <w:szCs w:val="19"/>
              </w:rPr>
              <w:t xml:space="preserve">Speaking and Listening </w:t>
            </w:r>
            <w:r w:rsidRPr="00250C10">
              <w:rPr>
                <w:sz w:val="20"/>
                <w:szCs w:val="19"/>
              </w:rPr>
              <w:t xml:space="preserve">and Language standards. </w:t>
            </w:r>
          </w:p>
          <w:p w14:paraId="371E4B74" w14:textId="77777777" w:rsidR="00FD08FE" w:rsidRPr="00250C10" w:rsidRDefault="00FD08FE" w:rsidP="00E153D9">
            <w:pPr>
              <w:pStyle w:val="ListParagraph"/>
              <w:numPr>
                <w:ilvl w:val="1"/>
                <w:numId w:val="7"/>
              </w:numPr>
              <w:spacing w:line="276" w:lineRule="auto"/>
              <w:ind w:left="522" w:hanging="162"/>
              <w:cnfStyle w:val="000000100000" w:firstRow="0" w:lastRow="0" w:firstColumn="0" w:lastColumn="0" w:oddVBand="0" w:evenVBand="0" w:oddHBand="1" w:evenHBand="0" w:firstRowFirstColumn="0" w:firstRowLastColumn="0" w:lastRowFirstColumn="0" w:lastRowLastColumn="0"/>
              <w:rPr>
                <w:bCs/>
                <w:color w:val="FFFFFF" w:themeColor="background1"/>
                <w:sz w:val="20"/>
                <w:szCs w:val="19"/>
              </w:rPr>
            </w:pPr>
            <w:r w:rsidRPr="00250C10">
              <w:rPr>
                <w:sz w:val="20"/>
                <w:szCs w:val="19"/>
              </w:rPr>
              <w:t>This new organizational approach reduces the overall number of standards teachers must teach each year.  The change also creates a progression as students move through the grades, allowing them to acquire an expanded knowledge of literature and literary vocabulary (e.g., from words such as “story” in pre-kindergarten to words such as “</w:t>
            </w:r>
            <w:r w:rsidR="00E153D9">
              <w:rPr>
                <w:sz w:val="20"/>
                <w:szCs w:val="19"/>
              </w:rPr>
              <w:t>aesthetic</w:t>
            </w:r>
            <w:r w:rsidRPr="00250C10">
              <w:rPr>
                <w:sz w:val="20"/>
                <w:szCs w:val="19"/>
              </w:rPr>
              <w:t xml:space="preserve">” and “satire” in grades 11–12). </w:t>
            </w:r>
          </w:p>
        </w:tc>
      </w:tr>
    </w:tbl>
    <w:p w14:paraId="371E4B76" w14:textId="00E266B4" w:rsidR="00882C0D" w:rsidRDefault="005D0025" w:rsidP="00FD08FE">
      <w:pPr>
        <w:spacing w:before="240" w:line="264" w:lineRule="auto"/>
        <w:rPr>
          <w:b/>
          <w:color w:val="1F497D" w:themeColor="text2"/>
        </w:rPr>
      </w:pPr>
      <w:r>
        <w:rPr>
          <w:rFonts w:ascii="Verdana" w:hAnsi="Verdana"/>
          <w:b/>
          <w:noProof/>
          <w:color w:val="1F497D" w:themeColor="text2"/>
          <w:sz w:val="20"/>
        </w:rPr>
        <w:drawing>
          <wp:anchor distT="0" distB="0" distL="114300" distR="114300" simplePos="0" relativeHeight="251661312" behindDoc="1" locked="0" layoutInCell="1" allowOverlap="1" wp14:anchorId="371E4B7E" wp14:editId="371E4B7F">
            <wp:simplePos x="0" y="0"/>
            <wp:positionH relativeFrom="column">
              <wp:posOffset>5709920</wp:posOffset>
            </wp:positionH>
            <wp:positionV relativeFrom="paragraph">
              <wp:posOffset>127000</wp:posOffset>
            </wp:positionV>
            <wp:extent cx="574040" cy="538480"/>
            <wp:effectExtent l="19050" t="0" r="0" b="0"/>
            <wp:wrapTight wrapText="bothSides">
              <wp:wrapPolygon edited="0">
                <wp:start x="-717" y="0"/>
                <wp:lineTo x="-717" y="20632"/>
                <wp:lineTo x="21504" y="20632"/>
                <wp:lineTo x="21504" y="0"/>
                <wp:lineTo x="-717" y="0"/>
              </wp:wrapPolygon>
            </wp:wrapTight>
            <wp:docPr id="4" name="Picture 2" descr="Student gradu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74040" cy="538480"/>
                    </a:xfrm>
                    <a:prstGeom prst="rect">
                      <a:avLst/>
                    </a:prstGeom>
                    <a:noFill/>
                    <a:ln w="9525">
                      <a:noFill/>
                      <a:miter lim="800000"/>
                      <a:headEnd/>
                      <a:tailEnd/>
                    </a:ln>
                  </pic:spPr>
                </pic:pic>
              </a:graphicData>
            </a:graphic>
          </wp:anchor>
        </w:drawing>
      </w:r>
      <w:r w:rsidR="001B4B0C">
        <w:rPr>
          <w:rFonts w:ascii="Verdana" w:hAnsi="Verdana"/>
          <w:b/>
          <w:noProof/>
          <w:color w:val="1F497D" w:themeColor="text2"/>
          <w:sz w:val="20"/>
        </w:rPr>
        <mc:AlternateContent>
          <mc:Choice Requires="wps">
            <w:drawing>
              <wp:anchor distT="0" distB="0" distL="114300" distR="114300" simplePos="0" relativeHeight="251665408" behindDoc="0" locked="0" layoutInCell="1" allowOverlap="1" wp14:anchorId="371E4B81" wp14:editId="47361578">
                <wp:simplePos x="0" y="0"/>
                <wp:positionH relativeFrom="column">
                  <wp:posOffset>6380480</wp:posOffset>
                </wp:positionH>
                <wp:positionV relativeFrom="paragraph">
                  <wp:posOffset>24130</wp:posOffset>
                </wp:positionV>
                <wp:extent cx="534670" cy="421640"/>
                <wp:effectExtent l="141605" t="8255" r="9525" b="82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421640"/>
                        </a:xfrm>
                        <a:prstGeom prst="cloudCallout">
                          <a:avLst>
                            <a:gd name="adj1" fmla="val -71139"/>
                            <a:gd name="adj2" fmla="val 43074"/>
                          </a:avLst>
                        </a:prstGeom>
                        <a:solidFill>
                          <a:srgbClr val="FFFFFF"/>
                        </a:solidFill>
                        <a:ln w="9525">
                          <a:solidFill>
                            <a:srgbClr val="000000"/>
                          </a:solidFill>
                          <a:round/>
                          <a:headEnd/>
                          <a:tailEnd/>
                        </a:ln>
                      </wps:spPr>
                      <wps:txbx>
                        <w:txbxContent>
                          <w:p w14:paraId="371E4B90" w14:textId="77777777" w:rsidR="008A584C" w:rsidRPr="00590CA2" w:rsidRDefault="008A584C" w:rsidP="00882C0D">
                            <w:pPr>
                              <w:jc w:val="center"/>
                              <w:rPr>
                                <w:sz w:val="10"/>
                                <w:szCs w:val="10"/>
                              </w:rPr>
                            </w:pPr>
                            <w:r w:rsidRPr="00590CA2">
                              <w:rPr>
                                <w:sz w:val="10"/>
                                <w:szCs w:val="10"/>
                              </w:rPr>
                              <w:t>I’m wondering…</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E4B81"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4" o:spid="_x0000_s1026" type="#_x0000_t106" style="position:absolute;margin-left:502.4pt;margin-top:1.9pt;width:42.1pt;height:3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" adj="-4566,20104">
                <v:textbox inset="0,0,0,0">
                  <w:txbxContent>
                    <w:p w14:paraId="371E4B90" w14:textId="77777777" w:rsidR="008A584C" w:rsidRPr="00590CA2" w:rsidRDefault="008A584C" w:rsidP="00882C0D">
                      <w:pPr>
                        <w:jc w:val="center"/>
                        <w:rPr>
                          <w:sz w:val="10"/>
                          <w:szCs w:val="10"/>
                        </w:rPr>
                      </w:pPr>
                      <w:r w:rsidRPr="00590CA2">
                        <w:rPr>
                          <w:sz w:val="10"/>
                          <w:szCs w:val="10"/>
                        </w:rPr>
                        <w:t>I’m wondering…</w:t>
                      </w:r>
                    </w:p>
                  </w:txbxContent>
                </v:textbox>
              </v:shape>
            </w:pict>
          </mc:Fallback>
        </mc:AlternateContent>
      </w:r>
      <w:r w:rsidR="00882C0D">
        <w:rPr>
          <w:rFonts w:ascii="Verdana" w:hAnsi="Verdana"/>
          <w:b/>
          <w:color w:val="1F497D" w:themeColor="text2"/>
          <w:sz w:val="20"/>
        </w:rPr>
        <w:t>FAQs about the Proposed Changes</w:t>
      </w:r>
    </w:p>
    <w:p w14:paraId="371E4B77" w14:textId="77777777" w:rsidR="009E256C" w:rsidRPr="00B45B05" w:rsidRDefault="00B45B05" w:rsidP="006364F2">
      <w:pPr>
        <w:pStyle w:val="ListParagraph"/>
        <w:numPr>
          <w:ilvl w:val="0"/>
          <w:numId w:val="18"/>
        </w:numPr>
        <w:tabs>
          <w:tab w:val="left" w:pos="522"/>
        </w:tabs>
        <w:spacing w:before="120" w:line="276" w:lineRule="auto"/>
        <w:ind w:right="1800"/>
        <w:contextualSpacing w:val="0"/>
        <w:rPr>
          <w:rFonts w:ascii="Verdana" w:hAnsi="Verdana"/>
          <w:b/>
          <w:color w:val="1F497D" w:themeColor="text2"/>
          <w:sz w:val="16"/>
        </w:rPr>
      </w:pPr>
      <w:r>
        <w:rPr>
          <w:rFonts w:ascii="Verdana" w:hAnsi="Verdana"/>
          <w:b/>
          <w:color w:val="1F497D" w:themeColor="text2"/>
          <w:sz w:val="16"/>
        </w:rPr>
        <w:t>Do the</w:t>
      </w:r>
      <w:r w:rsidR="009E256C">
        <w:rPr>
          <w:rFonts w:ascii="Verdana" w:hAnsi="Verdana"/>
          <w:b/>
          <w:color w:val="1F497D" w:themeColor="text2"/>
          <w:sz w:val="16"/>
        </w:rPr>
        <w:t xml:space="preserve"> current standards place too much emphasis on informational text, at </w:t>
      </w:r>
      <w:r w:rsidR="00A966B7" w:rsidRPr="00A966B7">
        <w:rPr>
          <w:rFonts w:ascii="Verdana" w:hAnsi="Verdana"/>
          <w:b/>
          <w:color w:val="1F497D" w:themeColor="text2"/>
          <w:sz w:val="16"/>
        </w:rPr>
        <w:t xml:space="preserve">the expense </w:t>
      </w:r>
      <w:r w:rsidR="006364F2">
        <w:rPr>
          <w:rFonts w:ascii="Verdana" w:hAnsi="Verdana"/>
          <w:b/>
          <w:color w:val="1F497D" w:themeColor="text2"/>
          <w:sz w:val="16"/>
        </w:rPr>
        <w:t xml:space="preserve">                                                                                             </w:t>
      </w:r>
      <w:r w:rsidR="00A966B7" w:rsidRPr="00A966B7">
        <w:rPr>
          <w:rFonts w:ascii="Verdana" w:hAnsi="Verdana"/>
          <w:b/>
          <w:color w:val="1F497D" w:themeColor="text2"/>
          <w:sz w:val="16"/>
        </w:rPr>
        <w:t>of literature</w:t>
      </w:r>
      <w:r>
        <w:rPr>
          <w:rFonts w:ascii="Verdana" w:hAnsi="Verdana"/>
          <w:b/>
          <w:color w:val="1F497D" w:themeColor="text2"/>
          <w:sz w:val="16"/>
        </w:rPr>
        <w:t>?</w:t>
      </w:r>
      <w:r w:rsidR="00A966B7" w:rsidRPr="00A966B7">
        <w:rPr>
          <w:rFonts w:ascii="Verdana" w:hAnsi="Verdana"/>
          <w:b/>
          <w:color w:val="1F497D" w:themeColor="text2"/>
          <w:sz w:val="16"/>
        </w:rPr>
        <w:t xml:space="preserve">  </w:t>
      </w:r>
    </w:p>
    <w:p w14:paraId="371E4B78" w14:textId="77777777" w:rsidR="009E256C" w:rsidRPr="009E256C" w:rsidRDefault="009E256C" w:rsidP="00115B35">
      <w:pPr>
        <w:spacing w:before="80" w:line="276" w:lineRule="auto"/>
        <w:rPr>
          <w:sz w:val="20"/>
        </w:rPr>
      </w:pPr>
      <w:r w:rsidRPr="009E256C">
        <w:rPr>
          <w:sz w:val="20"/>
        </w:rPr>
        <w:t xml:space="preserve">Well-written novels, short stories, poems, drama, traditional literature, and literary nonfiction have always been and remain the heart of a strong English language arts program. The </w:t>
      </w:r>
      <w:r>
        <w:rPr>
          <w:sz w:val="20"/>
        </w:rPr>
        <w:t>Massachusetts ELA/Literacy Curriculum Framework</w:t>
      </w:r>
      <w:r w:rsidRPr="009E256C">
        <w:rPr>
          <w:sz w:val="20"/>
        </w:rPr>
        <w:t xml:space="preserve"> </w:t>
      </w:r>
      <w:r w:rsidR="0010259D">
        <w:rPr>
          <w:sz w:val="20"/>
        </w:rPr>
        <w:t>includes standards and guidance that makes</w:t>
      </w:r>
      <w:r w:rsidRPr="009E256C">
        <w:rPr>
          <w:sz w:val="20"/>
        </w:rPr>
        <w:t xml:space="preserve"> this</w:t>
      </w:r>
      <w:r w:rsidR="0010259D">
        <w:rPr>
          <w:sz w:val="20"/>
        </w:rPr>
        <w:t xml:space="preserve"> point</w:t>
      </w:r>
      <w:r w:rsidRPr="009E256C">
        <w:rPr>
          <w:sz w:val="20"/>
        </w:rPr>
        <w:t xml:space="preserve"> clear. English teachers have a unique responsibility to introduce students t</w:t>
      </w:r>
      <w:bookmarkStart w:id="0" w:name="_GoBack"/>
      <w:bookmarkEnd w:id="0"/>
      <w:r w:rsidRPr="009E256C">
        <w:rPr>
          <w:sz w:val="20"/>
        </w:rPr>
        <w:t xml:space="preserve">o high quality, challenging literature that reflects diverse perspectives. The standards do not dictate how much literary or informational text students should read in English classes. </w:t>
      </w:r>
    </w:p>
    <w:p w14:paraId="371E4B79" w14:textId="77777777" w:rsidR="009E256C" w:rsidRDefault="00B45B05" w:rsidP="009E256C">
      <w:pPr>
        <w:pStyle w:val="ListParagraph"/>
        <w:numPr>
          <w:ilvl w:val="0"/>
          <w:numId w:val="18"/>
        </w:numPr>
        <w:spacing w:before="120" w:line="276" w:lineRule="auto"/>
        <w:rPr>
          <w:rFonts w:ascii="Verdana" w:hAnsi="Verdana"/>
          <w:b/>
          <w:color w:val="1F497D" w:themeColor="text2"/>
          <w:sz w:val="16"/>
        </w:rPr>
      </w:pPr>
      <w:r>
        <w:rPr>
          <w:rFonts w:ascii="Verdana" w:hAnsi="Verdana"/>
          <w:b/>
          <w:color w:val="1F497D" w:themeColor="text2"/>
          <w:sz w:val="16"/>
        </w:rPr>
        <w:t>Who is responsible for teaching</w:t>
      </w:r>
      <w:r w:rsidR="009E256C">
        <w:rPr>
          <w:rFonts w:ascii="Verdana" w:hAnsi="Verdana"/>
          <w:b/>
          <w:color w:val="1F497D" w:themeColor="text2"/>
          <w:sz w:val="16"/>
        </w:rPr>
        <w:t xml:space="preserve"> students to read and write informational texts?</w:t>
      </w:r>
    </w:p>
    <w:p w14:paraId="371E4B7A" w14:textId="77777777" w:rsidR="009E256C" w:rsidRPr="009E256C" w:rsidRDefault="00384E20" w:rsidP="00115B35">
      <w:pPr>
        <w:spacing w:before="80" w:line="276" w:lineRule="auto"/>
        <w:rPr>
          <w:sz w:val="20"/>
        </w:rPr>
      </w:pPr>
      <w:r w:rsidRPr="00A879DD">
        <w:rPr>
          <w:sz w:val="20"/>
          <w:szCs w:val="20"/>
        </w:rPr>
        <w:t>When thinking about the balance of literary and informational texts in middle and high schools, consider students’ experiences across the full school day.</w:t>
      </w:r>
      <w:r w:rsidR="00A879DD" w:rsidRPr="00A879DD">
        <w:rPr>
          <w:sz w:val="20"/>
          <w:szCs w:val="20"/>
        </w:rPr>
        <w:t xml:space="preserve"> </w:t>
      </w:r>
      <w:r w:rsidR="009E256C" w:rsidRPr="00A879DD">
        <w:rPr>
          <w:sz w:val="20"/>
        </w:rPr>
        <w:t>All teachers</w:t>
      </w:r>
      <w:r w:rsidR="009E256C" w:rsidRPr="009E256C">
        <w:rPr>
          <w:sz w:val="20"/>
        </w:rPr>
        <w:t xml:space="preserve"> have a role in developing intelligent readers, and articulate writers and speakers</w:t>
      </w:r>
      <w:r>
        <w:rPr>
          <w:sz w:val="20"/>
        </w:rPr>
        <w:t xml:space="preserve"> in their </w:t>
      </w:r>
      <w:r w:rsidR="00A879DD">
        <w:rPr>
          <w:sz w:val="20"/>
        </w:rPr>
        <w:t>subject areas</w:t>
      </w:r>
      <w:r w:rsidR="009E256C" w:rsidRPr="009E256C">
        <w:rPr>
          <w:sz w:val="20"/>
        </w:rPr>
        <w:t xml:space="preserve">. The framework makes it clear that literacy is a shared responsibility within a </w:t>
      </w:r>
      <w:r w:rsidR="009E256C" w:rsidRPr="00A879DD">
        <w:rPr>
          <w:sz w:val="20"/>
        </w:rPr>
        <w:t xml:space="preserve">school. </w:t>
      </w:r>
      <w:r w:rsidR="00D61267" w:rsidRPr="00A879DD">
        <w:rPr>
          <w:sz w:val="20"/>
          <w:szCs w:val="20"/>
        </w:rPr>
        <w:t>Students</w:t>
      </w:r>
      <w:r w:rsidR="00C40A28" w:rsidRPr="00A879DD">
        <w:rPr>
          <w:sz w:val="20"/>
          <w:szCs w:val="20"/>
        </w:rPr>
        <w:t xml:space="preserve"> in middle and high school</w:t>
      </w:r>
      <w:r w:rsidR="00D61267" w:rsidRPr="00A879DD">
        <w:rPr>
          <w:sz w:val="20"/>
          <w:szCs w:val="20"/>
        </w:rPr>
        <w:t xml:space="preserve"> encounter informational texts</w:t>
      </w:r>
      <w:r w:rsidR="00A879DD">
        <w:rPr>
          <w:sz w:val="20"/>
          <w:szCs w:val="20"/>
        </w:rPr>
        <w:t xml:space="preserve"> </w:t>
      </w:r>
      <w:r w:rsidRPr="00A879DD">
        <w:rPr>
          <w:sz w:val="20"/>
          <w:szCs w:val="20"/>
        </w:rPr>
        <w:t xml:space="preserve">in many forms </w:t>
      </w:r>
      <w:r w:rsidR="00D61267" w:rsidRPr="00A879DD">
        <w:rPr>
          <w:sz w:val="20"/>
          <w:szCs w:val="20"/>
        </w:rPr>
        <w:t xml:space="preserve">in many classes. </w:t>
      </w:r>
      <w:r w:rsidR="00C40A28">
        <w:rPr>
          <w:sz w:val="20"/>
          <w:szCs w:val="20"/>
        </w:rPr>
        <w:t xml:space="preserve">English teachers are the authorities on </w:t>
      </w:r>
      <w:r w:rsidR="00A879DD">
        <w:rPr>
          <w:sz w:val="20"/>
          <w:szCs w:val="20"/>
        </w:rPr>
        <w:t>analyzing fiction</w:t>
      </w:r>
      <w:r w:rsidR="00C40A28">
        <w:rPr>
          <w:sz w:val="20"/>
          <w:szCs w:val="20"/>
        </w:rPr>
        <w:t xml:space="preserve">, poetry, drama, and </w:t>
      </w:r>
      <w:r>
        <w:rPr>
          <w:sz w:val="20"/>
          <w:szCs w:val="20"/>
        </w:rPr>
        <w:t xml:space="preserve">literary </w:t>
      </w:r>
      <w:r w:rsidR="00C40A28">
        <w:rPr>
          <w:sz w:val="20"/>
          <w:szCs w:val="20"/>
        </w:rPr>
        <w:t xml:space="preserve">nonfiction. </w:t>
      </w:r>
      <w:r w:rsidR="00C40A28">
        <w:rPr>
          <w:sz w:val="20"/>
        </w:rPr>
        <w:t>T</w:t>
      </w:r>
      <w:r w:rsidR="009E256C" w:rsidRPr="009E256C">
        <w:rPr>
          <w:sz w:val="20"/>
        </w:rPr>
        <w:t xml:space="preserve">eachers of subjects other than English </w:t>
      </w:r>
      <w:r w:rsidR="00C40A28">
        <w:rPr>
          <w:sz w:val="20"/>
        </w:rPr>
        <w:t>are the authorities on reading, writing, research, and discourse in their fields.</w:t>
      </w:r>
      <w:r w:rsidR="009E256C" w:rsidRPr="009E256C">
        <w:rPr>
          <w:sz w:val="20"/>
        </w:rPr>
        <w:t xml:space="preserve"> </w:t>
      </w:r>
      <w:r w:rsidR="000B308E">
        <w:rPr>
          <w:sz w:val="20"/>
        </w:rPr>
        <w:t xml:space="preserve">For example, a student should turn to a science teacher for models of </w:t>
      </w:r>
      <w:r>
        <w:rPr>
          <w:sz w:val="20"/>
        </w:rPr>
        <w:t>writing objective</w:t>
      </w:r>
      <w:r w:rsidR="000B308E">
        <w:rPr>
          <w:sz w:val="20"/>
        </w:rPr>
        <w:t xml:space="preserve"> experimental research, an arts teacher for </w:t>
      </w:r>
      <w:r>
        <w:rPr>
          <w:sz w:val="20"/>
        </w:rPr>
        <w:t>models</w:t>
      </w:r>
      <w:r w:rsidR="000B308E">
        <w:rPr>
          <w:sz w:val="20"/>
        </w:rPr>
        <w:t xml:space="preserve"> of writing music criticism</w:t>
      </w:r>
      <w:r>
        <w:rPr>
          <w:sz w:val="20"/>
        </w:rPr>
        <w:t>, or a CVTE teacher for models of writing techni</w:t>
      </w:r>
      <w:r w:rsidR="0068531B">
        <w:rPr>
          <w:sz w:val="20"/>
        </w:rPr>
        <w:t>cal specifications</w:t>
      </w:r>
      <w:r>
        <w:rPr>
          <w:sz w:val="20"/>
        </w:rPr>
        <w:t>.</w:t>
      </w:r>
      <w:r w:rsidR="000B308E">
        <w:rPr>
          <w:sz w:val="20"/>
        </w:rPr>
        <w:t xml:space="preserve"> </w:t>
      </w:r>
    </w:p>
    <w:p w14:paraId="371E4B7B" w14:textId="77777777" w:rsidR="009E256C" w:rsidRDefault="009E256C" w:rsidP="009E256C">
      <w:pPr>
        <w:pStyle w:val="ListParagraph"/>
        <w:numPr>
          <w:ilvl w:val="0"/>
          <w:numId w:val="18"/>
        </w:numPr>
        <w:spacing w:before="120" w:line="276" w:lineRule="auto"/>
        <w:rPr>
          <w:rFonts w:ascii="Verdana" w:hAnsi="Verdana"/>
          <w:b/>
          <w:color w:val="1F497D" w:themeColor="text2"/>
          <w:sz w:val="16"/>
        </w:rPr>
      </w:pPr>
      <w:r>
        <w:rPr>
          <w:rFonts w:ascii="Verdana" w:hAnsi="Verdana"/>
          <w:b/>
          <w:color w:val="1F497D" w:themeColor="text2"/>
          <w:sz w:val="16"/>
        </w:rPr>
        <w:t>Will districts have to develop new curriculum for the new standards?</w:t>
      </w:r>
    </w:p>
    <w:p w14:paraId="371E4B7C" w14:textId="77777777" w:rsidR="00417D9C" w:rsidRPr="009E256C" w:rsidRDefault="009E256C" w:rsidP="00115B35">
      <w:pPr>
        <w:spacing w:before="80" w:line="276" w:lineRule="auto"/>
        <w:rPr>
          <w:sz w:val="20"/>
        </w:rPr>
      </w:pPr>
      <w:r w:rsidRPr="001A46BE">
        <w:rPr>
          <w:sz w:val="20"/>
        </w:rPr>
        <w:t>Educators’ comments on the current Framework from a variety of sources all signaled that the standards could be improved</w:t>
      </w:r>
      <w:r w:rsidR="00115B35" w:rsidRPr="001A46BE">
        <w:rPr>
          <w:sz w:val="20"/>
        </w:rPr>
        <w:t xml:space="preserve"> based on lessons learned and noted the importance of ongoing implementation support, including opportunities for educator collaboration in developing curricular materials</w:t>
      </w:r>
      <w:r w:rsidRPr="001A46BE">
        <w:rPr>
          <w:sz w:val="20"/>
        </w:rPr>
        <w:t xml:space="preserve">. </w:t>
      </w:r>
      <w:r w:rsidR="00115B35" w:rsidRPr="001A46BE">
        <w:rPr>
          <w:sz w:val="20"/>
        </w:rPr>
        <w:t>Encouragingly, 98</w:t>
      </w:r>
      <w:r w:rsidRPr="001A46BE">
        <w:rPr>
          <w:sz w:val="20"/>
        </w:rPr>
        <w:t xml:space="preserve"> percent of principals and 95</w:t>
      </w:r>
      <w:r w:rsidR="00B45B05" w:rsidRPr="001A46BE">
        <w:rPr>
          <w:sz w:val="20"/>
        </w:rPr>
        <w:t xml:space="preserve"> percent</w:t>
      </w:r>
      <w:r w:rsidRPr="001A46BE">
        <w:rPr>
          <w:sz w:val="20"/>
        </w:rPr>
        <w:t xml:space="preserve"> of superintendents responding to the Views of Instruction, State Standards, Teaching, and Assessment (VISTA) survey in Spring 2016 agreed that the current ELA/literacy standards set appropriate expectations for learning. The proposed </w:t>
      </w:r>
      <w:r w:rsidR="00115B35" w:rsidRPr="001A46BE">
        <w:rPr>
          <w:sz w:val="20"/>
        </w:rPr>
        <w:t xml:space="preserve">changes to the </w:t>
      </w:r>
      <w:r w:rsidRPr="001A46BE">
        <w:rPr>
          <w:sz w:val="20"/>
        </w:rPr>
        <w:t xml:space="preserve">standards </w:t>
      </w:r>
      <w:r w:rsidR="007F6053" w:rsidRPr="001A46BE">
        <w:rPr>
          <w:sz w:val="20"/>
        </w:rPr>
        <w:t xml:space="preserve">build on a solid foundation and </w:t>
      </w:r>
      <w:r w:rsidRPr="001A46BE">
        <w:rPr>
          <w:sz w:val="20"/>
        </w:rPr>
        <w:t>offer an opportunity to strengthen curriculum, but will not necessarily require new instructional materials</w:t>
      </w:r>
      <w:r w:rsidR="00B45B05" w:rsidRPr="001A46BE">
        <w:rPr>
          <w:sz w:val="20"/>
        </w:rPr>
        <w:t>.</w:t>
      </w:r>
      <w:r w:rsidR="00B45B05">
        <w:rPr>
          <w:sz w:val="20"/>
        </w:rPr>
        <w:t xml:space="preserve"> </w:t>
      </w:r>
    </w:p>
    <w:p w14:paraId="371E4B7D" w14:textId="61DDB73D" w:rsidR="00882C0D" w:rsidRPr="00D17D11" w:rsidRDefault="001B4B0C" w:rsidP="00D17D11">
      <w:pPr>
        <w:spacing w:line="264" w:lineRule="auto"/>
        <w:rPr>
          <w:rFonts w:ascii="Verdana" w:hAnsi="Verdana"/>
          <w:b/>
          <w:color w:val="1F497D" w:themeColor="text2"/>
          <w:sz w:val="20"/>
        </w:rPr>
      </w:pPr>
      <w:r>
        <w:rPr>
          <w:noProof/>
          <w:szCs w:val="20"/>
        </w:rPr>
        <mc:AlternateContent>
          <mc:Choice Requires="wps">
            <w:drawing>
              <wp:anchor distT="0" distB="0" distL="114300" distR="114300" simplePos="0" relativeHeight="251663360" behindDoc="0" locked="0" layoutInCell="1" allowOverlap="1" wp14:anchorId="371E4B82" wp14:editId="1F8F91EB">
                <wp:simplePos x="0" y="0"/>
                <wp:positionH relativeFrom="column">
                  <wp:posOffset>-114300</wp:posOffset>
                </wp:positionH>
                <wp:positionV relativeFrom="paragraph">
                  <wp:posOffset>93980</wp:posOffset>
                </wp:positionV>
                <wp:extent cx="2805430" cy="1920875"/>
                <wp:effectExtent l="0" t="0" r="4445"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5430" cy="1920875"/>
                        </a:xfrm>
                        <a:prstGeom prst="rect">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E4B91" w14:textId="77777777" w:rsidR="008A584C" w:rsidRPr="00D7153D" w:rsidRDefault="008A584C" w:rsidP="00D17D11">
                            <w:pPr>
                              <w:rPr>
                                <w:rFonts w:ascii="Verdana" w:hAnsi="Verdana"/>
                                <w:b/>
                                <w:color w:val="1F497D" w:themeColor="text2"/>
                                <w:sz w:val="16"/>
                                <w:szCs w:val="16"/>
                              </w:rPr>
                            </w:pPr>
                            <w:r>
                              <w:rPr>
                                <w:rFonts w:ascii="Verdana" w:hAnsi="Verdana"/>
                                <w:b/>
                                <w:color w:val="1F497D" w:themeColor="text2"/>
                                <w:sz w:val="16"/>
                                <w:szCs w:val="16"/>
                              </w:rPr>
                              <w:t xml:space="preserve">Learn More. Get Involved. </w:t>
                            </w:r>
                          </w:p>
                          <w:p w14:paraId="371E4B92" w14:textId="77777777" w:rsidR="008A584C" w:rsidRPr="001A46BE" w:rsidRDefault="008A584C" w:rsidP="009E256C">
                            <w:pPr>
                              <w:spacing w:before="120" w:line="276" w:lineRule="auto"/>
                              <w:rPr>
                                <w:rFonts w:ascii="Verdana" w:hAnsi="Verdana"/>
                                <w:b/>
                                <w:color w:val="1F497D" w:themeColor="text2"/>
                                <w:sz w:val="16"/>
                                <w:szCs w:val="16"/>
                              </w:rPr>
                            </w:pPr>
                            <w:r w:rsidRPr="001A46BE">
                              <w:rPr>
                                <w:sz w:val="16"/>
                                <w:szCs w:val="16"/>
                              </w:rPr>
                              <w:t xml:space="preserve">You can help make the ELA/Literacy standards even better by reading the </w:t>
                            </w:r>
                            <w:hyperlink r:id="rId12" w:history="1">
                              <w:r w:rsidRPr="001A46BE">
                                <w:rPr>
                                  <w:rStyle w:val="Hyperlink"/>
                                  <w:sz w:val="16"/>
                                  <w:szCs w:val="16"/>
                                </w:rPr>
                                <w:t>Public Comment Draft</w:t>
                              </w:r>
                            </w:hyperlink>
                            <w:r w:rsidRPr="001A46BE">
                              <w:rPr>
                                <w:sz w:val="16"/>
                                <w:szCs w:val="16"/>
                              </w:rPr>
                              <w:t xml:space="preserve"> of the proposed new Massachusetts Curriculum Framework for English Language Arts and Literacy and responding to the Department’s online survey. Your comments and suggestions will be taken into account in the final round of revisions, which will be presented to the Massachusetts Board of Elementary and Secondary Education in spring 2017.</w:t>
                            </w:r>
                          </w:p>
                          <w:p w14:paraId="371E4B93" w14:textId="77777777" w:rsidR="008A584C" w:rsidRPr="00D7153D" w:rsidRDefault="008A584C" w:rsidP="009E256C">
                            <w:pPr>
                              <w:spacing w:before="120" w:line="276" w:lineRule="auto"/>
                              <w:rPr>
                                <w:sz w:val="16"/>
                                <w:szCs w:val="16"/>
                              </w:rPr>
                            </w:pPr>
                            <w:r w:rsidRPr="001A46BE">
                              <w:rPr>
                                <w:sz w:val="16"/>
                                <w:szCs w:val="16"/>
                              </w:rPr>
                              <w:t>The survey will be available from December 1, 2016 to February 1</w:t>
                            </w:r>
                            <w:r w:rsidR="008F6706">
                              <w:rPr>
                                <w:sz w:val="16"/>
                                <w:szCs w:val="16"/>
                              </w:rPr>
                              <w:t>7</w:t>
                            </w:r>
                            <w:r w:rsidRPr="001A46BE">
                              <w:rPr>
                                <w:sz w:val="16"/>
                                <w:szCs w:val="16"/>
                              </w:rPr>
                              <w:t xml:space="preserve">, 2017 at </w:t>
                            </w:r>
                            <w:hyperlink r:id="rId13" w:history="1">
                              <w:r w:rsidRPr="001A46BE">
                                <w:rPr>
                                  <w:rStyle w:val="Hyperlink"/>
                                  <w:sz w:val="16"/>
                                  <w:szCs w:val="16"/>
                                </w:rPr>
                                <w:t>http://www.doe.mass.edu/candi/StandardsReview/</w:t>
                              </w:r>
                            </w:hyperlink>
                            <w:r w:rsidRPr="001A46BE">
                              <w:rPr>
                                <w:sz w:val="16"/>
                                <w:szCs w:val="16"/>
                              </w:rPr>
                              <w:t xml:space="preserve"> </w:t>
                            </w:r>
                            <w:r w:rsidRPr="00D7153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E4B82" id="_x0000_t202" coordsize="21600,21600" o:spt="202" path="m,l,21600r21600,l21600,xe">
                <v:stroke joinstyle="miter"/>
                <v:path gradientshapeok="t" o:connecttype="rect"/>
              </v:shapetype>
              <v:shape id="Text Box 16" o:spid="_x0000_s1027" type="#_x0000_t202" style="position:absolute;margin-left:-9pt;margin-top:7.4pt;width:220.9pt;height:15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" fillcolor="#eaf1dd [662]" stroked="f">
                <v:textbox>
                  <w:txbxContent>
                    <w:p w14:paraId="371E4B91" w14:textId="77777777" w:rsidR="008A584C" w:rsidRPr="00D7153D" w:rsidRDefault="008A584C" w:rsidP="00D17D11">
                      <w:pPr>
                        <w:rPr>
                          <w:rFonts w:ascii="Verdana" w:hAnsi="Verdana"/>
                          <w:b/>
                          <w:color w:val="1F497D" w:themeColor="text2"/>
                          <w:sz w:val="16"/>
                          <w:szCs w:val="16"/>
                        </w:rPr>
                      </w:pPr>
                      <w:r>
                        <w:rPr>
                          <w:rFonts w:ascii="Verdana" w:hAnsi="Verdana"/>
                          <w:b/>
                          <w:color w:val="1F497D" w:themeColor="text2"/>
                          <w:sz w:val="16"/>
                          <w:szCs w:val="16"/>
                        </w:rPr>
                        <w:t xml:space="preserve">Learn More. Get Involved. </w:t>
                      </w:r>
                    </w:p>
                    <w:p w14:paraId="371E4B92" w14:textId="77777777" w:rsidR="008A584C" w:rsidRPr="001A46BE" w:rsidRDefault="008A584C" w:rsidP="009E256C">
                      <w:pPr>
                        <w:spacing w:before="120" w:line="276" w:lineRule="auto"/>
                        <w:rPr>
                          <w:rFonts w:ascii="Verdana" w:hAnsi="Verdana"/>
                          <w:b/>
                          <w:color w:val="1F497D" w:themeColor="text2"/>
                          <w:sz w:val="16"/>
                          <w:szCs w:val="16"/>
                        </w:rPr>
                      </w:pPr>
                      <w:r w:rsidRPr="001A46BE">
                        <w:rPr>
                          <w:sz w:val="16"/>
                          <w:szCs w:val="16"/>
                        </w:rPr>
                        <w:t xml:space="preserve">You can help make the ELA/Literacy standards even better by reading the </w:t>
                      </w:r>
                      <w:hyperlink r:id="rId14" w:history="1">
                        <w:r w:rsidRPr="001A46BE">
                          <w:rPr>
                            <w:rStyle w:val="Hyperlink"/>
                            <w:sz w:val="16"/>
                            <w:szCs w:val="16"/>
                          </w:rPr>
                          <w:t>Public Comment Draft</w:t>
                        </w:r>
                      </w:hyperlink>
                      <w:r w:rsidRPr="001A46BE">
                        <w:rPr>
                          <w:sz w:val="16"/>
                          <w:szCs w:val="16"/>
                        </w:rPr>
                        <w:t xml:space="preserve"> of the proposed new Massachusetts Curriculum Framework for English Language Arts and Literacy and responding to the Department’s online survey. Your comments and suggestions will be taken into account in the final round of revisions, which will be presented to the Massachusetts Board of Elementary and Secondary Education in spring 2017.</w:t>
                      </w:r>
                    </w:p>
                    <w:p w14:paraId="371E4B93" w14:textId="77777777" w:rsidR="008A584C" w:rsidRPr="00D7153D" w:rsidRDefault="008A584C" w:rsidP="009E256C">
                      <w:pPr>
                        <w:spacing w:before="120" w:line="276" w:lineRule="auto"/>
                        <w:rPr>
                          <w:sz w:val="16"/>
                          <w:szCs w:val="16"/>
                        </w:rPr>
                      </w:pPr>
                      <w:r w:rsidRPr="001A46BE">
                        <w:rPr>
                          <w:sz w:val="16"/>
                          <w:szCs w:val="16"/>
                        </w:rPr>
                        <w:t>The survey will be available from December 1, 2016 to February 1</w:t>
                      </w:r>
                      <w:r w:rsidR="008F6706">
                        <w:rPr>
                          <w:sz w:val="16"/>
                          <w:szCs w:val="16"/>
                        </w:rPr>
                        <w:t>7</w:t>
                      </w:r>
                      <w:r w:rsidRPr="001A46BE">
                        <w:rPr>
                          <w:sz w:val="16"/>
                          <w:szCs w:val="16"/>
                        </w:rPr>
                        <w:t xml:space="preserve">, 2017 at </w:t>
                      </w:r>
                      <w:hyperlink r:id="rId15" w:history="1">
                        <w:r w:rsidRPr="001A46BE">
                          <w:rPr>
                            <w:rStyle w:val="Hyperlink"/>
                            <w:sz w:val="16"/>
                            <w:szCs w:val="16"/>
                          </w:rPr>
                          <w:t>http://www.doe.mass.edu/candi/StandardsReview/</w:t>
                        </w:r>
                      </w:hyperlink>
                      <w:r w:rsidRPr="001A46BE">
                        <w:rPr>
                          <w:sz w:val="16"/>
                          <w:szCs w:val="16"/>
                        </w:rPr>
                        <w:t xml:space="preserve"> </w:t>
                      </w:r>
                      <w:r w:rsidRPr="00D7153D">
                        <w:rPr>
                          <w:sz w:val="16"/>
                          <w:szCs w:val="16"/>
                        </w:rPr>
                        <w:t xml:space="preserve"> </w:t>
                      </w:r>
                    </w:p>
                  </w:txbxContent>
                </v:textbox>
              </v:shape>
            </w:pict>
          </mc:Fallback>
        </mc:AlternateContent>
      </w:r>
      <w:r>
        <w:rPr>
          <w:noProof/>
          <w:szCs w:val="20"/>
        </w:rPr>
        <mc:AlternateContent>
          <mc:Choice Requires="wps">
            <w:drawing>
              <wp:anchor distT="0" distB="0" distL="114300" distR="114300" simplePos="0" relativeHeight="251664384" behindDoc="0" locked="0" layoutInCell="1" allowOverlap="1" wp14:anchorId="371E4B83" wp14:editId="7162D318">
                <wp:simplePos x="0" y="0"/>
                <wp:positionH relativeFrom="column">
                  <wp:posOffset>2691130</wp:posOffset>
                </wp:positionH>
                <wp:positionV relativeFrom="paragraph">
                  <wp:posOffset>93980</wp:posOffset>
                </wp:positionV>
                <wp:extent cx="4284980" cy="192087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920875"/>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E4B94" w14:textId="77777777" w:rsidR="008A584C" w:rsidRPr="00D17D11" w:rsidRDefault="008A584C" w:rsidP="00803A91">
                            <w:pPr>
                              <w:ind w:left="90"/>
                              <w:rPr>
                                <w:rFonts w:ascii="Verdana" w:hAnsi="Verdana"/>
                                <w:b/>
                                <w:color w:val="1F497D" w:themeColor="text2"/>
                                <w:sz w:val="16"/>
                                <w:szCs w:val="16"/>
                              </w:rPr>
                            </w:pPr>
                            <w:r w:rsidRPr="00D17D11">
                              <w:rPr>
                                <w:rFonts w:ascii="Verdana" w:hAnsi="Verdana"/>
                                <w:b/>
                                <w:color w:val="1F497D" w:themeColor="text2"/>
                                <w:sz w:val="16"/>
                                <w:szCs w:val="16"/>
                              </w:rPr>
                              <w:t>What are Student Learning Standards?</w:t>
                            </w:r>
                          </w:p>
                          <w:p w14:paraId="371E4B95"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state what students should know and be able to do at particular grade levels or courses.</w:t>
                            </w:r>
                          </w:p>
                          <w:p w14:paraId="371E4B96"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 xml:space="preserve">Standards are </w:t>
                            </w:r>
                            <w:r w:rsidR="008F6706" w:rsidRPr="008F6706">
                              <w:rPr>
                                <w:sz w:val="19"/>
                                <w:szCs w:val="19"/>
                              </w:rPr>
                              <w:t xml:space="preserve">clear, specific, and </w:t>
                            </w:r>
                            <w:r w:rsidRPr="008F6706">
                              <w:rPr>
                                <w:sz w:val="19"/>
                                <w:szCs w:val="19"/>
                              </w:rPr>
                              <w:t>measureable.</w:t>
                            </w:r>
                          </w:p>
                          <w:p w14:paraId="371E4B97"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identify desired results rather than means. They leave room for educators and curriculum developers to determine how students will develop the skills and gain the knowledge expected.</w:t>
                            </w:r>
                          </w:p>
                          <w:p w14:paraId="371E4B98"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are ambitious, providing a floor but not a ceiling for student learning.</w:t>
                            </w:r>
                          </w:p>
                          <w:p w14:paraId="371E4B99"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progress logically and smoothly from grade to grade.</w:t>
                            </w:r>
                          </w:p>
                          <w:p w14:paraId="371E4B9A" w14:textId="77777777" w:rsidR="008A584C" w:rsidRPr="008F6706" w:rsidRDefault="008A584C" w:rsidP="008F6706">
                            <w:pPr>
                              <w:pStyle w:val="ListParagraph"/>
                              <w:numPr>
                                <w:ilvl w:val="0"/>
                                <w:numId w:val="15"/>
                              </w:numPr>
                              <w:spacing w:line="276" w:lineRule="auto"/>
                              <w:ind w:left="360" w:hanging="187"/>
                              <w:rPr>
                                <w:sz w:val="19"/>
                                <w:szCs w:val="19"/>
                              </w:rPr>
                            </w:pPr>
                            <w:r w:rsidRPr="008F6706">
                              <w:rPr>
                                <w:sz w:val="19"/>
                                <w:szCs w:val="19"/>
                              </w:rPr>
                              <w:t>Standards are coherent both within each subject area and across subject areas.</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E4B83" id="Text Box 15" o:spid="_x0000_s1028" type="#_x0000_t202" style="position:absolute;margin-left:211.9pt;margin-top:7.4pt;width:337.4pt;height:15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" fillcolor="#dbe5f1 [660]" stroked="f">
                <v:textbox inset="0,,0">
                  <w:txbxContent>
                    <w:p w14:paraId="371E4B94" w14:textId="77777777" w:rsidR="008A584C" w:rsidRPr="00D17D11" w:rsidRDefault="008A584C" w:rsidP="00803A91">
                      <w:pPr>
                        <w:ind w:left="90"/>
                        <w:rPr>
                          <w:rFonts w:ascii="Verdana" w:hAnsi="Verdana"/>
                          <w:b/>
                          <w:color w:val="1F497D" w:themeColor="text2"/>
                          <w:sz w:val="16"/>
                          <w:szCs w:val="16"/>
                        </w:rPr>
                      </w:pPr>
                      <w:r w:rsidRPr="00D17D11">
                        <w:rPr>
                          <w:rFonts w:ascii="Verdana" w:hAnsi="Verdana"/>
                          <w:b/>
                          <w:color w:val="1F497D" w:themeColor="text2"/>
                          <w:sz w:val="16"/>
                          <w:szCs w:val="16"/>
                        </w:rPr>
                        <w:t>What are Student Learning Standards?</w:t>
                      </w:r>
                    </w:p>
                    <w:p w14:paraId="371E4B95"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state what students should know and be able to do at particular grade levels or courses.</w:t>
                      </w:r>
                    </w:p>
                    <w:p w14:paraId="371E4B96"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 xml:space="preserve">Standards are </w:t>
                      </w:r>
                      <w:r w:rsidR="008F6706" w:rsidRPr="008F6706">
                        <w:rPr>
                          <w:sz w:val="19"/>
                          <w:szCs w:val="19"/>
                        </w:rPr>
                        <w:t xml:space="preserve">clear, specific, and </w:t>
                      </w:r>
                      <w:r w:rsidRPr="008F6706">
                        <w:rPr>
                          <w:sz w:val="19"/>
                          <w:szCs w:val="19"/>
                        </w:rPr>
                        <w:t>measureable.</w:t>
                      </w:r>
                    </w:p>
                    <w:p w14:paraId="371E4B97"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identify desired results rather than means. They leave room for educators and curriculum developers to determine how students will develop the skills and gain the knowledge expected.</w:t>
                      </w:r>
                    </w:p>
                    <w:p w14:paraId="371E4B98"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are ambitious, providing a floor but not a ceiling for student learning.</w:t>
                      </w:r>
                    </w:p>
                    <w:p w14:paraId="371E4B99" w14:textId="77777777" w:rsidR="008A584C" w:rsidRPr="008F6706" w:rsidRDefault="008A584C" w:rsidP="009E256C">
                      <w:pPr>
                        <w:pStyle w:val="ListParagraph"/>
                        <w:numPr>
                          <w:ilvl w:val="0"/>
                          <w:numId w:val="15"/>
                        </w:numPr>
                        <w:spacing w:before="120" w:line="276" w:lineRule="auto"/>
                        <w:ind w:left="360" w:hanging="187"/>
                        <w:rPr>
                          <w:sz w:val="19"/>
                          <w:szCs w:val="19"/>
                        </w:rPr>
                      </w:pPr>
                      <w:r w:rsidRPr="008F6706">
                        <w:rPr>
                          <w:sz w:val="19"/>
                          <w:szCs w:val="19"/>
                        </w:rPr>
                        <w:t>Standards progress logically and smoothly from grade to grade.</w:t>
                      </w:r>
                    </w:p>
                    <w:p w14:paraId="371E4B9A" w14:textId="77777777" w:rsidR="008A584C" w:rsidRPr="008F6706" w:rsidRDefault="008A584C" w:rsidP="008F6706">
                      <w:pPr>
                        <w:pStyle w:val="ListParagraph"/>
                        <w:numPr>
                          <w:ilvl w:val="0"/>
                          <w:numId w:val="15"/>
                        </w:numPr>
                        <w:spacing w:line="276" w:lineRule="auto"/>
                        <w:ind w:left="360" w:hanging="187"/>
                        <w:rPr>
                          <w:sz w:val="19"/>
                          <w:szCs w:val="19"/>
                        </w:rPr>
                      </w:pPr>
                      <w:r w:rsidRPr="008F6706">
                        <w:rPr>
                          <w:sz w:val="19"/>
                          <w:szCs w:val="19"/>
                        </w:rPr>
                        <w:t>Standards are coherent both within each subject area and across subject areas.</w:t>
                      </w:r>
                    </w:p>
                  </w:txbxContent>
                </v:textbox>
              </v:shape>
            </w:pict>
          </mc:Fallback>
        </mc:AlternateContent>
      </w:r>
    </w:p>
    <w:sectPr w:rsidR="00882C0D" w:rsidRPr="00D17D11" w:rsidSect="005B2170">
      <w:headerReference w:type="default" r:id="rId16"/>
      <w:footerReference w:type="default" r:id="rId17"/>
      <w:pgSz w:w="12240" w:h="15840"/>
      <w:pgMar w:top="1440" w:right="720" w:bottom="720" w:left="720" w:header="720" w:footer="630" w:gutter="0"/>
      <w:pgBorders w:offsetFrom="page">
        <w:top w:val="single" w:sz="36" w:space="24" w:color="9BBB59" w:themeColor="accent3"/>
        <w:left w:val="single" w:sz="36" w:space="24" w:color="9BBB59" w:themeColor="accent3"/>
        <w:bottom w:val="single" w:sz="36" w:space="24" w:color="9BBB59" w:themeColor="accent3"/>
        <w:right w:val="single" w:sz="36" w:space="24" w:color="9BBB59" w:themeColor="accent3"/>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4B86" w14:textId="77777777" w:rsidR="008A584C" w:rsidRDefault="008A584C" w:rsidP="00892FA3">
      <w:r>
        <w:separator/>
      </w:r>
    </w:p>
  </w:endnote>
  <w:endnote w:type="continuationSeparator" w:id="0">
    <w:p w14:paraId="371E4B87" w14:textId="77777777" w:rsidR="008A584C" w:rsidRDefault="008A584C" w:rsidP="0089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E4B8B" w14:textId="77777777" w:rsidR="008A584C" w:rsidRPr="00882C0D" w:rsidRDefault="00A8210C" w:rsidP="00D7153D">
    <w:pPr>
      <w:pStyle w:val="Footer"/>
      <w:tabs>
        <w:tab w:val="left" w:pos="2340"/>
      </w:tabs>
      <w:rPr>
        <w:sz w:val="16"/>
      </w:rPr>
    </w:pPr>
    <w:r>
      <w:rPr>
        <w:sz w:val="16"/>
      </w:rPr>
      <w:fldChar w:fldCharType="begin"/>
    </w:r>
    <w:r w:rsidR="008A584C">
      <w:rPr>
        <w:sz w:val="16"/>
      </w:rPr>
      <w:instrText xml:space="preserve"> PAGE  \* Arabic  \* MERGEFORMAT </w:instrText>
    </w:r>
    <w:r>
      <w:rPr>
        <w:sz w:val="16"/>
      </w:rPr>
      <w:fldChar w:fldCharType="separate"/>
    </w:r>
    <w:r w:rsidR="001B4B0C">
      <w:rPr>
        <w:noProof/>
        <w:sz w:val="16"/>
      </w:rPr>
      <w:t>1</w:t>
    </w:r>
    <w:r>
      <w:rPr>
        <w:sz w:val="16"/>
      </w:rPr>
      <w:fldChar w:fldCharType="end"/>
    </w:r>
    <w:r w:rsidR="008A584C">
      <w:rPr>
        <w:sz w:val="16"/>
      </w:rPr>
      <w:tab/>
    </w:r>
    <w:r w:rsidR="008A584C" w:rsidRPr="00882C0D">
      <w:rPr>
        <w:sz w:val="16"/>
      </w:rPr>
      <w:t>Massachusetts Department of Elementary and Secondary Education –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E4B84" w14:textId="77777777" w:rsidR="008A584C" w:rsidRDefault="008A584C" w:rsidP="00892FA3">
      <w:r>
        <w:separator/>
      </w:r>
    </w:p>
  </w:footnote>
  <w:footnote w:type="continuationSeparator" w:id="0">
    <w:p w14:paraId="371E4B85" w14:textId="77777777" w:rsidR="008A584C" w:rsidRDefault="008A584C" w:rsidP="00892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E4B88" w14:textId="77777777" w:rsidR="008A584C" w:rsidRDefault="008A584C" w:rsidP="009E256C">
    <w:pPr>
      <w:pStyle w:val="Header"/>
      <w:tabs>
        <w:tab w:val="center" w:pos="5400"/>
        <w:tab w:val="left" w:pos="8970"/>
      </w:tabs>
      <w:jc w:val="center"/>
      <w:rPr>
        <w:rFonts w:ascii="Arial Black" w:hAnsi="Arial Black" w:cs="Tahoma"/>
        <w:color w:val="1F497D" w:themeColor="text2"/>
        <w:sz w:val="28"/>
      </w:rPr>
    </w:pPr>
    <w:r>
      <w:rPr>
        <w:rFonts w:ascii="Arial Black" w:hAnsi="Arial Black" w:cs="Tahoma"/>
        <w:noProof/>
        <w:color w:val="1F497D" w:themeColor="text2"/>
        <w:sz w:val="28"/>
      </w:rPr>
      <w:drawing>
        <wp:anchor distT="0" distB="0" distL="114300" distR="114300" simplePos="0" relativeHeight="251665408" behindDoc="1" locked="0" layoutInCell="1" allowOverlap="1" wp14:anchorId="371E4B8C" wp14:editId="371E4B8D">
          <wp:simplePos x="0" y="0"/>
          <wp:positionH relativeFrom="margin">
            <wp:posOffset>5941695</wp:posOffset>
          </wp:positionH>
          <wp:positionV relativeFrom="paragraph">
            <wp:posOffset>-109220</wp:posOffset>
          </wp:positionV>
          <wp:extent cx="910590" cy="463550"/>
          <wp:effectExtent l="19050" t="0" r="3810" b="0"/>
          <wp:wrapTight wrapText="bothSides">
            <wp:wrapPolygon edited="0">
              <wp:start x="452" y="6214"/>
              <wp:lineTo x="-452" y="12427"/>
              <wp:lineTo x="452" y="14203"/>
              <wp:lineTo x="4067" y="14203"/>
              <wp:lineTo x="21690" y="14203"/>
              <wp:lineTo x="21690" y="6214"/>
              <wp:lineTo x="452" y="6214"/>
            </wp:wrapPolygon>
          </wp:wrapTight>
          <wp:docPr id="11" name="Picture 1" descr="Curriculum &amp; Instru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strategy/Curriculum/Full%20Logo/2881x1401/Curriculum-Visual-Tag_2881x1401_color.png"/>
                  <pic:cNvPicPr>
                    <a:picLocks noChangeAspect="1" noChangeArrowheads="1"/>
                  </pic:cNvPicPr>
                </pic:nvPicPr>
                <pic:blipFill>
                  <a:blip r:embed="rId1"/>
                  <a:srcRect/>
                  <a:stretch>
                    <a:fillRect/>
                  </a:stretch>
                </pic:blipFill>
                <pic:spPr bwMode="auto">
                  <a:xfrm>
                    <a:off x="0" y="0"/>
                    <a:ext cx="910590" cy="463550"/>
                  </a:xfrm>
                  <a:prstGeom prst="rect">
                    <a:avLst/>
                  </a:prstGeom>
                  <a:noFill/>
                  <a:ln w="9525">
                    <a:noFill/>
                    <a:miter lim="800000"/>
                    <a:headEnd/>
                    <a:tailEnd/>
                  </a:ln>
                </pic:spPr>
              </pic:pic>
            </a:graphicData>
          </a:graphic>
        </wp:anchor>
      </w:drawing>
    </w:r>
    <w:r>
      <w:rPr>
        <w:rFonts w:ascii="Arial Black" w:hAnsi="Arial Black" w:cs="Tahoma"/>
        <w:noProof/>
        <w:color w:val="1F497D" w:themeColor="text2"/>
        <w:sz w:val="28"/>
      </w:rPr>
      <w:drawing>
        <wp:anchor distT="0" distB="0" distL="114300" distR="114300" simplePos="0" relativeHeight="251663360" behindDoc="1" locked="0" layoutInCell="1" allowOverlap="1" wp14:anchorId="371E4B8E" wp14:editId="0E9F8D8E">
          <wp:simplePos x="0" y="0"/>
          <wp:positionH relativeFrom="column">
            <wp:posOffset>-342900</wp:posOffset>
          </wp:positionH>
          <wp:positionV relativeFrom="paragraph">
            <wp:posOffset>-9525</wp:posOffset>
          </wp:positionV>
          <wp:extent cx="1133475" cy="552450"/>
          <wp:effectExtent l="0" t="0" r="0" b="0"/>
          <wp:wrapTight wrapText="bothSides">
            <wp:wrapPolygon edited="0">
              <wp:start x="9802" y="0"/>
              <wp:lineTo x="7624" y="2234"/>
              <wp:lineTo x="9439" y="20855"/>
              <wp:lineTo x="12343" y="20855"/>
              <wp:lineTo x="11617" y="11917"/>
              <wp:lineTo x="13795" y="8193"/>
              <wp:lineTo x="13795" y="3724"/>
              <wp:lineTo x="11980" y="0"/>
              <wp:lineTo x="9802" y="0"/>
            </wp:wrapPolygon>
          </wp:wrapTight>
          <wp:docPr id="5" name="Picture 4"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e.mass.edu/nmg/logo/ESELogo/Star%20Guy/2881x1401/Solo-Star-Logo_2881x1401_color.png"/>
                  <pic:cNvPicPr>
                    <a:picLocks noChangeAspect="1" noChangeArrowheads="1"/>
                  </pic:cNvPicPr>
                </pic:nvPicPr>
                <pic:blipFill>
                  <a:blip r:embed="rId2"/>
                  <a:srcRect/>
                  <a:stretch>
                    <a:fillRect/>
                  </a:stretch>
                </pic:blipFill>
                <pic:spPr bwMode="auto">
                  <a:xfrm>
                    <a:off x="0" y="0"/>
                    <a:ext cx="1133475" cy="552450"/>
                  </a:xfrm>
                  <a:prstGeom prst="rect">
                    <a:avLst/>
                  </a:prstGeom>
                  <a:noFill/>
                  <a:ln w="9525">
                    <a:noFill/>
                    <a:miter lim="800000"/>
                    <a:headEnd/>
                    <a:tailEnd/>
                  </a:ln>
                </pic:spPr>
              </pic:pic>
            </a:graphicData>
          </a:graphic>
        </wp:anchor>
      </w:drawing>
    </w:r>
    <w:r w:rsidRPr="008F4F2D">
      <w:rPr>
        <w:rFonts w:ascii="Arial Black" w:hAnsi="Arial Black" w:cs="Tahoma"/>
        <w:color w:val="1F497D" w:themeColor="text2"/>
        <w:sz w:val="28"/>
      </w:rPr>
      <w:t>Improving the Massachusetts</w:t>
    </w:r>
  </w:p>
  <w:p w14:paraId="371E4B89" w14:textId="77777777" w:rsidR="008A584C" w:rsidRPr="008F4F2D" w:rsidRDefault="008A584C" w:rsidP="008F4F2D">
    <w:pPr>
      <w:pStyle w:val="Header"/>
      <w:jc w:val="center"/>
      <w:rPr>
        <w:rFonts w:ascii="Arial Black" w:hAnsi="Arial Black" w:cs="Tahoma"/>
        <w:color w:val="1F497D" w:themeColor="text2"/>
        <w:sz w:val="28"/>
      </w:rPr>
    </w:pPr>
    <w:r w:rsidRPr="008F4F2D">
      <w:rPr>
        <w:rFonts w:ascii="Arial Black" w:hAnsi="Arial Black" w:cs="Tahoma"/>
        <w:color w:val="1F497D" w:themeColor="text2"/>
        <w:sz w:val="28"/>
      </w:rPr>
      <w:t>English Language Arts and Literacy Standards:</w:t>
    </w:r>
  </w:p>
  <w:p w14:paraId="371E4B8A" w14:textId="77777777" w:rsidR="008A584C" w:rsidRPr="008F4F2D" w:rsidRDefault="008A584C" w:rsidP="005B2170">
    <w:pPr>
      <w:pStyle w:val="Header"/>
      <w:spacing w:after="120"/>
      <w:jc w:val="center"/>
      <w:rPr>
        <w:rFonts w:ascii="Verdana" w:hAnsi="Verdana" w:cs="Tahoma"/>
        <w:i/>
        <w:color w:val="1F497D" w:themeColor="text2"/>
      </w:rPr>
    </w:pPr>
    <w:r>
      <w:rPr>
        <w:rFonts w:ascii="Verdana" w:hAnsi="Verdana" w:cs="Tahoma"/>
        <w:i/>
        <w:color w:val="1F497D" w:themeColor="text2"/>
      </w:rPr>
      <w:t>A Quick Reference Guide t</w:t>
    </w:r>
    <w:r w:rsidRPr="008F4F2D">
      <w:rPr>
        <w:rFonts w:ascii="Verdana" w:hAnsi="Verdana" w:cs="Tahoma"/>
        <w:i/>
        <w:color w:val="1F497D" w:themeColor="text2"/>
      </w:rPr>
      <w:t xml:space="preserve">o </w:t>
    </w:r>
    <w:r>
      <w:rPr>
        <w:rFonts w:ascii="Verdana" w:hAnsi="Verdana" w:cs="Tahoma"/>
        <w:i/>
        <w:color w:val="1F497D" w:themeColor="text2"/>
      </w:rPr>
      <w:t>Proposed</w:t>
    </w:r>
    <w:r w:rsidRPr="008F4F2D">
      <w:rPr>
        <w:rFonts w:ascii="Verdana" w:hAnsi="Verdana" w:cs="Tahoma"/>
        <w:i/>
        <w:color w:val="1F497D" w:themeColor="text2"/>
      </w:rPr>
      <w:t xml:space="preserve"> Changes</w:t>
    </w:r>
    <w:r>
      <w:rPr>
        <w:rFonts w:ascii="Verdana" w:hAnsi="Verdana" w:cs="Tahoma"/>
        <w:i/>
        <w:color w:val="1F497D" w:themeColor="text2"/>
      </w:rPr>
      <w:t xml:space="preserve"> in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5CD"/>
    <w:multiLevelType w:val="hybridMultilevel"/>
    <w:tmpl w:val="D0643F3A"/>
    <w:lvl w:ilvl="0" w:tplc="D572FCB4">
      <w:start w:val="1"/>
      <w:numFmt w:val="decimal"/>
      <w:lvlText w:val="%1."/>
      <w:lvlJc w:val="left"/>
      <w:pPr>
        <w:ind w:left="4068" w:hanging="360"/>
      </w:pPr>
      <w:rPr>
        <w:rFonts w:asciiTheme="minorHAnsi" w:hAnsiTheme="minorHAnsi" w:hint="default"/>
        <w:b w:val="0"/>
        <w:color w:val="auto"/>
        <w:sz w:val="14"/>
      </w:rPr>
    </w:lvl>
    <w:lvl w:ilvl="1" w:tplc="04090019" w:tentative="1">
      <w:start w:val="1"/>
      <w:numFmt w:val="lowerLetter"/>
      <w:lvlText w:val="%2."/>
      <w:lvlJc w:val="left"/>
      <w:pPr>
        <w:ind w:left="4788" w:hanging="360"/>
      </w:pPr>
    </w:lvl>
    <w:lvl w:ilvl="2" w:tplc="0409001B" w:tentative="1">
      <w:start w:val="1"/>
      <w:numFmt w:val="lowerRoman"/>
      <w:lvlText w:val="%3."/>
      <w:lvlJc w:val="right"/>
      <w:pPr>
        <w:ind w:left="5508" w:hanging="180"/>
      </w:pPr>
    </w:lvl>
    <w:lvl w:ilvl="3" w:tplc="0409000F" w:tentative="1">
      <w:start w:val="1"/>
      <w:numFmt w:val="decimal"/>
      <w:lvlText w:val="%4."/>
      <w:lvlJc w:val="left"/>
      <w:pPr>
        <w:ind w:left="6228" w:hanging="360"/>
      </w:pPr>
    </w:lvl>
    <w:lvl w:ilvl="4" w:tplc="04090019" w:tentative="1">
      <w:start w:val="1"/>
      <w:numFmt w:val="lowerLetter"/>
      <w:lvlText w:val="%5."/>
      <w:lvlJc w:val="left"/>
      <w:pPr>
        <w:ind w:left="6948" w:hanging="360"/>
      </w:pPr>
    </w:lvl>
    <w:lvl w:ilvl="5" w:tplc="0409001B" w:tentative="1">
      <w:start w:val="1"/>
      <w:numFmt w:val="lowerRoman"/>
      <w:lvlText w:val="%6."/>
      <w:lvlJc w:val="right"/>
      <w:pPr>
        <w:ind w:left="7668" w:hanging="180"/>
      </w:pPr>
    </w:lvl>
    <w:lvl w:ilvl="6" w:tplc="0409000F" w:tentative="1">
      <w:start w:val="1"/>
      <w:numFmt w:val="decimal"/>
      <w:lvlText w:val="%7."/>
      <w:lvlJc w:val="left"/>
      <w:pPr>
        <w:ind w:left="8388" w:hanging="360"/>
      </w:pPr>
    </w:lvl>
    <w:lvl w:ilvl="7" w:tplc="04090019" w:tentative="1">
      <w:start w:val="1"/>
      <w:numFmt w:val="lowerLetter"/>
      <w:lvlText w:val="%8."/>
      <w:lvlJc w:val="left"/>
      <w:pPr>
        <w:ind w:left="9108" w:hanging="360"/>
      </w:pPr>
    </w:lvl>
    <w:lvl w:ilvl="8" w:tplc="0409001B" w:tentative="1">
      <w:start w:val="1"/>
      <w:numFmt w:val="lowerRoman"/>
      <w:lvlText w:val="%9."/>
      <w:lvlJc w:val="right"/>
      <w:pPr>
        <w:ind w:left="9828" w:hanging="180"/>
      </w:pPr>
    </w:lvl>
  </w:abstractNum>
  <w:abstractNum w:abstractNumId="1" w15:restartNumberingAfterBreak="0">
    <w:nsid w:val="11836FE1"/>
    <w:multiLevelType w:val="hybridMultilevel"/>
    <w:tmpl w:val="8FD69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84E01"/>
    <w:multiLevelType w:val="hybridMultilevel"/>
    <w:tmpl w:val="6B9CBEDE"/>
    <w:lvl w:ilvl="0" w:tplc="D572FCB4">
      <w:start w:val="1"/>
      <w:numFmt w:val="decimal"/>
      <w:lvlText w:val="%1."/>
      <w:lvlJc w:val="left"/>
      <w:pPr>
        <w:ind w:left="720" w:hanging="360"/>
      </w:pPr>
      <w:rPr>
        <w:rFonts w:asciiTheme="minorHAnsi" w:hAnsiTheme="minorHAnsi" w:hint="default"/>
        <w:b w:val="0"/>
        <w:color w:val="auto"/>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94C93"/>
    <w:multiLevelType w:val="hybridMultilevel"/>
    <w:tmpl w:val="9E0CA0F0"/>
    <w:lvl w:ilvl="0" w:tplc="23A0F5DA">
      <w:start w:val="1"/>
      <w:numFmt w:val="bullet"/>
      <w:lvlText w:val=""/>
      <w:lvlJc w:val="left"/>
      <w:pPr>
        <w:ind w:left="720" w:hanging="360"/>
      </w:pPr>
      <w:rPr>
        <w:rFonts w:ascii="Symbol" w:hAnsi="Symbol" w:hint="default"/>
        <w:color w:val="1F497D" w:themeColor="text2"/>
      </w:rPr>
    </w:lvl>
    <w:lvl w:ilvl="1" w:tplc="7F1CC9EC">
      <w:start w:val="1"/>
      <w:numFmt w:val="bullet"/>
      <w:lvlText w:val="o"/>
      <w:lvlJc w:val="left"/>
      <w:pPr>
        <w:ind w:left="1440" w:hanging="360"/>
      </w:pPr>
      <w:rPr>
        <w:rFonts w:ascii="Courier New" w:hAnsi="Courier New" w:cs="Courier New"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A00D0"/>
    <w:multiLevelType w:val="hybridMultilevel"/>
    <w:tmpl w:val="C67E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41ABE"/>
    <w:multiLevelType w:val="hybridMultilevel"/>
    <w:tmpl w:val="62CA3D10"/>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3B5B40CA"/>
    <w:multiLevelType w:val="hybridMultilevel"/>
    <w:tmpl w:val="9D9CE994"/>
    <w:lvl w:ilvl="0" w:tplc="D572FCB4">
      <w:start w:val="1"/>
      <w:numFmt w:val="decimal"/>
      <w:lvlText w:val="%1."/>
      <w:lvlJc w:val="left"/>
      <w:pPr>
        <w:ind w:left="2135" w:hanging="360"/>
      </w:pPr>
      <w:rPr>
        <w:rFonts w:asciiTheme="minorHAnsi" w:hAnsiTheme="minorHAnsi" w:hint="default"/>
        <w:b w:val="0"/>
        <w:color w:val="auto"/>
        <w:sz w:val="14"/>
      </w:rPr>
    </w:lvl>
    <w:lvl w:ilvl="1" w:tplc="04090019" w:tentative="1">
      <w:start w:val="1"/>
      <w:numFmt w:val="lowerLetter"/>
      <w:lvlText w:val="%2."/>
      <w:lvlJc w:val="left"/>
      <w:pPr>
        <w:ind w:left="2855" w:hanging="360"/>
      </w:pPr>
    </w:lvl>
    <w:lvl w:ilvl="2" w:tplc="0409001B" w:tentative="1">
      <w:start w:val="1"/>
      <w:numFmt w:val="lowerRoman"/>
      <w:lvlText w:val="%3."/>
      <w:lvlJc w:val="right"/>
      <w:pPr>
        <w:ind w:left="3575" w:hanging="180"/>
      </w:pPr>
    </w:lvl>
    <w:lvl w:ilvl="3" w:tplc="0409000F" w:tentative="1">
      <w:start w:val="1"/>
      <w:numFmt w:val="decimal"/>
      <w:lvlText w:val="%4."/>
      <w:lvlJc w:val="left"/>
      <w:pPr>
        <w:ind w:left="4295" w:hanging="360"/>
      </w:pPr>
    </w:lvl>
    <w:lvl w:ilvl="4" w:tplc="04090019" w:tentative="1">
      <w:start w:val="1"/>
      <w:numFmt w:val="lowerLetter"/>
      <w:lvlText w:val="%5."/>
      <w:lvlJc w:val="left"/>
      <w:pPr>
        <w:ind w:left="5015" w:hanging="360"/>
      </w:pPr>
    </w:lvl>
    <w:lvl w:ilvl="5" w:tplc="0409001B" w:tentative="1">
      <w:start w:val="1"/>
      <w:numFmt w:val="lowerRoman"/>
      <w:lvlText w:val="%6."/>
      <w:lvlJc w:val="right"/>
      <w:pPr>
        <w:ind w:left="5735" w:hanging="180"/>
      </w:pPr>
    </w:lvl>
    <w:lvl w:ilvl="6" w:tplc="0409000F" w:tentative="1">
      <w:start w:val="1"/>
      <w:numFmt w:val="decimal"/>
      <w:lvlText w:val="%7."/>
      <w:lvlJc w:val="left"/>
      <w:pPr>
        <w:ind w:left="6455" w:hanging="360"/>
      </w:pPr>
    </w:lvl>
    <w:lvl w:ilvl="7" w:tplc="04090019" w:tentative="1">
      <w:start w:val="1"/>
      <w:numFmt w:val="lowerLetter"/>
      <w:lvlText w:val="%8."/>
      <w:lvlJc w:val="left"/>
      <w:pPr>
        <w:ind w:left="7175" w:hanging="360"/>
      </w:pPr>
    </w:lvl>
    <w:lvl w:ilvl="8" w:tplc="0409001B" w:tentative="1">
      <w:start w:val="1"/>
      <w:numFmt w:val="lowerRoman"/>
      <w:lvlText w:val="%9."/>
      <w:lvlJc w:val="right"/>
      <w:pPr>
        <w:ind w:left="7895" w:hanging="180"/>
      </w:pPr>
    </w:lvl>
  </w:abstractNum>
  <w:abstractNum w:abstractNumId="7" w15:restartNumberingAfterBreak="0">
    <w:nsid w:val="3BB267E6"/>
    <w:multiLevelType w:val="hybridMultilevel"/>
    <w:tmpl w:val="7B2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15629"/>
    <w:multiLevelType w:val="hybridMultilevel"/>
    <w:tmpl w:val="CB96EEBA"/>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DD71B4F"/>
    <w:multiLevelType w:val="hybridMultilevel"/>
    <w:tmpl w:val="1EF4E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553BC"/>
    <w:multiLevelType w:val="hybridMultilevel"/>
    <w:tmpl w:val="3D741382"/>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5B227044"/>
    <w:multiLevelType w:val="hybridMultilevel"/>
    <w:tmpl w:val="4086B94C"/>
    <w:lvl w:ilvl="0" w:tplc="4218FDD6">
      <w:start w:val="1"/>
      <w:numFmt w:val="decimal"/>
      <w:lvlText w:val="%1."/>
      <w:lvlJc w:val="left"/>
      <w:pPr>
        <w:ind w:left="720" w:hanging="360"/>
      </w:pPr>
      <w:rPr>
        <w:rFonts w:ascii="Verdana" w:hAnsi="Verdana" w:hint="default"/>
        <w:b/>
        <w:color w:val="1F497D" w:themeColor="text2"/>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602CF"/>
    <w:multiLevelType w:val="hybridMultilevel"/>
    <w:tmpl w:val="D3503474"/>
    <w:lvl w:ilvl="0" w:tplc="5E148F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6E81232E"/>
    <w:multiLevelType w:val="hybridMultilevel"/>
    <w:tmpl w:val="8882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737ECC"/>
    <w:multiLevelType w:val="hybridMultilevel"/>
    <w:tmpl w:val="3D741382"/>
    <w:lvl w:ilvl="0" w:tplc="5E148FDA">
      <w:start w:val="1"/>
      <w:numFmt w:val="decimal"/>
      <w:lvlText w:val="%1."/>
      <w:lvlJc w:val="left"/>
      <w:pPr>
        <w:ind w:left="72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798403DF"/>
    <w:multiLevelType w:val="hybridMultilevel"/>
    <w:tmpl w:val="5A62E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2A6E13"/>
    <w:multiLevelType w:val="hybridMultilevel"/>
    <w:tmpl w:val="D9E8495E"/>
    <w:lvl w:ilvl="0" w:tplc="E9AE4AC6">
      <w:start w:val="1"/>
      <w:numFmt w:val="decimal"/>
      <w:lvlText w:val="%1."/>
      <w:lvlJc w:val="left"/>
      <w:pPr>
        <w:ind w:left="720" w:hanging="360"/>
      </w:pPr>
      <w:rPr>
        <w:rFonts w:ascii="Verdana" w:hAnsi="Verdana" w:hint="default"/>
        <w:b/>
        <w:color w:val="1F497D" w:themeColor="text2"/>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9556AE"/>
    <w:multiLevelType w:val="hybridMultilevel"/>
    <w:tmpl w:val="54884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
  </w:num>
  <w:num w:numId="4">
    <w:abstractNumId w:val="17"/>
  </w:num>
  <w:num w:numId="5">
    <w:abstractNumId w:val="2"/>
  </w:num>
  <w:num w:numId="6">
    <w:abstractNumId w:val="7"/>
  </w:num>
  <w:num w:numId="7">
    <w:abstractNumId w:val="3"/>
  </w:num>
  <w:num w:numId="8">
    <w:abstractNumId w:val="0"/>
  </w:num>
  <w:num w:numId="9">
    <w:abstractNumId w:val="6"/>
  </w:num>
  <w:num w:numId="10">
    <w:abstractNumId w:val="16"/>
  </w:num>
  <w:num w:numId="11">
    <w:abstractNumId w:val="11"/>
  </w:num>
  <w:num w:numId="12">
    <w:abstractNumId w:val="10"/>
  </w:num>
  <w:num w:numId="13">
    <w:abstractNumId w:val="5"/>
  </w:num>
  <w:num w:numId="14">
    <w:abstractNumId w:val="13"/>
  </w:num>
  <w:num w:numId="15">
    <w:abstractNumId w:val="9"/>
  </w:num>
  <w:num w:numId="16">
    <w:abstractNumId w:val="12"/>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28"/>
    <w:rsid w:val="00005195"/>
    <w:rsid w:val="000053C3"/>
    <w:rsid w:val="00015628"/>
    <w:rsid w:val="0006506D"/>
    <w:rsid w:val="000664E8"/>
    <w:rsid w:val="00085BE7"/>
    <w:rsid w:val="00087FFB"/>
    <w:rsid w:val="000A17AE"/>
    <w:rsid w:val="000B308E"/>
    <w:rsid w:val="000D3153"/>
    <w:rsid w:val="000F025D"/>
    <w:rsid w:val="000F2874"/>
    <w:rsid w:val="0010259D"/>
    <w:rsid w:val="00105D30"/>
    <w:rsid w:val="00115B35"/>
    <w:rsid w:val="00125D01"/>
    <w:rsid w:val="00165D3C"/>
    <w:rsid w:val="00181E26"/>
    <w:rsid w:val="001865A6"/>
    <w:rsid w:val="00196828"/>
    <w:rsid w:val="001A46BE"/>
    <w:rsid w:val="001B4B0C"/>
    <w:rsid w:val="001B7263"/>
    <w:rsid w:val="001D7141"/>
    <w:rsid w:val="002121DD"/>
    <w:rsid w:val="00224C1E"/>
    <w:rsid w:val="00241BDF"/>
    <w:rsid w:val="002429A4"/>
    <w:rsid w:val="00250076"/>
    <w:rsid w:val="0025008C"/>
    <w:rsid w:val="002703EA"/>
    <w:rsid w:val="002710E0"/>
    <w:rsid w:val="00272DB4"/>
    <w:rsid w:val="00282B5B"/>
    <w:rsid w:val="002A48BE"/>
    <w:rsid w:val="002E1BE0"/>
    <w:rsid w:val="00305808"/>
    <w:rsid w:val="00306943"/>
    <w:rsid w:val="003359BC"/>
    <w:rsid w:val="003431C1"/>
    <w:rsid w:val="0037630A"/>
    <w:rsid w:val="003840C9"/>
    <w:rsid w:val="00384E20"/>
    <w:rsid w:val="00391645"/>
    <w:rsid w:val="00393000"/>
    <w:rsid w:val="0039611F"/>
    <w:rsid w:val="003A1272"/>
    <w:rsid w:val="003A554D"/>
    <w:rsid w:val="003C19B8"/>
    <w:rsid w:val="003E4CB7"/>
    <w:rsid w:val="003F0F26"/>
    <w:rsid w:val="004041FB"/>
    <w:rsid w:val="00410137"/>
    <w:rsid w:val="00417D9C"/>
    <w:rsid w:val="00465F1A"/>
    <w:rsid w:val="004773F6"/>
    <w:rsid w:val="004C2CE0"/>
    <w:rsid w:val="004D0338"/>
    <w:rsid w:val="004D56C2"/>
    <w:rsid w:val="004D7BB7"/>
    <w:rsid w:val="004E2B31"/>
    <w:rsid w:val="004E448B"/>
    <w:rsid w:val="004F70B2"/>
    <w:rsid w:val="00512F78"/>
    <w:rsid w:val="00521B1E"/>
    <w:rsid w:val="0055126D"/>
    <w:rsid w:val="005560DD"/>
    <w:rsid w:val="00562F2D"/>
    <w:rsid w:val="005712EE"/>
    <w:rsid w:val="005754F2"/>
    <w:rsid w:val="005861BA"/>
    <w:rsid w:val="00590CA2"/>
    <w:rsid w:val="005A2460"/>
    <w:rsid w:val="005A3DD3"/>
    <w:rsid w:val="005B1DFF"/>
    <w:rsid w:val="005B2170"/>
    <w:rsid w:val="005C08CF"/>
    <w:rsid w:val="005C4A54"/>
    <w:rsid w:val="005D0025"/>
    <w:rsid w:val="005D619A"/>
    <w:rsid w:val="005F7CF2"/>
    <w:rsid w:val="00615071"/>
    <w:rsid w:val="00624685"/>
    <w:rsid w:val="006364F2"/>
    <w:rsid w:val="00636D61"/>
    <w:rsid w:val="00646968"/>
    <w:rsid w:val="00657C43"/>
    <w:rsid w:val="00667FE0"/>
    <w:rsid w:val="006815FE"/>
    <w:rsid w:val="006821BD"/>
    <w:rsid w:val="0068531B"/>
    <w:rsid w:val="00692104"/>
    <w:rsid w:val="006979B4"/>
    <w:rsid w:val="006C1103"/>
    <w:rsid w:val="006C2BBB"/>
    <w:rsid w:val="006C449B"/>
    <w:rsid w:val="006D4A9A"/>
    <w:rsid w:val="006E2977"/>
    <w:rsid w:val="006F2F70"/>
    <w:rsid w:val="006F3B60"/>
    <w:rsid w:val="0072152C"/>
    <w:rsid w:val="00723502"/>
    <w:rsid w:val="00752B8C"/>
    <w:rsid w:val="00782D23"/>
    <w:rsid w:val="007A316C"/>
    <w:rsid w:val="007A735B"/>
    <w:rsid w:val="007B00B9"/>
    <w:rsid w:val="007B6E2F"/>
    <w:rsid w:val="007C586D"/>
    <w:rsid w:val="007D3F4C"/>
    <w:rsid w:val="007D7340"/>
    <w:rsid w:val="007D7C0B"/>
    <w:rsid w:val="007F6053"/>
    <w:rsid w:val="00803A91"/>
    <w:rsid w:val="0083438B"/>
    <w:rsid w:val="008409E1"/>
    <w:rsid w:val="0084235B"/>
    <w:rsid w:val="008423C1"/>
    <w:rsid w:val="0085296F"/>
    <w:rsid w:val="0087358D"/>
    <w:rsid w:val="008777B5"/>
    <w:rsid w:val="00882C0D"/>
    <w:rsid w:val="00885EEE"/>
    <w:rsid w:val="00892FA3"/>
    <w:rsid w:val="00894EE0"/>
    <w:rsid w:val="00896C70"/>
    <w:rsid w:val="008A584C"/>
    <w:rsid w:val="008B2957"/>
    <w:rsid w:val="008D6480"/>
    <w:rsid w:val="008E7D06"/>
    <w:rsid w:val="008F18CF"/>
    <w:rsid w:val="008F4F2D"/>
    <w:rsid w:val="008F6706"/>
    <w:rsid w:val="0091622C"/>
    <w:rsid w:val="00926751"/>
    <w:rsid w:val="00930C21"/>
    <w:rsid w:val="00972BBA"/>
    <w:rsid w:val="00987C52"/>
    <w:rsid w:val="00987C7D"/>
    <w:rsid w:val="00990926"/>
    <w:rsid w:val="009C3AB7"/>
    <w:rsid w:val="009E256C"/>
    <w:rsid w:val="00A02C45"/>
    <w:rsid w:val="00A112FC"/>
    <w:rsid w:val="00A21F21"/>
    <w:rsid w:val="00A25E72"/>
    <w:rsid w:val="00A35FB9"/>
    <w:rsid w:val="00A42E90"/>
    <w:rsid w:val="00A6694D"/>
    <w:rsid w:val="00A70EFC"/>
    <w:rsid w:val="00A8210C"/>
    <w:rsid w:val="00A879DD"/>
    <w:rsid w:val="00A87C72"/>
    <w:rsid w:val="00A91DDA"/>
    <w:rsid w:val="00A966B7"/>
    <w:rsid w:val="00AB7D36"/>
    <w:rsid w:val="00AD1C04"/>
    <w:rsid w:val="00AD3DD9"/>
    <w:rsid w:val="00AE47C8"/>
    <w:rsid w:val="00AE690F"/>
    <w:rsid w:val="00B06629"/>
    <w:rsid w:val="00B30304"/>
    <w:rsid w:val="00B32502"/>
    <w:rsid w:val="00B45B05"/>
    <w:rsid w:val="00BD1893"/>
    <w:rsid w:val="00C0461A"/>
    <w:rsid w:val="00C10BD5"/>
    <w:rsid w:val="00C15BAD"/>
    <w:rsid w:val="00C26F7A"/>
    <w:rsid w:val="00C3194A"/>
    <w:rsid w:val="00C31D3C"/>
    <w:rsid w:val="00C341BF"/>
    <w:rsid w:val="00C40A28"/>
    <w:rsid w:val="00C55535"/>
    <w:rsid w:val="00C67B17"/>
    <w:rsid w:val="00C836AD"/>
    <w:rsid w:val="00C846DD"/>
    <w:rsid w:val="00C963EF"/>
    <w:rsid w:val="00CB2DAE"/>
    <w:rsid w:val="00CB3B08"/>
    <w:rsid w:val="00CB4BD8"/>
    <w:rsid w:val="00CD744A"/>
    <w:rsid w:val="00CE69AC"/>
    <w:rsid w:val="00CF610F"/>
    <w:rsid w:val="00D17D11"/>
    <w:rsid w:val="00D61267"/>
    <w:rsid w:val="00D7153D"/>
    <w:rsid w:val="00D75380"/>
    <w:rsid w:val="00D75AB2"/>
    <w:rsid w:val="00D849CC"/>
    <w:rsid w:val="00DB1739"/>
    <w:rsid w:val="00DC6D95"/>
    <w:rsid w:val="00DD46A5"/>
    <w:rsid w:val="00DF7A72"/>
    <w:rsid w:val="00E153D9"/>
    <w:rsid w:val="00E27F9C"/>
    <w:rsid w:val="00E41A1A"/>
    <w:rsid w:val="00E56E72"/>
    <w:rsid w:val="00E62A5E"/>
    <w:rsid w:val="00E63F75"/>
    <w:rsid w:val="00E72CDC"/>
    <w:rsid w:val="00E72D78"/>
    <w:rsid w:val="00E81286"/>
    <w:rsid w:val="00EB7FA8"/>
    <w:rsid w:val="00EC259F"/>
    <w:rsid w:val="00ED4C15"/>
    <w:rsid w:val="00ED574E"/>
    <w:rsid w:val="00ED6302"/>
    <w:rsid w:val="00EF3E5F"/>
    <w:rsid w:val="00F04E48"/>
    <w:rsid w:val="00F17D20"/>
    <w:rsid w:val="00F23F67"/>
    <w:rsid w:val="00F25EED"/>
    <w:rsid w:val="00F403AC"/>
    <w:rsid w:val="00F84A10"/>
    <w:rsid w:val="00FB522C"/>
    <w:rsid w:val="00FB53CB"/>
    <w:rsid w:val="00FB7083"/>
    <w:rsid w:val="00FD08FE"/>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rules v:ext="edit">
        <o:r id="V:Rule1" type="callout" idref="#_x0000_s1038"/>
      </o:rules>
    </o:shapelayout>
  </w:shapeDefaults>
  <w:decimalSymbol w:val="."/>
  <w:listSeparator w:val=","/>
  <w14:docId w14:val="371E4B4A"/>
  <w15:docId w15:val="{AB0514E8-806F-41BB-BE7B-7FA96C543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7AE"/>
    <w:pPr>
      <w:ind w:left="720"/>
      <w:contextualSpacing/>
    </w:pPr>
  </w:style>
  <w:style w:type="paragraph" w:styleId="Header">
    <w:name w:val="header"/>
    <w:basedOn w:val="Normal"/>
    <w:link w:val="HeaderChar"/>
    <w:uiPriority w:val="99"/>
    <w:unhideWhenUsed/>
    <w:rsid w:val="00892FA3"/>
    <w:pPr>
      <w:tabs>
        <w:tab w:val="center" w:pos="4680"/>
        <w:tab w:val="right" w:pos="9360"/>
      </w:tabs>
    </w:pPr>
  </w:style>
  <w:style w:type="character" w:customStyle="1" w:styleId="HeaderChar">
    <w:name w:val="Header Char"/>
    <w:basedOn w:val="DefaultParagraphFont"/>
    <w:link w:val="Header"/>
    <w:uiPriority w:val="99"/>
    <w:rsid w:val="00892FA3"/>
  </w:style>
  <w:style w:type="paragraph" w:styleId="Footer">
    <w:name w:val="footer"/>
    <w:basedOn w:val="Normal"/>
    <w:link w:val="FooterChar"/>
    <w:uiPriority w:val="99"/>
    <w:unhideWhenUsed/>
    <w:rsid w:val="00892FA3"/>
    <w:pPr>
      <w:tabs>
        <w:tab w:val="center" w:pos="4680"/>
        <w:tab w:val="right" w:pos="9360"/>
      </w:tabs>
    </w:pPr>
  </w:style>
  <w:style w:type="character" w:customStyle="1" w:styleId="FooterChar">
    <w:name w:val="Footer Char"/>
    <w:basedOn w:val="DefaultParagraphFont"/>
    <w:link w:val="Footer"/>
    <w:uiPriority w:val="99"/>
    <w:rsid w:val="00892FA3"/>
  </w:style>
  <w:style w:type="paragraph" w:styleId="BalloonText">
    <w:name w:val="Balloon Text"/>
    <w:basedOn w:val="Normal"/>
    <w:link w:val="BalloonTextChar"/>
    <w:uiPriority w:val="99"/>
    <w:semiHidden/>
    <w:unhideWhenUsed/>
    <w:rsid w:val="00892FA3"/>
    <w:rPr>
      <w:rFonts w:ascii="Tahoma" w:hAnsi="Tahoma" w:cs="Tahoma"/>
      <w:sz w:val="16"/>
      <w:szCs w:val="16"/>
    </w:rPr>
  </w:style>
  <w:style w:type="character" w:customStyle="1" w:styleId="BalloonTextChar">
    <w:name w:val="Balloon Text Char"/>
    <w:basedOn w:val="DefaultParagraphFont"/>
    <w:link w:val="BalloonText"/>
    <w:uiPriority w:val="99"/>
    <w:semiHidden/>
    <w:rsid w:val="00892FA3"/>
    <w:rPr>
      <w:rFonts w:ascii="Tahoma" w:hAnsi="Tahoma" w:cs="Tahoma"/>
      <w:sz w:val="16"/>
      <w:szCs w:val="16"/>
    </w:rPr>
  </w:style>
  <w:style w:type="table" w:styleId="TableGrid">
    <w:name w:val="Table Grid"/>
    <w:basedOn w:val="TableNormal"/>
    <w:uiPriority w:val="59"/>
    <w:rsid w:val="005B2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uiPriority w:val="63"/>
    <w:rsid w:val="00972BB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LightGrid-Accent11">
    <w:name w:val="Light Grid - Accent 11"/>
    <w:basedOn w:val="TableNormal"/>
    <w:uiPriority w:val="62"/>
    <w:rsid w:val="00972BB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List1-Accent11">
    <w:name w:val="Medium List 1 - Accent 11"/>
    <w:basedOn w:val="TableNormal"/>
    <w:uiPriority w:val="65"/>
    <w:rsid w:val="00972BBA"/>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Shading2-Accent11">
    <w:name w:val="Medium Shading 2 - Accent 11"/>
    <w:basedOn w:val="TableNormal"/>
    <w:uiPriority w:val="64"/>
    <w:rsid w:val="00972BB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972BBA"/>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3D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11">
    <w:name w:val="Light Shading - Accent 11"/>
    <w:basedOn w:val="TableNormal"/>
    <w:uiPriority w:val="60"/>
    <w:rsid w:val="004F70B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ommentReference">
    <w:name w:val="annotation reference"/>
    <w:basedOn w:val="DefaultParagraphFont"/>
    <w:uiPriority w:val="99"/>
    <w:semiHidden/>
    <w:unhideWhenUsed/>
    <w:rsid w:val="002121DD"/>
    <w:rPr>
      <w:sz w:val="16"/>
      <w:szCs w:val="16"/>
    </w:rPr>
  </w:style>
  <w:style w:type="paragraph" w:styleId="CommentText">
    <w:name w:val="annotation text"/>
    <w:basedOn w:val="Normal"/>
    <w:link w:val="CommentTextChar"/>
    <w:uiPriority w:val="99"/>
    <w:unhideWhenUsed/>
    <w:rsid w:val="002121DD"/>
    <w:rPr>
      <w:sz w:val="20"/>
      <w:szCs w:val="20"/>
    </w:rPr>
  </w:style>
  <w:style w:type="character" w:customStyle="1" w:styleId="CommentTextChar">
    <w:name w:val="Comment Text Char"/>
    <w:basedOn w:val="DefaultParagraphFont"/>
    <w:link w:val="CommentText"/>
    <w:uiPriority w:val="99"/>
    <w:rsid w:val="002121DD"/>
    <w:rPr>
      <w:sz w:val="20"/>
      <w:szCs w:val="20"/>
    </w:rPr>
  </w:style>
  <w:style w:type="paragraph" w:styleId="CommentSubject">
    <w:name w:val="annotation subject"/>
    <w:basedOn w:val="CommentText"/>
    <w:next w:val="CommentText"/>
    <w:link w:val="CommentSubjectChar"/>
    <w:uiPriority w:val="99"/>
    <w:semiHidden/>
    <w:unhideWhenUsed/>
    <w:rsid w:val="002121DD"/>
    <w:rPr>
      <w:b/>
      <w:bCs/>
    </w:rPr>
  </w:style>
  <w:style w:type="character" w:customStyle="1" w:styleId="CommentSubjectChar">
    <w:name w:val="Comment Subject Char"/>
    <w:basedOn w:val="CommentTextChar"/>
    <w:link w:val="CommentSubject"/>
    <w:uiPriority w:val="99"/>
    <w:semiHidden/>
    <w:rsid w:val="002121DD"/>
    <w:rPr>
      <w:b/>
      <w:bCs/>
      <w:sz w:val="20"/>
      <w:szCs w:val="20"/>
    </w:rPr>
  </w:style>
  <w:style w:type="paragraph" w:styleId="Revision">
    <w:name w:val="Revision"/>
    <w:hidden/>
    <w:uiPriority w:val="99"/>
    <w:semiHidden/>
    <w:rsid w:val="00272DB4"/>
  </w:style>
  <w:style w:type="character" w:styleId="Hyperlink">
    <w:name w:val="Hyperlink"/>
    <w:basedOn w:val="DefaultParagraphFont"/>
    <w:uiPriority w:val="99"/>
    <w:unhideWhenUsed/>
    <w:rsid w:val="00D17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candi/StandardsRe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andi/StandardsReview/ela-math.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oe.mass.edu/candi/StandardsRe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candi/StandardsReview/ela-math.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DESE-231-29589</_dlc_DocId>
    <_dlc_DocIdUrl xmlns="733efe1c-5bbe-4968-87dc-d400e65c879f">
      <Url>https://sharepoint.doemass.org/ese/webteam/cps/_layouts/DocIdRedir.aspx?ID=DESE-231-29589</Url>
      <Description>DESE-231-29589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F26C86F-BA9D-4C56-818B-038969104E0B}">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0a4e05da-b9bc-4326-ad73-01ef31b95567"/>
    <ds:schemaRef ds:uri="http://purl.org/dc/terms/"/>
    <ds:schemaRef ds:uri="http://purl.org/dc/elements/1.1/"/>
    <ds:schemaRef ds:uri="http://www.w3.org/XML/1998/namespace"/>
    <ds:schemaRef ds:uri="733efe1c-5bbe-4968-87dc-d400e65c879f"/>
    <ds:schemaRef ds:uri="http://purl.org/dc/dcmitype/"/>
  </ds:schemaRefs>
</ds:datastoreItem>
</file>

<file path=customXml/itemProps2.xml><?xml version="1.0" encoding="utf-8"?>
<ds:datastoreItem xmlns:ds="http://schemas.openxmlformats.org/officeDocument/2006/customXml" ds:itemID="{A7F27AC1-F79B-4368-AB28-99A35A615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13919-C7FA-438A-94E9-FC3719339804}">
  <ds:schemaRefs>
    <ds:schemaRef ds:uri="http://schemas.microsoft.com/sharepoint/events"/>
  </ds:schemaRefs>
</ds:datastoreItem>
</file>

<file path=customXml/itemProps4.xml><?xml version="1.0" encoding="utf-8"?>
<ds:datastoreItem xmlns:ds="http://schemas.openxmlformats.org/officeDocument/2006/customXml" ds:itemID="{50C6E1B5-A553-42AC-96AE-253E2B3C1D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Improving the Massachusetts ELA Standards: A Quick Reference Guide to Proposed Changes in 2017</vt:lpstr>
    </vt:vector>
  </TitlesOfParts>
  <Company>Microsoft</Company>
  <LinksUpToDate>false</LinksUpToDate>
  <CharactersWithSpaces>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Massachusetts ELA Standards: A Quick Reference Guide to Proposed Changes in 2017</dc:title>
  <dc:creator>ese</dc:creator>
  <cp:lastModifiedBy>Giovanni, Danielle (EOE)</cp:lastModifiedBy>
  <cp:revision>2</cp:revision>
  <cp:lastPrinted>2016-11-07T18:14:00Z</cp:lastPrinted>
  <dcterms:created xsi:type="dcterms:W3CDTF">2016-11-23T15:49:00Z</dcterms:created>
  <dcterms:modified xsi:type="dcterms:W3CDTF">2016-11-23T15:49:00Z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d5c26ad0-a5fa-4d22-bd6a-5077ee6ea8de</vt:lpwstr>
  </property>
  <property fmtid="{D5CDD505-2E9C-101B-9397-08002B2CF9AE}" pid="4" name="metadate">
    <vt:lpwstr>Nov 23 2016</vt:lpwstr>
  </property>
</Properties>
</file>