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62" w:rsidRDefault="00000762" w:rsidP="00000762">
      <w:pPr>
        <w:pStyle w:val="Title"/>
      </w:pPr>
      <w:r>
        <w:t>Streamlining Licensure: Survey Results</w:t>
      </w:r>
    </w:p>
    <w:p w:rsidR="00D40881" w:rsidRPr="00000762" w:rsidRDefault="00000762" w:rsidP="00E03253">
      <w:pPr>
        <w:spacing w:after="0" w:line="240" w:lineRule="auto"/>
        <w:rPr>
          <w:sz w:val="20"/>
          <w:szCs w:val="20"/>
        </w:rPr>
      </w:pPr>
      <w:r>
        <w:rPr>
          <w:sz w:val="20"/>
          <w:szCs w:val="20"/>
        </w:rPr>
        <w:t>ESE</w:t>
      </w:r>
      <w:r w:rsidR="00460E89" w:rsidRPr="00000762">
        <w:rPr>
          <w:sz w:val="20"/>
          <w:szCs w:val="20"/>
        </w:rPr>
        <w:t xml:space="preserve"> administered a survey to educators regarding the streamlining recommendations that the working group had narrowed down. The survey began on Thursday September 22</w:t>
      </w:r>
      <w:r w:rsidR="00460E89" w:rsidRPr="00000762">
        <w:rPr>
          <w:sz w:val="20"/>
          <w:szCs w:val="20"/>
          <w:vertAlign w:val="superscript"/>
        </w:rPr>
        <w:t>nd</w:t>
      </w:r>
      <w:r w:rsidR="00460E89" w:rsidRPr="00000762">
        <w:rPr>
          <w:sz w:val="20"/>
          <w:szCs w:val="20"/>
        </w:rPr>
        <w:t>, ran through Thursday October 20</w:t>
      </w:r>
      <w:r w:rsidR="00460E89" w:rsidRPr="00000762">
        <w:rPr>
          <w:sz w:val="20"/>
          <w:szCs w:val="20"/>
          <w:vertAlign w:val="superscript"/>
        </w:rPr>
        <w:t>th</w:t>
      </w:r>
      <w:r w:rsidR="00460E89" w:rsidRPr="00000762">
        <w:rPr>
          <w:sz w:val="20"/>
          <w:szCs w:val="20"/>
        </w:rPr>
        <w:t>, and garnered 921 responses.</w:t>
      </w:r>
    </w:p>
    <w:p w:rsidR="00E03253" w:rsidRPr="00000762" w:rsidRDefault="00E03253" w:rsidP="00E03253">
      <w:pPr>
        <w:spacing w:after="0" w:line="240" w:lineRule="auto"/>
        <w:rPr>
          <w:sz w:val="16"/>
          <w:szCs w:val="16"/>
        </w:rPr>
      </w:pPr>
    </w:p>
    <w:p w:rsidR="005036BD" w:rsidRPr="00000762" w:rsidRDefault="00391E3B" w:rsidP="00E03253">
      <w:pPr>
        <w:spacing w:after="0" w:line="240" w:lineRule="auto"/>
        <w:rPr>
          <w:sz w:val="20"/>
          <w:szCs w:val="20"/>
        </w:rPr>
      </w:pPr>
      <w:r w:rsidRPr="00000762">
        <w:rPr>
          <w:sz w:val="20"/>
          <w:szCs w:val="20"/>
        </w:rPr>
        <w:t>The vast majority of the recommendations were viewed favorably by the respondents.</w:t>
      </w:r>
      <w:r w:rsidR="00A95B17" w:rsidRPr="00000762">
        <w:rPr>
          <w:sz w:val="20"/>
          <w:szCs w:val="20"/>
        </w:rPr>
        <w:t xml:space="preserve"> In fact, the only recommendation that received less than 80% approval was </w:t>
      </w:r>
      <w:r w:rsidR="00000762" w:rsidRPr="00000762">
        <w:rPr>
          <w:sz w:val="20"/>
          <w:szCs w:val="20"/>
        </w:rPr>
        <w:t>the same proposal</w:t>
      </w:r>
      <w:r w:rsidR="00A95B17" w:rsidRPr="00000762">
        <w:rPr>
          <w:sz w:val="20"/>
          <w:szCs w:val="20"/>
        </w:rPr>
        <w:t xml:space="preserve"> that received by far the highest number of “Not Sure” answers, indicating that </w:t>
      </w:r>
      <w:r w:rsidR="00000762" w:rsidRPr="00000762">
        <w:rPr>
          <w:sz w:val="20"/>
          <w:szCs w:val="20"/>
        </w:rPr>
        <w:t>the proposal</w:t>
      </w:r>
      <w:r w:rsidR="00000762">
        <w:rPr>
          <w:sz w:val="20"/>
          <w:szCs w:val="20"/>
        </w:rPr>
        <w:t xml:space="preserve"> itself (involving PRPIL providers)</w:t>
      </w:r>
      <w:r w:rsidR="00000762" w:rsidRPr="00000762">
        <w:rPr>
          <w:sz w:val="20"/>
          <w:szCs w:val="20"/>
        </w:rPr>
        <w:t xml:space="preserve"> may have been </w:t>
      </w:r>
      <w:r w:rsidR="00000762">
        <w:rPr>
          <w:sz w:val="20"/>
          <w:szCs w:val="20"/>
        </w:rPr>
        <w:t>abstruse</w:t>
      </w:r>
      <w:r w:rsidR="00000762" w:rsidRPr="00000762">
        <w:rPr>
          <w:sz w:val="20"/>
          <w:szCs w:val="20"/>
        </w:rPr>
        <w:t xml:space="preserve"> for our audience</w:t>
      </w:r>
      <w:r w:rsidR="00A95B17" w:rsidRPr="00000762">
        <w:rPr>
          <w:sz w:val="20"/>
          <w:szCs w:val="20"/>
        </w:rPr>
        <w:t>.</w:t>
      </w:r>
      <w:r w:rsidR="003B67DC" w:rsidRPr="00000762">
        <w:rPr>
          <w:sz w:val="20"/>
          <w:szCs w:val="20"/>
        </w:rPr>
        <w:t xml:space="preserve"> </w:t>
      </w:r>
      <w:r w:rsidR="00000762" w:rsidRPr="00000762">
        <w:rPr>
          <w:sz w:val="20"/>
          <w:szCs w:val="20"/>
        </w:rPr>
        <w:t>For clarity, t</w:t>
      </w:r>
      <w:r w:rsidR="003B67DC" w:rsidRPr="00000762">
        <w:rPr>
          <w:sz w:val="20"/>
          <w:szCs w:val="20"/>
        </w:rPr>
        <w:t>he table below excludes the “Not Sure” answers, combines the Strongly Agree and Agree answers, and combines the Strongly Disagree and Disagr</w:t>
      </w:r>
      <w:r w:rsidR="005036BD" w:rsidRPr="00000762">
        <w:rPr>
          <w:sz w:val="20"/>
          <w:szCs w:val="20"/>
        </w:rPr>
        <w:t>ee answers.</w:t>
      </w:r>
    </w:p>
    <w:p w:rsidR="00E03253" w:rsidRDefault="00E03253" w:rsidP="00E03253">
      <w:pPr>
        <w:spacing w:after="0" w:line="240" w:lineRule="auto"/>
      </w:pPr>
    </w:p>
    <w:tbl>
      <w:tblPr>
        <w:tblW w:w="9482" w:type="dxa"/>
        <w:tblInd w:w="94" w:type="dxa"/>
        <w:tblLook w:val="04A0"/>
      </w:tblPr>
      <w:tblGrid>
        <w:gridCol w:w="7604"/>
        <w:gridCol w:w="873"/>
        <w:gridCol w:w="1005"/>
      </w:tblGrid>
      <w:tr w:rsidR="00000762" w:rsidRPr="00BF319A" w:rsidTr="00000762">
        <w:trPr>
          <w:trHeight w:val="255"/>
        </w:trPr>
        <w:tc>
          <w:tcPr>
            <w:tcW w:w="7604" w:type="dxa"/>
            <w:tcBorders>
              <w:top w:val="nil"/>
              <w:left w:val="nil"/>
              <w:bottom w:val="single" w:sz="4" w:space="0" w:color="BFBFBF" w:themeColor="background1" w:themeShade="BF"/>
              <w:right w:val="nil"/>
            </w:tcBorders>
            <w:shd w:val="clear" w:color="auto" w:fill="auto"/>
            <w:noWrap/>
            <w:vAlign w:val="bottom"/>
            <w:hideMark/>
          </w:tcPr>
          <w:p w:rsidR="00000762" w:rsidRPr="00BF319A" w:rsidRDefault="00000762" w:rsidP="00BF319A">
            <w:pPr>
              <w:spacing w:after="0" w:line="240" w:lineRule="auto"/>
              <w:rPr>
                <w:rFonts w:eastAsia="Times New Roman" w:cstheme="minorHAnsi"/>
                <w:sz w:val="20"/>
                <w:szCs w:val="20"/>
              </w:rPr>
            </w:pPr>
            <w:r w:rsidRPr="00BF319A">
              <w:rPr>
                <w:rFonts w:eastAsia="Times New Roman" w:cstheme="minorHAnsi"/>
                <w:b/>
                <w:bCs/>
                <w:color w:val="333333"/>
                <w:sz w:val="28"/>
                <w:szCs w:val="28"/>
              </w:rPr>
              <w:t>Temporary</w:t>
            </w:r>
          </w:p>
        </w:tc>
        <w:tc>
          <w:tcPr>
            <w:tcW w:w="873" w:type="dxa"/>
            <w:tcBorders>
              <w:top w:val="nil"/>
              <w:left w:val="nil"/>
              <w:bottom w:val="single" w:sz="4" w:space="0" w:color="BFBFBF" w:themeColor="background1" w:themeShade="BF"/>
              <w:right w:val="nil"/>
            </w:tcBorders>
            <w:shd w:val="clear" w:color="auto" w:fill="auto"/>
            <w:noWrap/>
            <w:vAlign w:val="bottom"/>
            <w:hideMark/>
          </w:tcPr>
          <w:p w:rsidR="00000762" w:rsidRPr="00BF319A" w:rsidRDefault="00000762" w:rsidP="00BF319A">
            <w:pPr>
              <w:spacing w:after="0" w:line="240" w:lineRule="auto"/>
              <w:jc w:val="right"/>
              <w:rPr>
                <w:rFonts w:eastAsia="Times New Roman" w:cstheme="minorHAnsi"/>
                <w:b/>
                <w:color w:val="00B050"/>
                <w:sz w:val="20"/>
                <w:szCs w:val="20"/>
              </w:rPr>
            </w:pPr>
            <w:r>
              <w:rPr>
                <w:rFonts w:eastAsia="Times New Roman" w:cstheme="minorHAnsi"/>
                <w:b/>
                <w:color w:val="00B050"/>
                <w:sz w:val="20"/>
                <w:szCs w:val="20"/>
              </w:rPr>
              <w:t>Agree</w:t>
            </w:r>
          </w:p>
        </w:tc>
        <w:tc>
          <w:tcPr>
            <w:tcW w:w="1005" w:type="dxa"/>
            <w:tcBorders>
              <w:top w:val="nil"/>
              <w:left w:val="nil"/>
              <w:bottom w:val="single" w:sz="4" w:space="0" w:color="BFBFBF" w:themeColor="background1" w:themeShade="BF"/>
              <w:right w:val="nil"/>
            </w:tcBorders>
            <w:shd w:val="clear" w:color="auto" w:fill="auto"/>
            <w:noWrap/>
            <w:vAlign w:val="bottom"/>
            <w:hideMark/>
          </w:tcPr>
          <w:p w:rsidR="00000762" w:rsidRPr="00BF319A" w:rsidRDefault="00000762" w:rsidP="00BF319A">
            <w:pPr>
              <w:spacing w:after="0" w:line="240" w:lineRule="auto"/>
              <w:jc w:val="right"/>
              <w:rPr>
                <w:rFonts w:eastAsia="Times New Roman" w:cstheme="minorHAnsi"/>
                <w:b/>
                <w:sz w:val="20"/>
                <w:szCs w:val="20"/>
              </w:rPr>
            </w:pPr>
            <w:r>
              <w:rPr>
                <w:rFonts w:eastAsia="Times New Roman" w:cstheme="minorHAnsi"/>
                <w:b/>
                <w:sz w:val="20"/>
                <w:szCs w:val="20"/>
              </w:rPr>
              <w:t>Disagree</w:t>
            </w:r>
          </w:p>
        </w:tc>
      </w:tr>
      <w:tr w:rsidR="00BF319A" w:rsidRPr="00BF319A" w:rsidTr="00000762">
        <w:trPr>
          <w:trHeight w:val="255"/>
        </w:trPr>
        <w:tc>
          <w:tcPr>
            <w:tcW w:w="7604"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 xml:space="preserve">1. Add a regulation saying that the temporary license requires a bachelor’s degree from a regionally accredited institution. </w:t>
            </w:r>
          </w:p>
        </w:tc>
        <w:tc>
          <w:tcPr>
            <w:tcW w:w="873"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95%</w:t>
            </w:r>
          </w:p>
        </w:tc>
        <w:tc>
          <w:tcPr>
            <w:tcW w:w="1005"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5%</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2. Eliminate the practice that ESE issues the temporary license only to candidates who have out-of-state licenses that are equivalent to MA's Initial license.</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82%</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18%</w:t>
            </w:r>
          </w:p>
        </w:tc>
      </w:tr>
      <w:tr w:rsidR="00BF319A" w:rsidRPr="00BF319A" w:rsidTr="00000762">
        <w:trPr>
          <w:trHeight w:val="255"/>
        </w:trPr>
        <w:tc>
          <w:tcPr>
            <w:tcW w:w="7604"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3. Grant flexibility on the definition of “one year”.</w:t>
            </w:r>
          </w:p>
        </w:tc>
        <w:tc>
          <w:tcPr>
            <w:tcW w:w="873"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98%</w:t>
            </w:r>
          </w:p>
        </w:tc>
        <w:tc>
          <w:tcPr>
            <w:tcW w:w="1005"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2%</w:t>
            </w:r>
          </w:p>
        </w:tc>
      </w:tr>
      <w:tr w:rsidR="00BF319A" w:rsidRPr="00BF319A" w:rsidTr="00000762">
        <w:trPr>
          <w:trHeight w:val="255"/>
        </w:trPr>
        <w:tc>
          <w:tcPr>
            <w:tcW w:w="7604"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p>
        </w:tc>
        <w:tc>
          <w:tcPr>
            <w:tcW w:w="873"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color w:val="00B050"/>
                <w:sz w:val="20"/>
                <w:szCs w:val="20"/>
              </w:rPr>
            </w:pPr>
          </w:p>
        </w:tc>
        <w:tc>
          <w:tcPr>
            <w:tcW w:w="1005"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r>
      <w:tr w:rsidR="00BF319A" w:rsidRPr="00BF319A" w:rsidTr="00000762">
        <w:trPr>
          <w:trHeight w:val="360"/>
        </w:trPr>
        <w:tc>
          <w:tcPr>
            <w:tcW w:w="7604"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b/>
                <w:bCs/>
                <w:color w:val="333333"/>
                <w:sz w:val="28"/>
                <w:szCs w:val="28"/>
              </w:rPr>
            </w:pPr>
            <w:r w:rsidRPr="00BF319A">
              <w:rPr>
                <w:rFonts w:eastAsia="Times New Roman" w:cstheme="minorHAnsi"/>
                <w:b/>
                <w:bCs/>
                <w:color w:val="333333"/>
                <w:sz w:val="28"/>
                <w:szCs w:val="28"/>
              </w:rPr>
              <w:t>Preliminary</w:t>
            </w:r>
          </w:p>
        </w:tc>
        <w:tc>
          <w:tcPr>
            <w:tcW w:w="873"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color w:val="00B050"/>
                <w:sz w:val="20"/>
                <w:szCs w:val="20"/>
              </w:rPr>
            </w:pPr>
          </w:p>
        </w:tc>
        <w:tc>
          <w:tcPr>
            <w:tcW w:w="1005"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r>
      <w:tr w:rsidR="00BF319A" w:rsidRPr="00BF319A" w:rsidTr="00000762">
        <w:trPr>
          <w:trHeight w:val="255"/>
        </w:trPr>
        <w:tc>
          <w:tcPr>
            <w:tcW w:w="7604"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1. Create a non-renewable preliminary “parent” license that’s valid for five years of employment.</w:t>
            </w:r>
          </w:p>
        </w:tc>
        <w:tc>
          <w:tcPr>
            <w:tcW w:w="873"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83%</w:t>
            </w:r>
          </w:p>
        </w:tc>
        <w:tc>
          <w:tcPr>
            <w:tcW w:w="1005"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17%</w:t>
            </w:r>
          </w:p>
        </w:tc>
      </w:tr>
      <w:tr w:rsidR="00BF319A" w:rsidRPr="00BF319A" w:rsidTr="00000762">
        <w:trPr>
          <w:trHeight w:val="255"/>
        </w:trPr>
        <w:tc>
          <w:tcPr>
            <w:tcW w:w="7604"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p>
        </w:tc>
        <w:tc>
          <w:tcPr>
            <w:tcW w:w="873"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c>
          <w:tcPr>
            <w:tcW w:w="1005"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r>
      <w:tr w:rsidR="00BF319A" w:rsidRPr="00BF319A" w:rsidTr="00000762">
        <w:trPr>
          <w:trHeight w:val="360"/>
        </w:trPr>
        <w:tc>
          <w:tcPr>
            <w:tcW w:w="7604" w:type="dxa"/>
            <w:tcBorders>
              <w:top w:val="nil"/>
              <w:left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b/>
                <w:bCs/>
                <w:color w:val="333333"/>
                <w:sz w:val="28"/>
                <w:szCs w:val="28"/>
              </w:rPr>
            </w:pPr>
            <w:r w:rsidRPr="00BF319A">
              <w:rPr>
                <w:rFonts w:eastAsia="Times New Roman" w:cstheme="minorHAnsi"/>
                <w:b/>
                <w:bCs/>
                <w:color w:val="333333"/>
                <w:sz w:val="28"/>
                <w:szCs w:val="28"/>
              </w:rPr>
              <w:t>Initial</w:t>
            </w:r>
          </w:p>
        </w:tc>
        <w:tc>
          <w:tcPr>
            <w:tcW w:w="873" w:type="dxa"/>
            <w:tcBorders>
              <w:top w:val="nil"/>
              <w:left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c>
          <w:tcPr>
            <w:tcW w:w="1005" w:type="dxa"/>
            <w:tcBorders>
              <w:top w:val="nil"/>
              <w:left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r>
      <w:tr w:rsidR="00BF319A" w:rsidRPr="00BF319A" w:rsidTr="00000762">
        <w:trPr>
          <w:trHeight w:val="255"/>
        </w:trPr>
        <w:tc>
          <w:tcPr>
            <w:tcW w:w="7604"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1. Include language that the Performance Review Program for Initial Licensure (PRPIL) must be completed through an ESE-approved provider(s).</w:t>
            </w:r>
          </w:p>
        </w:tc>
        <w:tc>
          <w:tcPr>
            <w:tcW w:w="873"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F79646" w:themeColor="accent6"/>
                <w:sz w:val="20"/>
                <w:szCs w:val="20"/>
              </w:rPr>
            </w:pPr>
            <w:r w:rsidRPr="00BF319A">
              <w:rPr>
                <w:rFonts w:eastAsia="Times New Roman" w:cstheme="minorHAnsi"/>
                <w:b/>
                <w:color w:val="F79646" w:themeColor="accent6"/>
                <w:sz w:val="20"/>
                <w:szCs w:val="20"/>
              </w:rPr>
              <w:t>73%</w:t>
            </w:r>
          </w:p>
        </w:tc>
        <w:tc>
          <w:tcPr>
            <w:tcW w:w="1005"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27%</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2a. Clean up existing language. Specifically, eliminate reference to regional credential.</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99%</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1%</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 xml:space="preserve">2b. Clean up existing language. Specifically, eliminate reference to NCATE in favor of more generic language that references a national accreditation body. </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99%</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1%</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 xml:space="preserve">3. Streamline and condense similar routes/programs into one MA approved program route. </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94%</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6%</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 xml:space="preserve">4. Modify language in the regulations from "renewing an initial license" to "extending" an initial license. </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99%</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1%</w:t>
            </w:r>
          </w:p>
        </w:tc>
      </w:tr>
      <w:tr w:rsidR="00BF319A" w:rsidRPr="00BF319A" w:rsidTr="00000762">
        <w:trPr>
          <w:trHeight w:val="255"/>
        </w:trPr>
        <w:tc>
          <w:tcPr>
            <w:tcW w:w="7604"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5. Modify language in the regulations from "five years of employment" to “during their fifth year of employment.”</w:t>
            </w:r>
          </w:p>
        </w:tc>
        <w:tc>
          <w:tcPr>
            <w:tcW w:w="873"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97%</w:t>
            </w:r>
          </w:p>
        </w:tc>
        <w:tc>
          <w:tcPr>
            <w:tcW w:w="1005"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3%</w:t>
            </w:r>
          </w:p>
        </w:tc>
      </w:tr>
      <w:tr w:rsidR="00BF319A" w:rsidRPr="00BF319A" w:rsidTr="00000762">
        <w:trPr>
          <w:trHeight w:val="255"/>
        </w:trPr>
        <w:tc>
          <w:tcPr>
            <w:tcW w:w="7604"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p>
        </w:tc>
        <w:tc>
          <w:tcPr>
            <w:tcW w:w="873"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color w:val="00B050"/>
                <w:sz w:val="20"/>
                <w:szCs w:val="20"/>
              </w:rPr>
            </w:pPr>
          </w:p>
        </w:tc>
        <w:tc>
          <w:tcPr>
            <w:tcW w:w="1005"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r>
      <w:tr w:rsidR="00BF319A" w:rsidRPr="00BF319A" w:rsidTr="00000762">
        <w:trPr>
          <w:trHeight w:val="360"/>
        </w:trPr>
        <w:tc>
          <w:tcPr>
            <w:tcW w:w="7604" w:type="dxa"/>
            <w:tcBorders>
              <w:top w:val="nil"/>
              <w:left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b/>
                <w:bCs/>
                <w:color w:val="333333"/>
                <w:sz w:val="28"/>
                <w:szCs w:val="28"/>
              </w:rPr>
            </w:pPr>
            <w:r w:rsidRPr="00BF319A">
              <w:rPr>
                <w:rFonts w:eastAsia="Times New Roman" w:cstheme="minorHAnsi"/>
                <w:b/>
                <w:bCs/>
                <w:color w:val="333333"/>
                <w:sz w:val="28"/>
                <w:szCs w:val="28"/>
              </w:rPr>
              <w:t>Professional</w:t>
            </w:r>
          </w:p>
        </w:tc>
        <w:tc>
          <w:tcPr>
            <w:tcW w:w="873" w:type="dxa"/>
            <w:tcBorders>
              <w:top w:val="nil"/>
              <w:left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color w:val="00B050"/>
                <w:sz w:val="20"/>
                <w:szCs w:val="20"/>
              </w:rPr>
            </w:pPr>
          </w:p>
        </w:tc>
        <w:tc>
          <w:tcPr>
            <w:tcW w:w="1005" w:type="dxa"/>
            <w:tcBorders>
              <w:top w:val="nil"/>
              <w:left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r>
      <w:tr w:rsidR="00BF319A" w:rsidRPr="00BF319A" w:rsidTr="00000762">
        <w:trPr>
          <w:trHeight w:val="255"/>
        </w:trPr>
        <w:tc>
          <w:tcPr>
            <w:tcW w:w="7604"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 xml:space="preserve">1. Streamline by condensing the approved routes to licensure rather than have each approved route listed separately. </w:t>
            </w:r>
          </w:p>
        </w:tc>
        <w:tc>
          <w:tcPr>
            <w:tcW w:w="873"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91%</w:t>
            </w:r>
          </w:p>
        </w:tc>
        <w:tc>
          <w:tcPr>
            <w:tcW w:w="1005"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9%</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2. Allow an educator to build their skills and knowledge based on their goals in connection with the school or district beyond a required set of PDP areas.</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96%</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4%</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5C33BB" w:rsidRDefault="00BF319A" w:rsidP="00BF319A">
            <w:pPr>
              <w:spacing w:after="0" w:line="240" w:lineRule="auto"/>
              <w:rPr>
                <w:rFonts w:eastAsia="Times New Roman" w:cstheme="minorHAnsi"/>
                <w:color w:val="808080" w:themeColor="background1" w:themeShade="80"/>
                <w:sz w:val="20"/>
                <w:szCs w:val="20"/>
              </w:rPr>
            </w:pPr>
            <w:r w:rsidRPr="005C33BB">
              <w:rPr>
                <w:rFonts w:eastAsia="Times New Roman" w:cstheme="minorHAnsi"/>
                <w:color w:val="808080" w:themeColor="background1" w:themeShade="80"/>
                <w:sz w:val="20"/>
                <w:szCs w:val="20"/>
              </w:rPr>
              <w:t>3. Eliminate the Individualized Professional Development Plan (IPDP) and combine it into the Educator Plan.</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98%</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2%</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 xml:space="preserve">4. Combine the “inactive” professional licenses with the “invalid” professional licenses, and just refer to them as “inactive” or “expired.” </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94%</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6%</w:t>
            </w:r>
          </w:p>
        </w:tc>
      </w:tr>
      <w:tr w:rsidR="00BF319A" w:rsidRPr="00BF319A" w:rsidTr="00000762">
        <w:trPr>
          <w:trHeight w:val="255"/>
        </w:trPr>
        <w:tc>
          <w:tcPr>
            <w:tcW w:w="7604" w:type="dxa"/>
            <w:tcBorders>
              <w:top w:val="single" w:sz="4" w:space="0" w:color="BFBFBF" w:themeColor="background1" w:themeShade="BF"/>
              <w:left w:val="nil"/>
              <w:bottom w:val="nil"/>
              <w:right w:val="nil"/>
            </w:tcBorders>
            <w:shd w:val="clear" w:color="auto" w:fill="auto"/>
            <w:noWrap/>
            <w:vAlign w:val="bottom"/>
            <w:hideMark/>
          </w:tcPr>
          <w:p w:rsidR="00BF319A" w:rsidRPr="005C33BB" w:rsidRDefault="00BF319A" w:rsidP="00BF319A">
            <w:pPr>
              <w:spacing w:after="0" w:line="240" w:lineRule="auto"/>
              <w:rPr>
                <w:rFonts w:eastAsia="Times New Roman" w:cstheme="minorHAnsi"/>
                <w:color w:val="808080" w:themeColor="background1" w:themeShade="80"/>
                <w:sz w:val="20"/>
                <w:szCs w:val="20"/>
              </w:rPr>
            </w:pPr>
            <w:r w:rsidRPr="005C33BB">
              <w:rPr>
                <w:rFonts w:eastAsia="Times New Roman" w:cstheme="minorHAnsi"/>
                <w:color w:val="808080" w:themeColor="background1" w:themeShade="80"/>
                <w:sz w:val="20"/>
                <w:szCs w:val="20"/>
              </w:rPr>
              <w:t>5. Eliminate the Professional Development Registry</w:t>
            </w:r>
          </w:p>
        </w:tc>
        <w:tc>
          <w:tcPr>
            <w:tcW w:w="873"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97%</w:t>
            </w:r>
          </w:p>
        </w:tc>
        <w:tc>
          <w:tcPr>
            <w:tcW w:w="1005"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3%</w:t>
            </w:r>
          </w:p>
        </w:tc>
      </w:tr>
      <w:tr w:rsidR="00BF319A" w:rsidRPr="00BF319A" w:rsidTr="00000762">
        <w:trPr>
          <w:trHeight w:val="255"/>
        </w:trPr>
        <w:tc>
          <w:tcPr>
            <w:tcW w:w="7604"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p>
        </w:tc>
        <w:tc>
          <w:tcPr>
            <w:tcW w:w="873"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color w:val="00B050"/>
                <w:sz w:val="20"/>
                <w:szCs w:val="20"/>
              </w:rPr>
            </w:pPr>
          </w:p>
        </w:tc>
        <w:tc>
          <w:tcPr>
            <w:tcW w:w="1005"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r>
      <w:tr w:rsidR="00BF319A" w:rsidRPr="00BF319A" w:rsidTr="00000762">
        <w:trPr>
          <w:trHeight w:val="360"/>
        </w:trPr>
        <w:tc>
          <w:tcPr>
            <w:tcW w:w="7604" w:type="dxa"/>
            <w:tcBorders>
              <w:top w:val="nil"/>
              <w:left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b/>
                <w:bCs/>
                <w:color w:val="333333"/>
                <w:sz w:val="28"/>
                <w:szCs w:val="28"/>
              </w:rPr>
            </w:pPr>
            <w:r w:rsidRPr="00BF319A">
              <w:rPr>
                <w:rFonts w:eastAsia="Times New Roman" w:cstheme="minorHAnsi"/>
                <w:b/>
                <w:bCs/>
                <w:color w:val="333333"/>
                <w:sz w:val="28"/>
                <w:szCs w:val="28"/>
              </w:rPr>
              <w:t>Administrator</w:t>
            </w:r>
          </w:p>
        </w:tc>
        <w:tc>
          <w:tcPr>
            <w:tcW w:w="873" w:type="dxa"/>
            <w:tcBorders>
              <w:top w:val="nil"/>
              <w:left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color w:val="00B050"/>
                <w:sz w:val="20"/>
                <w:szCs w:val="20"/>
              </w:rPr>
            </w:pPr>
          </w:p>
        </w:tc>
        <w:tc>
          <w:tcPr>
            <w:tcW w:w="1005" w:type="dxa"/>
            <w:tcBorders>
              <w:top w:val="nil"/>
              <w:left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r>
      <w:tr w:rsidR="00BF319A" w:rsidRPr="00BF319A" w:rsidTr="00000762">
        <w:trPr>
          <w:trHeight w:val="255"/>
        </w:trPr>
        <w:tc>
          <w:tcPr>
            <w:tcW w:w="7604"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1. Do not refer back to teacher level reciprocity in the regulations.</w:t>
            </w:r>
          </w:p>
        </w:tc>
        <w:tc>
          <w:tcPr>
            <w:tcW w:w="873"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94%</w:t>
            </w:r>
          </w:p>
        </w:tc>
        <w:tc>
          <w:tcPr>
            <w:tcW w:w="1005"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6%</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2. Do not require PAL for out-of-state administrator licensure candidates with at least one year of employment.</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80%</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20%</w:t>
            </w:r>
          </w:p>
        </w:tc>
      </w:tr>
      <w:tr w:rsidR="00BF319A" w:rsidRPr="00BF319A" w:rsidTr="00000762">
        <w:trPr>
          <w:trHeight w:val="255"/>
        </w:trPr>
        <w:tc>
          <w:tcPr>
            <w:tcW w:w="7604"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lastRenderedPageBreak/>
              <w:t xml:space="preserve">3. Convert the three principal licenses (PK-6, 5-8, </w:t>
            </w:r>
            <w:proofErr w:type="gramStart"/>
            <w:r w:rsidRPr="00BF319A">
              <w:rPr>
                <w:rFonts w:eastAsia="Times New Roman" w:cstheme="minorHAnsi"/>
                <w:sz w:val="20"/>
                <w:szCs w:val="20"/>
              </w:rPr>
              <w:t>9</w:t>
            </w:r>
            <w:proofErr w:type="gramEnd"/>
            <w:r w:rsidRPr="00BF319A">
              <w:rPr>
                <w:rFonts w:eastAsia="Times New Roman" w:cstheme="minorHAnsi"/>
                <w:sz w:val="20"/>
                <w:szCs w:val="20"/>
              </w:rPr>
              <w:t>-12) into two (PK-8, 5-12).</w:t>
            </w:r>
          </w:p>
        </w:tc>
        <w:tc>
          <w:tcPr>
            <w:tcW w:w="873"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89%</w:t>
            </w:r>
          </w:p>
        </w:tc>
        <w:tc>
          <w:tcPr>
            <w:tcW w:w="1005"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11%</w:t>
            </w:r>
          </w:p>
        </w:tc>
      </w:tr>
      <w:tr w:rsidR="00BF319A" w:rsidRPr="00BF319A" w:rsidTr="00000762">
        <w:trPr>
          <w:trHeight w:val="255"/>
        </w:trPr>
        <w:tc>
          <w:tcPr>
            <w:tcW w:w="7604"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p>
        </w:tc>
        <w:tc>
          <w:tcPr>
            <w:tcW w:w="873"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color w:val="00B050"/>
                <w:sz w:val="20"/>
                <w:szCs w:val="20"/>
              </w:rPr>
            </w:pPr>
          </w:p>
        </w:tc>
        <w:tc>
          <w:tcPr>
            <w:tcW w:w="1005" w:type="dxa"/>
            <w:tcBorders>
              <w:top w:val="nil"/>
              <w:left w:val="nil"/>
              <w:bottom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r>
      <w:tr w:rsidR="00BF319A" w:rsidRPr="00BF319A" w:rsidTr="00000762">
        <w:trPr>
          <w:trHeight w:val="360"/>
        </w:trPr>
        <w:tc>
          <w:tcPr>
            <w:tcW w:w="7604" w:type="dxa"/>
            <w:tcBorders>
              <w:top w:val="nil"/>
              <w:left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b/>
                <w:bCs/>
                <w:color w:val="333333"/>
                <w:sz w:val="28"/>
                <w:szCs w:val="28"/>
              </w:rPr>
            </w:pPr>
            <w:r w:rsidRPr="00BF319A">
              <w:rPr>
                <w:rFonts w:eastAsia="Times New Roman" w:cstheme="minorHAnsi"/>
                <w:b/>
                <w:bCs/>
                <w:color w:val="333333"/>
                <w:sz w:val="28"/>
                <w:szCs w:val="28"/>
              </w:rPr>
              <w:t>Miscellaneous</w:t>
            </w:r>
          </w:p>
        </w:tc>
        <w:tc>
          <w:tcPr>
            <w:tcW w:w="873" w:type="dxa"/>
            <w:tcBorders>
              <w:top w:val="nil"/>
              <w:left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color w:val="00B050"/>
                <w:sz w:val="20"/>
                <w:szCs w:val="20"/>
              </w:rPr>
            </w:pPr>
          </w:p>
        </w:tc>
        <w:tc>
          <w:tcPr>
            <w:tcW w:w="1005" w:type="dxa"/>
            <w:tcBorders>
              <w:top w:val="nil"/>
              <w:left w:val="nil"/>
              <w:right w:val="nil"/>
            </w:tcBorders>
            <w:shd w:val="clear" w:color="auto" w:fill="auto"/>
            <w:noWrap/>
            <w:vAlign w:val="bottom"/>
            <w:hideMark/>
          </w:tcPr>
          <w:p w:rsidR="00BF319A" w:rsidRPr="00BF319A" w:rsidRDefault="00BF319A" w:rsidP="00BF319A">
            <w:pPr>
              <w:spacing w:after="0" w:line="240" w:lineRule="auto"/>
              <w:jc w:val="center"/>
              <w:rPr>
                <w:rFonts w:eastAsia="Times New Roman" w:cstheme="minorHAnsi"/>
                <w:b/>
                <w:sz w:val="20"/>
                <w:szCs w:val="20"/>
              </w:rPr>
            </w:pPr>
          </w:p>
        </w:tc>
      </w:tr>
      <w:tr w:rsidR="00BF319A" w:rsidRPr="00BF319A" w:rsidTr="00000762">
        <w:trPr>
          <w:trHeight w:val="255"/>
        </w:trPr>
        <w:tc>
          <w:tcPr>
            <w:tcW w:w="7604"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1. Change “guidance cou</w:t>
            </w:r>
            <w:r>
              <w:rPr>
                <w:rFonts w:eastAsia="Times New Roman" w:cstheme="minorHAnsi"/>
                <w:sz w:val="20"/>
                <w:szCs w:val="20"/>
              </w:rPr>
              <w:t>nselor” to “school counselor.”</w:t>
            </w:r>
            <w:r w:rsidRPr="00BF319A">
              <w:rPr>
                <w:rFonts w:eastAsia="Times New Roman" w:cstheme="minorHAnsi"/>
                <w:sz w:val="20"/>
                <w:szCs w:val="20"/>
              </w:rPr>
              <w:t xml:space="preserve"> </w:t>
            </w:r>
          </w:p>
        </w:tc>
        <w:tc>
          <w:tcPr>
            <w:tcW w:w="873"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96%</w:t>
            </w:r>
          </w:p>
        </w:tc>
        <w:tc>
          <w:tcPr>
            <w:tcW w:w="1005" w:type="dxa"/>
            <w:tcBorders>
              <w:top w:val="nil"/>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4%</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2. When learning standards are modified by the Board of ESE, Subject Matter Knowledge Requirements (SMKs) would be taken out of the regulations and would be revised as guidance to reflect the new learning standards. The SMKs would still be subject to a public comment process.</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97%</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3%</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3. Where they exist for teachers, combine grade levels 5-8 &amp; 8-12 into 5-12.</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87%</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13%</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4. Eliminate requirements for completion of additional seminars or courses beyond the Subject Matter Knowledge Requirements (SMKs) for some preliminary licenses like Elementary and Early Childhood. Examples of additional seminars or courses include the teaching of reading, math, and English.</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92%</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8%</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 xml:space="preserve">5. Outline more explicitly the expectations for pre-practicum experiences through language </w:t>
            </w:r>
            <w:r>
              <w:rPr>
                <w:rFonts w:eastAsia="Times New Roman" w:cstheme="minorHAnsi"/>
                <w:sz w:val="20"/>
                <w:szCs w:val="20"/>
              </w:rPr>
              <w:t>in regulations and guidelines.</w:t>
            </w:r>
            <w:r w:rsidRPr="00BF319A">
              <w:rPr>
                <w:rFonts w:eastAsia="Times New Roman" w:cstheme="minorHAnsi"/>
                <w:sz w:val="20"/>
                <w:szCs w:val="20"/>
              </w:rPr>
              <w:t xml:space="preserve"> </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95%</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5%</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6. Eliminate the current regulations for Supervisor of Attendance (603 CMR 13.00); update them and</w:t>
            </w:r>
            <w:r>
              <w:rPr>
                <w:rFonts w:eastAsia="Times New Roman" w:cstheme="minorHAnsi"/>
                <w:sz w:val="20"/>
                <w:szCs w:val="20"/>
              </w:rPr>
              <w:t xml:space="preserve"> include them in 603 CMR 7.00.</w:t>
            </w:r>
            <w:r w:rsidRPr="00BF319A">
              <w:rPr>
                <w:rFonts w:eastAsia="Times New Roman" w:cstheme="minorHAnsi"/>
                <w:sz w:val="20"/>
                <w:szCs w:val="20"/>
              </w:rPr>
              <w:t xml:space="preserve"> </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97%</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3%</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7. Update Early Childhood (PreK-2) license language to eliminate the inclusion of the words “with and with</w:t>
            </w:r>
            <w:r>
              <w:rPr>
                <w:rFonts w:eastAsia="Times New Roman" w:cstheme="minorHAnsi"/>
                <w:sz w:val="20"/>
                <w:szCs w:val="20"/>
              </w:rPr>
              <w:t>out disabilities” in the name.</w:t>
            </w:r>
            <w:r w:rsidRPr="00BF319A">
              <w:rPr>
                <w:rFonts w:eastAsia="Times New Roman" w:cstheme="minorHAnsi"/>
                <w:sz w:val="20"/>
                <w:szCs w:val="20"/>
              </w:rPr>
              <w:t xml:space="preserve"> </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96%</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4%</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8. Eliminate the 18 credit requirement for core supervisor/director license, but possession of an initial or profession</w:t>
            </w:r>
            <w:r>
              <w:rPr>
                <w:rFonts w:eastAsia="Times New Roman" w:cstheme="minorHAnsi"/>
                <w:sz w:val="20"/>
                <w:szCs w:val="20"/>
              </w:rPr>
              <w:t>al license would be required.</w:t>
            </w:r>
            <w:r w:rsidRPr="00BF319A">
              <w:rPr>
                <w:rFonts w:eastAsia="Times New Roman" w:cstheme="minorHAnsi"/>
                <w:sz w:val="20"/>
                <w:szCs w:val="20"/>
              </w:rPr>
              <w:t xml:space="preserve"> </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91%</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9%</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9. Move Academically Advanced from a Special</w:t>
            </w:r>
            <w:r>
              <w:rPr>
                <w:rFonts w:eastAsia="Times New Roman" w:cstheme="minorHAnsi"/>
                <w:sz w:val="20"/>
                <w:szCs w:val="20"/>
              </w:rPr>
              <w:t>ist License to an endorsement.</w:t>
            </w:r>
            <w:r w:rsidRPr="00BF319A">
              <w:rPr>
                <w:rFonts w:eastAsia="Times New Roman" w:cstheme="minorHAnsi"/>
                <w:sz w:val="20"/>
                <w:szCs w:val="20"/>
              </w:rPr>
              <w:t xml:space="preserve"> </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98%</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2%</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10. Rename the political science/political philosoph</w:t>
            </w:r>
            <w:r>
              <w:rPr>
                <w:rFonts w:eastAsia="Times New Roman" w:cstheme="minorHAnsi"/>
                <w:sz w:val="20"/>
                <w:szCs w:val="20"/>
              </w:rPr>
              <w:t>y license to "social sciences".</w:t>
            </w:r>
            <w:r w:rsidRPr="00BF319A">
              <w:rPr>
                <w:rFonts w:eastAsia="Times New Roman" w:cstheme="minorHAnsi"/>
                <w:sz w:val="20"/>
                <w:szCs w:val="20"/>
              </w:rPr>
              <w:t xml:space="preserve"> </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96%</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4%</w:t>
            </w:r>
          </w:p>
        </w:tc>
      </w:tr>
      <w:tr w:rsidR="00BF319A" w:rsidRPr="00BF319A" w:rsidTr="00000762">
        <w:trPr>
          <w:trHeight w:val="255"/>
        </w:trPr>
        <w:tc>
          <w:tcPr>
            <w:tcW w:w="760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11. Develop a new computer science license while eliminating or merging the existing inst</w:t>
            </w:r>
            <w:r>
              <w:rPr>
                <w:rFonts w:eastAsia="Times New Roman" w:cstheme="minorHAnsi"/>
                <w:sz w:val="20"/>
                <w:szCs w:val="20"/>
              </w:rPr>
              <w:t>ructional technology license.</w:t>
            </w:r>
            <w:r w:rsidRPr="00BF319A">
              <w:rPr>
                <w:rFonts w:eastAsia="Times New Roman" w:cstheme="minorHAnsi"/>
                <w:sz w:val="20"/>
                <w:szCs w:val="20"/>
              </w:rPr>
              <w:t xml:space="preserve"> </w:t>
            </w:r>
          </w:p>
        </w:tc>
        <w:tc>
          <w:tcPr>
            <w:tcW w:w="87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87%</w:t>
            </w:r>
          </w:p>
        </w:tc>
        <w:tc>
          <w:tcPr>
            <w:tcW w:w="1005"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13%</w:t>
            </w:r>
          </w:p>
        </w:tc>
      </w:tr>
      <w:tr w:rsidR="00BF319A" w:rsidRPr="00BF319A" w:rsidTr="00000762">
        <w:trPr>
          <w:trHeight w:val="255"/>
        </w:trPr>
        <w:tc>
          <w:tcPr>
            <w:tcW w:w="7604"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rPr>
                <w:rFonts w:eastAsia="Times New Roman" w:cstheme="minorHAnsi"/>
                <w:sz w:val="20"/>
                <w:szCs w:val="20"/>
              </w:rPr>
            </w:pPr>
            <w:r w:rsidRPr="00BF319A">
              <w:rPr>
                <w:rFonts w:eastAsia="Times New Roman" w:cstheme="minorHAnsi"/>
                <w:sz w:val="20"/>
                <w:szCs w:val="20"/>
              </w:rPr>
              <w:t xml:space="preserve">12.  Standardize some of the routes used in the Commissioner’s Determination and Reconsideration, especially </w:t>
            </w:r>
            <w:r>
              <w:rPr>
                <w:rFonts w:eastAsia="Times New Roman" w:cstheme="minorHAnsi"/>
                <w:sz w:val="20"/>
                <w:szCs w:val="20"/>
              </w:rPr>
              <w:t>for out-of-country candidates.</w:t>
            </w:r>
            <w:r w:rsidRPr="00BF319A">
              <w:rPr>
                <w:rFonts w:eastAsia="Times New Roman" w:cstheme="minorHAnsi"/>
                <w:sz w:val="20"/>
                <w:szCs w:val="20"/>
              </w:rPr>
              <w:t xml:space="preserve"> </w:t>
            </w:r>
          </w:p>
        </w:tc>
        <w:tc>
          <w:tcPr>
            <w:tcW w:w="873"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color w:val="00B050"/>
                <w:sz w:val="20"/>
                <w:szCs w:val="20"/>
              </w:rPr>
            </w:pPr>
            <w:r w:rsidRPr="00BF319A">
              <w:rPr>
                <w:rFonts w:eastAsia="Times New Roman" w:cstheme="minorHAnsi"/>
                <w:b/>
                <w:color w:val="00B050"/>
                <w:sz w:val="20"/>
                <w:szCs w:val="20"/>
              </w:rPr>
              <w:t>95%</w:t>
            </w:r>
          </w:p>
        </w:tc>
        <w:tc>
          <w:tcPr>
            <w:tcW w:w="1005" w:type="dxa"/>
            <w:tcBorders>
              <w:top w:val="single" w:sz="4" w:space="0" w:color="BFBFBF" w:themeColor="background1" w:themeShade="BF"/>
              <w:left w:val="nil"/>
              <w:bottom w:val="nil"/>
              <w:right w:val="nil"/>
            </w:tcBorders>
            <w:shd w:val="clear" w:color="auto" w:fill="auto"/>
            <w:noWrap/>
            <w:vAlign w:val="bottom"/>
            <w:hideMark/>
          </w:tcPr>
          <w:p w:rsidR="00BF319A" w:rsidRPr="00BF319A" w:rsidRDefault="00BF319A" w:rsidP="00BF319A">
            <w:pPr>
              <w:spacing w:after="0" w:line="240" w:lineRule="auto"/>
              <w:jc w:val="right"/>
              <w:rPr>
                <w:rFonts w:eastAsia="Times New Roman" w:cstheme="minorHAnsi"/>
                <w:b/>
                <w:sz w:val="20"/>
                <w:szCs w:val="20"/>
              </w:rPr>
            </w:pPr>
            <w:r w:rsidRPr="00BF319A">
              <w:rPr>
                <w:rFonts w:eastAsia="Times New Roman" w:cstheme="minorHAnsi"/>
                <w:b/>
                <w:sz w:val="20"/>
                <w:szCs w:val="20"/>
              </w:rPr>
              <w:t>5%</w:t>
            </w:r>
          </w:p>
        </w:tc>
      </w:tr>
    </w:tbl>
    <w:p w:rsidR="00A95B17" w:rsidRDefault="00A95B17" w:rsidP="005C33BB">
      <w:pPr>
        <w:spacing w:after="0"/>
        <w:rPr>
          <w:rFonts w:cstheme="minorHAnsi"/>
        </w:rPr>
      </w:pPr>
    </w:p>
    <w:p w:rsidR="005C33BB" w:rsidRDefault="005C33BB" w:rsidP="005C33BB">
      <w:pPr>
        <w:spacing w:after="0" w:line="240" w:lineRule="auto"/>
        <w:rPr>
          <w:rFonts w:eastAsia="Times New Roman" w:cstheme="minorHAnsi"/>
          <w:b/>
          <w:bCs/>
          <w:color w:val="333333"/>
          <w:sz w:val="28"/>
          <w:szCs w:val="28"/>
        </w:rPr>
      </w:pPr>
      <w:r>
        <w:rPr>
          <w:rFonts w:eastAsia="Times New Roman" w:cstheme="minorHAnsi"/>
          <w:b/>
          <w:bCs/>
          <w:color w:val="333333"/>
          <w:sz w:val="28"/>
          <w:szCs w:val="28"/>
        </w:rPr>
        <w:t>Change the name of the Preliminary License</w:t>
      </w:r>
    </w:p>
    <w:p w:rsidR="005C33BB" w:rsidRPr="00000762" w:rsidRDefault="005C33BB" w:rsidP="005C33BB">
      <w:pPr>
        <w:spacing w:after="0" w:line="240" w:lineRule="auto"/>
        <w:rPr>
          <w:rFonts w:cstheme="minorHAnsi"/>
          <w:sz w:val="20"/>
          <w:szCs w:val="20"/>
        </w:rPr>
      </w:pPr>
      <w:r w:rsidRPr="00000762">
        <w:rPr>
          <w:rFonts w:cstheme="minorHAnsi"/>
          <w:sz w:val="20"/>
          <w:szCs w:val="20"/>
        </w:rPr>
        <w:t xml:space="preserve">Respondents were asked to rank their preferred name. These were the </w:t>
      </w:r>
      <w:r w:rsidR="00000762">
        <w:rPr>
          <w:rFonts w:cstheme="minorHAnsi"/>
          <w:sz w:val="20"/>
          <w:szCs w:val="20"/>
        </w:rPr>
        <w:t xml:space="preserve">final </w:t>
      </w:r>
      <w:r w:rsidRPr="00000762">
        <w:rPr>
          <w:rFonts w:cstheme="minorHAnsi"/>
          <w:sz w:val="20"/>
          <w:szCs w:val="20"/>
        </w:rPr>
        <w:t>results, in order:</w:t>
      </w:r>
    </w:p>
    <w:tbl>
      <w:tblPr>
        <w:tblStyle w:val="LightShading"/>
        <w:tblW w:w="0" w:type="auto"/>
        <w:tblLook w:val="04A0"/>
      </w:tblPr>
      <w:tblGrid>
        <w:gridCol w:w="378"/>
        <w:gridCol w:w="4482"/>
      </w:tblGrid>
      <w:tr w:rsidR="005C33BB" w:rsidRPr="00000762" w:rsidTr="005C33BB">
        <w:trPr>
          <w:cnfStyle w:val="100000000000"/>
          <w:trHeight w:val="255"/>
        </w:trPr>
        <w:tc>
          <w:tcPr>
            <w:cnfStyle w:val="001000000000"/>
            <w:tcW w:w="378" w:type="dxa"/>
            <w:tcBorders>
              <w:bottom w:val="nil"/>
            </w:tcBorders>
            <w:shd w:val="clear" w:color="auto" w:fill="auto"/>
            <w:noWrap/>
            <w:hideMark/>
          </w:tcPr>
          <w:p w:rsidR="005C33BB" w:rsidRPr="00000762" w:rsidRDefault="005C33BB" w:rsidP="005C33BB">
            <w:pPr>
              <w:rPr>
                <w:rFonts w:cstheme="minorHAnsi"/>
                <w:sz w:val="20"/>
                <w:szCs w:val="20"/>
              </w:rPr>
            </w:pPr>
            <w:r w:rsidRPr="00000762">
              <w:rPr>
                <w:rFonts w:cstheme="minorHAnsi"/>
                <w:sz w:val="20"/>
                <w:szCs w:val="20"/>
              </w:rPr>
              <w:t>1</w:t>
            </w:r>
          </w:p>
        </w:tc>
        <w:tc>
          <w:tcPr>
            <w:tcW w:w="4482" w:type="dxa"/>
            <w:tcBorders>
              <w:bottom w:val="nil"/>
            </w:tcBorders>
            <w:shd w:val="clear" w:color="auto" w:fill="auto"/>
            <w:noWrap/>
            <w:hideMark/>
          </w:tcPr>
          <w:p w:rsidR="005C33BB" w:rsidRPr="00000762" w:rsidRDefault="005C33BB" w:rsidP="005C33BB">
            <w:pPr>
              <w:cnfStyle w:val="100000000000"/>
              <w:rPr>
                <w:rFonts w:cstheme="minorHAnsi"/>
                <w:sz w:val="20"/>
                <w:szCs w:val="20"/>
              </w:rPr>
            </w:pPr>
            <w:r w:rsidRPr="00000762">
              <w:rPr>
                <w:rFonts w:cstheme="minorHAnsi"/>
                <w:sz w:val="20"/>
                <w:szCs w:val="20"/>
              </w:rPr>
              <w:t xml:space="preserve">Provisional </w:t>
            </w:r>
          </w:p>
        </w:tc>
      </w:tr>
      <w:tr w:rsidR="005C33BB" w:rsidRPr="00000762" w:rsidTr="005C33BB">
        <w:trPr>
          <w:cnfStyle w:val="000000100000"/>
          <w:trHeight w:val="255"/>
        </w:trPr>
        <w:tc>
          <w:tcPr>
            <w:cnfStyle w:val="001000000000"/>
            <w:tcW w:w="378" w:type="dxa"/>
            <w:tcBorders>
              <w:top w:val="nil"/>
            </w:tcBorders>
            <w:shd w:val="clear" w:color="auto" w:fill="auto"/>
            <w:noWrap/>
            <w:hideMark/>
          </w:tcPr>
          <w:p w:rsidR="005C33BB" w:rsidRPr="00000762" w:rsidRDefault="005C33BB" w:rsidP="005C33BB">
            <w:pPr>
              <w:rPr>
                <w:rFonts w:cstheme="minorHAnsi"/>
                <w:b w:val="0"/>
                <w:sz w:val="20"/>
                <w:szCs w:val="20"/>
              </w:rPr>
            </w:pPr>
            <w:r w:rsidRPr="00000762">
              <w:rPr>
                <w:rFonts w:cstheme="minorHAnsi"/>
                <w:b w:val="0"/>
                <w:sz w:val="20"/>
                <w:szCs w:val="20"/>
              </w:rPr>
              <w:t>2</w:t>
            </w:r>
          </w:p>
        </w:tc>
        <w:tc>
          <w:tcPr>
            <w:tcW w:w="4482" w:type="dxa"/>
            <w:tcBorders>
              <w:top w:val="nil"/>
            </w:tcBorders>
            <w:shd w:val="clear" w:color="auto" w:fill="auto"/>
            <w:noWrap/>
            <w:hideMark/>
          </w:tcPr>
          <w:p w:rsidR="005C33BB" w:rsidRPr="00000762" w:rsidRDefault="005C33BB" w:rsidP="005C33BB">
            <w:pPr>
              <w:cnfStyle w:val="000000100000"/>
              <w:rPr>
                <w:rFonts w:cstheme="minorHAnsi"/>
                <w:sz w:val="20"/>
                <w:szCs w:val="20"/>
              </w:rPr>
            </w:pPr>
            <w:r w:rsidRPr="00000762">
              <w:rPr>
                <w:rFonts w:cstheme="minorHAnsi"/>
                <w:sz w:val="20"/>
                <w:szCs w:val="20"/>
              </w:rPr>
              <w:t xml:space="preserve">5-year Teaching Permit </w:t>
            </w:r>
          </w:p>
        </w:tc>
      </w:tr>
      <w:tr w:rsidR="005C33BB" w:rsidRPr="00000762" w:rsidTr="005C33BB">
        <w:trPr>
          <w:trHeight w:val="255"/>
        </w:trPr>
        <w:tc>
          <w:tcPr>
            <w:cnfStyle w:val="001000000000"/>
            <w:tcW w:w="378" w:type="dxa"/>
            <w:shd w:val="clear" w:color="auto" w:fill="auto"/>
            <w:noWrap/>
            <w:hideMark/>
          </w:tcPr>
          <w:p w:rsidR="005C33BB" w:rsidRPr="00000762" w:rsidRDefault="005C33BB" w:rsidP="005C33BB">
            <w:pPr>
              <w:rPr>
                <w:rFonts w:cstheme="minorHAnsi"/>
                <w:b w:val="0"/>
                <w:sz w:val="20"/>
                <w:szCs w:val="20"/>
              </w:rPr>
            </w:pPr>
            <w:r w:rsidRPr="00000762">
              <w:rPr>
                <w:rFonts w:cstheme="minorHAnsi"/>
                <w:b w:val="0"/>
                <w:sz w:val="20"/>
                <w:szCs w:val="20"/>
              </w:rPr>
              <w:t>3</w:t>
            </w:r>
          </w:p>
        </w:tc>
        <w:tc>
          <w:tcPr>
            <w:tcW w:w="4482" w:type="dxa"/>
            <w:shd w:val="clear" w:color="auto" w:fill="auto"/>
            <w:noWrap/>
            <w:hideMark/>
          </w:tcPr>
          <w:p w:rsidR="005C33BB" w:rsidRPr="00000762" w:rsidRDefault="005C33BB" w:rsidP="005C33BB">
            <w:pPr>
              <w:cnfStyle w:val="000000000000"/>
              <w:rPr>
                <w:rFonts w:cstheme="minorHAnsi"/>
                <w:sz w:val="20"/>
                <w:szCs w:val="20"/>
              </w:rPr>
            </w:pPr>
            <w:r w:rsidRPr="00000762">
              <w:rPr>
                <w:rFonts w:cstheme="minorHAnsi"/>
                <w:sz w:val="20"/>
                <w:szCs w:val="20"/>
              </w:rPr>
              <w:t xml:space="preserve">Teaching Permit </w:t>
            </w:r>
          </w:p>
        </w:tc>
      </w:tr>
      <w:tr w:rsidR="005C33BB" w:rsidRPr="00000762" w:rsidTr="005C33BB">
        <w:trPr>
          <w:cnfStyle w:val="000000100000"/>
          <w:trHeight w:val="255"/>
        </w:trPr>
        <w:tc>
          <w:tcPr>
            <w:cnfStyle w:val="001000000000"/>
            <w:tcW w:w="378" w:type="dxa"/>
            <w:shd w:val="clear" w:color="auto" w:fill="auto"/>
            <w:noWrap/>
            <w:hideMark/>
          </w:tcPr>
          <w:p w:rsidR="005C33BB" w:rsidRPr="00000762" w:rsidRDefault="005C33BB" w:rsidP="005C33BB">
            <w:pPr>
              <w:rPr>
                <w:rFonts w:cstheme="minorHAnsi"/>
                <w:b w:val="0"/>
                <w:sz w:val="20"/>
                <w:szCs w:val="20"/>
              </w:rPr>
            </w:pPr>
            <w:r w:rsidRPr="00000762">
              <w:rPr>
                <w:rFonts w:cstheme="minorHAnsi"/>
                <w:b w:val="0"/>
                <w:sz w:val="20"/>
                <w:szCs w:val="20"/>
              </w:rPr>
              <w:t>4</w:t>
            </w:r>
          </w:p>
        </w:tc>
        <w:tc>
          <w:tcPr>
            <w:tcW w:w="4482" w:type="dxa"/>
            <w:shd w:val="clear" w:color="auto" w:fill="auto"/>
            <w:noWrap/>
            <w:hideMark/>
          </w:tcPr>
          <w:p w:rsidR="005C33BB" w:rsidRPr="00000762" w:rsidRDefault="005C33BB" w:rsidP="005C33BB">
            <w:pPr>
              <w:cnfStyle w:val="000000100000"/>
              <w:rPr>
                <w:rFonts w:cstheme="minorHAnsi"/>
                <w:sz w:val="20"/>
                <w:szCs w:val="20"/>
              </w:rPr>
            </w:pPr>
            <w:r w:rsidRPr="00000762">
              <w:rPr>
                <w:rFonts w:cstheme="minorHAnsi"/>
                <w:sz w:val="20"/>
                <w:szCs w:val="20"/>
              </w:rPr>
              <w:t xml:space="preserve">Apprentice </w:t>
            </w:r>
          </w:p>
        </w:tc>
      </w:tr>
      <w:tr w:rsidR="005C33BB" w:rsidRPr="00000762" w:rsidTr="005C33BB">
        <w:trPr>
          <w:trHeight w:val="255"/>
        </w:trPr>
        <w:tc>
          <w:tcPr>
            <w:cnfStyle w:val="001000000000"/>
            <w:tcW w:w="378" w:type="dxa"/>
            <w:shd w:val="clear" w:color="auto" w:fill="auto"/>
            <w:noWrap/>
            <w:hideMark/>
          </w:tcPr>
          <w:p w:rsidR="005C33BB" w:rsidRPr="00000762" w:rsidRDefault="005C33BB" w:rsidP="005C33BB">
            <w:pPr>
              <w:rPr>
                <w:rFonts w:cstheme="minorHAnsi"/>
                <w:b w:val="0"/>
                <w:sz w:val="20"/>
                <w:szCs w:val="20"/>
              </w:rPr>
            </w:pPr>
            <w:r w:rsidRPr="00000762">
              <w:rPr>
                <w:rFonts w:cstheme="minorHAnsi"/>
                <w:b w:val="0"/>
                <w:sz w:val="20"/>
                <w:szCs w:val="20"/>
              </w:rPr>
              <w:t>5</w:t>
            </w:r>
          </w:p>
        </w:tc>
        <w:tc>
          <w:tcPr>
            <w:tcW w:w="4482" w:type="dxa"/>
            <w:shd w:val="clear" w:color="auto" w:fill="auto"/>
            <w:noWrap/>
            <w:hideMark/>
          </w:tcPr>
          <w:p w:rsidR="005C33BB" w:rsidRPr="00000762" w:rsidRDefault="005C33BB" w:rsidP="005C33BB">
            <w:pPr>
              <w:cnfStyle w:val="000000000000"/>
              <w:rPr>
                <w:rFonts w:cstheme="minorHAnsi"/>
                <w:sz w:val="20"/>
                <w:szCs w:val="20"/>
              </w:rPr>
            </w:pPr>
            <w:r w:rsidRPr="00000762">
              <w:rPr>
                <w:rFonts w:cstheme="minorHAnsi"/>
                <w:sz w:val="20"/>
                <w:szCs w:val="20"/>
              </w:rPr>
              <w:t xml:space="preserve">Don't change the name. Keep "preliminary." </w:t>
            </w:r>
          </w:p>
        </w:tc>
      </w:tr>
      <w:tr w:rsidR="005C33BB" w:rsidRPr="00000762" w:rsidTr="005C33BB">
        <w:trPr>
          <w:cnfStyle w:val="000000100000"/>
          <w:trHeight w:val="255"/>
        </w:trPr>
        <w:tc>
          <w:tcPr>
            <w:cnfStyle w:val="001000000000"/>
            <w:tcW w:w="378" w:type="dxa"/>
            <w:shd w:val="clear" w:color="auto" w:fill="auto"/>
            <w:noWrap/>
            <w:hideMark/>
          </w:tcPr>
          <w:p w:rsidR="005C33BB" w:rsidRPr="00000762" w:rsidRDefault="005C33BB" w:rsidP="005C33BB">
            <w:pPr>
              <w:rPr>
                <w:rFonts w:cstheme="minorHAnsi"/>
                <w:b w:val="0"/>
                <w:sz w:val="20"/>
                <w:szCs w:val="20"/>
              </w:rPr>
            </w:pPr>
            <w:r w:rsidRPr="00000762">
              <w:rPr>
                <w:rFonts w:cstheme="minorHAnsi"/>
                <w:b w:val="0"/>
                <w:sz w:val="20"/>
                <w:szCs w:val="20"/>
              </w:rPr>
              <w:t>6</w:t>
            </w:r>
          </w:p>
        </w:tc>
        <w:tc>
          <w:tcPr>
            <w:tcW w:w="4482" w:type="dxa"/>
            <w:shd w:val="clear" w:color="auto" w:fill="auto"/>
            <w:noWrap/>
            <w:hideMark/>
          </w:tcPr>
          <w:p w:rsidR="005C33BB" w:rsidRPr="00000762" w:rsidRDefault="005C33BB" w:rsidP="005C33BB">
            <w:pPr>
              <w:cnfStyle w:val="000000100000"/>
              <w:rPr>
                <w:rFonts w:cstheme="minorHAnsi"/>
                <w:sz w:val="20"/>
                <w:szCs w:val="20"/>
              </w:rPr>
            </w:pPr>
            <w:r w:rsidRPr="00000762">
              <w:rPr>
                <w:rFonts w:cstheme="minorHAnsi"/>
                <w:sz w:val="20"/>
                <w:szCs w:val="20"/>
              </w:rPr>
              <w:t xml:space="preserve">Practitioner </w:t>
            </w:r>
          </w:p>
        </w:tc>
      </w:tr>
    </w:tbl>
    <w:p w:rsidR="005C33BB" w:rsidRPr="00000762" w:rsidRDefault="005C33BB" w:rsidP="005C33BB">
      <w:pPr>
        <w:spacing w:after="0" w:line="240" w:lineRule="auto"/>
        <w:rPr>
          <w:rFonts w:cstheme="minorHAnsi"/>
          <w:sz w:val="20"/>
          <w:szCs w:val="20"/>
        </w:rPr>
      </w:pPr>
    </w:p>
    <w:p w:rsidR="005C33BB" w:rsidRPr="005C33BB" w:rsidRDefault="005C33BB" w:rsidP="005C33BB">
      <w:pPr>
        <w:spacing w:after="0" w:line="240" w:lineRule="auto"/>
        <w:rPr>
          <w:rFonts w:eastAsia="Times New Roman" w:cstheme="minorHAnsi"/>
          <w:b/>
          <w:bCs/>
          <w:color w:val="333333"/>
          <w:sz w:val="28"/>
          <w:szCs w:val="28"/>
        </w:rPr>
      </w:pPr>
      <w:r>
        <w:rPr>
          <w:rFonts w:eastAsia="Times New Roman" w:cstheme="minorHAnsi"/>
          <w:b/>
          <w:bCs/>
          <w:color w:val="333333"/>
          <w:sz w:val="28"/>
          <w:szCs w:val="28"/>
        </w:rPr>
        <w:t>Open Response</w:t>
      </w:r>
    </w:p>
    <w:p w:rsidR="004004C5" w:rsidRPr="00000762" w:rsidRDefault="005036BD" w:rsidP="003D60A8">
      <w:pPr>
        <w:spacing w:after="0" w:line="240" w:lineRule="auto"/>
        <w:rPr>
          <w:rFonts w:cstheme="minorHAnsi"/>
          <w:sz w:val="20"/>
          <w:szCs w:val="20"/>
        </w:rPr>
      </w:pPr>
      <w:r w:rsidRPr="00000762">
        <w:rPr>
          <w:rFonts w:cstheme="minorHAnsi"/>
          <w:sz w:val="20"/>
          <w:szCs w:val="20"/>
        </w:rPr>
        <w:t xml:space="preserve">An analysis of the open response item, where respondents were asked for any further suggestions they had to streamline the licensure system, revealed a few trends. </w:t>
      </w:r>
      <w:r w:rsidR="003D60A8" w:rsidRPr="00000762">
        <w:rPr>
          <w:rFonts w:cstheme="minorHAnsi"/>
          <w:sz w:val="20"/>
          <w:szCs w:val="20"/>
        </w:rPr>
        <w:t>Of the 240 total comments made, 34 of them urged ESE not to merge the new computer science license with the instructional technology license.</w:t>
      </w:r>
      <w:r w:rsidR="004004C5" w:rsidRPr="00000762">
        <w:rPr>
          <w:rFonts w:cstheme="minorHAnsi"/>
          <w:sz w:val="20"/>
          <w:szCs w:val="20"/>
        </w:rPr>
        <w:t xml:space="preserve"> Generally, the argument respondents made was that computer science</w:t>
      </w:r>
      <w:r w:rsidR="003D60A8" w:rsidRPr="00000762">
        <w:rPr>
          <w:rFonts w:cstheme="minorHAnsi"/>
          <w:sz w:val="20"/>
          <w:szCs w:val="20"/>
        </w:rPr>
        <w:t xml:space="preserve"> is a content field</w:t>
      </w:r>
      <w:r w:rsidR="004004C5" w:rsidRPr="00000762">
        <w:rPr>
          <w:rFonts w:cstheme="minorHAnsi"/>
          <w:sz w:val="20"/>
          <w:szCs w:val="20"/>
        </w:rPr>
        <w:t xml:space="preserve"> in and of itself,</w:t>
      </w:r>
      <w:r w:rsidR="003D60A8" w:rsidRPr="00000762">
        <w:rPr>
          <w:rFonts w:cstheme="minorHAnsi"/>
          <w:sz w:val="20"/>
          <w:szCs w:val="20"/>
        </w:rPr>
        <w:t xml:space="preserve"> while educational technology is focused on teaching with technology</w:t>
      </w:r>
      <w:r w:rsidR="004004C5" w:rsidRPr="00000762">
        <w:rPr>
          <w:rFonts w:cstheme="minorHAnsi"/>
          <w:sz w:val="20"/>
          <w:szCs w:val="20"/>
        </w:rPr>
        <w:t xml:space="preserve"> independent of the content area</w:t>
      </w:r>
      <w:r w:rsidR="003D60A8" w:rsidRPr="00000762">
        <w:rPr>
          <w:rFonts w:cstheme="minorHAnsi"/>
          <w:sz w:val="20"/>
          <w:szCs w:val="20"/>
        </w:rPr>
        <w:t>.</w:t>
      </w:r>
      <w:r w:rsidR="004004C5" w:rsidRPr="00000762">
        <w:rPr>
          <w:rFonts w:cstheme="minorHAnsi"/>
          <w:sz w:val="20"/>
          <w:szCs w:val="20"/>
        </w:rPr>
        <w:t xml:space="preserve"> Over 20 of the comments urged ESE to separate health from family and consumer sciences, though it should be noted</w:t>
      </w:r>
      <w:r w:rsidR="00174A11" w:rsidRPr="00000762">
        <w:rPr>
          <w:rFonts w:cstheme="minorHAnsi"/>
          <w:sz w:val="20"/>
          <w:szCs w:val="20"/>
        </w:rPr>
        <w:t xml:space="preserve"> that </w:t>
      </w:r>
      <w:r w:rsidR="004004C5" w:rsidRPr="00000762">
        <w:rPr>
          <w:rFonts w:cstheme="minorHAnsi"/>
          <w:sz w:val="20"/>
          <w:szCs w:val="20"/>
        </w:rPr>
        <w:t>these comments were verbatim</w:t>
      </w:r>
      <w:r w:rsidR="00174A11" w:rsidRPr="00000762">
        <w:rPr>
          <w:rFonts w:cstheme="minorHAnsi"/>
          <w:sz w:val="20"/>
          <w:szCs w:val="20"/>
        </w:rPr>
        <w:t>, and thus very likely shared and passed around among those respondents</w:t>
      </w:r>
      <w:r w:rsidR="004004C5" w:rsidRPr="00000762">
        <w:rPr>
          <w:rFonts w:cstheme="minorHAnsi"/>
          <w:sz w:val="20"/>
          <w:szCs w:val="20"/>
        </w:rPr>
        <w:t xml:space="preserve">. The </w:t>
      </w:r>
      <w:r w:rsidR="00174A11" w:rsidRPr="00000762">
        <w:rPr>
          <w:rFonts w:cstheme="minorHAnsi"/>
          <w:sz w:val="20"/>
          <w:szCs w:val="20"/>
        </w:rPr>
        <w:t>remainder</w:t>
      </w:r>
      <w:r w:rsidR="004004C5" w:rsidRPr="00000762">
        <w:rPr>
          <w:rFonts w:cstheme="minorHAnsi"/>
          <w:sz w:val="20"/>
          <w:szCs w:val="20"/>
        </w:rPr>
        <w:t xml:space="preserve"> of the </w:t>
      </w:r>
      <w:r w:rsidR="00174A11" w:rsidRPr="00000762">
        <w:rPr>
          <w:rFonts w:cstheme="minorHAnsi"/>
          <w:sz w:val="20"/>
          <w:szCs w:val="20"/>
        </w:rPr>
        <w:t xml:space="preserve">comments </w:t>
      </w:r>
      <w:r w:rsidR="009B696D" w:rsidRPr="00000762">
        <w:rPr>
          <w:rFonts w:cstheme="minorHAnsi"/>
          <w:sz w:val="20"/>
          <w:szCs w:val="20"/>
        </w:rPr>
        <w:t>addressed a variety of topics.</w:t>
      </w:r>
    </w:p>
    <w:sectPr w:rsidR="004004C5" w:rsidRPr="00000762" w:rsidSect="007A444F">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905" w:rsidRDefault="00EC6905" w:rsidP="007A444F">
      <w:pPr>
        <w:spacing w:after="0" w:line="240" w:lineRule="auto"/>
      </w:pPr>
      <w:r>
        <w:separator/>
      </w:r>
    </w:p>
  </w:endnote>
  <w:endnote w:type="continuationSeparator" w:id="0">
    <w:p w:rsidR="00EC6905" w:rsidRDefault="00EC6905" w:rsidP="007A4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4F" w:rsidRDefault="007A44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2822"/>
      <w:docPartObj>
        <w:docPartGallery w:val="Page Numbers (Bottom of Page)"/>
        <w:docPartUnique/>
      </w:docPartObj>
    </w:sdtPr>
    <w:sdtContent>
      <w:p w:rsidR="007A444F" w:rsidRDefault="003673EF">
        <w:pPr>
          <w:pStyle w:val="Footer"/>
          <w:jc w:val="right"/>
        </w:pPr>
        <w:fldSimple w:instr=" PAGE   \* MERGEFORMAT ">
          <w:r w:rsidR="007109DD">
            <w:rPr>
              <w:noProof/>
            </w:rPr>
            <w:t>2</w:t>
          </w:r>
        </w:fldSimple>
      </w:p>
    </w:sdtContent>
  </w:sdt>
  <w:p w:rsidR="007A444F" w:rsidRDefault="007A44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4F" w:rsidRDefault="007A44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905" w:rsidRDefault="00EC6905" w:rsidP="007A444F">
      <w:pPr>
        <w:spacing w:after="0" w:line="240" w:lineRule="auto"/>
      </w:pPr>
      <w:r>
        <w:separator/>
      </w:r>
    </w:p>
  </w:footnote>
  <w:footnote w:type="continuationSeparator" w:id="0">
    <w:p w:rsidR="00EC6905" w:rsidRDefault="00EC6905" w:rsidP="007A44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4F" w:rsidRDefault="007A44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4F" w:rsidRDefault="007A44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4F" w:rsidRDefault="007A44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0E89"/>
    <w:rsid w:val="00000762"/>
    <w:rsid w:val="000212CF"/>
    <w:rsid w:val="00112BB7"/>
    <w:rsid w:val="00116444"/>
    <w:rsid w:val="0016209F"/>
    <w:rsid w:val="00174A11"/>
    <w:rsid w:val="003673EF"/>
    <w:rsid w:val="00391E3B"/>
    <w:rsid w:val="003B67DC"/>
    <w:rsid w:val="003D60A8"/>
    <w:rsid w:val="003E6AEC"/>
    <w:rsid w:val="004004C5"/>
    <w:rsid w:val="00460E89"/>
    <w:rsid w:val="005036BD"/>
    <w:rsid w:val="00593B82"/>
    <w:rsid w:val="005C33BB"/>
    <w:rsid w:val="006F5D17"/>
    <w:rsid w:val="006F7B6F"/>
    <w:rsid w:val="007109DD"/>
    <w:rsid w:val="007A444F"/>
    <w:rsid w:val="009B696D"/>
    <w:rsid w:val="00A95B17"/>
    <w:rsid w:val="00AF26C7"/>
    <w:rsid w:val="00BF319A"/>
    <w:rsid w:val="00C6247B"/>
    <w:rsid w:val="00D40881"/>
    <w:rsid w:val="00D813E8"/>
    <w:rsid w:val="00DA17D9"/>
    <w:rsid w:val="00E03253"/>
    <w:rsid w:val="00EC6905"/>
    <w:rsid w:val="00FA336B"/>
    <w:rsid w:val="00FC2B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C33B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0007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076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7A44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444F"/>
  </w:style>
  <w:style w:type="paragraph" w:styleId="Footer">
    <w:name w:val="footer"/>
    <w:basedOn w:val="Normal"/>
    <w:link w:val="FooterChar"/>
    <w:uiPriority w:val="99"/>
    <w:unhideWhenUsed/>
    <w:rsid w:val="007A4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4F"/>
  </w:style>
</w:styles>
</file>

<file path=word/webSettings.xml><?xml version="1.0" encoding="utf-8"?>
<w:webSettings xmlns:r="http://schemas.openxmlformats.org/officeDocument/2006/relationships" xmlns:w="http://schemas.openxmlformats.org/wordprocessingml/2006/main">
  <w:divs>
    <w:div w:id="632248252">
      <w:bodyDiv w:val="1"/>
      <w:marLeft w:val="0"/>
      <w:marRight w:val="0"/>
      <w:marTop w:val="0"/>
      <w:marBottom w:val="0"/>
      <w:divBdr>
        <w:top w:val="none" w:sz="0" w:space="0" w:color="auto"/>
        <w:left w:val="none" w:sz="0" w:space="0" w:color="auto"/>
        <w:bottom w:val="none" w:sz="0" w:space="0" w:color="auto"/>
        <w:right w:val="none" w:sz="0" w:space="0" w:color="auto"/>
      </w:divBdr>
    </w:div>
    <w:div w:id="1068461780">
      <w:bodyDiv w:val="1"/>
      <w:marLeft w:val="0"/>
      <w:marRight w:val="0"/>
      <w:marTop w:val="0"/>
      <w:marBottom w:val="0"/>
      <w:divBdr>
        <w:top w:val="none" w:sz="0" w:space="0" w:color="auto"/>
        <w:left w:val="none" w:sz="0" w:space="0" w:color="auto"/>
        <w:bottom w:val="none" w:sz="0" w:space="0" w:color="auto"/>
        <w:right w:val="none" w:sz="0" w:space="0" w:color="auto"/>
      </w:divBdr>
    </w:div>
    <w:div w:id="1322542657">
      <w:bodyDiv w:val="1"/>
      <w:marLeft w:val="0"/>
      <w:marRight w:val="0"/>
      <w:marTop w:val="0"/>
      <w:marBottom w:val="0"/>
      <w:divBdr>
        <w:top w:val="none" w:sz="0" w:space="0" w:color="auto"/>
        <w:left w:val="none" w:sz="0" w:space="0" w:color="auto"/>
        <w:bottom w:val="none" w:sz="0" w:space="0" w:color="auto"/>
        <w:right w:val="none" w:sz="0" w:space="0" w:color="auto"/>
      </w:divBdr>
    </w:div>
    <w:div w:id="16540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DESE-231-31456</_dlc_DocId>
    <_dlc_DocIdUrl xmlns="733efe1c-5bbe-4968-87dc-d400e65c879f">
      <Url>https://sharepoint.doemass.org/ese/webteam/cps/_layouts/DocIdRedir.aspx?ID=DESE-231-31456</Url>
      <Description>DESE-231-31456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78353F7-1FA5-4E95-8183-4CE3876700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CD12899-0CFE-4119-9958-FF62B4319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3C259-6844-4FB7-9877-3ED305EF42C1}">
  <ds:schemaRefs>
    <ds:schemaRef ds:uri="http://schemas.microsoft.com/sharepoint/events"/>
  </ds:schemaRefs>
</ds:datastoreItem>
</file>

<file path=customXml/itemProps4.xml><?xml version="1.0" encoding="utf-8"?>
<ds:datastoreItem xmlns:ds="http://schemas.openxmlformats.org/officeDocument/2006/customXml" ds:itemID="{BF6B769E-8D41-4507-B1DC-7B3A1F889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Results of Streamlining Licensure Survey Feb 2017</vt:lpstr>
    </vt:vector>
  </TitlesOfParts>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of Streamlining Licensure Survey Feb 2017</dc:title>
  <dc:creator>ESE</dc:creator>
  <cp:lastModifiedBy>dzou</cp:lastModifiedBy>
  <cp:revision>6</cp:revision>
  <dcterms:created xsi:type="dcterms:W3CDTF">2017-01-12T14:58:00Z</dcterms:created>
  <dcterms:modified xsi:type="dcterms:W3CDTF">2017-02-27T17:00:00Z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