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1C" w:rsidRDefault="00A107A1" w:rsidP="00111C1C">
      <w:pPr>
        <w:spacing w:after="0" w:line="240" w:lineRule="auto"/>
        <w:jc w:val="center"/>
        <w:rPr>
          <w:b/>
        </w:rPr>
      </w:pPr>
      <w:bookmarkStart w:id="0" w:name="OLE_LINK1"/>
      <w:bookmarkStart w:id="1" w:name="OLE_LINK2"/>
      <w:bookmarkStart w:id="2" w:name="_GoBack"/>
      <w:bookmarkEnd w:id="2"/>
      <w:r w:rsidRPr="00111C1C">
        <w:rPr>
          <w:b/>
        </w:rPr>
        <w:t xml:space="preserve">Summary of </w:t>
      </w:r>
      <w:r w:rsidR="00111C1C">
        <w:rPr>
          <w:b/>
        </w:rPr>
        <w:t>m</w:t>
      </w:r>
      <w:r w:rsidRPr="00111C1C">
        <w:rPr>
          <w:b/>
        </w:rPr>
        <w:t xml:space="preserve">ajor </w:t>
      </w:r>
      <w:r w:rsidR="00111C1C">
        <w:rPr>
          <w:b/>
        </w:rPr>
        <w:t>t</w:t>
      </w:r>
      <w:r w:rsidRPr="00111C1C">
        <w:rPr>
          <w:b/>
        </w:rPr>
        <w:t xml:space="preserve">hemes in </w:t>
      </w:r>
      <w:r w:rsidR="00111C1C">
        <w:rPr>
          <w:b/>
        </w:rPr>
        <w:t>r</w:t>
      </w:r>
      <w:r w:rsidRPr="00111C1C">
        <w:rPr>
          <w:b/>
        </w:rPr>
        <w:t>esponse to the public comment draft of</w:t>
      </w:r>
    </w:p>
    <w:p w:rsidR="00111C1C" w:rsidRDefault="00A107A1" w:rsidP="00111C1C">
      <w:pPr>
        <w:spacing w:after="0" w:line="240" w:lineRule="auto"/>
        <w:jc w:val="center"/>
        <w:rPr>
          <w:b/>
        </w:rPr>
      </w:pPr>
      <w:r w:rsidRPr="00111C1C">
        <w:rPr>
          <w:b/>
        </w:rPr>
        <w:t xml:space="preserve">the </w:t>
      </w:r>
      <w:r w:rsidRPr="00111C1C">
        <w:rPr>
          <w:b/>
          <w:i/>
        </w:rPr>
        <w:t>Massachusetts Curriculum Framework for English Language Arts and Literacy</w:t>
      </w:r>
      <w:r w:rsidRPr="00111C1C">
        <w:rPr>
          <w:b/>
        </w:rPr>
        <w:t>,</w:t>
      </w:r>
    </w:p>
    <w:p w:rsidR="00C40903" w:rsidRDefault="00A107A1" w:rsidP="00111C1C">
      <w:pPr>
        <w:spacing w:after="0" w:line="240" w:lineRule="auto"/>
        <w:jc w:val="center"/>
        <w:rPr>
          <w:b/>
        </w:rPr>
      </w:pPr>
      <w:r w:rsidRPr="00111C1C">
        <w:rPr>
          <w:b/>
        </w:rPr>
        <w:t>December 1, 2016</w:t>
      </w:r>
      <w:r w:rsidR="00B966A8">
        <w:rPr>
          <w:b/>
        </w:rPr>
        <w:t xml:space="preserve"> – </w:t>
      </w:r>
      <w:r w:rsidRPr="00111C1C">
        <w:rPr>
          <w:b/>
        </w:rPr>
        <w:t>February 17, 2017</w:t>
      </w:r>
    </w:p>
    <w:bookmarkEnd w:id="0"/>
    <w:bookmarkEnd w:id="1"/>
    <w:p w:rsidR="00AA0122" w:rsidRPr="00EF0358" w:rsidRDefault="00111C1C" w:rsidP="00EF0358">
      <w:pPr>
        <w:spacing w:after="0" w:line="240" w:lineRule="auto"/>
        <w:rPr>
          <w:sz w:val="20"/>
          <w:szCs w:val="20"/>
        </w:rPr>
      </w:pPr>
      <w:r w:rsidRPr="00EF0358">
        <w:rPr>
          <w:sz w:val="20"/>
          <w:szCs w:val="20"/>
        </w:rPr>
        <w:t>Sources:</w:t>
      </w:r>
    </w:p>
    <w:p w:rsidR="00AA0122" w:rsidRPr="00EF0358" w:rsidRDefault="00111C1C" w:rsidP="00EF035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F0358">
        <w:rPr>
          <w:sz w:val="20"/>
          <w:szCs w:val="20"/>
        </w:rPr>
        <w:t>Online public c</w:t>
      </w:r>
      <w:r w:rsidR="006C6DC6" w:rsidRPr="00EF0358">
        <w:rPr>
          <w:sz w:val="20"/>
          <w:szCs w:val="20"/>
        </w:rPr>
        <w:t xml:space="preserve">omment </w:t>
      </w:r>
      <w:r w:rsidRPr="00EF0358">
        <w:rPr>
          <w:sz w:val="20"/>
          <w:szCs w:val="20"/>
        </w:rPr>
        <w:t>survey</w:t>
      </w:r>
      <w:r w:rsidR="00A77158" w:rsidRPr="00EF0358">
        <w:rPr>
          <w:sz w:val="20"/>
          <w:szCs w:val="20"/>
        </w:rPr>
        <w:t xml:space="preserve"> (997 full or partial responses</w:t>
      </w:r>
      <w:r w:rsidR="00EB3D50" w:rsidRPr="00EF0358">
        <w:rPr>
          <w:sz w:val="20"/>
          <w:szCs w:val="20"/>
        </w:rPr>
        <w:t>,</w:t>
      </w:r>
      <w:r w:rsidR="00AA0122" w:rsidRPr="00EF0358">
        <w:rPr>
          <w:sz w:val="20"/>
          <w:szCs w:val="20"/>
        </w:rPr>
        <w:t xml:space="preserve"> of which 520 responded to questions about ELA/</w:t>
      </w:r>
      <w:r w:rsidR="003B118B">
        <w:rPr>
          <w:sz w:val="20"/>
          <w:szCs w:val="20"/>
        </w:rPr>
        <w:t>l</w:t>
      </w:r>
      <w:r w:rsidR="00AA0122" w:rsidRPr="00EF0358">
        <w:rPr>
          <w:sz w:val="20"/>
          <w:szCs w:val="20"/>
        </w:rPr>
        <w:t xml:space="preserve">iteracy; </w:t>
      </w:r>
      <w:r w:rsidR="00EB3D50" w:rsidRPr="00EF0358">
        <w:rPr>
          <w:sz w:val="20"/>
          <w:szCs w:val="20"/>
        </w:rPr>
        <w:t>78% pre-K</w:t>
      </w:r>
      <w:r w:rsidR="003B118B">
        <w:rPr>
          <w:sz w:val="20"/>
          <w:szCs w:val="20"/>
        </w:rPr>
        <w:t>–</w:t>
      </w:r>
      <w:r w:rsidR="00EB3D50" w:rsidRPr="00EF0358">
        <w:rPr>
          <w:sz w:val="20"/>
          <w:szCs w:val="20"/>
        </w:rPr>
        <w:t>12 teachers, 10% pre-</w:t>
      </w:r>
      <w:r w:rsidR="00B966A8">
        <w:rPr>
          <w:sz w:val="20"/>
          <w:szCs w:val="20"/>
        </w:rPr>
        <w:t>K</w:t>
      </w:r>
      <w:r w:rsidR="003B118B">
        <w:rPr>
          <w:sz w:val="20"/>
          <w:szCs w:val="20"/>
        </w:rPr>
        <w:t>–</w:t>
      </w:r>
      <w:r w:rsidR="00EB3D50" w:rsidRPr="00EF0358">
        <w:rPr>
          <w:sz w:val="20"/>
          <w:szCs w:val="20"/>
        </w:rPr>
        <w:t>12 administrators</w:t>
      </w:r>
      <w:r w:rsidR="00EF0358">
        <w:rPr>
          <w:sz w:val="20"/>
          <w:szCs w:val="20"/>
        </w:rPr>
        <w:t>)</w:t>
      </w:r>
      <w:r w:rsidRPr="00EF0358">
        <w:rPr>
          <w:sz w:val="20"/>
          <w:szCs w:val="20"/>
        </w:rPr>
        <w:t xml:space="preserve"> </w:t>
      </w:r>
    </w:p>
    <w:p w:rsidR="006C6DC6" w:rsidRPr="00EF0358" w:rsidRDefault="00B34004" w:rsidP="00EF035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Additional c</w:t>
      </w:r>
      <w:r w:rsidR="00111C1C" w:rsidRPr="00EF0358">
        <w:rPr>
          <w:sz w:val="20"/>
          <w:szCs w:val="20"/>
        </w:rPr>
        <w:t>orrespondence</w:t>
      </w:r>
      <w:r w:rsidR="00AA0122" w:rsidRPr="00EF035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related to the </w:t>
      </w:r>
      <w:r w:rsidR="003B118B">
        <w:rPr>
          <w:sz w:val="20"/>
          <w:szCs w:val="20"/>
        </w:rPr>
        <w:t>draft</w:t>
      </w:r>
      <w:r w:rsidR="00AA0122" w:rsidRPr="00EF0358">
        <w:rPr>
          <w:sz w:val="20"/>
          <w:szCs w:val="20"/>
        </w:rPr>
        <w:t xml:space="preserve"> ELA</w:t>
      </w:r>
      <w:r>
        <w:rPr>
          <w:sz w:val="20"/>
          <w:szCs w:val="20"/>
        </w:rPr>
        <w:t xml:space="preserve">/literacy </w:t>
      </w:r>
      <w:r w:rsidR="003B118B">
        <w:rPr>
          <w:sz w:val="20"/>
          <w:szCs w:val="20"/>
        </w:rPr>
        <w:t>F</w:t>
      </w:r>
      <w:r>
        <w:rPr>
          <w:sz w:val="20"/>
          <w:szCs w:val="20"/>
        </w:rPr>
        <w:t>ramework</w:t>
      </w:r>
    </w:p>
    <w:p w:rsidR="00EF0358" w:rsidRDefault="00EF0358" w:rsidP="00EF035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EF0358">
        <w:rPr>
          <w:sz w:val="20"/>
          <w:szCs w:val="20"/>
        </w:rPr>
        <w:t>N</w:t>
      </w:r>
      <w:r w:rsidR="00111C1C" w:rsidRPr="00EF0358">
        <w:rPr>
          <w:sz w:val="20"/>
          <w:szCs w:val="20"/>
        </w:rPr>
        <w:t xml:space="preserve">otes from </w:t>
      </w:r>
      <w:r w:rsidRPr="00EF0358">
        <w:rPr>
          <w:sz w:val="20"/>
          <w:szCs w:val="20"/>
        </w:rPr>
        <w:t>10</w:t>
      </w:r>
      <w:r w:rsidR="00AA0122" w:rsidRPr="00EF0358">
        <w:rPr>
          <w:sz w:val="20"/>
          <w:szCs w:val="20"/>
        </w:rPr>
        <w:t xml:space="preserve"> </w:t>
      </w:r>
      <w:r w:rsidR="00111C1C" w:rsidRPr="00EF0358">
        <w:rPr>
          <w:sz w:val="20"/>
          <w:szCs w:val="20"/>
        </w:rPr>
        <w:t>public regional meetings</w:t>
      </w:r>
      <w:r w:rsidR="00AA0122" w:rsidRPr="00EF0358">
        <w:rPr>
          <w:sz w:val="20"/>
          <w:szCs w:val="20"/>
        </w:rPr>
        <w:t xml:space="preserve"> </w:t>
      </w:r>
      <w:r w:rsidR="00F2482F">
        <w:rPr>
          <w:sz w:val="20"/>
          <w:szCs w:val="20"/>
        </w:rPr>
        <w:t xml:space="preserve">hosted by the Department </w:t>
      </w:r>
      <w:r w:rsidR="00AA0122" w:rsidRPr="00EF0358">
        <w:rPr>
          <w:sz w:val="20"/>
          <w:szCs w:val="20"/>
        </w:rPr>
        <w:t>(</w:t>
      </w:r>
      <w:r w:rsidRPr="00EF0358">
        <w:rPr>
          <w:sz w:val="20"/>
          <w:szCs w:val="20"/>
        </w:rPr>
        <w:t>473</w:t>
      </w:r>
      <w:r w:rsidR="00AA0122" w:rsidRPr="00EF0358">
        <w:rPr>
          <w:sz w:val="20"/>
          <w:szCs w:val="20"/>
        </w:rPr>
        <w:t xml:space="preserve"> participants)</w:t>
      </w:r>
    </w:p>
    <w:p w:rsidR="00EF0358" w:rsidRDefault="00EF0358" w:rsidP="00EF035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Notes from Student Advisory Council meeting (60 participants)</w:t>
      </w:r>
      <w:r w:rsidR="00111C1C" w:rsidRPr="00EF0358">
        <w:rPr>
          <w:sz w:val="20"/>
          <w:szCs w:val="20"/>
        </w:rPr>
        <w:t xml:space="preserve"> </w:t>
      </w:r>
    </w:p>
    <w:p w:rsidR="00111C1C" w:rsidRPr="00EF0358" w:rsidRDefault="00EF0358" w:rsidP="00EF0358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Notes from</w:t>
      </w:r>
      <w:r w:rsidR="00111C1C" w:rsidRPr="00EF0358">
        <w:rPr>
          <w:sz w:val="20"/>
          <w:szCs w:val="20"/>
        </w:rPr>
        <w:t xml:space="preserve"> </w:t>
      </w:r>
      <w:r w:rsidRPr="00EF0358">
        <w:rPr>
          <w:sz w:val="20"/>
          <w:szCs w:val="20"/>
        </w:rPr>
        <w:t xml:space="preserve">4 </w:t>
      </w:r>
      <w:r w:rsidR="00111C1C" w:rsidRPr="00EF0358">
        <w:rPr>
          <w:sz w:val="20"/>
          <w:szCs w:val="20"/>
        </w:rPr>
        <w:t>public conference calls</w:t>
      </w:r>
      <w:r w:rsidR="00EB3D50" w:rsidRPr="00EF0358">
        <w:rPr>
          <w:sz w:val="20"/>
          <w:szCs w:val="20"/>
        </w:rPr>
        <w:t xml:space="preserve"> </w:t>
      </w:r>
      <w:r w:rsidR="00F2482F">
        <w:rPr>
          <w:sz w:val="20"/>
          <w:szCs w:val="20"/>
        </w:rPr>
        <w:t xml:space="preserve">hosted by the Department </w:t>
      </w:r>
      <w:r w:rsidR="00EB3D50" w:rsidRPr="00EF0358">
        <w:rPr>
          <w:sz w:val="20"/>
          <w:szCs w:val="20"/>
        </w:rPr>
        <w:t>(</w:t>
      </w:r>
      <w:r w:rsidR="00AA0122" w:rsidRPr="00EF0358">
        <w:rPr>
          <w:sz w:val="20"/>
          <w:szCs w:val="20"/>
        </w:rPr>
        <w:t xml:space="preserve">162 </w:t>
      </w:r>
      <w:r w:rsidR="00EB3D50" w:rsidRPr="00EF0358">
        <w:rPr>
          <w:sz w:val="20"/>
          <w:szCs w:val="20"/>
        </w:rPr>
        <w:t>participants)</w:t>
      </w:r>
    </w:p>
    <w:p w:rsidR="006C6DC6" w:rsidRPr="006C6DC6" w:rsidRDefault="006C6DC6" w:rsidP="00111C1C">
      <w:pPr>
        <w:spacing w:after="0" w:line="240" w:lineRule="auto"/>
        <w:jc w:val="center"/>
      </w:pPr>
    </w:p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750"/>
        <w:gridCol w:w="1890"/>
        <w:gridCol w:w="1980"/>
      </w:tblGrid>
      <w:tr w:rsidR="00AA0122" w:rsidTr="00327813">
        <w:tc>
          <w:tcPr>
            <w:tcW w:w="10620" w:type="dxa"/>
            <w:gridSpan w:val="3"/>
          </w:tcPr>
          <w:p w:rsidR="00AA0122" w:rsidRPr="00111C1C" w:rsidRDefault="00AA0122" w:rsidP="00821098">
            <w:pPr>
              <w:rPr>
                <w:b/>
              </w:rPr>
            </w:pPr>
            <w:r>
              <w:rPr>
                <w:b/>
              </w:rPr>
              <w:t xml:space="preserve">Responses to Online </w:t>
            </w:r>
            <w:r w:rsidR="00BE1612">
              <w:rPr>
                <w:b/>
              </w:rPr>
              <w:t xml:space="preserve">Public Comment </w:t>
            </w:r>
            <w:r>
              <w:rPr>
                <w:b/>
              </w:rPr>
              <w:t>Survey Questions about the Overall Impact of the ELA/Literacy Revisions</w:t>
            </w:r>
          </w:p>
        </w:tc>
      </w:tr>
      <w:tr w:rsidR="00327813" w:rsidTr="00327813">
        <w:tc>
          <w:tcPr>
            <w:tcW w:w="6750" w:type="dxa"/>
          </w:tcPr>
          <w:p w:rsidR="00327813" w:rsidRPr="00111C1C" w:rsidRDefault="00327813" w:rsidP="00AA0122">
            <w:pPr>
              <w:ind w:right="-2538"/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890" w:type="dxa"/>
          </w:tcPr>
          <w:p w:rsidR="00327813" w:rsidRDefault="00327813" w:rsidP="00327813">
            <w:pPr>
              <w:ind w:right="-2538"/>
              <w:rPr>
                <w:b/>
              </w:rPr>
            </w:pPr>
            <w:r>
              <w:rPr>
                <w:b/>
              </w:rPr>
              <w:t>% Agree or</w:t>
            </w:r>
          </w:p>
          <w:p w:rsidR="00327813" w:rsidRDefault="00327813" w:rsidP="00327813">
            <w:pPr>
              <w:ind w:right="-2538"/>
              <w:rPr>
                <w:b/>
              </w:rPr>
            </w:pPr>
            <w:r>
              <w:rPr>
                <w:b/>
              </w:rPr>
              <w:t>Somewhat Agree</w:t>
            </w:r>
          </w:p>
        </w:tc>
        <w:tc>
          <w:tcPr>
            <w:tcW w:w="1980" w:type="dxa"/>
          </w:tcPr>
          <w:p w:rsidR="00327813" w:rsidRDefault="00327813" w:rsidP="00AA0122">
            <w:pPr>
              <w:ind w:right="-2538"/>
              <w:rPr>
                <w:b/>
              </w:rPr>
            </w:pPr>
            <w:r>
              <w:rPr>
                <w:b/>
              </w:rPr>
              <w:t>% Disagree or</w:t>
            </w:r>
          </w:p>
          <w:p w:rsidR="00327813" w:rsidRPr="00111C1C" w:rsidRDefault="00327813" w:rsidP="00327813">
            <w:pPr>
              <w:ind w:right="-2538"/>
              <w:rPr>
                <w:b/>
              </w:rPr>
            </w:pPr>
            <w:r>
              <w:rPr>
                <w:b/>
              </w:rPr>
              <w:t>Somewhat Disagree</w:t>
            </w:r>
          </w:p>
        </w:tc>
      </w:tr>
      <w:tr w:rsidR="00327813" w:rsidTr="00327813">
        <w:tc>
          <w:tcPr>
            <w:tcW w:w="6750" w:type="dxa"/>
          </w:tcPr>
          <w:p w:rsidR="00327813" w:rsidRPr="00327813" w:rsidRDefault="00327813" w:rsidP="00AA0122">
            <w:pPr>
              <w:ind w:right="-2538"/>
            </w:pPr>
            <w:r w:rsidRPr="00327813">
              <w:t>Do the revisions improve or maintain the clarity of the Framework?</w:t>
            </w:r>
          </w:p>
        </w:tc>
        <w:tc>
          <w:tcPr>
            <w:tcW w:w="1890" w:type="dxa"/>
          </w:tcPr>
          <w:p w:rsidR="00327813" w:rsidRPr="00327813" w:rsidRDefault="00327813" w:rsidP="00327813">
            <w:pPr>
              <w:ind w:right="-2538"/>
            </w:pPr>
            <w:r w:rsidRPr="00327813">
              <w:t>91.5%</w:t>
            </w:r>
          </w:p>
        </w:tc>
        <w:tc>
          <w:tcPr>
            <w:tcW w:w="1980" w:type="dxa"/>
          </w:tcPr>
          <w:p w:rsidR="00327813" w:rsidRPr="00327813" w:rsidRDefault="00327813" w:rsidP="00327813">
            <w:pPr>
              <w:ind w:right="-2538"/>
            </w:pPr>
            <w:r w:rsidRPr="00327813">
              <w:t>8.5%</w:t>
            </w:r>
          </w:p>
        </w:tc>
      </w:tr>
      <w:tr w:rsidR="00327813" w:rsidTr="00327813">
        <w:tc>
          <w:tcPr>
            <w:tcW w:w="6750" w:type="dxa"/>
          </w:tcPr>
          <w:p w:rsidR="00327813" w:rsidRPr="00327813" w:rsidRDefault="00327813" w:rsidP="00327813">
            <w:pPr>
              <w:ind w:right="-2538"/>
            </w:pPr>
            <w:r w:rsidRPr="00327813">
              <w:t xml:space="preserve">Do the revisions improve or maintain the </w:t>
            </w:r>
            <w:r>
              <w:t>coherence</w:t>
            </w:r>
            <w:r w:rsidRPr="00327813">
              <w:t xml:space="preserve"> of the Framework?</w:t>
            </w:r>
          </w:p>
        </w:tc>
        <w:tc>
          <w:tcPr>
            <w:tcW w:w="1890" w:type="dxa"/>
          </w:tcPr>
          <w:p w:rsidR="00327813" w:rsidRPr="00327813" w:rsidRDefault="00327813" w:rsidP="00327813">
            <w:pPr>
              <w:ind w:right="-2538"/>
            </w:pPr>
            <w:r>
              <w:t>90.8%</w:t>
            </w:r>
          </w:p>
        </w:tc>
        <w:tc>
          <w:tcPr>
            <w:tcW w:w="1980" w:type="dxa"/>
          </w:tcPr>
          <w:p w:rsidR="00327813" w:rsidRPr="00327813" w:rsidRDefault="00327813" w:rsidP="00327813">
            <w:pPr>
              <w:ind w:right="-2538"/>
            </w:pPr>
            <w:r>
              <w:t>9.2%</w:t>
            </w:r>
          </w:p>
        </w:tc>
      </w:tr>
      <w:tr w:rsidR="00327813" w:rsidTr="00327813">
        <w:tc>
          <w:tcPr>
            <w:tcW w:w="6750" w:type="dxa"/>
          </w:tcPr>
          <w:p w:rsidR="00327813" w:rsidRPr="00327813" w:rsidRDefault="00327813" w:rsidP="00327813">
            <w:pPr>
              <w:ind w:right="-2538"/>
            </w:pPr>
            <w:r w:rsidRPr="00327813">
              <w:t xml:space="preserve">Do the revisions improve or maintain the </w:t>
            </w:r>
            <w:r>
              <w:t>rigor</w:t>
            </w:r>
            <w:r w:rsidRPr="00327813">
              <w:t xml:space="preserve"> of the Framework?</w:t>
            </w:r>
          </w:p>
        </w:tc>
        <w:tc>
          <w:tcPr>
            <w:tcW w:w="1890" w:type="dxa"/>
          </w:tcPr>
          <w:p w:rsidR="00327813" w:rsidRPr="00327813" w:rsidRDefault="00327813" w:rsidP="00327813">
            <w:pPr>
              <w:ind w:right="-2538"/>
            </w:pPr>
            <w:r>
              <w:t>89.5%</w:t>
            </w:r>
          </w:p>
        </w:tc>
        <w:tc>
          <w:tcPr>
            <w:tcW w:w="1980" w:type="dxa"/>
          </w:tcPr>
          <w:p w:rsidR="00327813" w:rsidRPr="00327813" w:rsidRDefault="00327813" w:rsidP="00327813">
            <w:pPr>
              <w:ind w:right="-2538"/>
            </w:pPr>
            <w:r>
              <w:t>10.5%</w:t>
            </w:r>
          </w:p>
        </w:tc>
      </w:tr>
    </w:tbl>
    <w:p w:rsidR="00327813" w:rsidRDefault="00327813"/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3258"/>
        <w:gridCol w:w="7362"/>
      </w:tblGrid>
      <w:tr w:rsidR="00327813" w:rsidTr="00BE1612">
        <w:tc>
          <w:tcPr>
            <w:tcW w:w="10620" w:type="dxa"/>
            <w:gridSpan w:val="2"/>
          </w:tcPr>
          <w:p w:rsidR="00327813" w:rsidRPr="00111C1C" w:rsidRDefault="00327813" w:rsidP="00821098">
            <w:pPr>
              <w:rPr>
                <w:b/>
              </w:rPr>
            </w:pPr>
            <w:r>
              <w:rPr>
                <w:b/>
              </w:rPr>
              <w:t xml:space="preserve">Summary of major themes from all </w:t>
            </w:r>
            <w:r w:rsidR="00F2482F">
              <w:rPr>
                <w:b/>
              </w:rPr>
              <w:t xml:space="preserve">public comment </w:t>
            </w:r>
            <w:r>
              <w:rPr>
                <w:b/>
              </w:rPr>
              <w:t>sources</w:t>
            </w:r>
          </w:p>
        </w:tc>
      </w:tr>
      <w:tr w:rsidR="00821098" w:rsidTr="00327813">
        <w:tc>
          <w:tcPr>
            <w:tcW w:w="3258" w:type="dxa"/>
          </w:tcPr>
          <w:p w:rsidR="00821098" w:rsidRPr="00111C1C" w:rsidRDefault="00821098" w:rsidP="006C6DC6">
            <w:pPr>
              <w:rPr>
                <w:b/>
              </w:rPr>
            </w:pPr>
            <w:r w:rsidRPr="00111C1C">
              <w:rPr>
                <w:b/>
              </w:rPr>
              <w:t>Major Theme</w:t>
            </w:r>
            <w:r w:rsidR="001A3C51" w:rsidRPr="00111C1C">
              <w:rPr>
                <w:b/>
              </w:rPr>
              <w:t>s</w:t>
            </w:r>
            <w:r w:rsidRPr="00111C1C">
              <w:rPr>
                <w:b/>
              </w:rPr>
              <w:t xml:space="preserve"> </w:t>
            </w:r>
          </w:p>
        </w:tc>
        <w:tc>
          <w:tcPr>
            <w:tcW w:w="7362" w:type="dxa"/>
          </w:tcPr>
          <w:p w:rsidR="00821098" w:rsidRPr="00111C1C" w:rsidRDefault="00821098" w:rsidP="00821098">
            <w:pPr>
              <w:rPr>
                <w:b/>
              </w:rPr>
            </w:pPr>
            <w:r w:rsidRPr="00111C1C">
              <w:rPr>
                <w:b/>
              </w:rPr>
              <w:t>Department Response and Rationale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FE31EE">
            <w:pPr>
              <w:rPr>
                <w:b/>
              </w:rPr>
            </w:pPr>
            <w:r w:rsidRPr="00130041">
              <w:rPr>
                <w:b/>
              </w:rPr>
              <w:t>Reading, Writing, Spea</w:t>
            </w:r>
            <w:r>
              <w:rPr>
                <w:b/>
              </w:rPr>
              <w:t>king and Listening</w:t>
            </w:r>
            <w:r w:rsidR="003B118B">
              <w:rPr>
                <w:b/>
              </w:rPr>
              <w:t>,</w:t>
            </w:r>
            <w:r>
              <w:rPr>
                <w:b/>
              </w:rPr>
              <w:t xml:space="preserve"> and Language</w:t>
            </w:r>
          </w:p>
          <w:p w:rsidR="00E368D2" w:rsidRDefault="002902C8" w:rsidP="00FE31EE">
            <w:r>
              <w:t>Inclusion of c</w:t>
            </w:r>
            <w:r w:rsidR="00352383">
              <w:t>ross-references among standards</w:t>
            </w:r>
          </w:p>
          <w:p w:rsidR="00352383" w:rsidRPr="00E368D2" w:rsidRDefault="00E368D2" w:rsidP="00B966A8">
            <w:pPr>
              <w:rPr>
                <w:i/>
              </w:rPr>
            </w:pPr>
            <w:r w:rsidRPr="00E368D2">
              <w:rPr>
                <w:i/>
              </w:rPr>
              <w:t xml:space="preserve">Multiple pages; </w:t>
            </w:r>
            <w:r w:rsidR="00A77158">
              <w:rPr>
                <w:i/>
              </w:rPr>
              <w:t xml:space="preserve">for </w:t>
            </w:r>
            <w:r w:rsidRPr="00E368D2">
              <w:rPr>
                <w:i/>
              </w:rPr>
              <w:t>example, p</w:t>
            </w:r>
            <w:r w:rsidR="0027037E">
              <w:rPr>
                <w:i/>
              </w:rPr>
              <w:t xml:space="preserve">age </w:t>
            </w:r>
            <w:r w:rsidRPr="00E368D2">
              <w:rPr>
                <w:i/>
              </w:rPr>
              <w:t>1</w:t>
            </w:r>
            <w:r w:rsidR="00B966A8">
              <w:rPr>
                <w:i/>
              </w:rPr>
              <w:t>2</w:t>
            </w:r>
            <w:r w:rsidRPr="00E368D2">
              <w:rPr>
                <w:i/>
              </w:rPr>
              <w:t>, RL.K.4</w:t>
            </w:r>
            <w:r w:rsidR="00352383" w:rsidRPr="00E368D2">
              <w:rPr>
                <w:i/>
              </w:rPr>
              <w:t xml:space="preserve"> </w:t>
            </w:r>
          </w:p>
        </w:tc>
        <w:tc>
          <w:tcPr>
            <w:tcW w:w="7362" w:type="dxa"/>
          </w:tcPr>
          <w:p w:rsidR="002820D4" w:rsidRPr="002820D4" w:rsidRDefault="002820D4" w:rsidP="00F568FE">
            <w:pPr>
              <w:pStyle w:val="ListParagraph"/>
              <w:numPr>
                <w:ilvl w:val="0"/>
                <w:numId w:val="1"/>
              </w:numPr>
              <w:ind w:left="432"/>
              <w:rPr>
                <w:b/>
              </w:rPr>
            </w:pPr>
            <w:r w:rsidRPr="002820D4">
              <w:rPr>
                <w:b/>
              </w:rPr>
              <w:t xml:space="preserve">Additional cross-referencing </w:t>
            </w:r>
            <w:r>
              <w:rPr>
                <w:b/>
              </w:rPr>
              <w:t xml:space="preserve">among standards </w:t>
            </w:r>
            <w:r w:rsidRPr="002820D4">
              <w:rPr>
                <w:b/>
              </w:rPr>
              <w:t>was added.</w:t>
            </w:r>
          </w:p>
          <w:p w:rsidR="00352383" w:rsidRDefault="00352383" w:rsidP="003B118B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 xml:space="preserve">Respondents believed these cross-references were a very positive change that increased the coherence of the </w:t>
            </w:r>
            <w:r w:rsidR="003B118B">
              <w:t>F</w:t>
            </w:r>
            <w:r>
              <w:t>ramework.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821098">
            <w:pPr>
              <w:rPr>
                <w:b/>
              </w:rPr>
            </w:pPr>
            <w:r w:rsidRPr="00130041">
              <w:rPr>
                <w:b/>
              </w:rPr>
              <w:t>Reading, Writing, Spea</w:t>
            </w:r>
            <w:r>
              <w:rPr>
                <w:b/>
              </w:rPr>
              <w:t>king and Listening</w:t>
            </w:r>
            <w:r w:rsidR="003B118B">
              <w:rPr>
                <w:b/>
              </w:rPr>
              <w:t>,</w:t>
            </w:r>
            <w:r>
              <w:rPr>
                <w:b/>
              </w:rPr>
              <w:t xml:space="preserve"> and Language</w:t>
            </w:r>
          </w:p>
          <w:p w:rsidR="00E368D2" w:rsidRDefault="00352383" w:rsidP="00E368D2">
            <w:r>
              <w:t>Inclusion of the phrase, “with guidance and support,” in selected pre-K</w:t>
            </w:r>
            <w:r w:rsidR="00B966A8">
              <w:t>–</w:t>
            </w:r>
            <w:r w:rsidR="00E368D2">
              <w:t>2</w:t>
            </w:r>
            <w:r>
              <w:t xml:space="preserve"> standards</w:t>
            </w:r>
          </w:p>
          <w:p w:rsidR="00E368D2" w:rsidRDefault="00E368D2" w:rsidP="00E368D2">
            <w:pPr>
              <w:rPr>
                <w:i/>
              </w:rPr>
            </w:pPr>
            <w:r w:rsidRPr="00E368D2">
              <w:rPr>
                <w:i/>
              </w:rPr>
              <w:t xml:space="preserve">Multiple pages; </w:t>
            </w:r>
            <w:r>
              <w:rPr>
                <w:i/>
              </w:rPr>
              <w:t xml:space="preserve">for </w:t>
            </w:r>
            <w:r w:rsidRPr="00E368D2">
              <w:rPr>
                <w:i/>
              </w:rPr>
              <w:t xml:space="preserve">example, </w:t>
            </w:r>
          </w:p>
          <w:p w:rsidR="00352383" w:rsidRDefault="0027037E" w:rsidP="00B966A8">
            <w:r w:rsidRPr="00E368D2">
              <w:rPr>
                <w:i/>
              </w:rPr>
              <w:t>P</w:t>
            </w:r>
            <w:r>
              <w:rPr>
                <w:i/>
              </w:rPr>
              <w:t xml:space="preserve">age </w:t>
            </w:r>
            <w:r w:rsidR="00B966A8">
              <w:rPr>
                <w:i/>
              </w:rPr>
              <w:t>29</w:t>
            </w:r>
            <w:r w:rsidR="00E368D2" w:rsidRPr="00E368D2">
              <w:rPr>
                <w:i/>
              </w:rPr>
              <w:t xml:space="preserve">, </w:t>
            </w:r>
            <w:r w:rsidR="00E368D2">
              <w:rPr>
                <w:i/>
              </w:rPr>
              <w:t>W.1.5, W.1.6, W.2.5, W.2.6</w:t>
            </w:r>
            <w:r w:rsidR="00E368D2" w:rsidRPr="00E368D2">
              <w:rPr>
                <w:i/>
              </w:rPr>
              <w:t xml:space="preserve"> </w:t>
            </w:r>
            <w:r w:rsidR="00352383">
              <w:t xml:space="preserve"> </w:t>
            </w:r>
          </w:p>
        </w:tc>
        <w:tc>
          <w:tcPr>
            <w:tcW w:w="7362" w:type="dxa"/>
          </w:tcPr>
          <w:p w:rsidR="00352383" w:rsidRPr="002820D4" w:rsidRDefault="00352383" w:rsidP="00F568FE">
            <w:pPr>
              <w:pStyle w:val="ListParagraph"/>
              <w:numPr>
                <w:ilvl w:val="0"/>
                <w:numId w:val="1"/>
              </w:numPr>
              <w:ind w:left="432"/>
              <w:rPr>
                <w:b/>
              </w:rPr>
            </w:pPr>
            <w:r w:rsidRPr="002820D4">
              <w:rPr>
                <w:b/>
              </w:rPr>
              <w:t>The phrase, “with guidance and support,” deleted in pre-</w:t>
            </w:r>
            <w:r w:rsidR="00960D1D">
              <w:rPr>
                <w:b/>
              </w:rPr>
              <w:t>K</w:t>
            </w:r>
            <w:r w:rsidR="00960D1D" w:rsidRPr="00960D1D">
              <w:rPr>
                <w:b/>
                <w:i/>
              </w:rPr>
              <w:t>–</w:t>
            </w:r>
            <w:r w:rsidR="00E368D2">
              <w:rPr>
                <w:b/>
              </w:rPr>
              <w:t>8</w:t>
            </w:r>
            <w:r w:rsidRPr="002820D4">
              <w:rPr>
                <w:b/>
              </w:rPr>
              <w:t xml:space="preserve"> standards in the public comment draft, was restored</w:t>
            </w:r>
            <w:r w:rsidR="00E368D2">
              <w:rPr>
                <w:b/>
              </w:rPr>
              <w:t xml:space="preserve"> for the pre-</w:t>
            </w:r>
            <w:r w:rsidR="00960D1D">
              <w:rPr>
                <w:b/>
              </w:rPr>
              <w:t>K</w:t>
            </w:r>
            <w:r w:rsidR="00960D1D" w:rsidRPr="00960D1D">
              <w:rPr>
                <w:b/>
                <w:i/>
              </w:rPr>
              <w:t>–</w:t>
            </w:r>
            <w:r w:rsidR="00E368D2">
              <w:rPr>
                <w:b/>
              </w:rPr>
              <w:t>2 standards</w:t>
            </w:r>
            <w:r w:rsidRPr="002820D4">
              <w:rPr>
                <w:b/>
              </w:rPr>
              <w:t xml:space="preserve"> in the final revisions.  </w:t>
            </w:r>
          </w:p>
          <w:p w:rsidR="00352383" w:rsidRDefault="00352383" w:rsidP="00F568FE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Many respondents pointed out that young children still learning to read and write often need support and that the phrase was crucial in setting realistic expectations for them; others noted that their district standards-based report cards included that phrase</w:t>
            </w:r>
            <w:r w:rsidR="006566FF">
              <w:t>.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FE31EE">
            <w:pPr>
              <w:rPr>
                <w:b/>
              </w:rPr>
            </w:pPr>
            <w:r w:rsidRPr="00130041">
              <w:rPr>
                <w:b/>
              </w:rPr>
              <w:t>Reading, Writing, Spea</w:t>
            </w:r>
            <w:r>
              <w:rPr>
                <w:b/>
              </w:rPr>
              <w:t>king and Listening</w:t>
            </w:r>
            <w:r w:rsidR="003B118B">
              <w:rPr>
                <w:b/>
              </w:rPr>
              <w:t>,</w:t>
            </w:r>
            <w:r>
              <w:rPr>
                <w:b/>
              </w:rPr>
              <w:t xml:space="preserve"> and Language</w:t>
            </w:r>
          </w:p>
          <w:p w:rsidR="00352383" w:rsidRDefault="00221325" w:rsidP="00FE31EE">
            <w:r>
              <w:t>Inclusion of i</w:t>
            </w:r>
            <w:r w:rsidR="00352383">
              <w:t xml:space="preserve">nstructional </w:t>
            </w:r>
            <w:r w:rsidR="00E368D2">
              <w:t>scenarios</w:t>
            </w:r>
          </w:p>
          <w:p w:rsidR="00E368D2" w:rsidRPr="00037B4B" w:rsidRDefault="00E368D2" w:rsidP="00B966A8">
            <w:pPr>
              <w:rPr>
                <w:i/>
              </w:rPr>
            </w:pPr>
            <w:r w:rsidRPr="00E368D2">
              <w:rPr>
                <w:i/>
              </w:rPr>
              <w:t xml:space="preserve">Multiple pages; </w:t>
            </w:r>
            <w:r>
              <w:rPr>
                <w:i/>
              </w:rPr>
              <w:t xml:space="preserve">for </w:t>
            </w:r>
            <w:r w:rsidRPr="00E368D2">
              <w:rPr>
                <w:i/>
              </w:rPr>
              <w:t xml:space="preserve">example, </w:t>
            </w:r>
            <w:r w:rsidR="00037B4B">
              <w:rPr>
                <w:i/>
              </w:rPr>
              <w:t xml:space="preserve">lists of examples on pages </w:t>
            </w:r>
            <w:r w:rsidR="00B966A8">
              <w:rPr>
                <w:i/>
              </w:rPr>
              <w:t>51</w:t>
            </w:r>
            <w:r w:rsidR="00037B4B">
              <w:rPr>
                <w:i/>
              </w:rPr>
              <w:t xml:space="preserve">, </w:t>
            </w:r>
            <w:r w:rsidR="00B966A8">
              <w:rPr>
                <w:i/>
              </w:rPr>
              <w:t>90</w:t>
            </w:r>
            <w:r w:rsidR="00037B4B">
              <w:rPr>
                <w:i/>
              </w:rPr>
              <w:t xml:space="preserve">, and </w:t>
            </w:r>
            <w:r w:rsidR="00B966A8">
              <w:rPr>
                <w:i/>
              </w:rPr>
              <w:t>114</w:t>
            </w:r>
            <w:r w:rsidR="00037B4B">
              <w:rPr>
                <w:i/>
              </w:rPr>
              <w:t xml:space="preserve">; examples on </w:t>
            </w:r>
            <w:r w:rsidR="005565FD">
              <w:rPr>
                <w:i/>
              </w:rPr>
              <w:t>p</w:t>
            </w:r>
            <w:r w:rsidR="0027037E" w:rsidRPr="005565FD">
              <w:rPr>
                <w:i/>
              </w:rPr>
              <w:t>age</w:t>
            </w:r>
            <w:r w:rsidR="005565FD">
              <w:rPr>
                <w:i/>
              </w:rPr>
              <w:t xml:space="preserve"> 1</w:t>
            </w:r>
            <w:r w:rsidR="00B966A8">
              <w:rPr>
                <w:i/>
              </w:rPr>
              <w:t>4</w:t>
            </w:r>
            <w:r w:rsidR="005565FD">
              <w:rPr>
                <w:i/>
              </w:rPr>
              <w:t>, RL.1.5</w:t>
            </w:r>
            <w:r w:rsidR="00B966A8">
              <w:rPr>
                <w:i/>
              </w:rPr>
              <w:t>;</w:t>
            </w:r>
            <w:r w:rsidR="005565FD">
              <w:rPr>
                <w:i/>
              </w:rPr>
              <w:t xml:space="preserve"> page</w:t>
            </w:r>
            <w:r w:rsidR="00B966A8">
              <w:rPr>
                <w:i/>
              </w:rPr>
              <w:t>s 28–29</w:t>
            </w:r>
            <w:r w:rsidR="005565FD">
              <w:rPr>
                <w:i/>
              </w:rPr>
              <w:t>, W.2.4</w:t>
            </w:r>
            <w:r w:rsidR="00B966A8">
              <w:rPr>
                <w:i/>
              </w:rPr>
              <w:t>;</w:t>
            </w:r>
            <w:r w:rsidR="005565FD">
              <w:rPr>
                <w:i/>
              </w:rPr>
              <w:t xml:space="preserve"> page 6</w:t>
            </w:r>
            <w:r w:rsidR="00B966A8">
              <w:rPr>
                <w:i/>
              </w:rPr>
              <w:t>2</w:t>
            </w:r>
            <w:r w:rsidR="005565FD">
              <w:rPr>
                <w:i/>
              </w:rPr>
              <w:t>, RL.6.3</w:t>
            </w:r>
            <w:r w:rsidR="00B966A8">
              <w:rPr>
                <w:i/>
              </w:rPr>
              <w:t>;</w:t>
            </w:r>
            <w:r w:rsidR="005565FD">
              <w:rPr>
                <w:i/>
              </w:rPr>
              <w:t xml:space="preserve"> page </w:t>
            </w:r>
            <w:r w:rsidR="00B966A8">
              <w:rPr>
                <w:i/>
              </w:rPr>
              <w:t>72</w:t>
            </w:r>
            <w:r w:rsidR="005565FD">
              <w:rPr>
                <w:i/>
              </w:rPr>
              <w:t>, W.8.2</w:t>
            </w:r>
            <w:r w:rsidR="00B966A8">
              <w:rPr>
                <w:i/>
              </w:rPr>
              <w:t>;</w:t>
            </w:r>
            <w:r w:rsidR="005565FD">
              <w:rPr>
                <w:i/>
              </w:rPr>
              <w:t xml:space="preserve"> pag</w:t>
            </w:r>
            <w:r w:rsidR="00B966A8">
              <w:rPr>
                <w:i/>
              </w:rPr>
              <w:t>es</w:t>
            </w:r>
            <w:r w:rsidR="005565FD">
              <w:rPr>
                <w:i/>
              </w:rPr>
              <w:t xml:space="preserve"> </w:t>
            </w:r>
            <w:r w:rsidR="00B966A8">
              <w:rPr>
                <w:i/>
              </w:rPr>
              <w:t>107</w:t>
            </w:r>
            <w:r w:rsidR="0020680C">
              <w:rPr>
                <w:i/>
              </w:rPr>
              <w:t>–108</w:t>
            </w:r>
            <w:r w:rsidR="005565FD">
              <w:rPr>
                <w:i/>
              </w:rPr>
              <w:t>, WCA.11</w:t>
            </w:r>
            <w:r w:rsidR="0020680C">
              <w:rPr>
                <w:i/>
              </w:rPr>
              <w:t>–</w:t>
            </w:r>
            <w:r w:rsidR="005565FD">
              <w:rPr>
                <w:i/>
              </w:rPr>
              <w:t>12.</w:t>
            </w:r>
            <w:r w:rsidR="00B966A8">
              <w:rPr>
                <w:i/>
              </w:rPr>
              <w:t>7</w:t>
            </w:r>
          </w:p>
        </w:tc>
        <w:tc>
          <w:tcPr>
            <w:tcW w:w="7362" w:type="dxa"/>
          </w:tcPr>
          <w:p w:rsidR="002820D4" w:rsidRPr="002820D4" w:rsidRDefault="002820D4" w:rsidP="002820D4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 w:rsidRPr="002820D4">
              <w:rPr>
                <w:b/>
              </w:rPr>
              <w:t>More examples of authentic student writing</w:t>
            </w:r>
            <w:r w:rsidR="00E67C30">
              <w:rPr>
                <w:b/>
              </w:rPr>
              <w:t xml:space="preserve"> and </w:t>
            </w:r>
            <w:r w:rsidR="00E368D2">
              <w:rPr>
                <w:b/>
              </w:rPr>
              <w:t xml:space="preserve">instructional scenarios for English </w:t>
            </w:r>
            <w:r w:rsidR="003B118B">
              <w:rPr>
                <w:b/>
              </w:rPr>
              <w:t>l</w:t>
            </w:r>
            <w:r w:rsidR="00E368D2">
              <w:rPr>
                <w:b/>
              </w:rPr>
              <w:t xml:space="preserve">anguage </w:t>
            </w:r>
            <w:r w:rsidR="003B118B">
              <w:rPr>
                <w:b/>
              </w:rPr>
              <w:t>a</w:t>
            </w:r>
            <w:r w:rsidR="00E368D2">
              <w:rPr>
                <w:b/>
              </w:rPr>
              <w:t>rts</w:t>
            </w:r>
            <w:r w:rsidR="00237D86">
              <w:rPr>
                <w:b/>
              </w:rPr>
              <w:t xml:space="preserve"> </w:t>
            </w:r>
            <w:r w:rsidRPr="002820D4">
              <w:rPr>
                <w:b/>
              </w:rPr>
              <w:t xml:space="preserve">and </w:t>
            </w:r>
            <w:r w:rsidR="00E67C30">
              <w:rPr>
                <w:b/>
              </w:rPr>
              <w:t xml:space="preserve">literacy across </w:t>
            </w:r>
            <w:r w:rsidRPr="002820D4">
              <w:rPr>
                <w:b/>
              </w:rPr>
              <w:t>the curriculum were added.</w:t>
            </w:r>
          </w:p>
          <w:p w:rsidR="00352383" w:rsidRDefault="002820D4" w:rsidP="0027037E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 </w:t>
            </w:r>
            <w:r w:rsidR="00E368D2">
              <w:t xml:space="preserve">In the online survey, 92.3% of those responding to the ELA/literacy questions “agreed” or “somewhat agreed” that </w:t>
            </w:r>
            <w:r w:rsidR="0027037E">
              <w:t>“</w:t>
            </w:r>
            <w:r w:rsidR="00E368D2">
              <w:t>the instructional scenarios helped clari</w:t>
            </w:r>
            <w:r w:rsidR="00F2482F">
              <w:t>f</w:t>
            </w:r>
            <w:r w:rsidR="00E368D2">
              <w:t>y the standards.”</w:t>
            </w:r>
            <w:r w:rsidR="00352383">
              <w:t xml:space="preserve"> </w:t>
            </w:r>
          </w:p>
        </w:tc>
      </w:tr>
      <w:tr w:rsidR="00E67C30" w:rsidTr="00327813">
        <w:tc>
          <w:tcPr>
            <w:tcW w:w="3258" w:type="dxa"/>
          </w:tcPr>
          <w:p w:rsidR="00E67C30" w:rsidRDefault="00E67C30" w:rsidP="00FE31EE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:rsidR="00C64EB7" w:rsidRDefault="00E67C30" w:rsidP="00EC6830">
            <w:r w:rsidRPr="00E67C30">
              <w:t xml:space="preserve">Balance of attention to </w:t>
            </w:r>
            <w:r>
              <w:t>l</w:t>
            </w:r>
            <w:r w:rsidRPr="00E67C30">
              <w:t xml:space="preserve">iterature and </w:t>
            </w:r>
            <w:r>
              <w:t>i</w:t>
            </w:r>
            <w:r w:rsidRPr="00E67C30">
              <w:t xml:space="preserve">nformational </w:t>
            </w:r>
            <w:r>
              <w:t>t</w:t>
            </w:r>
            <w:r w:rsidRPr="00E67C30">
              <w:t>exts</w:t>
            </w:r>
          </w:p>
          <w:p w:rsidR="00EC6830" w:rsidRPr="00C64EB7" w:rsidRDefault="00C64EB7" w:rsidP="00EC6830">
            <w:pPr>
              <w:rPr>
                <w:i/>
              </w:rPr>
            </w:pPr>
            <w:r w:rsidRPr="00C64EB7">
              <w:rPr>
                <w:i/>
              </w:rPr>
              <w:t>Pre-K</w:t>
            </w:r>
            <w:r w:rsidR="00960D1D">
              <w:rPr>
                <w:i/>
              </w:rPr>
              <w:t>–</w:t>
            </w:r>
            <w:r w:rsidRPr="00C64EB7">
              <w:rPr>
                <w:i/>
              </w:rPr>
              <w:t>5, page</w:t>
            </w:r>
            <w:r w:rsidR="00041805">
              <w:rPr>
                <w:i/>
              </w:rPr>
              <w:t>s</w:t>
            </w:r>
            <w:r w:rsidRPr="00C64EB7">
              <w:rPr>
                <w:i/>
              </w:rPr>
              <w:t xml:space="preserve"> 11</w:t>
            </w:r>
            <w:r w:rsidR="00041805">
              <w:rPr>
                <w:i/>
              </w:rPr>
              <w:t>–20</w:t>
            </w:r>
            <w:r w:rsidRPr="00C64EB7">
              <w:rPr>
                <w:i/>
              </w:rPr>
              <w:t xml:space="preserve">; </w:t>
            </w:r>
            <w:r w:rsidR="00041805">
              <w:rPr>
                <w:i/>
              </w:rPr>
              <w:t>ELA</w:t>
            </w:r>
            <w:r w:rsidRPr="00C64EB7">
              <w:rPr>
                <w:i/>
              </w:rPr>
              <w:t xml:space="preserve"> 6</w:t>
            </w:r>
            <w:r w:rsidR="00960D1D">
              <w:rPr>
                <w:i/>
              </w:rPr>
              <w:t>–</w:t>
            </w:r>
            <w:r w:rsidRPr="00C64EB7">
              <w:rPr>
                <w:i/>
              </w:rPr>
              <w:t>12, page</w:t>
            </w:r>
            <w:r w:rsidR="00041805">
              <w:rPr>
                <w:i/>
              </w:rPr>
              <w:t>s 61–69</w:t>
            </w:r>
            <w:r w:rsidRPr="00C64EB7">
              <w:rPr>
                <w:i/>
              </w:rPr>
              <w:t>,</w:t>
            </w:r>
            <w:r w:rsidR="00E67C30" w:rsidRPr="00410DF7">
              <w:rPr>
                <w:i/>
              </w:rPr>
              <w:t xml:space="preserve"> </w:t>
            </w:r>
            <w:r w:rsidRPr="00C64EB7">
              <w:rPr>
                <w:i/>
              </w:rPr>
              <w:t xml:space="preserve">Literacy in the </w:t>
            </w:r>
            <w:r w:rsidRPr="00C64EB7">
              <w:rPr>
                <w:i/>
              </w:rPr>
              <w:lastRenderedPageBreak/>
              <w:t>Content Areas, page</w:t>
            </w:r>
            <w:r w:rsidR="00041805">
              <w:rPr>
                <w:i/>
              </w:rPr>
              <w:t>s 98–102</w:t>
            </w:r>
            <w:r w:rsidR="00410DF7">
              <w:rPr>
                <w:i/>
              </w:rPr>
              <w:t>; see also Guiding Principle 11 , page 7</w:t>
            </w:r>
          </w:p>
          <w:p w:rsidR="00EC6830" w:rsidRPr="00E67C30" w:rsidRDefault="00EC6830" w:rsidP="00EC6830">
            <w:pPr>
              <w:rPr>
                <w:i/>
              </w:rPr>
            </w:pPr>
          </w:p>
        </w:tc>
        <w:tc>
          <w:tcPr>
            <w:tcW w:w="7362" w:type="dxa"/>
          </w:tcPr>
          <w:p w:rsidR="00EC6830" w:rsidRDefault="00B0774B" w:rsidP="00E67C30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lastRenderedPageBreak/>
              <w:t xml:space="preserve">Equal distribution of </w:t>
            </w:r>
            <w:r w:rsidR="00E67C30">
              <w:rPr>
                <w:b/>
              </w:rPr>
              <w:t>Standards for Reading Literature and Reading Informational Text retained</w:t>
            </w:r>
            <w:r w:rsidR="00EC6830">
              <w:rPr>
                <w:b/>
              </w:rPr>
              <w:t xml:space="preserve"> for ELA/</w:t>
            </w:r>
            <w:r w:rsidR="003B118B">
              <w:rPr>
                <w:b/>
              </w:rPr>
              <w:t>l</w:t>
            </w:r>
            <w:r w:rsidR="00EC6830">
              <w:rPr>
                <w:b/>
              </w:rPr>
              <w:t>iteracy, pre-K</w:t>
            </w:r>
            <w:r w:rsidR="00960D1D" w:rsidRPr="00960D1D">
              <w:rPr>
                <w:b/>
                <w:i/>
              </w:rPr>
              <w:t>–</w:t>
            </w:r>
            <w:r w:rsidR="00EC6830">
              <w:rPr>
                <w:b/>
              </w:rPr>
              <w:t xml:space="preserve">5 and </w:t>
            </w:r>
            <w:r w:rsidR="003B118B">
              <w:rPr>
                <w:b/>
              </w:rPr>
              <w:t>ELA</w:t>
            </w:r>
            <w:r w:rsidR="00EC6830">
              <w:rPr>
                <w:b/>
              </w:rPr>
              <w:t>, 6</w:t>
            </w:r>
            <w:r w:rsidR="00960D1D" w:rsidRPr="00960D1D">
              <w:rPr>
                <w:b/>
                <w:i/>
              </w:rPr>
              <w:t>–</w:t>
            </w:r>
            <w:r w:rsidR="00EC6830">
              <w:rPr>
                <w:b/>
              </w:rPr>
              <w:t>12</w:t>
            </w:r>
          </w:p>
          <w:p w:rsidR="00E67C30" w:rsidRDefault="00EC6830" w:rsidP="00E67C30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>Standards for Reading Informational Texts in the Content Areas, 6</w:t>
            </w:r>
            <w:r w:rsidR="00960D1D" w:rsidRPr="00960D1D">
              <w:rPr>
                <w:b/>
                <w:i/>
              </w:rPr>
              <w:t>–</w:t>
            </w:r>
            <w:r>
              <w:rPr>
                <w:b/>
              </w:rPr>
              <w:t>12 (separate standards for history</w:t>
            </w:r>
            <w:r w:rsidR="003B118B">
              <w:rPr>
                <w:b/>
              </w:rPr>
              <w:t>/social studies and science/</w:t>
            </w:r>
            <w:r>
              <w:rPr>
                <w:b/>
              </w:rPr>
              <w:t>technical subjects).</w:t>
            </w:r>
            <w:r w:rsidR="00E67C30">
              <w:rPr>
                <w:b/>
              </w:rPr>
              <w:t xml:space="preserve"> </w:t>
            </w:r>
          </w:p>
          <w:p w:rsidR="00E67C30" w:rsidRPr="002820D4" w:rsidRDefault="00E67C30" w:rsidP="005D40AD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lastRenderedPageBreak/>
              <w:t>In the online survey, 89.6% of those responding to the ELA/literacy questions “agreed” or “somewhat agreed” that “the standards pa</w:t>
            </w:r>
            <w:r w:rsidR="005D40AD">
              <w:t>y</w:t>
            </w:r>
            <w:r>
              <w:t xml:space="preserve"> adequate attention to literature;” 93.4% of the ELA/literacy respondents “agreed” or “somewhat agreed” that “the standards pa</w:t>
            </w:r>
            <w:r w:rsidR="005D40AD">
              <w:t>y</w:t>
            </w:r>
            <w:r>
              <w:t xml:space="preserve"> adequate attention to informational texts.”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FE31EE">
            <w:pPr>
              <w:rPr>
                <w:b/>
              </w:rPr>
            </w:pPr>
            <w:r w:rsidRPr="00130041">
              <w:rPr>
                <w:b/>
              </w:rPr>
              <w:lastRenderedPageBreak/>
              <w:t xml:space="preserve">Reading </w:t>
            </w:r>
          </w:p>
          <w:p w:rsidR="0027037E" w:rsidRDefault="00E83034" w:rsidP="0027037E">
            <w:r>
              <w:t>M</w:t>
            </w:r>
            <w:r w:rsidR="0027037E">
              <w:t>ultiple m</w:t>
            </w:r>
            <w:r w:rsidR="004E00DC">
              <w:t xml:space="preserve">easures of </w:t>
            </w:r>
            <w:r w:rsidR="0027037E">
              <w:t>t</w:t>
            </w:r>
            <w:r w:rsidR="00352383">
              <w:t>ext complexity</w:t>
            </w:r>
          </w:p>
          <w:p w:rsidR="00352383" w:rsidRPr="0027037E" w:rsidRDefault="0027037E" w:rsidP="00295D1A">
            <w:pPr>
              <w:rPr>
                <w:i/>
              </w:rPr>
            </w:pPr>
            <w:r w:rsidRPr="0027037E">
              <w:rPr>
                <w:i/>
              </w:rPr>
              <w:t xml:space="preserve">Pages </w:t>
            </w:r>
            <w:r w:rsidR="00B47D99">
              <w:rPr>
                <w:i/>
              </w:rPr>
              <w:t>5</w:t>
            </w:r>
            <w:r w:rsidR="00295D1A">
              <w:rPr>
                <w:i/>
              </w:rPr>
              <w:t>4</w:t>
            </w:r>
            <w:r w:rsidRPr="0027037E">
              <w:rPr>
                <w:i/>
              </w:rPr>
              <w:t xml:space="preserve">, </w:t>
            </w:r>
            <w:r w:rsidR="00B47D99">
              <w:rPr>
                <w:i/>
              </w:rPr>
              <w:t>9</w:t>
            </w:r>
            <w:r w:rsidR="00295D1A">
              <w:rPr>
                <w:i/>
              </w:rPr>
              <w:t>1</w:t>
            </w:r>
          </w:p>
        </w:tc>
        <w:tc>
          <w:tcPr>
            <w:tcW w:w="7362" w:type="dxa"/>
          </w:tcPr>
          <w:p w:rsidR="0027037E" w:rsidRDefault="00352383" w:rsidP="0027037E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 w:rsidRPr="002820D4">
              <w:rPr>
                <w:b/>
              </w:rPr>
              <w:t>The Framework retains the concept that there are three dimensions of text comp</w:t>
            </w:r>
            <w:r w:rsidR="007E4D45">
              <w:rPr>
                <w:b/>
              </w:rPr>
              <w:t>lexity: 1) qualitative measures</w:t>
            </w:r>
            <w:r w:rsidRPr="002820D4">
              <w:rPr>
                <w:b/>
              </w:rPr>
              <w:t xml:space="preserve">, </w:t>
            </w:r>
            <w:r w:rsidRPr="0027037E">
              <w:rPr>
                <w:b/>
              </w:rPr>
              <w:t xml:space="preserve">2) quantitative measures, and </w:t>
            </w:r>
          </w:p>
          <w:p w:rsidR="0027037E" w:rsidRPr="0027037E" w:rsidRDefault="00352383" w:rsidP="007E4D45">
            <w:pPr>
              <w:pStyle w:val="ListParagraph"/>
              <w:ind w:left="432"/>
            </w:pPr>
            <w:r w:rsidRPr="0027037E">
              <w:rPr>
                <w:b/>
              </w:rPr>
              <w:t>3) measures matching the reader, text, purpose of reading</w:t>
            </w:r>
            <w:r w:rsidR="0027037E">
              <w:rPr>
                <w:b/>
              </w:rPr>
              <w:t>,</w:t>
            </w:r>
            <w:r w:rsidRPr="0027037E">
              <w:rPr>
                <w:b/>
              </w:rPr>
              <w:t xml:space="preserve"> and task. </w:t>
            </w:r>
            <w:r>
              <w:t xml:space="preserve"> Dimensions 1 and 3 are best measured by a knowledgeable </w:t>
            </w:r>
            <w:r w:rsidR="0027037E">
              <w:t>human reader</w:t>
            </w:r>
            <w:r>
              <w:t>; dimension 2 is typically measured by a computer program</w:t>
            </w:r>
            <w:r w:rsidR="00FE31EE">
              <w:t>.</w:t>
            </w:r>
          </w:p>
        </w:tc>
      </w:tr>
      <w:tr w:rsidR="004E00DC" w:rsidTr="00327813">
        <w:tc>
          <w:tcPr>
            <w:tcW w:w="3258" w:type="dxa"/>
          </w:tcPr>
          <w:p w:rsidR="004E00DC" w:rsidRDefault="004E00DC" w:rsidP="00FE31EE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:rsidR="0027037E" w:rsidRDefault="004E00DC" w:rsidP="00FE31EE">
            <w:r w:rsidRPr="004E00DC">
              <w:t>Qualitative measures of text complexity</w:t>
            </w:r>
          </w:p>
          <w:p w:rsidR="0027037E" w:rsidRPr="0027037E" w:rsidRDefault="0027037E" w:rsidP="00305A61">
            <w:r>
              <w:rPr>
                <w:i/>
              </w:rPr>
              <w:t xml:space="preserve">Pages </w:t>
            </w:r>
            <w:r w:rsidR="00B47D99">
              <w:rPr>
                <w:i/>
              </w:rPr>
              <w:t>5</w:t>
            </w:r>
            <w:r w:rsidR="00305A61">
              <w:rPr>
                <w:i/>
              </w:rPr>
              <w:t>5</w:t>
            </w:r>
            <w:r w:rsidR="00960D1D">
              <w:rPr>
                <w:i/>
              </w:rPr>
              <w:t>–</w:t>
            </w:r>
            <w:r w:rsidR="00305A61">
              <w:rPr>
                <w:i/>
              </w:rPr>
              <w:t>58</w:t>
            </w:r>
            <w:r>
              <w:rPr>
                <w:i/>
              </w:rPr>
              <w:t xml:space="preserve">, </w:t>
            </w:r>
            <w:r w:rsidR="00305A61">
              <w:rPr>
                <w:i/>
              </w:rPr>
              <w:t>92</w:t>
            </w:r>
            <w:r w:rsidR="00960D1D">
              <w:rPr>
                <w:i/>
              </w:rPr>
              <w:t>–</w:t>
            </w:r>
            <w:r w:rsidR="00305A61">
              <w:rPr>
                <w:i/>
              </w:rPr>
              <w:t>95</w:t>
            </w:r>
            <w:r>
              <w:rPr>
                <w:i/>
              </w:rPr>
              <w:t xml:space="preserve">, </w:t>
            </w:r>
            <w:r w:rsidR="00305A61">
              <w:rPr>
                <w:i/>
              </w:rPr>
              <w:t>115</w:t>
            </w:r>
            <w:r w:rsidR="00960D1D">
              <w:rPr>
                <w:i/>
              </w:rPr>
              <w:t>–</w:t>
            </w:r>
            <w:r w:rsidR="00B47D99">
              <w:rPr>
                <w:i/>
              </w:rPr>
              <w:t>1</w:t>
            </w:r>
            <w:r w:rsidR="00305A61">
              <w:rPr>
                <w:i/>
              </w:rPr>
              <w:t>16</w:t>
            </w:r>
          </w:p>
        </w:tc>
        <w:tc>
          <w:tcPr>
            <w:tcW w:w="7362" w:type="dxa"/>
          </w:tcPr>
          <w:p w:rsidR="004E00DC" w:rsidRPr="00221325" w:rsidRDefault="004E00DC" w:rsidP="00FE31EE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 w:rsidRPr="002820D4">
              <w:rPr>
                <w:b/>
              </w:rPr>
              <w:t xml:space="preserve">Charts on assessing qualitative dimensions of </w:t>
            </w:r>
            <w:r>
              <w:rPr>
                <w:b/>
              </w:rPr>
              <w:t xml:space="preserve">text </w:t>
            </w:r>
            <w:r w:rsidRPr="002820D4">
              <w:rPr>
                <w:b/>
              </w:rPr>
              <w:t>co</w:t>
            </w:r>
            <w:r w:rsidR="00B47D99">
              <w:rPr>
                <w:b/>
              </w:rPr>
              <w:t xml:space="preserve">mplexity </w:t>
            </w:r>
            <w:r w:rsidRPr="002820D4">
              <w:rPr>
                <w:b/>
              </w:rPr>
              <w:t xml:space="preserve">were simplified </w:t>
            </w:r>
            <w:r w:rsidR="007E4D45">
              <w:t>for</w:t>
            </w:r>
            <w:r w:rsidRPr="00FE31EE">
              <w:t xml:space="preserve"> pre-K</w:t>
            </w:r>
            <w:r w:rsidR="00960D1D">
              <w:rPr>
                <w:i/>
              </w:rPr>
              <w:t>–</w:t>
            </w:r>
            <w:r w:rsidRPr="00FE31EE">
              <w:t>5, 6</w:t>
            </w:r>
            <w:r w:rsidR="00960D1D">
              <w:rPr>
                <w:i/>
              </w:rPr>
              <w:t>–</w:t>
            </w:r>
            <w:r w:rsidRPr="00FE31EE">
              <w:t>12 ELA, and 6</w:t>
            </w:r>
            <w:r w:rsidR="00960D1D">
              <w:rPr>
                <w:i/>
              </w:rPr>
              <w:t>–</w:t>
            </w:r>
            <w:r w:rsidRPr="00FE31EE">
              <w:t>12 Literacy in the Content Areas.</w:t>
            </w:r>
          </w:p>
          <w:p w:rsidR="00221325" w:rsidRPr="002820D4" w:rsidRDefault="00221325" w:rsidP="007E4D45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t xml:space="preserve">In the online survey, 88.7% of those responding to the ELA/literacy </w:t>
            </w:r>
            <w:r w:rsidR="007E4D45">
              <w:t>items</w:t>
            </w:r>
            <w:r>
              <w:t xml:space="preserve"> “agreed” or “somewhat agreed” that </w:t>
            </w:r>
            <w:r w:rsidRPr="00E3072C">
              <w:t xml:space="preserve">“the text complexity materials helped </w:t>
            </w:r>
            <w:r w:rsidR="00960D1D">
              <w:t>clarify</w:t>
            </w:r>
            <w:r w:rsidR="00F2482F">
              <w:t xml:space="preserve"> </w:t>
            </w:r>
            <w:r w:rsidRPr="00E3072C">
              <w:t>the standards.”</w:t>
            </w:r>
          </w:p>
        </w:tc>
      </w:tr>
      <w:tr w:rsidR="004E00DC" w:rsidTr="00327813">
        <w:tc>
          <w:tcPr>
            <w:tcW w:w="3258" w:type="dxa"/>
          </w:tcPr>
          <w:p w:rsidR="004E00DC" w:rsidRDefault="004E00DC" w:rsidP="004E00DC">
            <w:pPr>
              <w:rPr>
                <w:b/>
              </w:rPr>
            </w:pPr>
            <w:r>
              <w:rPr>
                <w:b/>
              </w:rPr>
              <w:t>Reading</w:t>
            </w:r>
          </w:p>
          <w:p w:rsidR="004E00DC" w:rsidRDefault="004E00DC" w:rsidP="004E00DC">
            <w:r w:rsidRPr="004E00DC">
              <w:t>Qua</w:t>
            </w:r>
            <w:r>
              <w:t>nti</w:t>
            </w:r>
            <w:r w:rsidRPr="004E00DC">
              <w:t>tative measures of text complexity</w:t>
            </w:r>
          </w:p>
          <w:p w:rsidR="0027037E" w:rsidRPr="00130041" w:rsidRDefault="0027037E" w:rsidP="00305A61">
            <w:pPr>
              <w:rPr>
                <w:b/>
              </w:rPr>
            </w:pPr>
            <w:r w:rsidRPr="0027037E">
              <w:rPr>
                <w:i/>
              </w:rPr>
              <w:t xml:space="preserve">Pages </w:t>
            </w:r>
            <w:r w:rsidR="00295D1A">
              <w:rPr>
                <w:i/>
              </w:rPr>
              <w:t>54</w:t>
            </w:r>
            <w:r w:rsidRPr="0027037E">
              <w:rPr>
                <w:i/>
              </w:rPr>
              <w:t xml:space="preserve">, </w:t>
            </w:r>
            <w:r w:rsidR="00295D1A">
              <w:rPr>
                <w:i/>
              </w:rPr>
              <w:t>91</w:t>
            </w:r>
            <w:r w:rsidR="00305A61">
              <w:rPr>
                <w:i/>
              </w:rPr>
              <w:t>, 115</w:t>
            </w:r>
          </w:p>
        </w:tc>
        <w:tc>
          <w:tcPr>
            <w:tcW w:w="7362" w:type="dxa"/>
          </w:tcPr>
          <w:p w:rsidR="004E00DC" w:rsidRDefault="004E00DC" w:rsidP="00E3072C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2820D4">
              <w:rPr>
                <w:b/>
              </w:rPr>
              <w:t xml:space="preserve">Quantitative ranges </w:t>
            </w:r>
            <w:r w:rsidR="00E3072C">
              <w:rPr>
                <w:b/>
              </w:rPr>
              <w:t>are</w:t>
            </w:r>
            <w:r w:rsidRPr="002820D4">
              <w:rPr>
                <w:b/>
              </w:rPr>
              <w:t xml:space="preserve"> not provided</w:t>
            </w:r>
            <w:r w:rsidR="00E3072C">
              <w:rPr>
                <w:b/>
              </w:rPr>
              <w:t xml:space="preserve">; </w:t>
            </w:r>
            <w:r>
              <w:t>some respondents recommended</w:t>
            </w:r>
            <w:r w:rsidR="00E3072C">
              <w:t xml:space="preserve"> the addition of</w:t>
            </w:r>
            <w:r>
              <w:t xml:space="preserve"> quantitative ranges (e.g., Lexile bands) by grade. </w:t>
            </w:r>
          </w:p>
          <w:p w:rsidR="00E3072C" w:rsidRPr="00156722" w:rsidRDefault="004E00DC" w:rsidP="00A77158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E3072C">
              <w:rPr>
                <w:b/>
              </w:rPr>
              <w:t xml:space="preserve">A clarification was added that </w:t>
            </w:r>
            <w:r w:rsidR="00E3072C" w:rsidRPr="00E3072C">
              <w:rPr>
                <w:b/>
              </w:rPr>
              <w:t>many companies produce software</w:t>
            </w:r>
            <w:r w:rsidR="00E3072C">
              <w:rPr>
                <w:b/>
              </w:rPr>
              <w:t xml:space="preserve"> for</w:t>
            </w:r>
            <w:r w:rsidR="00E3072C" w:rsidRPr="00E3072C">
              <w:rPr>
                <w:b/>
              </w:rPr>
              <w:t xml:space="preserve"> quantitative analysis; </w:t>
            </w:r>
            <w:r w:rsidR="00CF7462" w:rsidRPr="00CF7462">
              <w:t>a</w:t>
            </w:r>
            <w:r w:rsidR="00CF7462">
              <w:rPr>
                <w:b/>
              </w:rPr>
              <w:t xml:space="preserve"> </w:t>
            </w:r>
            <w:r w:rsidR="00156722" w:rsidRPr="00156722">
              <w:t>r</w:t>
            </w:r>
            <w:r w:rsidR="00CF7462">
              <w:t>eference</w:t>
            </w:r>
            <w:r w:rsidR="00E3072C" w:rsidRPr="00156722">
              <w:t xml:space="preserve"> </w:t>
            </w:r>
            <w:r w:rsidR="00CF7462">
              <w:t>to research on using these programs is included</w:t>
            </w:r>
            <w:r w:rsidR="00E3072C" w:rsidRPr="00156722">
              <w:t>.</w:t>
            </w:r>
          </w:p>
          <w:p w:rsidR="0027037E" w:rsidRPr="00CF7462" w:rsidRDefault="00156722" w:rsidP="00CF7462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>Text was added to explain that</w:t>
            </w:r>
            <w:r w:rsidR="00CF7462">
              <w:rPr>
                <w:b/>
              </w:rPr>
              <w:t xml:space="preserve"> </w:t>
            </w:r>
            <w:r w:rsidR="00CF7462">
              <w:t>q</w:t>
            </w:r>
            <w:r w:rsidR="004E00DC" w:rsidRPr="00156722">
              <w:t xml:space="preserve">uantitative </w:t>
            </w:r>
            <w:r w:rsidR="00A77158" w:rsidRPr="00156722">
              <w:t>readability formulas</w:t>
            </w:r>
            <w:r w:rsidR="004E00DC" w:rsidRPr="00156722">
              <w:t xml:space="preserve"> can be misleading when used alone, without qualitative measures, for determining the appropriateness of a text for an individual or class. 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FE31EE">
            <w:pPr>
              <w:rPr>
                <w:b/>
              </w:rPr>
            </w:pPr>
            <w:r w:rsidRPr="00130041">
              <w:rPr>
                <w:b/>
              </w:rPr>
              <w:t xml:space="preserve">Reading  </w:t>
            </w:r>
          </w:p>
          <w:p w:rsidR="00352383" w:rsidRDefault="004E00DC" w:rsidP="00EE7173">
            <w:pPr>
              <w:rPr>
                <w:rFonts w:eastAsia="Times New Roman" w:cs="Arial"/>
              </w:rPr>
            </w:pPr>
            <w:r w:rsidRPr="00EE7173">
              <w:t xml:space="preserve">Wording of </w:t>
            </w:r>
            <w:r w:rsidR="00352383" w:rsidRPr="00EE7173">
              <w:t xml:space="preserve"> Reading Standard 10</w:t>
            </w:r>
            <w:r w:rsidRPr="00EE7173">
              <w:t>:</w:t>
            </w:r>
            <w:r w:rsidR="00352383" w:rsidRPr="00EE7173">
              <w:t xml:space="preserve"> </w:t>
            </w:r>
            <w:r w:rsidR="0044562A">
              <w:t>“</w:t>
            </w:r>
            <w:r w:rsidR="00EE7173" w:rsidRPr="00EE7173">
              <w:rPr>
                <w:rFonts w:eastAsia="Times New Roman" w:cs="Arial"/>
                <w:color w:val="000000"/>
              </w:rPr>
              <w:t>I</w:t>
            </w:r>
            <w:r w:rsidR="00EE7173" w:rsidRPr="00EE7173">
              <w:rPr>
                <w:rFonts w:eastAsia="Times New Roman" w:cs="Arial"/>
              </w:rPr>
              <w:t>ndependently and proficiently</w:t>
            </w:r>
            <w:r w:rsidR="00EE7173" w:rsidRPr="00EE7173">
              <w:rPr>
                <w:rFonts w:eastAsia="Times New Roman" w:cs="Arial"/>
                <w:color w:val="000000"/>
              </w:rPr>
              <w:t xml:space="preserve"> read and comprehend … texts</w:t>
            </w:r>
            <w:r w:rsidR="00EE7173" w:rsidRPr="00EE7173">
              <w:rPr>
                <w:rFonts w:eastAsia="Times New Roman" w:cs="Arial"/>
              </w:rPr>
              <w:t xml:space="preserve"> exhibiting complexity appropriate for at least grade xx</w:t>
            </w:r>
            <w:r w:rsidR="0044562A">
              <w:rPr>
                <w:rFonts w:eastAsia="Times New Roman" w:cs="Arial"/>
              </w:rPr>
              <w:t>”</w:t>
            </w:r>
          </w:p>
          <w:p w:rsidR="0027037E" w:rsidRDefault="0027037E" w:rsidP="0027037E">
            <w:pPr>
              <w:rPr>
                <w:i/>
              </w:rPr>
            </w:pPr>
            <w:r w:rsidRPr="00F0669B">
              <w:rPr>
                <w:i/>
              </w:rPr>
              <w:t>Multiple pages; for example, page</w:t>
            </w:r>
            <w:r>
              <w:rPr>
                <w:i/>
              </w:rPr>
              <w:t xml:space="preserve"> </w:t>
            </w:r>
            <w:r w:rsidR="002A4CCE">
              <w:rPr>
                <w:i/>
              </w:rPr>
              <w:t>1</w:t>
            </w:r>
            <w:r w:rsidR="004673C3">
              <w:rPr>
                <w:i/>
              </w:rPr>
              <w:t>5</w:t>
            </w:r>
            <w:r w:rsidR="002A4CCE">
              <w:rPr>
                <w:i/>
              </w:rPr>
              <w:t xml:space="preserve">, RL.4.10, RL.5.10, and page </w:t>
            </w:r>
            <w:r w:rsidR="004673C3">
              <w:rPr>
                <w:i/>
              </w:rPr>
              <w:t>6</w:t>
            </w:r>
            <w:r w:rsidR="002A4CCE">
              <w:rPr>
                <w:i/>
              </w:rPr>
              <w:t xml:space="preserve">3, </w:t>
            </w:r>
            <w:r w:rsidR="00F0669B">
              <w:rPr>
                <w:i/>
              </w:rPr>
              <w:t>RI.6.10, RI.7.10, RI.8.10</w:t>
            </w:r>
            <w:r w:rsidR="00D5339E">
              <w:rPr>
                <w:i/>
              </w:rPr>
              <w:t>;</w:t>
            </w:r>
          </w:p>
          <w:p w:rsidR="00D5339E" w:rsidRPr="0027037E" w:rsidRDefault="00410DF7" w:rsidP="004673C3">
            <w:pPr>
              <w:rPr>
                <w:i/>
              </w:rPr>
            </w:pPr>
            <w:r>
              <w:rPr>
                <w:i/>
              </w:rPr>
              <w:t>s</w:t>
            </w:r>
            <w:r w:rsidR="00D5339E">
              <w:rPr>
                <w:i/>
              </w:rPr>
              <w:t xml:space="preserve">ee also </w:t>
            </w:r>
            <w:r w:rsidR="00E83034">
              <w:rPr>
                <w:i/>
              </w:rPr>
              <w:t>Introduction, page 4</w:t>
            </w:r>
            <w:r w:rsidR="004673C3">
              <w:rPr>
                <w:i/>
              </w:rPr>
              <w:t>,</w:t>
            </w:r>
            <w:r w:rsidR="00E83034">
              <w:rPr>
                <w:i/>
              </w:rPr>
              <w:t xml:space="preserve"> and </w:t>
            </w:r>
            <w:r w:rsidR="00D5339E">
              <w:rPr>
                <w:i/>
              </w:rPr>
              <w:t xml:space="preserve">Guiding Principle 4, page </w:t>
            </w:r>
            <w:r>
              <w:rPr>
                <w:i/>
              </w:rPr>
              <w:t>7</w:t>
            </w:r>
          </w:p>
        </w:tc>
        <w:tc>
          <w:tcPr>
            <w:tcW w:w="7362" w:type="dxa"/>
          </w:tcPr>
          <w:p w:rsidR="002A4CCE" w:rsidRDefault="0052755C" w:rsidP="0044562A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2820D4">
              <w:rPr>
                <w:b/>
              </w:rPr>
              <w:t xml:space="preserve">The </w:t>
            </w:r>
            <w:r w:rsidR="0044562A">
              <w:rPr>
                <w:b/>
              </w:rPr>
              <w:t>wording of the standard</w:t>
            </w:r>
            <w:r w:rsidRPr="002820D4">
              <w:rPr>
                <w:b/>
              </w:rPr>
              <w:t xml:space="preserve"> was retained</w:t>
            </w:r>
            <w:r w:rsidR="002A4CCE">
              <w:rPr>
                <w:b/>
              </w:rPr>
              <w:t>, applied to both literary and informational texts,</w:t>
            </w:r>
            <w:r>
              <w:t xml:space="preserve"> in order </w:t>
            </w:r>
            <w:r w:rsidR="002A4CCE">
              <w:t xml:space="preserve">to indicate that students should be able to read progressively more complex texts as they move from grade to grade. See </w:t>
            </w:r>
            <w:r w:rsidR="00E83034">
              <w:t xml:space="preserve">“multiple </w:t>
            </w:r>
            <w:r w:rsidR="002A4CCE">
              <w:t>measures of text complexity</w:t>
            </w:r>
            <w:r w:rsidR="00E83034">
              <w:t>”</w:t>
            </w:r>
            <w:r w:rsidR="002A4CCE">
              <w:t xml:space="preserve"> above.</w:t>
            </w:r>
          </w:p>
          <w:p w:rsidR="0044562A" w:rsidRDefault="002A4CCE" w:rsidP="0044562A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rPr>
                <w:b/>
              </w:rPr>
              <w:t xml:space="preserve">The phrase “appropriate </w:t>
            </w:r>
            <w:r w:rsidR="007E4D45">
              <w:rPr>
                <w:b/>
              </w:rPr>
              <w:t xml:space="preserve">for </w:t>
            </w:r>
            <w:r w:rsidRPr="002A4CCE">
              <w:rPr>
                <w:b/>
                <w:i/>
              </w:rPr>
              <w:t xml:space="preserve">at least </w:t>
            </w:r>
            <w:r>
              <w:rPr>
                <w:b/>
              </w:rPr>
              <w:t xml:space="preserve">grade…”was </w:t>
            </w:r>
            <w:r w:rsidR="00DE16C9">
              <w:rPr>
                <w:b/>
              </w:rPr>
              <w:t>maintained</w:t>
            </w:r>
            <w:r>
              <w:rPr>
                <w:b/>
              </w:rPr>
              <w:t xml:space="preserve"> to indicate that </w:t>
            </w:r>
            <w:r w:rsidR="00D5339E">
              <w:rPr>
                <w:b/>
              </w:rPr>
              <w:t>there should be high expectations for all students and that</w:t>
            </w:r>
            <w:r w:rsidR="0052755C">
              <w:t xml:space="preserve"> </w:t>
            </w:r>
            <w:r w:rsidR="0052755C" w:rsidRPr="00F0669B">
              <w:rPr>
                <w:b/>
              </w:rPr>
              <w:t>the reading growth of students</w:t>
            </w:r>
            <w:r w:rsidRPr="00F0669B">
              <w:rPr>
                <w:b/>
              </w:rPr>
              <w:t xml:space="preserve"> should not be limited</w:t>
            </w:r>
            <w:r w:rsidR="0052755C" w:rsidRPr="00F0669B">
              <w:rPr>
                <w:b/>
              </w:rPr>
              <w:t xml:space="preserve"> </w:t>
            </w:r>
            <w:r w:rsidRPr="00F0669B">
              <w:rPr>
                <w:b/>
              </w:rPr>
              <w:t>or restricted</w:t>
            </w:r>
            <w:r w:rsidR="0044562A" w:rsidRPr="00F0669B">
              <w:rPr>
                <w:b/>
              </w:rPr>
              <w:t>.</w:t>
            </w:r>
            <w:r w:rsidR="0044562A">
              <w:t xml:space="preserve"> </w:t>
            </w:r>
          </w:p>
          <w:p w:rsidR="00352383" w:rsidRDefault="004E00DC" w:rsidP="0044562A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Response was mixed to the wording of this standard. </w:t>
            </w:r>
            <w:r w:rsidR="0044562A">
              <w:t xml:space="preserve">Some respondents found that the wording added a needed level of rigor and challenge; others said that wording of the standard resulted in a goal that was not measureable.  </w:t>
            </w:r>
          </w:p>
        </w:tc>
      </w:tr>
      <w:tr w:rsidR="00352383" w:rsidTr="00327813">
        <w:tc>
          <w:tcPr>
            <w:tcW w:w="3258" w:type="dxa"/>
          </w:tcPr>
          <w:p w:rsidR="00352383" w:rsidRPr="00130041" w:rsidRDefault="00352383" w:rsidP="00821098">
            <w:pPr>
              <w:rPr>
                <w:b/>
              </w:rPr>
            </w:pPr>
            <w:r w:rsidRPr="00130041">
              <w:rPr>
                <w:b/>
              </w:rPr>
              <w:t>Writing</w:t>
            </w:r>
          </w:p>
          <w:p w:rsidR="00EB3D50" w:rsidRDefault="00352383" w:rsidP="00821098">
            <w:pPr>
              <w:rPr>
                <w:i/>
                <w:highlight w:val="yellow"/>
              </w:rPr>
            </w:pPr>
            <w:r>
              <w:t>Range of writing types in the standards</w:t>
            </w:r>
            <w:r w:rsidR="00EB3D50" w:rsidRPr="0027037E">
              <w:rPr>
                <w:i/>
                <w:highlight w:val="yellow"/>
              </w:rPr>
              <w:t xml:space="preserve"> </w:t>
            </w:r>
          </w:p>
          <w:p w:rsidR="00410DF7" w:rsidRPr="00C64EB7" w:rsidRDefault="00EB3D50" w:rsidP="00410DF7">
            <w:pPr>
              <w:rPr>
                <w:i/>
              </w:rPr>
            </w:pPr>
            <w:r w:rsidRPr="00E3072C">
              <w:rPr>
                <w:i/>
              </w:rPr>
              <w:t xml:space="preserve">Multiple pages; for example, addition of progression for poetry,  page </w:t>
            </w:r>
            <w:r w:rsidR="00673911">
              <w:rPr>
                <w:i/>
              </w:rPr>
              <w:t>28</w:t>
            </w:r>
            <w:r>
              <w:rPr>
                <w:i/>
              </w:rPr>
              <w:t>, W.1.3.a, W.2.3.</w:t>
            </w:r>
            <w:r w:rsidR="00673911">
              <w:rPr>
                <w:i/>
              </w:rPr>
              <w:t>a</w:t>
            </w:r>
            <w:r>
              <w:rPr>
                <w:i/>
              </w:rPr>
              <w:t>, W.3.3.f</w:t>
            </w:r>
            <w:r w:rsidR="00410DF7">
              <w:rPr>
                <w:i/>
              </w:rPr>
              <w:t xml:space="preserve">; see also Guiding Principle </w:t>
            </w:r>
            <w:r w:rsidR="007C1DF1">
              <w:rPr>
                <w:i/>
              </w:rPr>
              <w:t xml:space="preserve">8, </w:t>
            </w:r>
            <w:r w:rsidR="00410DF7">
              <w:rPr>
                <w:i/>
              </w:rPr>
              <w:t>page 7</w:t>
            </w:r>
          </w:p>
          <w:p w:rsidR="00352383" w:rsidRDefault="00352383" w:rsidP="00821098"/>
        </w:tc>
        <w:tc>
          <w:tcPr>
            <w:tcW w:w="7362" w:type="dxa"/>
          </w:tcPr>
          <w:p w:rsidR="00EB3D50" w:rsidRDefault="00352383" w:rsidP="00EB3D50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52755C">
              <w:rPr>
                <w:b/>
              </w:rPr>
              <w:t>A note has been added to the Writing Standards that explains that effective writing often bl</w:t>
            </w:r>
            <w:r w:rsidR="007E4D45">
              <w:rPr>
                <w:b/>
              </w:rPr>
              <w:t>ends different kinds of writing:</w:t>
            </w:r>
            <w:r w:rsidRPr="0052755C">
              <w:rPr>
                <w:b/>
              </w:rPr>
              <w:t xml:space="preserve"> </w:t>
            </w:r>
            <w:r w:rsidR="00DF3D4E">
              <w:rPr>
                <w:b/>
              </w:rPr>
              <w:t>opinion/</w:t>
            </w:r>
            <w:r w:rsidRPr="0052755C">
              <w:rPr>
                <w:b/>
              </w:rPr>
              <w:t>argument, explanation, and narrative</w:t>
            </w:r>
            <w:r>
              <w:t xml:space="preserve">, the three major types of writing for which there are progressions in the standards. </w:t>
            </w:r>
            <w:r w:rsidR="00EB3D50">
              <w:t xml:space="preserve"> </w:t>
            </w:r>
          </w:p>
          <w:p w:rsidR="00352383" w:rsidRDefault="00352383" w:rsidP="00873B93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52755C">
              <w:rPr>
                <w:b/>
              </w:rPr>
              <w:t>A new progression for writing poetry was added at the elementary level</w:t>
            </w:r>
            <w:r>
              <w:t xml:space="preserve"> because of 1) research linking foundational reading skills of identifying letter/sound correspondence with repeated sounds (rhyme, alliteration) and syllables with rhythms (meter, regular beat) and 2)</w:t>
            </w:r>
            <w:r w:rsidR="00487D08">
              <w:t xml:space="preserve"> </w:t>
            </w:r>
            <w:r>
              <w:t>the importance of poetry in building awareness of figurative language and metaphor.</w:t>
            </w:r>
          </w:p>
          <w:p w:rsidR="00352383" w:rsidRDefault="0044562A" w:rsidP="00EB3D50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rPr>
                <w:b/>
              </w:rPr>
              <w:t>Some r</w:t>
            </w:r>
            <w:r w:rsidR="0052755C" w:rsidRPr="0044562A">
              <w:rPr>
                <w:b/>
              </w:rPr>
              <w:t xml:space="preserve">espondents pointed out the importance of </w:t>
            </w:r>
            <w:r>
              <w:rPr>
                <w:b/>
              </w:rPr>
              <w:t xml:space="preserve">standards for </w:t>
            </w:r>
            <w:r w:rsidR="0052755C" w:rsidRPr="0044562A">
              <w:rPr>
                <w:b/>
              </w:rPr>
              <w:t xml:space="preserve">creative writing </w:t>
            </w:r>
            <w:r w:rsidR="0052755C">
              <w:t xml:space="preserve">– original stories, poems, and scripts– as a means of helping students gain a broader understanding of literary genres. </w:t>
            </w:r>
          </w:p>
        </w:tc>
      </w:tr>
      <w:tr w:rsidR="0044562A" w:rsidTr="00327813">
        <w:tc>
          <w:tcPr>
            <w:tcW w:w="3258" w:type="dxa"/>
          </w:tcPr>
          <w:p w:rsidR="0044562A" w:rsidRDefault="0044562A" w:rsidP="00821098">
            <w:pPr>
              <w:rPr>
                <w:b/>
              </w:rPr>
            </w:pPr>
            <w:r>
              <w:rPr>
                <w:b/>
              </w:rPr>
              <w:t>Writing</w:t>
            </w:r>
          </w:p>
          <w:p w:rsidR="00EB3D50" w:rsidRDefault="0044562A" w:rsidP="00BE2163">
            <w:pPr>
              <w:rPr>
                <w:i/>
                <w:highlight w:val="yellow"/>
              </w:rPr>
            </w:pPr>
            <w:r w:rsidRPr="00C304B8">
              <w:t>Research</w:t>
            </w:r>
            <w:r w:rsidR="00BE2163">
              <w:t>: Wording of Writing standards 7 and 8</w:t>
            </w:r>
            <w:r w:rsidR="00EB3D50" w:rsidRPr="0027037E">
              <w:rPr>
                <w:i/>
                <w:highlight w:val="yellow"/>
              </w:rPr>
              <w:t xml:space="preserve"> </w:t>
            </w:r>
          </w:p>
          <w:p w:rsidR="0044562A" w:rsidRPr="00C304B8" w:rsidRDefault="00EB3D50" w:rsidP="00673911">
            <w:r w:rsidRPr="00F42058">
              <w:rPr>
                <w:i/>
              </w:rPr>
              <w:lastRenderedPageBreak/>
              <w:t xml:space="preserve">Multiple pages; for example, </w:t>
            </w:r>
            <w:r w:rsidR="00F42058">
              <w:rPr>
                <w:i/>
              </w:rPr>
              <w:t xml:space="preserve">page </w:t>
            </w:r>
            <w:r w:rsidR="00673911">
              <w:rPr>
                <w:i/>
              </w:rPr>
              <w:t>74</w:t>
            </w:r>
            <w:r w:rsidR="00F42058">
              <w:rPr>
                <w:i/>
              </w:rPr>
              <w:t>, W.</w:t>
            </w:r>
            <w:r w:rsidR="00673911">
              <w:rPr>
                <w:i/>
              </w:rPr>
              <w:t>6</w:t>
            </w:r>
            <w:r w:rsidR="00F42058">
              <w:rPr>
                <w:i/>
              </w:rPr>
              <w:t>.7, W.</w:t>
            </w:r>
            <w:r w:rsidR="00673911">
              <w:rPr>
                <w:i/>
              </w:rPr>
              <w:t>6</w:t>
            </w:r>
            <w:r w:rsidR="00F42058">
              <w:rPr>
                <w:i/>
              </w:rPr>
              <w:t>.8, W.</w:t>
            </w:r>
            <w:r w:rsidR="00673911">
              <w:rPr>
                <w:i/>
              </w:rPr>
              <w:t>7</w:t>
            </w:r>
            <w:r w:rsidR="00F42058">
              <w:rPr>
                <w:i/>
              </w:rPr>
              <w:t>.7, W.</w:t>
            </w:r>
            <w:r w:rsidR="00673911">
              <w:rPr>
                <w:i/>
              </w:rPr>
              <w:t>7</w:t>
            </w:r>
            <w:r w:rsidR="00F42058">
              <w:rPr>
                <w:i/>
              </w:rPr>
              <w:t>.8</w:t>
            </w:r>
            <w:r w:rsidR="00673911">
              <w:rPr>
                <w:i/>
              </w:rPr>
              <w:t>, W.8.7, W.8.8</w:t>
            </w:r>
            <w:r w:rsidR="00F42058">
              <w:rPr>
                <w:i/>
              </w:rPr>
              <w:t>; page</w:t>
            </w:r>
            <w:r w:rsidR="00673911">
              <w:rPr>
                <w:i/>
              </w:rPr>
              <w:t xml:space="preserve"> 90</w:t>
            </w:r>
          </w:p>
        </w:tc>
        <w:tc>
          <w:tcPr>
            <w:tcW w:w="7362" w:type="dxa"/>
          </w:tcPr>
          <w:p w:rsidR="00BE2163" w:rsidRPr="00BE2163" w:rsidRDefault="00BE2163" w:rsidP="00BE2163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lastRenderedPageBreak/>
              <w:t>The phrase “short as well as more sustained research projects” has been restored</w:t>
            </w:r>
            <w:r w:rsidR="00487D08">
              <w:rPr>
                <w:b/>
              </w:rPr>
              <w:t xml:space="preserve"> in the upper grades</w:t>
            </w:r>
            <w:r>
              <w:rPr>
                <w:b/>
              </w:rPr>
              <w:t>;</w:t>
            </w:r>
            <w:r>
              <w:t xml:space="preserve"> it had been replaced with “research” in the public comment draft.</w:t>
            </w:r>
          </w:p>
          <w:p w:rsidR="00BE2163" w:rsidRDefault="00BE2163" w:rsidP="00BE2163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BE2163">
              <w:lastRenderedPageBreak/>
              <w:t>Respondents said that eliminating the word “projects” implied that students would not have to turn their research into a final paper or presentation.</w:t>
            </w:r>
          </w:p>
          <w:p w:rsidR="00FE31EE" w:rsidRDefault="00BE2163" w:rsidP="00BE2163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BE2163">
              <w:rPr>
                <w:b/>
              </w:rPr>
              <w:t>The phrase “when conducting research” was added to standard 8</w:t>
            </w:r>
            <w:r>
              <w:t xml:space="preserve"> to clarify the steps in verifying  and citing authoritative sources</w:t>
            </w:r>
            <w:r w:rsidR="00E36AB2">
              <w:t>.</w:t>
            </w:r>
            <w:r w:rsidRPr="00BE2163">
              <w:t xml:space="preserve"> </w:t>
            </w:r>
          </w:p>
          <w:p w:rsidR="00BE2163" w:rsidRPr="00BE2163" w:rsidRDefault="00FE31EE" w:rsidP="00BE2163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FE31EE">
              <w:rPr>
                <w:b/>
              </w:rPr>
              <w:t>References to Digital Literacy standards were added</w:t>
            </w:r>
            <w:r>
              <w:t xml:space="preserve"> to support the standards for </w:t>
            </w:r>
            <w:r w:rsidR="00EB3D50">
              <w:t xml:space="preserve">collaboration and </w:t>
            </w:r>
            <w:r>
              <w:t>research</w:t>
            </w:r>
            <w:r w:rsidR="00A52878">
              <w:t>.</w:t>
            </w:r>
          </w:p>
        </w:tc>
      </w:tr>
      <w:tr w:rsidR="00FE31EE" w:rsidTr="00327813">
        <w:tc>
          <w:tcPr>
            <w:tcW w:w="3258" w:type="dxa"/>
          </w:tcPr>
          <w:p w:rsidR="00FE31EE" w:rsidRDefault="00FE31EE" w:rsidP="0082109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Language </w:t>
            </w:r>
          </w:p>
          <w:p w:rsidR="00E0515D" w:rsidRDefault="00FE31EE" w:rsidP="000B3A1F">
            <w:r w:rsidRPr="00FE31EE">
              <w:t xml:space="preserve">Writing by </w:t>
            </w:r>
            <w:r w:rsidR="000B3A1F">
              <w:t>h</w:t>
            </w:r>
            <w:r w:rsidRPr="00FE31EE">
              <w:t>and</w:t>
            </w:r>
          </w:p>
          <w:p w:rsidR="00FE31EE" w:rsidRPr="00E0515D" w:rsidRDefault="00FE31EE" w:rsidP="001B08C0">
            <w:pPr>
              <w:rPr>
                <w:i/>
              </w:rPr>
            </w:pPr>
            <w:r w:rsidRPr="00FE31EE">
              <w:t xml:space="preserve"> </w:t>
            </w:r>
            <w:r w:rsidR="00E0515D" w:rsidRPr="00E0515D">
              <w:rPr>
                <w:i/>
              </w:rPr>
              <w:t>Page 4</w:t>
            </w:r>
            <w:r w:rsidR="001B08C0">
              <w:rPr>
                <w:i/>
              </w:rPr>
              <w:t>4</w:t>
            </w:r>
            <w:r w:rsidR="00E0515D" w:rsidRPr="00E0515D">
              <w:rPr>
                <w:i/>
              </w:rPr>
              <w:t xml:space="preserve">, L.1.2a, L.2.2a, L.3.2a, and page </w:t>
            </w:r>
            <w:r w:rsidR="001B08C0">
              <w:rPr>
                <w:i/>
              </w:rPr>
              <w:t>47</w:t>
            </w:r>
            <w:r w:rsidR="00E0515D" w:rsidRPr="00E0515D">
              <w:rPr>
                <w:i/>
              </w:rPr>
              <w:t xml:space="preserve">, L.4.2a, L.5.2a </w:t>
            </w:r>
          </w:p>
        </w:tc>
        <w:tc>
          <w:tcPr>
            <w:tcW w:w="7362" w:type="dxa"/>
          </w:tcPr>
          <w:p w:rsidR="00FE31EE" w:rsidRDefault="00FE31EE" w:rsidP="0044562A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>The standards on writing by hand, either by printing or by using cursive handwriting</w:t>
            </w:r>
            <w:r w:rsidR="00E36AB2">
              <w:rPr>
                <w:b/>
              </w:rPr>
              <w:t>,</w:t>
            </w:r>
            <w:r>
              <w:rPr>
                <w:b/>
              </w:rPr>
              <w:t xml:space="preserve"> were retained for pre-K</w:t>
            </w:r>
            <w:r w:rsidR="00960D1D" w:rsidRPr="00960D1D">
              <w:rPr>
                <w:b/>
                <w:i/>
              </w:rPr>
              <w:t>–</w:t>
            </w:r>
            <w:r>
              <w:rPr>
                <w:b/>
              </w:rPr>
              <w:t>5</w:t>
            </w:r>
            <w:r w:rsidR="006566FF">
              <w:rPr>
                <w:b/>
              </w:rPr>
              <w:t>.</w:t>
            </w:r>
          </w:p>
          <w:p w:rsidR="00FE31EE" w:rsidRPr="00FE31EE" w:rsidRDefault="00FE31EE" w:rsidP="00663F04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FE31EE">
              <w:t>Some</w:t>
            </w:r>
            <w:r>
              <w:t xml:space="preserve"> respondents </w:t>
            </w:r>
            <w:r w:rsidR="00E57F6A">
              <w:t>recommended</w:t>
            </w:r>
            <w:r>
              <w:t xml:space="preserve"> greater emphasis on keyboarding beginning in grade 2. The standards on writing by hand were retained because of the research connecting </w:t>
            </w:r>
            <w:r w:rsidR="00E36AB2">
              <w:t xml:space="preserve">handwriting with </w:t>
            </w:r>
            <w:r>
              <w:t>reading</w:t>
            </w:r>
            <w:r w:rsidR="00E57F6A">
              <w:t xml:space="preserve"> and </w:t>
            </w:r>
            <w:r w:rsidR="00E36AB2">
              <w:t>other writing</w:t>
            </w:r>
            <w:r>
              <w:t xml:space="preserve"> skills. </w:t>
            </w:r>
          </w:p>
        </w:tc>
      </w:tr>
      <w:tr w:rsidR="00352383" w:rsidTr="00327813">
        <w:tc>
          <w:tcPr>
            <w:tcW w:w="3258" w:type="dxa"/>
          </w:tcPr>
          <w:p w:rsidR="00352383" w:rsidRDefault="00352383" w:rsidP="00821098">
            <w:pPr>
              <w:rPr>
                <w:b/>
              </w:rPr>
            </w:pPr>
            <w:r w:rsidRPr="00130041">
              <w:rPr>
                <w:b/>
              </w:rPr>
              <w:t>Language</w:t>
            </w:r>
          </w:p>
          <w:p w:rsidR="00352383" w:rsidRDefault="00352383" w:rsidP="00111C1C">
            <w:r>
              <w:t>Inclusion of literary terms in Language Standard 6</w:t>
            </w:r>
          </w:p>
          <w:p w:rsidR="00F7344E" w:rsidRPr="00F7344E" w:rsidRDefault="00F7344E" w:rsidP="001B08C0">
            <w:pPr>
              <w:rPr>
                <w:i/>
              </w:rPr>
            </w:pPr>
            <w:r w:rsidRPr="00F7344E">
              <w:rPr>
                <w:i/>
              </w:rPr>
              <w:t xml:space="preserve">Multiple pages; for  example page </w:t>
            </w:r>
            <w:r w:rsidR="001B08C0">
              <w:rPr>
                <w:i/>
              </w:rPr>
              <w:t>49</w:t>
            </w:r>
            <w:r w:rsidRPr="00F7344E">
              <w:rPr>
                <w:i/>
              </w:rPr>
              <w:t>, L.4.6, L.5.6</w:t>
            </w:r>
          </w:p>
        </w:tc>
        <w:tc>
          <w:tcPr>
            <w:tcW w:w="7362" w:type="dxa"/>
          </w:tcPr>
          <w:p w:rsidR="00B0774B" w:rsidRDefault="0052755C" w:rsidP="00B0774B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52755C">
              <w:rPr>
                <w:b/>
              </w:rPr>
              <w:t>Literary t</w:t>
            </w:r>
            <w:r w:rsidR="00352383" w:rsidRPr="0052755C">
              <w:rPr>
                <w:b/>
              </w:rPr>
              <w:t>erms</w:t>
            </w:r>
            <w:r w:rsidRPr="0052755C">
              <w:rPr>
                <w:b/>
              </w:rPr>
              <w:t xml:space="preserve"> added in the public comment draft </w:t>
            </w:r>
            <w:r w:rsidR="00352383" w:rsidRPr="0052755C">
              <w:rPr>
                <w:b/>
              </w:rPr>
              <w:t>were removed</w:t>
            </w:r>
            <w:r w:rsidR="00F7344E">
              <w:rPr>
                <w:b/>
              </w:rPr>
              <w:t xml:space="preserve"> in pre-K</w:t>
            </w:r>
            <w:r w:rsidR="00960D1D" w:rsidRPr="00960D1D">
              <w:rPr>
                <w:b/>
                <w:i/>
              </w:rPr>
              <w:t>–</w:t>
            </w:r>
            <w:r w:rsidR="00F7344E">
              <w:rPr>
                <w:b/>
              </w:rPr>
              <w:t>12</w:t>
            </w:r>
            <w:r w:rsidR="00352383" w:rsidRPr="0052755C">
              <w:rPr>
                <w:b/>
              </w:rPr>
              <w:t xml:space="preserve"> </w:t>
            </w:r>
            <w:r w:rsidR="00352383">
              <w:t>in response to comments that includ</w:t>
            </w:r>
            <w:r w:rsidR="00B0774B">
              <w:t>ing</w:t>
            </w:r>
            <w:r w:rsidR="00352383">
              <w:t xml:space="preserve"> the</w:t>
            </w:r>
            <w:r w:rsidR="0044562A">
              <w:t>se terms</w:t>
            </w:r>
            <w:r w:rsidR="00352383">
              <w:t xml:space="preserve"> in </w:t>
            </w:r>
            <w:r w:rsidR="00B0774B">
              <w:t xml:space="preserve">the </w:t>
            </w:r>
            <w:r w:rsidR="0044562A">
              <w:t>Language standards</w:t>
            </w:r>
            <w:r w:rsidR="00B0774B">
              <w:t xml:space="preserve"> was redundant</w:t>
            </w:r>
            <w:r w:rsidR="00352383">
              <w:t xml:space="preserve"> when they were</w:t>
            </w:r>
            <w:r w:rsidR="00B0774B">
              <w:t xml:space="preserve"> already</w:t>
            </w:r>
            <w:r w:rsidR="00352383">
              <w:t xml:space="preserve"> in the Reading standards</w:t>
            </w:r>
            <w:r w:rsidR="0044562A">
              <w:t>.</w:t>
            </w:r>
            <w:r w:rsidR="00B0774B">
              <w:t xml:space="preserve">  </w:t>
            </w:r>
          </w:p>
          <w:p w:rsidR="00F7344E" w:rsidRDefault="00F7344E" w:rsidP="00B0774B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rPr>
                <w:b/>
              </w:rPr>
              <w:t>A cross-reference was from Language standard 6 to the Reading Literature and Reading Informational Text standards</w:t>
            </w:r>
            <w:r w:rsidR="00761E94">
              <w:rPr>
                <w:b/>
              </w:rPr>
              <w:t xml:space="preserve"> was maintained</w:t>
            </w:r>
            <w:r>
              <w:rPr>
                <w:b/>
              </w:rPr>
              <w:t xml:space="preserve">. </w:t>
            </w:r>
          </w:p>
          <w:p w:rsidR="00B0774B" w:rsidRDefault="00B0774B" w:rsidP="00B0774B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Some readers said there was no research supporting the idea that knowledge of literary terminology is essential to college and career readiness.</w:t>
            </w:r>
          </w:p>
          <w:p w:rsidR="00221325" w:rsidRDefault="00B0774B" w:rsidP="00B0774B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 xml:space="preserve">Readers pointed out that students should be able to apply the terms when discussing or writing about literature, not simply define them as vocabulary terms. </w:t>
            </w:r>
          </w:p>
          <w:p w:rsidR="00B0774B" w:rsidRDefault="00B0774B" w:rsidP="00B0774B">
            <w:pPr>
              <w:pStyle w:val="ListParagraph"/>
              <w:numPr>
                <w:ilvl w:val="0"/>
                <w:numId w:val="2"/>
              </w:numPr>
              <w:ind w:left="432"/>
            </w:pPr>
            <w:r>
              <w:t>Some readers, on the other hand, requested more extensive lists of terms.</w:t>
            </w:r>
          </w:p>
        </w:tc>
      </w:tr>
      <w:tr w:rsidR="005565FD" w:rsidTr="00327813">
        <w:tc>
          <w:tcPr>
            <w:tcW w:w="3258" w:type="dxa"/>
          </w:tcPr>
          <w:p w:rsidR="005565FD" w:rsidRDefault="005565FD" w:rsidP="00821098">
            <w:pPr>
              <w:rPr>
                <w:b/>
              </w:rPr>
            </w:pPr>
            <w:r>
              <w:rPr>
                <w:b/>
              </w:rPr>
              <w:t>Language</w:t>
            </w:r>
          </w:p>
          <w:p w:rsidR="005565FD" w:rsidRDefault="005565FD" w:rsidP="00821098">
            <w:r w:rsidRPr="005565FD">
              <w:t>Importance of developing general academic vocabulary</w:t>
            </w:r>
          </w:p>
          <w:p w:rsidR="005565FD" w:rsidRPr="009831E9" w:rsidRDefault="005565FD" w:rsidP="00942E2A">
            <w:pPr>
              <w:rPr>
                <w:i/>
              </w:rPr>
            </w:pPr>
            <w:r w:rsidRPr="009831E9">
              <w:rPr>
                <w:i/>
              </w:rPr>
              <w:t>Page</w:t>
            </w:r>
            <w:r w:rsidR="009831E9" w:rsidRPr="009831E9">
              <w:rPr>
                <w:i/>
              </w:rPr>
              <w:t xml:space="preserve"> 6</w:t>
            </w:r>
            <w:r w:rsidR="00037B4B">
              <w:rPr>
                <w:i/>
              </w:rPr>
              <w:t>; m</w:t>
            </w:r>
            <w:r w:rsidR="00037B4B" w:rsidRPr="00F7344E">
              <w:rPr>
                <w:i/>
              </w:rPr>
              <w:t>ultiple pages</w:t>
            </w:r>
            <w:r w:rsidR="00037B4B">
              <w:rPr>
                <w:i/>
              </w:rPr>
              <w:t xml:space="preserve"> for Language Standard 6,</w:t>
            </w:r>
            <w:r w:rsidR="00037B4B" w:rsidRPr="00F7344E">
              <w:rPr>
                <w:i/>
              </w:rPr>
              <w:t xml:space="preserve"> for  example page </w:t>
            </w:r>
            <w:r w:rsidR="00942E2A">
              <w:rPr>
                <w:i/>
              </w:rPr>
              <w:t>49</w:t>
            </w:r>
            <w:r w:rsidR="00037B4B" w:rsidRPr="00F7344E">
              <w:rPr>
                <w:i/>
              </w:rPr>
              <w:t>, L.4.6, L.5.6</w:t>
            </w:r>
          </w:p>
        </w:tc>
        <w:tc>
          <w:tcPr>
            <w:tcW w:w="7362" w:type="dxa"/>
          </w:tcPr>
          <w:p w:rsidR="005565FD" w:rsidRPr="006411D2" w:rsidRDefault="005565FD" w:rsidP="005565FD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 xml:space="preserve">A section was added to the Introduction to emphasize the development of general academic vocabulary, also known as Tier II vocabulary. </w:t>
            </w:r>
            <w:r>
              <w:t xml:space="preserve">Correspondents pointed to the importance, particularly for English </w:t>
            </w:r>
            <w:r w:rsidR="00761E94">
              <w:t>l</w:t>
            </w:r>
            <w:r>
              <w:t xml:space="preserve">earners, of understanding and being able to use high-frequency words used across academic areas. </w:t>
            </w:r>
          </w:p>
          <w:p w:rsidR="006411D2" w:rsidRPr="006411D2" w:rsidRDefault="006411D2" w:rsidP="005565FD">
            <w:pPr>
              <w:pStyle w:val="ListParagraph"/>
              <w:numPr>
                <w:ilvl w:val="0"/>
                <w:numId w:val="2"/>
              </w:numPr>
              <w:ind w:left="432"/>
            </w:pPr>
            <w:r w:rsidRPr="006411D2">
              <w:t>General academic vocabulary and domain-specific vocabulary are addressed in Language Standard 6, pre-K</w:t>
            </w:r>
            <w:r w:rsidR="00960D1D">
              <w:rPr>
                <w:i/>
              </w:rPr>
              <w:t>–</w:t>
            </w:r>
            <w:r w:rsidRPr="006411D2">
              <w:t>12.</w:t>
            </w:r>
          </w:p>
        </w:tc>
      </w:tr>
      <w:tr w:rsidR="00352383" w:rsidTr="00327813">
        <w:trPr>
          <w:trHeight w:val="935"/>
        </w:trPr>
        <w:tc>
          <w:tcPr>
            <w:tcW w:w="3258" w:type="dxa"/>
          </w:tcPr>
          <w:p w:rsidR="00352383" w:rsidRDefault="00352383" w:rsidP="00130041">
            <w:pPr>
              <w:rPr>
                <w:b/>
              </w:rPr>
            </w:pPr>
            <w:r w:rsidRPr="00111C1C">
              <w:rPr>
                <w:b/>
              </w:rPr>
              <w:t>Literacy in the Content Area</w:t>
            </w:r>
            <w:r>
              <w:rPr>
                <w:b/>
              </w:rPr>
              <w:t>s</w:t>
            </w:r>
          </w:p>
          <w:p w:rsidR="00352383" w:rsidRDefault="00352383" w:rsidP="00130041">
            <w:r>
              <w:t>Specific connections to other frameworks</w:t>
            </w:r>
          </w:p>
          <w:p w:rsidR="00037B4B" w:rsidRPr="00037B4B" w:rsidRDefault="00037B4B" w:rsidP="00942E2A">
            <w:pPr>
              <w:rPr>
                <w:i/>
              </w:rPr>
            </w:pPr>
            <w:r w:rsidRPr="00037B4B">
              <w:rPr>
                <w:i/>
              </w:rPr>
              <w:t>Pages 5</w:t>
            </w:r>
            <w:r w:rsidR="00942E2A">
              <w:rPr>
                <w:i/>
              </w:rPr>
              <w:t>1</w:t>
            </w:r>
            <w:r w:rsidR="00960D1D">
              <w:rPr>
                <w:i/>
              </w:rPr>
              <w:t>–</w:t>
            </w:r>
            <w:r w:rsidRPr="00037B4B">
              <w:rPr>
                <w:i/>
              </w:rPr>
              <w:t>5</w:t>
            </w:r>
            <w:r w:rsidR="00942E2A">
              <w:rPr>
                <w:i/>
              </w:rPr>
              <w:t>3</w:t>
            </w:r>
            <w:r w:rsidRPr="00037B4B">
              <w:rPr>
                <w:i/>
              </w:rPr>
              <w:t xml:space="preserve">, </w:t>
            </w:r>
            <w:r w:rsidR="00942E2A">
              <w:rPr>
                <w:i/>
              </w:rPr>
              <w:t>115</w:t>
            </w:r>
          </w:p>
        </w:tc>
        <w:tc>
          <w:tcPr>
            <w:tcW w:w="7362" w:type="dxa"/>
          </w:tcPr>
          <w:p w:rsidR="00352383" w:rsidRPr="00FE31EE" w:rsidRDefault="00037B4B" w:rsidP="00FE31EE">
            <w:pPr>
              <w:pStyle w:val="ListParagraph"/>
              <w:numPr>
                <w:ilvl w:val="0"/>
                <w:numId w:val="2"/>
              </w:numPr>
              <w:ind w:left="432"/>
              <w:rPr>
                <w:b/>
              </w:rPr>
            </w:pPr>
            <w:r>
              <w:rPr>
                <w:b/>
              </w:rPr>
              <w:t>New text in resource sections for pre-K</w:t>
            </w:r>
            <w:r w:rsidR="00960D1D" w:rsidRPr="00960D1D">
              <w:rPr>
                <w:b/>
                <w:i/>
              </w:rPr>
              <w:t>–</w:t>
            </w:r>
            <w:r>
              <w:rPr>
                <w:b/>
              </w:rPr>
              <w:t xml:space="preserve">5 and for Literacy in the Content Areas </w:t>
            </w:r>
            <w:r w:rsidR="00FE31EE">
              <w:rPr>
                <w:b/>
              </w:rPr>
              <w:t xml:space="preserve">connects literacy with math and science; </w:t>
            </w:r>
            <w:r w:rsidR="00FE31EE" w:rsidRPr="00FE31EE">
              <w:t xml:space="preserve">it </w:t>
            </w:r>
            <w:r w:rsidR="00352383" w:rsidRPr="00FE31EE">
              <w:t xml:space="preserve">describes the correspondences between </w:t>
            </w:r>
            <w:r w:rsidR="00FE31EE" w:rsidRPr="00FE31EE">
              <w:t xml:space="preserve">literacy standards, </w:t>
            </w:r>
            <w:r w:rsidR="00352383" w:rsidRPr="00FE31EE">
              <w:t>selected Standards for Mathematical Practice</w:t>
            </w:r>
            <w:r w:rsidR="00FE31EE" w:rsidRPr="00FE31EE">
              <w:t xml:space="preserve">, </w:t>
            </w:r>
            <w:r w:rsidR="00352383" w:rsidRPr="00FE31EE">
              <w:t xml:space="preserve">and </w:t>
            </w:r>
            <w:r w:rsidR="00FE31EE" w:rsidRPr="00FE31EE">
              <w:t>selected</w:t>
            </w:r>
            <w:r w:rsidR="00352383" w:rsidRPr="00FE31EE">
              <w:t xml:space="preserve"> Science Practices</w:t>
            </w:r>
            <w:r w:rsidR="006566FF">
              <w:t>.</w:t>
            </w:r>
            <w:r w:rsidR="00352383" w:rsidRPr="002820D4">
              <w:rPr>
                <w:b/>
              </w:rPr>
              <w:t xml:space="preserve"> </w:t>
            </w:r>
          </w:p>
        </w:tc>
      </w:tr>
    </w:tbl>
    <w:p w:rsidR="00821098" w:rsidRDefault="00821098"/>
    <w:sectPr w:rsidR="00821098" w:rsidSect="006566FF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1A" w:rsidRDefault="00295D1A" w:rsidP="00352383">
      <w:pPr>
        <w:spacing w:after="0" w:line="240" w:lineRule="auto"/>
      </w:pPr>
      <w:r>
        <w:separator/>
      </w:r>
    </w:p>
  </w:endnote>
  <w:endnote w:type="continuationSeparator" w:id="0">
    <w:p w:rsidR="00295D1A" w:rsidRDefault="00295D1A" w:rsidP="0035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686020"/>
      <w:docPartObj>
        <w:docPartGallery w:val="Page Numbers (Bottom of Page)"/>
        <w:docPartUnique/>
      </w:docPartObj>
    </w:sdtPr>
    <w:sdtEndPr/>
    <w:sdtContent>
      <w:p w:rsidR="00295D1A" w:rsidRDefault="005456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D1A" w:rsidRDefault="0029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1A" w:rsidRDefault="00295D1A" w:rsidP="00352383">
      <w:pPr>
        <w:spacing w:after="0" w:line="240" w:lineRule="auto"/>
      </w:pPr>
      <w:r>
        <w:separator/>
      </w:r>
    </w:p>
  </w:footnote>
  <w:footnote w:type="continuationSeparator" w:id="0">
    <w:p w:rsidR="00295D1A" w:rsidRDefault="00295D1A" w:rsidP="00352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2119"/>
    <w:multiLevelType w:val="hybridMultilevel"/>
    <w:tmpl w:val="FE325A0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47B65E43"/>
    <w:multiLevelType w:val="hybridMultilevel"/>
    <w:tmpl w:val="B16C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6091"/>
    <w:multiLevelType w:val="hybridMultilevel"/>
    <w:tmpl w:val="BA28FF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A3F50"/>
    <w:multiLevelType w:val="hybridMultilevel"/>
    <w:tmpl w:val="49B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C7023"/>
    <w:multiLevelType w:val="hybridMultilevel"/>
    <w:tmpl w:val="7E00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A1"/>
    <w:rsid w:val="0002277D"/>
    <w:rsid w:val="00031556"/>
    <w:rsid w:val="00037B4B"/>
    <w:rsid w:val="00041805"/>
    <w:rsid w:val="00046059"/>
    <w:rsid w:val="000712E8"/>
    <w:rsid w:val="000750CA"/>
    <w:rsid w:val="000761C6"/>
    <w:rsid w:val="000B3A1F"/>
    <w:rsid w:val="000B536C"/>
    <w:rsid w:val="000B613B"/>
    <w:rsid w:val="000C361D"/>
    <w:rsid w:val="00107AD7"/>
    <w:rsid w:val="00111C1C"/>
    <w:rsid w:val="0012475E"/>
    <w:rsid w:val="00130041"/>
    <w:rsid w:val="00156347"/>
    <w:rsid w:val="00156722"/>
    <w:rsid w:val="001A2F10"/>
    <w:rsid w:val="001A3C51"/>
    <w:rsid w:val="001A5D16"/>
    <w:rsid w:val="001B0124"/>
    <w:rsid w:val="001B08C0"/>
    <w:rsid w:val="001C5FB2"/>
    <w:rsid w:val="001C70ED"/>
    <w:rsid w:val="0020680C"/>
    <w:rsid w:val="00221325"/>
    <w:rsid w:val="00237D86"/>
    <w:rsid w:val="0027037E"/>
    <w:rsid w:val="00281227"/>
    <w:rsid w:val="002820D4"/>
    <w:rsid w:val="002902C8"/>
    <w:rsid w:val="00295D1A"/>
    <w:rsid w:val="002A4CCE"/>
    <w:rsid w:val="00305A61"/>
    <w:rsid w:val="00312374"/>
    <w:rsid w:val="00327813"/>
    <w:rsid w:val="00330563"/>
    <w:rsid w:val="00352383"/>
    <w:rsid w:val="003A782B"/>
    <w:rsid w:val="003B118B"/>
    <w:rsid w:val="004041DE"/>
    <w:rsid w:val="00410DF7"/>
    <w:rsid w:val="00431D52"/>
    <w:rsid w:val="0044562A"/>
    <w:rsid w:val="00457612"/>
    <w:rsid w:val="004673C3"/>
    <w:rsid w:val="00476BC1"/>
    <w:rsid w:val="00487D08"/>
    <w:rsid w:val="004E00DC"/>
    <w:rsid w:val="0052755C"/>
    <w:rsid w:val="00533F14"/>
    <w:rsid w:val="0054563A"/>
    <w:rsid w:val="005565FD"/>
    <w:rsid w:val="00573C43"/>
    <w:rsid w:val="0058553E"/>
    <w:rsid w:val="005C1F1F"/>
    <w:rsid w:val="005D40AD"/>
    <w:rsid w:val="005D4A22"/>
    <w:rsid w:val="006411D2"/>
    <w:rsid w:val="006506F7"/>
    <w:rsid w:val="00652D99"/>
    <w:rsid w:val="006566FF"/>
    <w:rsid w:val="00663F04"/>
    <w:rsid w:val="006723DA"/>
    <w:rsid w:val="00673911"/>
    <w:rsid w:val="00676975"/>
    <w:rsid w:val="006C6DC6"/>
    <w:rsid w:val="00732538"/>
    <w:rsid w:val="007562DA"/>
    <w:rsid w:val="00760597"/>
    <w:rsid w:val="00761E94"/>
    <w:rsid w:val="007A724F"/>
    <w:rsid w:val="007C0CA3"/>
    <w:rsid w:val="007C1DF1"/>
    <w:rsid w:val="007E4D45"/>
    <w:rsid w:val="007F2CB5"/>
    <w:rsid w:val="007F5261"/>
    <w:rsid w:val="00821098"/>
    <w:rsid w:val="00873B93"/>
    <w:rsid w:val="008C5EFC"/>
    <w:rsid w:val="00910E83"/>
    <w:rsid w:val="00942E2A"/>
    <w:rsid w:val="00960D1D"/>
    <w:rsid w:val="009831E9"/>
    <w:rsid w:val="009C177C"/>
    <w:rsid w:val="009C7F8C"/>
    <w:rsid w:val="00A107A1"/>
    <w:rsid w:val="00A52878"/>
    <w:rsid w:val="00A77158"/>
    <w:rsid w:val="00A863A9"/>
    <w:rsid w:val="00AA0122"/>
    <w:rsid w:val="00AB7E48"/>
    <w:rsid w:val="00AC3BE3"/>
    <w:rsid w:val="00AD3C6A"/>
    <w:rsid w:val="00B0774B"/>
    <w:rsid w:val="00B2362D"/>
    <w:rsid w:val="00B34004"/>
    <w:rsid w:val="00B34305"/>
    <w:rsid w:val="00B47D99"/>
    <w:rsid w:val="00B745E5"/>
    <w:rsid w:val="00B966A8"/>
    <w:rsid w:val="00BB6559"/>
    <w:rsid w:val="00BC69A0"/>
    <w:rsid w:val="00BE1612"/>
    <w:rsid w:val="00BE2163"/>
    <w:rsid w:val="00C304B8"/>
    <w:rsid w:val="00C40903"/>
    <w:rsid w:val="00C60AB2"/>
    <w:rsid w:val="00C64EB7"/>
    <w:rsid w:val="00CA02A6"/>
    <w:rsid w:val="00CA1E8F"/>
    <w:rsid w:val="00CA3B54"/>
    <w:rsid w:val="00CE32E2"/>
    <w:rsid w:val="00CF3042"/>
    <w:rsid w:val="00CF7462"/>
    <w:rsid w:val="00D263CC"/>
    <w:rsid w:val="00D5339E"/>
    <w:rsid w:val="00D84087"/>
    <w:rsid w:val="00D93DDD"/>
    <w:rsid w:val="00D95FF8"/>
    <w:rsid w:val="00DB3487"/>
    <w:rsid w:val="00DC2941"/>
    <w:rsid w:val="00DE16C9"/>
    <w:rsid w:val="00DF3D4E"/>
    <w:rsid w:val="00E0515D"/>
    <w:rsid w:val="00E1330D"/>
    <w:rsid w:val="00E165D1"/>
    <w:rsid w:val="00E3072C"/>
    <w:rsid w:val="00E368D2"/>
    <w:rsid w:val="00E36AB2"/>
    <w:rsid w:val="00E57F6A"/>
    <w:rsid w:val="00E67C30"/>
    <w:rsid w:val="00E83034"/>
    <w:rsid w:val="00EB3D50"/>
    <w:rsid w:val="00EC6830"/>
    <w:rsid w:val="00EC7B8D"/>
    <w:rsid w:val="00ED64DC"/>
    <w:rsid w:val="00EE7173"/>
    <w:rsid w:val="00EF0358"/>
    <w:rsid w:val="00EF2620"/>
    <w:rsid w:val="00F0669B"/>
    <w:rsid w:val="00F2482F"/>
    <w:rsid w:val="00F35BDD"/>
    <w:rsid w:val="00F42058"/>
    <w:rsid w:val="00F42F8D"/>
    <w:rsid w:val="00F50C93"/>
    <w:rsid w:val="00F55317"/>
    <w:rsid w:val="00F568FE"/>
    <w:rsid w:val="00F61CC4"/>
    <w:rsid w:val="00F7344E"/>
    <w:rsid w:val="00F95513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B305A-039D-4ED5-86DD-C5C1B47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5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2383"/>
  </w:style>
  <w:style w:type="paragraph" w:styleId="Footer">
    <w:name w:val="footer"/>
    <w:basedOn w:val="Normal"/>
    <w:link w:val="FooterChar"/>
    <w:uiPriority w:val="99"/>
    <w:unhideWhenUsed/>
    <w:rsid w:val="00352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83"/>
  </w:style>
  <w:style w:type="character" w:styleId="CommentReference">
    <w:name w:val="annotation reference"/>
    <w:basedOn w:val="DefaultParagraphFont"/>
    <w:uiPriority w:val="99"/>
    <w:semiHidden/>
    <w:unhideWhenUsed/>
    <w:rsid w:val="00B34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0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DESE-231-32131</_dlc_DocId>
    <_dlc_DocIdUrl xmlns="733efe1c-5bbe-4968-87dc-d400e65c879f">
      <Url>https://sharepoint.doemass.org/ese/webteam/cps/_layouts/DocIdRedir.aspx?ID=DESE-231-32131</Url>
      <Description>DESE-231-32131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48DB56E-5220-41B3-9EEB-A7FAF3B8C8D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BACE3F8-D707-4F05-8FE7-63F97E38C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DCA190-BCC3-4E9A-AEBA-CAD8D557F9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B4412-B42C-438E-B209-4FD56643A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March 2017: Summary of major themes in response to the public comment draft of the Massachusetts Curriculum Framework for English Language Arts and Literacy, December 1, 2016 – February 17, 2017</vt:lpstr>
    </vt:vector>
  </TitlesOfParts>
  <Company>Microsoft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March 2017: Summary of Major Themes in Response to the Public Comment Draft of the MA Curriculum Framework for ELA and Literacy, Dec. 1, 2016 – Feb. 17, 2017</dc:title>
  <dc:creator>ESE</dc:creator>
  <cp:lastModifiedBy>Giovanni, Danielle (EOE)</cp:lastModifiedBy>
  <cp:revision>5</cp:revision>
  <cp:lastPrinted>2017-03-15T13:29:00Z</cp:lastPrinted>
  <dcterms:created xsi:type="dcterms:W3CDTF">2017-03-23T15:27:00Z</dcterms:created>
  <dcterms:modified xsi:type="dcterms:W3CDTF">2017-03-23T23:12:00Z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504063ab-f26f-4a77-b6ff-a2eac5f2dc9e</vt:lpwstr>
  </property>
  <property fmtid="{D5CDD505-2E9C-101B-9397-08002B2CF9AE}" pid="4" name="metadate">
    <vt:lpwstr>Mar 23 2017</vt:lpwstr>
  </property>
</Properties>
</file>