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B7B" w:rsidRDefault="00275B7B" w:rsidP="00275B7B">
      <w:pPr>
        <w:spacing w:after="0" w:line="240" w:lineRule="auto"/>
        <w:jc w:val="center"/>
        <w:rPr>
          <w:b/>
        </w:rPr>
      </w:pPr>
      <w:bookmarkStart w:id="0" w:name="_GoBack"/>
      <w:bookmarkStart w:id="1" w:name="OLE_LINK1"/>
      <w:bookmarkStart w:id="2" w:name="OLE_LINK2"/>
      <w:bookmarkEnd w:id="0"/>
      <w:r w:rsidRPr="00111C1C">
        <w:rPr>
          <w:b/>
        </w:rPr>
        <w:t xml:space="preserve">Summary of </w:t>
      </w:r>
      <w:r>
        <w:rPr>
          <w:b/>
        </w:rPr>
        <w:t>m</w:t>
      </w:r>
      <w:r w:rsidRPr="00111C1C">
        <w:rPr>
          <w:b/>
        </w:rPr>
        <w:t xml:space="preserve">ajor </w:t>
      </w:r>
      <w:r>
        <w:rPr>
          <w:b/>
        </w:rPr>
        <w:t>t</w:t>
      </w:r>
      <w:r w:rsidRPr="00111C1C">
        <w:rPr>
          <w:b/>
        </w:rPr>
        <w:t xml:space="preserve">hemes in </w:t>
      </w:r>
      <w:r>
        <w:rPr>
          <w:b/>
        </w:rPr>
        <w:t>r</w:t>
      </w:r>
      <w:r w:rsidRPr="00111C1C">
        <w:rPr>
          <w:b/>
        </w:rPr>
        <w:t>esponse to the public comment draft of</w:t>
      </w:r>
    </w:p>
    <w:p w:rsidR="00275B7B" w:rsidRDefault="00275B7B" w:rsidP="00275B7B">
      <w:pPr>
        <w:spacing w:after="0" w:line="240" w:lineRule="auto"/>
        <w:jc w:val="center"/>
        <w:rPr>
          <w:b/>
        </w:rPr>
      </w:pPr>
      <w:r w:rsidRPr="00111C1C">
        <w:rPr>
          <w:b/>
        </w:rPr>
        <w:t xml:space="preserve">the </w:t>
      </w:r>
      <w:r>
        <w:rPr>
          <w:b/>
          <w:i/>
        </w:rPr>
        <w:t xml:space="preserve">Regulations for Educator License </w:t>
      </w:r>
      <w:r w:rsidR="007904AE">
        <w:rPr>
          <w:b/>
          <w:i/>
        </w:rPr>
        <w:t>Renewal (</w:t>
      </w:r>
      <w:r>
        <w:rPr>
          <w:b/>
          <w:i/>
        </w:rPr>
        <w:t xml:space="preserve">603 CMR </w:t>
      </w:r>
      <w:r w:rsidR="00B51E06">
        <w:rPr>
          <w:b/>
          <w:i/>
        </w:rPr>
        <w:t>44</w:t>
      </w:r>
      <w:r>
        <w:rPr>
          <w:b/>
          <w:i/>
        </w:rPr>
        <w:t>.00)</w:t>
      </w:r>
    </w:p>
    <w:p w:rsidR="00275B7B" w:rsidRDefault="00275B7B" w:rsidP="00275B7B">
      <w:pPr>
        <w:spacing w:after="0" w:line="240" w:lineRule="auto"/>
        <w:jc w:val="center"/>
        <w:rPr>
          <w:b/>
        </w:rPr>
      </w:pPr>
      <w:r>
        <w:rPr>
          <w:b/>
        </w:rPr>
        <w:t>March 5, 2017 – May 1, 2017</w:t>
      </w:r>
    </w:p>
    <w:bookmarkEnd w:id="1"/>
    <w:bookmarkEnd w:id="2"/>
    <w:p w:rsidR="00275B7B" w:rsidRPr="00EF0358" w:rsidRDefault="00275B7B" w:rsidP="00275B7B">
      <w:pPr>
        <w:spacing w:after="0" w:line="240" w:lineRule="auto"/>
        <w:rPr>
          <w:sz w:val="20"/>
          <w:szCs w:val="20"/>
        </w:rPr>
      </w:pPr>
      <w:r w:rsidRPr="00EF0358">
        <w:rPr>
          <w:sz w:val="20"/>
          <w:szCs w:val="20"/>
        </w:rPr>
        <w:t>Sources:</w:t>
      </w:r>
    </w:p>
    <w:p w:rsidR="00275B7B" w:rsidRDefault="00275B7B" w:rsidP="00275B7B">
      <w:pPr>
        <w:pStyle w:val="ListParagraph"/>
        <w:numPr>
          <w:ilvl w:val="0"/>
          <w:numId w:val="6"/>
        </w:numPr>
        <w:spacing w:after="0" w:line="240" w:lineRule="auto"/>
        <w:rPr>
          <w:sz w:val="20"/>
          <w:szCs w:val="20"/>
        </w:rPr>
      </w:pPr>
      <w:r w:rsidRPr="00EF0358">
        <w:rPr>
          <w:sz w:val="20"/>
          <w:szCs w:val="20"/>
        </w:rPr>
        <w:t>Online public comment survey (</w:t>
      </w:r>
      <w:r w:rsidR="00F3464A">
        <w:rPr>
          <w:sz w:val="20"/>
          <w:szCs w:val="20"/>
        </w:rPr>
        <w:t>30</w:t>
      </w:r>
      <w:r w:rsidRPr="00EF0358">
        <w:rPr>
          <w:sz w:val="20"/>
          <w:szCs w:val="20"/>
        </w:rPr>
        <w:t xml:space="preserve"> full responses</w:t>
      </w:r>
      <w:r w:rsidR="008D6918">
        <w:rPr>
          <w:sz w:val="20"/>
          <w:szCs w:val="20"/>
        </w:rPr>
        <w:t xml:space="preserve"> and </w:t>
      </w:r>
      <w:r w:rsidR="00F3464A">
        <w:rPr>
          <w:sz w:val="20"/>
          <w:szCs w:val="20"/>
        </w:rPr>
        <w:t>62</w:t>
      </w:r>
      <w:r w:rsidR="008D6918">
        <w:rPr>
          <w:sz w:val="20"/>
          <w:szCs w:val="20"/>
        </w:rPr>
        <w:t xml:space="preserve"> partial responses</w:t>
      </w:r>
      <w:r>
        <w:rPr>
          <w:sz w:val="20"/>
          <w:szCs w:val="20"/>
        </w:rPr>
        <w:t>)</w:t>
      </w:r>
      <w:r w:rsidRPr="00EF0358">
        <w:rPr>
          <w:sz w:val="20"/>
          <w:szCs w:val="20"/>
        </w:rPr>
        <w:t xml:space="preserve"> </w:t>
      </w:r>
    </w:p>
    <w:p w:rsidR="0095617A" w:rsidRPr="008B29F9" w:rsidRDefault="00275B7B" w:rsidP="008B29F9">
      <w:pPr>
        <w:pStyle w:val="ListParagraph"/>
        <w:numPr>
          <w:ilvl w:val="0"/>
          <w:numId w:val="6"/>
        </w:numPr>
        <w:spacing w:after="0" w:line="240" w:lineRule="auto"/>
        <w:rPr>
          <w:rFonts w:asciiTheme="majorHAnsi" w:hAnsiTheme="majorHAnsi"/>
          <w:sz w:val="20"/>
          <w:szCs w:val="20"/>
        </w:rPr>
      </w:pPr>
      <w:r w:rsidRPr="008B29F9">
        <w:rPr>
          <w:sz w:val="20"/>
          <w:szCs w:val="20"/>
        </w:rPr>
        <w:t>Additional correspondences received through email and/or a letter (</w:t>
      </w:r>
      <w:r w:rsidR="007C5EF4" w:rsidRPr="008B29F9">
        <w:rPr>
          <w:sz w:val="20"/>
          <w:szCs w:val="20"/>
        </w:rPr>
        <w:t>3</w:t>
      </w:r>
      <w:r w:rsidRPr="008B29F9">
        <w:rPr>
          <w:sz w:val="20"/>
          <w:szCs w:val="20"/>
        </w:rPr>
        <w:t>)</w:t>
      </w:r>
    </w:p>
    <w:p w:rsidR="0025625C" w:rsidRPr="008B29F9" w:rsidRDefault="0025625C" w:rsidP="001B3D34">
      <w:pPr>
        <w:spacing w:after="0" w:line="240" w:lineRule="auto"/>
        <w:jc w:val="center"/>
        <w:rPr>
          <w:rFonts w:asciiTheme="majorHAnsi" w:hAnsiTheme="majorHAnsi"/>
          <w:sz w:val="20"/>
          <w:szCs w:val="20"/>
        </w:rPr>
      </w:pPr>
    </w:p>
    <w:tbl>
      <w:tblPr>
        <w:tblStyle w:val="TableGrid"/>
        <w:tblW w:w="14400" w:type="dxa"/>
        <w:tblInd w:w="-612" w:type="dxa"/>
        <w:tblLayout w:type="fixed"/>
        <w:tblLook w:val="04A0"/>
      </w:tblPr>
      <w:tblGrid>
        <w:gridCol w:w="3780"/>
        <w:gridCol w:w="4680"/>
        <w:gridCol w:w="5940"/>
      </w:tblGrid>
      <w:tr w:rsidR="00775909" w:rsidRPr="00ED512A" w:rsidTr="008B29F9">
        <w:tc>
          <w:tcPr>
            <w:tcW w:w="3780" w:type="dxa"/>
            <w:shd w:val="clear" w:color="auto" w:fill="FBD4B4" w:themeFill="accent6" w:themeFillTint="66"/>
          </w:tcPr>
          <w:p w:rsidR="00775909" w:rsidRPr="004844CD" w:rsidRDefault="00775909" w:rsidP="004844CD">
            <w:pPr>
              <w:spacing w:after="0" w:line="240" w:lineRule="auto"/>
              <w:rPr>
                <w:rFonts w:asciiTheme="majorHAnsi" w:hAnsiTheme="majorHAnsi"/>
                <w:b/>
              </w:rPr>
            </w:pPr>
            <w:r w:rsidRPr="008B29F9">
              <w:rPr>
                <w:rFonts w:asciiTheme="majorHAnsi" w:hAnsiTheme="majorHAnsi"/>
                <w:b/>
                <w:sz w:val="20"/>
                <w:szCs w:val="20"/>
              </w:rPr>
              <w:t>ESE Propo</w:t>
            </w:r>
            <w:r w:rsidRPr="008B29F9">
              <w:rPr>
                <w:rFonts w:asciiTheme="majorHAnsi" w:hAnsiTheme="majorHAnsi"/>
                <w:b/>
              </w:rPr>
              <w:t>s</w:t>
            </w:r>
            <w:r>
              <w:rPr>
                <w:rFonts w:asciiTheme="majorHAnsi" w:hAnsiTheme="majorHAnsi"/>
                <w:b/>
              </w:rPr>
              <w:t>ed Change</w:t>
            </w:r>
          </w:p>
        </w:tc>
        <w:tc>
          <w:tcPr>
            <w:tcW w:w="4680" w:type="dxa"/>
            <w:shd w:val="clear" w:color="auto" w:fill="FBD4B4" w:themeFill="accent6" w:themeFillTint="66"/>
          </w:tcPr>
          <w:p w:rsidR="00775909" w:rsidRPr="00ED512A" w:rsidRDefault="00775909" w:rsidP="00023DED">
            <w:pPr>
              <w:spacing w:after="0" w:line="240" w:lineRule="auto"/>
              <w:rPr>
                <w:rFonts w:asciiTheme="majorHAnsi" w:hAnsiTheme="majorHAnsi"/>
                <w:b/>
              </w:rPr>
            </w:pPr>
            <w:r>
              <w:rPr>
                <w:rFonts w:asciiTheme="majorHAnsi" w:hAnsiTheme="majorHAnsi"/>
                <w:b/>
              </w:rPr>
              <w:t>Summary of Public Comment Received</w:t>
            </w:r>
          </w:p>
        </w:tc>
        <w:tc>
          <w:tcPr>
            <w:tcW w:w="5940" w:type="dxa"/>
            <w:shd w:val="clear" w:color="auto" w:fill="FBD4B4" w:themeFill="accent6" w:themeFillTint="66"/>
          </w:tcPr>
          <w:p w:rsidR="00775909" w:rsidRDefault="00775909" w:rsidP="00023DED">
            <w:pPr>
              <w:spacing w:after="0" w:line="240" w:lineRule="auto"/>
              <w:rPr>
                <w:rFonts w:asciiTheme="majorHAnsi" w:hAnsiTheme="majorHAnsi"/>
                <w:b/>
              </w:rPr>
            </w:pPr>
            <w:r>
              <w:rPr>
                <w:rFonts w:asciiTheme="majorHAnsi" w:hAnsiTheme="majorHAnsi"/>
                <w:b/>
              </w:rPr>
              <w:t>ESE Response</w:t>
            </w:r>
          </w:p>
        </w:tc>
      </w:tr>
      <w:tr w:rsidR="00775909" w:rsidRPr="00ED512A" w:rsidTr="008B29F9">
        <w:tc>
          <w:tcPr>
            <w:tcW w:w="3780" w:type="dxa"/>
            <w:shd w:val="clear" w:color="auto" w:fill="C6D9F1" w:themeFill="text2" w:themeFillTint="33"/>
          </w:tcPr>
          <w:p w:rsidR="00775909" w:rsidRPr="0017642F" w:rsidRDefault="00775909" w:rsidP="00344EDD">
            <w:pPr>
              <w:spacing w:after="0" w:line="240" w:lineRule="auto"/>
              <w:rPr>
                <w:rFonts w:asciiTheme="majorHAnsi" w:hAnsiTheme="majorHAnsi"/>
                <w:b/>
                <w:i/>
              </w:rPr>
            </w:pPr>
            <w:r w:rsidRPr="0017642F">
              <w:rPr>
                <w:rFonts w:asciiTheme="majorHAnsi" w:hAnsiTheme="majorHAnsi"/>
                <w:b/>
                <w:i/>
              </w:rPr>
              <w:t>603 CMR 44.0</w:t>
            </w:r>
            <w:r>
              <w:rPr>
                <w:rFonts w:asciiTheme="majorHAnsi" w:hAnsiTheme="majorHAnsi"/>
                <w:b/>
                <w:i/>
              </w:rPr>
              <w:t>2</w:t>
            </w:r>
            <w:r w:rsidRPr="0017642F">
              <w:rPr>
                <w:rFonts w:asciiTheme="majorHAnsi" w:hAnsiTheme="majorHAnsi"/>
                <w:b/>
                <w:i/>
              </w:rPr>
              <w:t xml:space="preserve"> </w:t>
            </w:r>
            <w:r>
              <w:rPr>
                <w:rFonts w:asciiTheme="majorHAnsi" w:hAnsiTheme="majorHAnsi"/>
                <w:b/>
                <w:i/>
              </w:rPr>
              <w:t>Definitions</w:t>
            </w:r>
            <w:r w:rsidRPr="0017642F">
              <w:rPr>
                <w:rFonts w:asciiTheme="majorHAnsi" w:hAnsiTheme="majorHAnsi"/>
                <w:b/>
                <w:i/>
              </w:rPr>
              <w:t xml:space="preserve"> </w:t>
            </w:r>
          </w:p>
        </w:tc>
        <w:tc>
          <w:tcPr>
            <w:tcW w:w="4680" w:type="dxa"/>
            <w:shd w:val="clear" w:color="auto" w:fill="C6D9F1" w:themeFill="text2" w:themeFillTint="33"/>
          </w:tcPr>
          <w:p w:rsidR="00775909" w:rsidRPr="00023DED" w:rsidRDefault="00775909" w:rsidP="00023DED">
            <w:pPr>
              <w:spacing w:after="0" w:line="240" w:lineRule="auto"/>
              <w:ind w:left="360"/>
              <w:rPr>
                <w:rFonts w:asciiTheme="majorHAnsi" w:hAnsiTheme="majorHAnsi"/>
              </w:rPr>
            </w:pPr>
          </w:p>
        </w:tc>
        <w:tc>
          <w:tcPr>
            <w:tcW w:w="5940" w:type="dxa"/>
            <w:shd w:val="clear" w:color="auto" w:fill="C6D9F1" w:themeFill="text2" w:themeFillTint="33"/>
          </w:tcPr>
          <w:p w:rsidR="00775909" w:rsidRPr="00023DED" w:rsidRDefault="00775909" w:rsidP="00023DED">
            <w:pPr>
              <w:spacing w:after="0" w:line="240" w:lineRule="auto"/>
              <w:ind w:left="360"/>
              <w:rPr>
                <w:rFonts w:asciiTheme="majorHAnsi" w:hAnsiTheme="majorHAnsi"/>
              </w:rPr>
            </w:pPr>
          </w:p>
        </w:tc>
      </w:tr>
      <w:tr w:rsidR="00775909" w:rsidRPr="00ED512A" w:rsidTr="008B29F9">
        <w:trPr>
          <w:trHeight w:val="98"/>
        </w:trPr>
        <w:tc>
          <w:tcPr>
            <w:tcW w:w="3780" w:type="dxa"/>
          </w:tcPr>
          <w:p w:rsidR="00775909" w:rsidRPr="006B6912" w:rsidRDefault="00775909" w:rsidP="00344EDD">
            <w:pPr>
              <w:spacing w:after="0" w:line="240" w:lineRule="auto"/>
              <w:rPr>
                <w:rFonts w:asciiTheme="majorHAnsi" w:hAnsiTheme="majorHAnsi"/>
              </w:rPr>
            </w:pPr>
            <w:r>
              <w:rPr>
                <w:rFonts w:asciiTheme="majorHAnsi" w:hAnsiTheme="majorHAnsi"/>
              </w:rPr>
              <w:t xml:space="preserve">The Department created a new definition for the term additional license, modified several definitions and eliminated definitions that are not </w:t>
            </w:r>
            <w:r w:rsidR="00921757">
              <w:rPr>
                <w:rFonts w:asciiTheme="majorHAnsi" w:hAnsiTheme="majorHAnsi"/>
              </w:rPr>
              <w:t xml:space="preserve">currently </w:t>
            </w:r>
            <w:r>
              <w:rPr>
                <w:rFonts w:asciiTheme="majorHAnsi" w:hAnsiTheme="majorHAnsi"/>
              </w:rPr>
              <w:t>components of license renewal</w:t>
            </w:r>
            <w:r w:rsidR="00C5551D">
              <w:rPr>
                <w:rFonts w:asciiTheme="majorHAnsi" w:hAnsiTheme="majorHAnsi"/>
              </w:rPr>
              <w:t xml:space="preserve"> such as low performing mathematics program and mathematics content assessment. </w:t>
            </w:r>
          </w:p>
          <w:p w:rsidR="00775909" w:rsidRDefault="00775909" w:rsidP="00344EDD">
            <w:pPr>
              <w:spacing w:after="0" w:line="240" w:lineRule="auto"/>
              <w:rPr>
                <w:rFonts w:asciiTheme="majorHAnsi" w:hAnsiTheme="majorHAnsi"/>
                <w:b/>
                <w:i/>
              </w:rPr>
            </w:pPr>
          </w:p>
          <w:p w:rsidR="00775909" w:rsidRPr="0017642F" w:rsidRDefault="00775909" w:rsidP="00344EDD">
            <w:pPr>
              <w:spacing w:after="0" w:line="240" w:lineRule="auto"/>
              <w:rPr>
                <w:rFonts w:asciiTheme="majorHAnsi" w:hAnsiTheme="majorHAnsi"/>
                <w:b/>
                <w:i/>
              </w:rPr>
            </w:pPr>
          </w:p>
        </w:tc>
        <w:tc>
          <w:tcPr>
            <w:tcW w:w="4680" w:type="dxa"/>
          </w:tcPr>
          <w:p w:rsidR="00775909" w:rsidRPr="00023DED" w:rsidRDefault="00775909" w:rsidP="00C5551D">
            <w:pPr>
              <w:spacing w:after="0" w:line="240" w:lineRule="auto"/>
              <w:rPr>
                <w:rFonts w:asciiTheme="majorHAnsi" w:hAnsiTheme="majorHAnsi"/>
              </w:rPr>
            </w:pPr>
            <w:r>
              <w:rPr>
                <w:rFonts w:asciiTheme="majorHAnsi" w:hAnsiTheme="majorHAnsi"/>
              </w:rPr>
              <w:t xml:space="preserve">Overall there was support for the changes including from the Massachusetts Association of Colleges for Teacher Education (MACTE), Bridgewater State University (BSU) and the Massachusetts Teachers’ Association (MTA). While the MTA was in agreement with the proposals, they </w:t>
            </w:r>
            <w:r w:rsidR="000842F0">
              <w:rPr>
                <w:rFonts w:asciiTheme="majorHAnsi" w:hAnsiTheme="majorHAnsi"/>
              </w:rPr>
              <w:t xml:space="preserve">suggested an </w:t>
            </w:r>
            <w:r>
              <w:rPr>
                <w:rFonts w:asciiTheme="majorHAnsi" w:hAnsiTheme="majorHAnsi"/>
              </w:rPr>
              <w:t>amend</w:t>
            </w:r>
            <w:r w:rsidR="000842F0">
              <w:rPr>
                <w:rFonts w:asciiTheme="majorHAnsi" w:hAnsiTheme="majorHAnsi"/>
              </w:rPr>
              <w:t>ment to</w:t>
            </w:r>
            <w:r w:rsidR="00C5551D">
              <w:rPr>
                <w:rFonts w:asciiTheme="majorHAnsi" w:hAnsiTheme="majorHAnsi"/>
              </w:rPr>
              <w:t xml:space="preserve"> the definition for advanced academic study</w:t>
            </w:r>
            <w:r>
              <w:rPr>
                <w:rFonts w:asciiTheme="majorHAnsi" w:hAnsiTheme="majorHAnsi"/>
              </w:rPr>
              <w:t xml:space="preserve"> one</w:t>
            </w:r>
            <w:r w:rsidR="000842F0">
              <w:rPr>
                <w:rFonts w:asciiTheme="majorHAnsi" w:hAnsiTheme="majorHAnsi"/>
              </w:rPr>
              <w:t xml:space="preserve"> </w:t>
            </w:r>
            <w:r>
              <w:rPr>
                <w:rFonts w:asciiTheme="majorHAnsi" w:hAnsiTheme="majorHAnsi"/>
              </w:rPr>
              <w:t xml:space="preserve">definition and </w:t>
            </w:r>
            <w:r w:rsidR="000842F0">
              <w:rPr>
                <w:rFonts w:asciiTheme="majorHAnsi" w:hAnsiTheme="majorHAnsi"/>
              </w:rPr>
              <w:t xml:space="preserve">the </w:t>
            </w:r>
            <w:r>
              <w:rPr>
                <w:rFonts w:asciiTheme="majorHAnsi" w:hAnsiTheme="majorHAnsi"/>
              </w:rPr>
              <w:t>creat</w:t>
            </w:r>
            <w:r w:rsidR="000842F0">
              <w:rPr>
                <w:rFonts w:asciiTheme="majorHAnsi" w:hAnsiTheme="majorHAnsi"/>
              </w:rPr>
              <w:t xml:space="preserve">ion of </w:t>
            </w:r>
            <w:r>
              <w:rPr>
                <w:rFonts w:asciiTheme="majorHAnsi" w:hAnsiTheme="majorHAnsi"/>
              </w:rPr>
              <w:t xml:space="preserve">a new definition for guidelines. </w:t>
            </w:r>
          </w:p>
        </w:tc>
        <w:tc>
          <w:tcPr>
            <w:tcW w:w="5940" w:type="dxa"/>
          </w:tcPr>
          <w:p w:rsidR="007C5EF4" w:rsidRDefault="00C5551D" w:rsidP="007904AE">
            <w:pPr>
              <w:rPr>
                <w:rFonts w:ascii="Calibri" w:hAnsi="Calibri"/>
                <w:color w:val="000000"/>
              </w:rPr>
            </w:pPr>
            <w:r>
              <w:rPr>
                <w:rFonts w:ascii="Calibri" w:hAnsi="Calibri"/>
                <w:color w:val="000000"/>
              </w:rPr>
              <w:t xml:space="preserve">No Change: </w:t>
            </w:r>
            <w:r w:rsidR="00775909">
              <w:rPr>
                <w:rFonts w:ascii="Calibri" w:hAnsi="Calibri"/>
                <w:color w:val="000000"/>
              </w:rPr>
              <w:t xml:space="preserve">The Department is </w:t>
            </w:r>
            <w:r>
              <w:rPr>
                <w:rFonts w:ascii="Calibri" w:hAnsi="Calibri"/>
                <w:color w:val="000000"/>
              </w:rPr>
              <w:t xml:space="preserve">not amending the definition of advanced academic study as it was not part of the original proposals and believes that the definition should remain as is to clarify </w:t>
            </w:r>
            <w:r w:rsidR="00BA5BB5">
              <w:rPr>
                <w:rFonts w:ascii="Calibri" w:hAnsi="Calibri"/>
                <w:color w:val="000000"/>
              </w:rPr>
              <w:t xml:space="preserve">that an educator can earn additional PDPs when an </w:t>
            </w:r>
            <w:r w:rsidR="00775909">
              <w:rPr>
                <w:rFonts w:ascii="Calibri" w:hAnsi="Calibri"/>
                <w:color w:val="000000"/>
              </w:rPr>
              <w:t xml:space="preserve">upper-level undergraduate course is substantially new to them.  </w:t>
            </w:r>
          </w:p>
          <w:p w:rsidR="008B29F9" w:rsidRPr="004844CD" w:rsidRDefault="00775909" w:rsidP="008B29F9">
            <w:pPr>
              <w:rPr>
                <w:rFonts w:asciiTheme="majorHAnsi" w:hAnsiTheme="majorHAnsi"/>
                <w:b/>
              </w:rPr>
            </w:pPr>
            <w:r>
              <w:rPr>
                <w:rFonts w:ascii="Calibri" w:hAnsi="Calibri"/>
                <w:color w:val="000000"/>
              </w:rPr>
              <w:t>When developing the license renewal guidelines, ESE has actively sought the input of MTA and the American Federation of Teachers (AFT) Massachusetts</w:t>
            </w:r>
            <w:r w:rsidR="00BA5BB5">
              <w:rPr>
                <w:rFonts w:ascii="Calibri" w:hAnsi="Calibri"/>
                <w:color w:val="000000"/>
              </w:rPr>
              <w:t xml:space="preserve"> and other key stakeholders as needed</w:t>
            </w:r>
            <w:r>
              <w:rPr>
                <w:rFonts w:ascii="Calibri" w:hAnsi="Calibri"/>
                <w:color w:val="000000"/>
              </w:rPr>
              <w:t>. The primary objective of the renewal guidelines is to lay out the various professional development activities and their related point value</w:t>
            </w:r>
            <w:r w:rsidR="00BA5BB5">
              <w:rPr>
                <w:rFonts w:ascii="Calibri" w:hAnsi="Calibri"/>
                <w:color w:val="000000"/>
              </w:rPr>
              <w:t xml:space="preserve">, much of which has been in place </w:t>
            </w:r>
            <w:r w:rsidR="008B29F9">
              <w:rPr>
                <w:rFonts w:ascii="Calibri" w:hAnsi="Calibri"/>
                <w:color w:val="000000"/>
              </w:rPr>
              <w:t xml:space="preserve">since license renewal began. </w:t>
            </w:r>
            <w:r>
              <w:rPr>
                <w:rFonts w:ascii="Calibri" w:hAnsi="Calibri"/>
                <w:color w:val="000000"/>
              </w:rPr>
              <w:t xml:space="preserve"> </w:t>
            </w:r>
          </w:p>
        </w:tc>
      </w:tr>
      <w:tr w:rsidR="007904AE" w:rsidRPr="00ED512A" w:rsidTr="008B29F9">
        <w:tc>
          <w:tcPr>
            <w:tcW w:w="3780" w:type="dxa"/>
            <w:shd w:val="clear" w:color="auto" w:fill="C6D9F1" w:themeFill="text2" w:themeFillTint="33"/>
          </w:tcPr>
          <w:p w:rsidR="007904AE" w:rsidRPr="004844CD" w:rsidRDefault="007904AE" w:rsidP="00344EDD">
            <w:pPr>
              <w:spacing w:after="0" w:line="240" w:lineRule="auto"/>
              <w:rPr>
                <w:rFonts w:asciiTheme="majorHAnsi" w:hAnsiTheme="majorHAnsi"/>
                <w:b/>
                <w:i/>
              </w:rPr>
            </w:pPr>
            <w:r w:rsidRPr="004844CD">
              <w:rPr>
                <w:rFonts w:asciiTheme="majorHAnsi" w:hAnsiTheme="majorHAnsi"/>
                <w:b/>
              </w:rPr>
              <w:t xml:space="preserve">Section </w:t>
            </w:r>
            <w:r>
              <w:rPr>
                <w:rFonts w:asciiTheme="majorHAnsi" w:hAnsiTheme="majorHAnsi"/>
                <w:b/>
              </w:rPr>
              <w:t>44</w:t>
            </w:r>
            <w:r w:rsidRPr="004844CD">
              <w:rPr>
                <w:rFonts w:asciiTheme="majorHAnsi" w:hAnsiTheme="majorHAnsi"/>
                <w:b/>
              </w:rPr>
              <w:t xml:space="preserve">.03: </w:t>
            </w:r>
            <w:r>
              <w:rPr>
                <w:rFonts w:asciiTheme="majorHAnsi" w:hAnsiTheme="majorHAnsi"/>
                <w:b/>
              </w:rPr>
              <w:t>General Provisions</w:t>
            </w:r>
          </w:p>
        </w:tc>
        <w:tc>
          <w:tcPr>
            <w:tcW w:w="4680" w:type="dxa"/>
            <w:shd w:val="clear" w:color="auto" w:fill="C6D9F1" w:themeFill="text2" w:themeFillTint="33"/>
          </w:tcPr>
          <w:p w:rsidR="007904AE" w:rsidRPr="00344EDD" w:rsidRDefault="007904AE" w:rsidP="00344EDD">
            <w:pPr>
              <w:spacing w:after="0" w:line="240" w:lineRule="auto"/>
              <w:rPr>
                <w:rFonts w:asciiTheme="majorHAnsi" w:hAnsiTheme="majorHAnsi"/>
              </w:rPr>
            </w:pPr>
          </w:p>
        </w:tc>
        <w:tc>
          <w:tcPr>
            <w:tcW w:w="5940" w:type="dxa"/>
            <w:shd w:val="clear" w:color="auto" w:fill="C6D9F1" w:themeFill="text2" w:themeFillTint="33"/>
          </w:tcPr>
          <w:p w:rsidR="007904AE" w:rsidRPr="00ED512A" w:rsidRDefault="007904AE" w:rsidP="00344EDD">
            <w:pPr>
              <w:pStyle w:val="ListParagraph"/>
              <w:spacing w:after="0" w:line="240" w:lineRule="auto"/>
              <w:ind w:left="432"/>
              <w:rPr>
                <w:rFonts w:asciiTheme="majorHAnsi" w:hAnsiTheme="majorHAnsi"/>
              </w:rPr>
            </w:pPr>
          </w:p>
        </w:tc>
      </w:tr>
      <w:tr w:rsidR="007904AE" w:rsidRPr="00ED512A" w:rsidTr="008B29F9">
        <w:tc>
          <w:tcPr>
            <w:tcW w:w="3780" w:type="dxa"/>
          </w:tcPr>
          <w:p w:rsidR="007904AE" w:rsidRDefault="007904AE" w:rsidP="004844CD">
            <w:pPr>
              <w:spacing w:after="0" w:line="240" w:lineRule="auto"/>
              <w:rPr>
                <w:rFonts w:asciiTheme="majorHAnsi" w:hAnsiTheme="majorHAnsi"/>
              </w:rPr>
            </w:pPr>
            <w:r w:rsidRPr="00344EDD">
              <w:rPr>
                <w:rFonts w:asciiTheme="majorHAnsi" w:hAnsiTheme="majorHAnsi"/>
              </w:rPr>
              <w:t xml:space="preserve">Updated some language </w:t>
            </w:r>
            <w:r w:rsidR="006D242D">
              <w:rPr>
                <w:rFonts w:asciiTheme="majorHAnsi" w:hAnsiTheme="majorHAnsi"/>
              </w:rPr>
              <w:t xml:space="preserve">related to the completion of a performance assessment </w:t>
            </w:r>
            <w:r w:rsidRPr="00344EDD">
              <w:rPr>
                <w:rFonts w:asciiTheme="majorHAnsi" w:hAnsiTheme="majorHAnsi"/>
              </w:rPr>
              <w:t>and eliminated activities that have not traditionally existed</w:t>
            </w:r>
            <w:r w:rsidR="000470F1">
              <w:rPr>
                <w:rFonts w:asciiTheme="majorHAnsi" w:hAnsiTheme="majorHAnsi"/>
              </w:rPr>
              <w:t xml:space="preserve">, such as the </w:t>
            </w:r>
            <w:r w:rsidR="00C5551D">
              <w:rPr>
                <w:rFonts w:asciiTheme="majorHAnsi" w:hAnsiTheme="majorHAnsi"/>
              </w:rPr>
              <w:t>m</w:t>
            </w:r>
            <w:r w:rsidR="000470F1">
              <w:rPr>
                <w:rFonts w:asciiTheme="majorHAnsi" w:hAnsiTheme="majorHAnsi"/>
              </w:rPr>
              <w:t xml:space="preserve">athematics </w:t>
            </w:r>
            <w:r w:rsidR="00C5551D">
              <w:rPr>
                <w:rFonts w:asciiTheme="majorHAnsi" w:hAnsiTheme="majorHAnsi"/>
              </w:rPr>
              <w:t>c</w:t>
            </w:r>
            <w:r w:rsidR="000470F1">
              <w:rPr>
                <w:rFonts w:asciiTheme="majorHAnsi" w:hAnsiTheme="majorHAnsi"/>
              </w:rPr>
              <w:t xml:space="preserve">ontent </w:t>
            </w:r>
            <w:r w:rsidR="00C5551D">
              <w:rPr>
                <w:rFonts w:asciiTheme="majorHAnsi" w:hAnsiTheme="majorHAnsi"/>
              </w:rPr>
              <w:t>a</w:t>
            </w:r>
            <w:r w:rsidR="000470F1">
              <w:rPr>
                <w:rFonts w:asciiTheme="majorHAnsi" w:hAnsiTheme="majorHAnsi"/>
              </w:rPr>
              <w:t>ssessment</w:t>
            </w:r>
            <w:r w:rsidRPr="00344EDD">
              <w:rPr>
                <w:rFonts w:asciiTheme="majorHAnsi" w:hAnsiTheme="majorHAnsi"/>
              </w:rPr>
              <w:t>.</w:t>
            </w:r>
            <w:r w:rsidR="000470F1">
              <w:rPr>
                <w:rFonts w:asciiTheme="majorHAnsi" w:hAnsiTheme="majorHAnsi"/>
              </w:rPr>
              <w:t xml:space="preserve"> </w:t>
            </w:r>
          </w:p>
          <w:p w:rsidR="008B29F9" w:rsidRDefault="008B29F9" w:rsidP="004844CD">
            <w:pPr>
              <w:spacing w:after="0" w:line="240" w:lineRule="auto"/>
              <w:rPr>
                <w:rFonts w:asciiTheme="majorHAnsi" w:hAnsiTheme="majorHAnsi"/>
                <w:b/>
                <w:i/>
              </w:rPr>
            </w:pPr>
          </w:p>
          <w:p w:rsidR="00DD7CD3" w:rsidRDefault="00DD7CD3" w:rsidP="004844CD">
            <w:pPr>
              <w:spacing w:after="0" w:line="240" w:lineRule="auto"/>
              <w:rPr>
                <w:rFonts w:asciiTheme="majorHAnsi" w:hAnsiTheme="majorHAnsi"/>
                <w:b/>
                <w:i/>
              </w:rPr>
            </w:pPr>
          </w:p>
          <w:p w:rsidR="007904AE" w:rsidRPr="004844CD" w:rsidRDefault="007904AE" w:rsidP="004844CD">
            <w:pPr>
              <w:spacing w:after="0" w:line="240" w:lineRule="auto"/>
              <w:rPr>
                <w:rFonts w:asciiTheme="majorHAnsi" w:hAnsiTheme="majorHAnsi"/>
                <w:b/>
                <w:i/>
              </w:rPr>
            </w:pPr>
          </w:p>
        </w:tc>
        <w:tc>
          <w:tcPr>
            <w:tcW w:w="4680" w:type="dxa"/>
          </w:tcPr>
          <w:p w:rsidR="007904AE" w:rsidRPr="00344EDD" w:rsidRDefault="007904AE" w:rsidP="000470F1">
            <w:pPr>
              <w:spacing w:after="0" w:line="240" w:lineRule="auto"/>
              <w:rPr>
                <w:rFonts w:asciiTheme="majorHAnsi" w:hAnsiTheme="majorHAnsi"/>
              </w:rPr>
            </w:pPr>
            <w:r>
              <w:rPr>
                <w:rFonts w:asciiTheme="majorHAnsi" w:hAnsiTheme="majorHAnsi"/>
              </w:rPr>
              <w:t xml:space="preserve">Overall there was support for the changes and generally no proposed changes were received. </w:t>
            </w:r>
          </w:p>
        </w:tc>
        <w:tc>
          <w:tcPr>
            <w:tcW w:w="5940" w:type="dxa"/>
          </w:tcPr>
          <w:p w:rsidR="007904AE" w:rsidRPr="0087371D" w:rsidRDefault="000470F1" w:rsidP="0087371D">
            <w:pPr>
              <w:spacing w:after="0" w:line="240" w:lineRule="auto"/>
              <w:rPr>
                <w:rFonts w:asciiTheme="majorHAnsi" w:hAnsiTheme="majorHAnsi"/>
              </w:rPr>
            </w:pPr>
            <w:r>
              <w:rPr>
                <w:rFonts w:asciiTheme="majorHAnsi" w:hAnsiTheme="majorHAnsi"/>
              </w:rPr>
              <w:t xml:space="preserve">No change. </w:t>
            </w:r>
          </w:p>
        </w:tc>
      </w:tr>
      <w:tr w:rsidR="008B29F9" w:rsidRPr="00ED512A" w:rsidTr="008B29F9">
        <w:tc>
          <w:tcPr>
            <w:tcW w:w="3780" w:type="dxa"/>
            <w:shd w:val="clear" w:color="auto" w:fill="FBD4B4" w:themeFill="accent6" w:themeFillTint="66"/>
          </w:tcPr>
          <w:p w:rsidR="008B29F9" w:rsidRPr="00344EDD" w:rsidRDefault="008B29F9" w:rsidP="004844CD">
            <w:pPr>
              <w:spacing w:after="0" w:line="240" w:lineRule="auto"/>
              <w:rPr>
                <w:rFonts w:asciiTheme="majorHAnsi" w:hAnsiTheme="majorHAnsi"/>
              </w:rPr>
            </w:pPr>
            <w:r>
              <w:rPr>
                <w:rFonts w:asciiTheme="majorHAnsi" w:hAnsiTheme="majorHAnsi"/>
                <w:b/>
              </w:rPr>
              <w:lastRenderedPageBreak/>
              <w:t>ESE Proposed Change</w:t>
            </w:r>
          </w:p>
        </w:tc>
        <w:tc>
          <w:tcPr>
            <w:tcW w:w="4680" w:type="dxa"/>
            <w:shd w:val="clear" w:color="auto" w:fill="FBD4B4" w:themeFill="accent6" w:themeFillTint="66"/>
          </w:tcPr>
          <w:p w:rsidR="008B29F9" w:rsidRDefault="008B29F9" w:rsidP="000470F1">
            <w:pPr>
              <w:spacing w:after="0" w:line="240" w:lineRule="auto"/>
              <w:rPr>
                <w:rFonts w:asciiTheme="majorHAnsi" w:hAnsiTheme="majorHAnsi"/>
              </w:rPr>
            </w:pPr>
            <w:r>
              <w:rPr>
                <w:rFonts w:asciiTheme="majorHAnsi" w:hAnsiTheme="majorHAnsi"/>
                <w:b/>
              </w:rPr>
              <w:t>Summary of Public Comment Received</w:t>
            </w:r>
          </w:p>
        </w:tc>
        <w:tc>
          <w:tcPr>
            <w:tcW w:w="5940" w:type="dxa"/>
            <w:shd w:val="clear" w:color="auto" w:fill="FBD4B4" w:themeFill="accent6" w:themeFillTint="66"/>
          </w:tcPr>
          <w:p w:rsidR="008B29F9" w:rsidRDefault="008B29F9" w:rsidP="0087371D">
            <w:pPr>
              <w:spacing w:after="0" w:line="240" w:lineRule="auto"/>
              <w:rPr>
                <w:rFonts w:asciiTheme="majorHAnsi" w:hAnsiTheme="majorHAnsi"/>
              </w:rPr>
            </w:pPr>
            <w:r>
              <w:rPr>
                <w:rFonts w:asciiTheme="majorHAnsi" w:hAnsiTheme="majorHAnsi"/>
                <w:b/>
              </w:rPr>
              <w:t>ESE Response</w:t>
            </w:r>
          </w:p>
        </w:tc>
      </w:tr>
      <w:tr w:rsidR="008B29F9" w:rsidRPr="00ED512A" w:rsidTr="008B29F9">
        <w:tc>
          <w:tcPr>
            <w:tcW w:w="3780" w:type="dxa"/>
            <w:shd w:val="clear" w:color="auto" w:fill="C6D9F1" w:themeFill="text2" w:themeFillTint="33"/>
          </w:tcPr>
          <w:p w:rsidR="008B29F9" w:rsidRPr="004844CD" w:rsidRDefault="008B29F9" w:rsidP="0087371D">
            <w:pPr>
              <w:spacing w:after="0" w:line="240" w:lineRule="auto"/>
              <w:rPr>
                <w:rFonts w:asciiTheme="majorHAnsi" w:hAnsiTheme="majorHAnsi"/>
                <w:b/>
                <w:i/>
              </w:rPr>
            </w:pPr>
            <w:r>
              <w:rPr>
                <w:rFonts w:asciiTheme="majorHAnsi" w:hAnsiTheme="majorHAnsi"/>
                <w:b/>
              </w:rPr>
              <w:t>44</w:t>
            </w:r>
            <w:r w:rsidRPr="004844CD">
              <w:rPr>
                <w:rFonts w:asciiTheme="majorHAnsi" w:hAnsiTheme="majorHAnsi"/>
                <w:b/>
              </w:rPr>
              <w:t>.0</w:t>
            </w:r>
            <w:r>
              <w:rPr>
                <w:rFonts w:asciiTheme="majorHAnsi" w:hAnsiTheme="majorHAnsi"/>
                <w:b/>
              </w:rPr>
              <w:t>4</w:t>
            </w:r>
            <w:r w:rsidRPr="004844CD">
              <w:rPr>
                <w:rFonts w:asciiTheme="majorHAnsi" w:hAnsiTheme="majorHAnsi"/>
                <w:b/>
              </w:rPr>
              <w:t xml:space="preserve">: </w:t>
            </w:r>
            <w:r>
              <w:rPr>
                <w:rFonts w:asciiTheme="majorHAnsi" w:hAnsiTheme="majorHAnsi"/>
                <w:b/>
              </w:rPr>
              <w:t xml:space="preserve">Options for Educators Employed in Massachusetts Public Schools. </w:t>
            </w:r>
            <w:r w:rsidRPr="004844CD">
              <w:rPr>
                <w:rFonts w:asciiTheme="majorHAnsi" w:hAnsiTheme="majorHAnsi"/>
                <w:b/>
                <w:i/>
              </w:rPr>
              <w:t xml:space="preserve"> </w:t>
            </w:r>
          </w:p>
        </w:tc>
        <w:tc>
          <w:tcPr>
            <w:tcW w:w="4680" w:type="dxa"/>
            <w:shd w:val="clear" w:color="auto" w:fill="C6D9F1" w:themeFill="text2" w:themeFillTint="33"/>
          </w:tcPr>
          <w:p w:rsidR="008B29F9" w:rsidRPr="00ED512A" w:rsidRDefault="008B29F9" w:rsidP="0087371D">
            <w:pPr>
              <w:pStyle w:val="ListParagraph"/>
              <w:spacing w:after="0" w:line="240" w:lineRule="auto"/>
              <w:ind w:left="324"/>
              <w:rPr>
                <w:rFonts w:asciiTheme="majorHAnsi" w:hAnsiTheme="majorHAnsi"/>
              </w:rPr>
            </w:pPr>
          </w:p>
        </w:tc>
        <w:tc>
          <w:tcPr>
            <w:tcW w:w="5940" w:type="dxa"/>
            <w:shd w:val="clear" w:color="auto" w:fill="C6D9F1" w:themeFill="text2" w:themeFillTint="33"/>
          </w:tcPr>
          <w:p w:rsidR="008B29F9" w:rsidRPr="00ED512A" w:rsidRDefault="008B29F9" w:rsidP="0087371D">
            <w:pPr>
              <w:pStyle w:val="ListParagraph"/>
              <w:spacing w:after="0" w:line="240" w:lineRule="auto"/>
              <w:ind w:left="324"/>
              <w:rPr>
                <w:rFonts w:asciiTheme="majorHAnsi" w:hAnsiTheme="majorHAnsi"/>
              </w:rPr>
            </w:pPr>
          </w:p>
        </w:tc>
      </w:tr>
      <w:tr w:rsidR="008B29F9" w:rsidRPr="00ED512A" w:rsidTr="008B29F9">
        <w:tc>
          <w:tcPr>
            <w:tcW w:w="3780" w:type="dxa"/>
          </w:tcPr>
          <w:p w:rsidR="008B29F9" w:rsidRDefault="008B29F9" w:rsidP="004844CD">
            <w:pPr>
              <w:spacing w:after="0" w:line="240" w:lineRule="auto"/>
              <w:ind w:left="72"/>
              <w:rPr>
                <w:rFonts w:asciiTheme="majorHAnsi" w:hAnsiTheme="majorHAnsi"/>
                <w:b/>
              </w:rPr>
            </w:pPr>
            <w:r w:rsidRPr="0087371D">
              <w:rPr>
                <w:rFonts w:asciiTheme="majorHAnsi" w:hAnsiTheme="majorHAnsi"/>
              </w:rPr>
              <w:t>The Department was clarifying that educators do not need to maintain two separate plans – an Individual Professional Development Plan (IPDP) and an Educator Plan. Educators employed in a MA public school could use an Educator Plan in lieu of an IPDP and 44.04 clarified the process for doing so</w:t>
            </w:r>
            <w:r>
              <w:rPr>
                <w:rFonts w:asciiTheme="majorHAnsi" w:hAnsiTheme="majorHAnsi"/>
              </w:rPr>
              <w:t>.</w:t>
            </w:r>
          </w:p>
          <w:p w:rsidR="008B29F9" w:rsidRPr="004844CD" w:rsidRDefault="008B29F9" w:rsidP="004844CD">
            <w:pPr>
              <w:spacing w:after="0" w:line="240" w:lineRule="auto"/>
              <w:ind w:left="72"/>
              <w:rPr>
                <w:rFonts w:asciiTheme="majorHAnsi" w:hAnsiTheme="majorHAnsi"/>
                <w:b/>
              </w:rPr>
            </w:pPr>
          </w:p>
        </w:tc>
        <w:tc>
          <w:tcPr>
            <w:tcW w:w="4680" w:type="dxa"/>
          </w:tcPr>
          <w:p w:rsidR="008B29F9" w:rsidRPr="00EC0032" w:rsidRDefault="008B29F9" w:rsidP="004E6B37">
            <w:pPr>
              <w:rPr>
                <w:rFonts w:asciiTheme="majorHAnsi" w:hAnsiTheme="majorHAnsi"/>
              </w:rPr>
            </w:pPr>
            <w:r>
              <w:rPr>
                <w:rFonts w:asciiTheme="majorHAnsi" w:hAnsiTheme="majorHAnsi"/>
              </w:rPr>
              <w:t xml:space="preserve">Overall there was general support for the changes, including MACTE, BSU and the MTA who agreed to the proposal in concept. MTA proposed some specific changes including </w:t>
            </w:r>
            <w:r>
              <w:rPr>
                <w:rFonts w:ascii="Calibri" w:hAnsi="Calibri"/>
                <w:color w:val="000000"/>
              </w:rPr>
              <w:t xml:space="preserve">a suggestion to rename the section and that 44.03 should apply to all educators, not just those employed in a MA school. MTA also offered alternative clarifying language. </w:t>
            </w:r>
          </w:p>
        </w:tc>
        <w:tc>
          <w:tcPr>
            <w:tcW w:w="5940" w:type="dxa"/>
          </w:tcPr>
          <w:p w:rsidR="008B29F9" w:rsidRPr="003618F7" w:rsidRDefault="008B29F9" w:rsidP="004270F2">
            <w:pPr>
              <w:spacing w:after="0" w:line="240" w:lineRule="auto"/>
              <w:rPr>
                <w:rFonts w:asciiTheme="majorHAnsi" w:hAnsiTheme="majorHAnsi"/>
              </w:rPr>
            </w:pPr>
            <w:r>
              <w:rPr>
                <w:rFonts w:asciiTheme="majorHAnsi" w:hAnsiTheme="majorHAnsi"/>
              </w:rPr>
              <w:t xml:space="preserve">Change: The Department changed the name of this section to Individual Professional Development Plans and accepted the language that was proposed by the MTA to make this section clearer. </w:t>
            </w:r>
          </w:p>
        </w:tc>
      </w:tr>
      <w:tr w:rsidR="008B29F9" w:rsidRPr="00ED512A" w:rsidTr="008B29F9">
        <w:tc>
          <w:tcPr>
            <w:tcW w:w="3780" w:type="dxa"/>
            <w:shd w:val="clear" w:color="auto" w:fill="C6D9F1" w:themeFill="text2" w:themeFillTint="33"/>
          </w:tcPr>
          <w:p w:rsidR="008B29F9" w:rsidRPr="004844CD" w:rsidRDefault="008B29F9" w:rsidP="00E46C87">
            <w:pPr>
              <w:spacing w:after="0" w:line="240" w:lineRule="auto"/>
              <w:rPr>
                <w:rFonts w:asciiTheme="majorHAnsi" w:hAnsiTheme="majorHAnsi"/>
                <w:b/>
                <w:i/>
              </w:rPr>
            </w:pPr>
            <w:r w:rsidRPr="004844CD">
              <w:rPr>
                <w:rFonts w:asciiTheme="majorHAnsi" w:hAnsiTheme="majorHAnsi"/>
                <w:b/>
              </w:rPr>
              <w:t>Section</w:t>
            </w:r>
            <w:r>
              <w:rPr>
                <w:rFonts w:asciiTheme="majorHAnsi" w:hAnsiTheme="majorHAnsi"/>
                <w:b/>
              </w:rPr>
              <w:t xml:space="preserve"> 44</w:t>
            </w:r>
            <w:r w:rsidRPr="004844CD">
              <w:rPr>
                <w:rFonts w:asciiTheme="majorHAnsi" w:hAnsiTheme="majorHAnsi"/>
                <w:b/>
              </w:rPr>
              <w:t>.0</w:t>
            </w:r>
            <w:r>
              <w:rPr>
                <w:rFonts w:asciiTheme="majorHAnsi" w:hAnsiTheme="majorHAnsi"/>
                <w:b/>
              </w:rPr>
              <w:t>5</w:t>
            </w:r>
            <w:r w:rsidRPr="004844CD">
              <w:rPr>
                <w:rFonts w:asciiTheme="majorHAnsi" w:hAnsiTheme="majorHAnsi"/>
                <w:b/>
              </w:rPr>
              <w:t xml:space="preserve">:  </w:t>
            </w:r>
            <w:r>
              <w:rPr>
                <w:rFonts w:asciiTheme="majorHAnsi" w:hAnsiTheme="majorHAnsi"/>
                <w:b/>
              </w:rPr>
              <w:t>Approval of Professional Development Plans</w:t>
            </w:r>
            <w:r w:rsidRPr="004844CD">
              <w:rPr>
                <w:rFonts w:asciiTheme="majorHAnsi" w:hAnsiTheme="majorHAnsi"/>
                <w:b/>
                <w:i/>
              </w:rPr>
              <w:t xml:space="preserve"> </w:t>
            </w:r>
          </w:p>
        </w:tc>
        <w:tc>
          <w:tcPr>
            <w:tcW w:w="4680" w:type="dxa"/>
            <w:shd w:val="clear" w:color="auto" w:fill="C6D9F1" w:themeFill="text2" w:themeFillTint="33"/>
          </w:tcPr>
          <w:p w:rsidR="008B29F9" w:rsidRPr="00ED512A" w:rsidRDefault="008B29F9" w:rsidP="00E552DB">
            <w:pPr>
              <w:pStyle w:val="ListParagraph"/>
              <w:spacing w:after="0" w:line="240" w:lineRule="auto"/>
              <w:ind w:left="360"/>
              <w:rPr>
                <w:rFonts w:asciiTheme="majorHAnsi" w:hAnsiTheme="majorHAnsi"/>
              </w:rPr>
            </w:pPr>
          </w:p>
        </w:tc>
        <w:tc>
          <w:tcPr>
            <w:tcW w:w="5940" w:type="dxa"/>
            <w:shd w:val="clear" w:color="auto" w:fill="C6D9F1" w:themeFill="text2" w:themeFillTint="33"/>
          </w:tcPr>
          <w:p w:rsidR="008B29F9" w:rsidRPr="00ED512A" w:rsidRDefault="008B29F9" w:rsidP="00E552DB">
            <w:pPr>
              <w:pStyle w:val="ListParagraph"/>
              <w:spacing w:after="0" w:line="240" w:lineRule="auto"/>
              <w:ind w:left="360"/>
              <w:rPr>
                <w:rFonts w:asciiTheme="majorHAnsi" w:hAnsiTheme="majorHAnsi"/>
              </w:rPr>
            </w:pPr>
          </w:p>
        </w:tc>
      </w:tr>
      <w:tr w:rsidR="008B29F9" w:rsidRPr="00ED512A" w:rsidTr="008B29F9">
        <w:tc>
          <w:tcPr>
            <w:tcW w:w="3780" w:type="dxa"/>
          </w:tcPr>
          <w:p w:rsidR="008B29F9" w:rsidRPr="00E46C87" w:rsidRDefault="008B29F9" w:rsidP="000470F1">
            <w:pPr>
              <w:spacing w:after="0" w:line="240" w:lineRule="auto"/>
              <w:rPr>
                <w:rFonts w:asciiTheme="majorHAnsi" w:hAnsiTheme="majorHAnsi"/>
              </w:rPr>
            </w:pPr>
            <w:r>
              <w:rPr>
                <w:rFonts w:asciiTheme="majorHAnsi" w:hAnsiTheme="majorHAnsi"/>
              </w:rPr>
              <w:t xml:space="preserve">The Department is eliminating the requirements applicable to the renewal of licenses prior to July 1, 2016 and updating and revising the process of reviewing and approving an educator’s professional development plan. </w:t>
            </w:r>
          </w:p>
        </w:tc>
        <w:tc>
          <w:tcPr>
            <w:tcW w:w="4680" w:type="dxa"/>
          </w:tcPr>
          <w:p w:rsidR="008B29F9" w:rsidRDefault="008B29F9" w:rsidP="00E46C87">
            <w:pPr>
              <w:spacing w:after="0" w:line="240" w:lineRule="auto"/>
              <w:rPr>
                <w:rFonts w:asciiTheme="majorHAnsi" w:hAnsiTheme="majorHAnsi"/>
              </w:rPr>
            </w:pPr>
            <w:r>
              <w:rPr>
                <w:rFonts w:asciiTheme="majorHAnsi" w:hAnsiTheme="majorHAnsi"/>
              </w:rPr>
              <w:t xml:space="preserve">General agreement with the proposals in this section including the MTA, who offered additional amendments including clarifying language, a “reasonable time period” to have a plan approved and the elimination of the mid-cycle review of the plan and a review when an educator moves to a new district. </w:t>
            </w:r>
          </w:p>
          <w:p w:rsidR="008B29F9" w:rsidRDefault="008B29F9" w:rsidP="00E46C87">
            <w:pPr>
              <w:spacing w:after="0" w:line="240" w:lineRule="auto"/>
              <w:rPr>
                <w:rFonts w:asciiTheme="majorHAnsi" w:hAnsiTheme="majorHAnsi"/>
              </w:rPr>
            </w:pPr>
          </w:p>
          <w:p w:rsidR="008B29F9" w:rsidRPr="00E46C87" w:rsidRDefault="008B29F9" w:rsidP="00E552DB">
            <w:pPr>
              <w:rPr>
                <w:rFonts w:asciiTheme="majorHAnsi" w:hAnsiTheme="majorHAnsi"/>
              </w:rPr>
            </w:pPr>
            <w:r w:rsidRPr="00E46C87">
              <w:rPr>
                <w:rFonts w:asciiTheme="majorHAnsi" w:hAnsiTheme="majorHAnsi"/>
              </w:rPr>
              <w:t xml:space="preserve"> </w:t>
            </w:r>
          </w:p>
        </w:tc>
        <w:tc>
          <w:tcPr>
            <w:tcW w:w="5940" w:type="dxa"/>
          </w:tcPr>
          <w:p w:rsidR="008B29F9" w:rsidRPr="00E552DB" w:rsidRDefault="008B29F9" w:rsidP="00174FF6">
            <w:pPr>
              <w:spacing w:after="0" w:line="240" w:lineRule="auto"/>
              <w:rPr>
                <w:rFonts w:asciiTheme="majorHAnsi" w:hAnsiTheme="majorHAnsi"/>
              </w:rPr>
            </w:pPr>
            <w:r>
              <w:rPr>
                <w:rFonts w:asciiTheme="majorHAnsi" w:hAnsiTheme="majorHAnsi"/>
              </w:rPr>
              <w:t xml:space="preserve">Change: The Department agreed with and accepted some of the proposed clarifying language offered; we extended the period for plan approval from three months to six to provide educators with additional time to develop a plan and have it approved and we eliminated the requirement to have the plan reviewed every two years since the Department does not verify if this occurred and we have no evidence of its impact. Given that the educational needs and program offerings of one district can be different from another, we believe it is important to maintain the need to update an IPDP when moving to a new district. </w:t>
            </w:r>
          </w:p>
        </w:tc>
      </w:tr>
      <w:tr w:rsidR="008B29F9" w:rsidRPr="00ED512A" w:rsidTr="008B29F9">
        <w:tc>
          <w:tcPr>
            <w:tcW w:w="3780" w:type="dxa"/>
            <w:shd w:val="clear" w:color="auto" w:fill="C6D9F1" w:themeFill="text2" w:themeFillTint="33"/>
          </w:tcPr>
          <w:p w:rsidR="008B29F9" w:rsidRPr="004844CD" w:rsidRDefault="008B29F9" w:rsidP="00E46C87">
            <w:pPr>
              <w:spacing w:after="0" w:line="240" w:lineRule="auto"/>
              <w:rPr>
                <w:rFonts w:asciiTheme="majorHAnsi" w:hAnsiTheme="majorHAnsi"/>
                <w:b/>
                <w:i/>
              </w:rPr>
            </w:pPr>
            <w:r w:rsidRPr="004844CD">
              <w:rPr>
                <w:rFonts w:asciiTheme="majorHAnsi" w:hAnsiTheme="majorHAnsi"/>
                <w:b/>
              </w:rPr>
              <w:t xml:space="preserve">Section </w:t>
            </w:r>
            <w:r>
              <w:rPr>
                <w:rFonts w:asciiTheme="majorHAnsi" w:hAnsiTheme="majorHAnsi"/>
                <w:b/>
              </w:rPr>
              <w:t>44</w:t>
            </w:r>
            <w:r w:rsidRPr="004844CD">
              <w:rPr>
                <w:rFonts w:asciiTheme="majorHAnsi" w:hAnsiTheme="majorHAnsi"/>
                <w:b/>
              </w:rPr>
              <w:t>.</w:t>
            </w:r>
            <w:r>
              <w:rPr>
                <w:rFonts w:asciiTheme="majorHAnsi" w:hAnsiTheme="majorHAnsi"/>
                <w:b/>
              </w:rPr>
              <w:t>06</w:t>
            </w:r>
            <w:r w:rsidRPr="004844CD">
              <w:rPr>
                <w:rFonts w:asciiTheme="majorHAnsi" w:hAnsiTheme="majorHAnsi"/>
                <w:b/>
              </w:rPr>
              <w:t xml:space="preserve">: </w:t>
            </w:r>
            <w:r>
              <w:rPr>
                <w:rFonts w:asciiTheme="majorHAnsi" w:hAnsiTheme="majorHAnsi"/>
                <w:b/>
              </w:rPr>
              <w:t>Provisions applicable to licenses renewed on or after July I, 2016</w:t>
            </w:r>
          </w:p>
        </w:tc>
        <w:tc>
          <w:tcPr>
            <w:tcW w:w="4680" w:type="dxa"/>
            <w:shd w:val="clear" w:color="auto" w:fill="C6D9F1" w:themeFill="text2" w:themeFillTint="33"/>
          </w:tcPr>
          <w:p w:rsidR="008B29F9" w:rsidRPr="00ED512A" w:rsidRDefault="008B29F9" w:rsidP="00E552DB">
            <w:pPr>
              <w:pStyle w:val="ListParagraph"/>
              <w:spacing w:after="0" w:line="240" w:lineRule="auto"/>
              <w:ind w:left="360"/>
              <w:rPr>
                <w:rFonts w:asciiTheme="majorHAnsi" w:hAnsiTheme="majorHAnsi"/>
              </w:rPr>
            </w:pPr>
          </w:p>
        </w:tc>
        <w:tc>
          <w:tcPr>
            <w:tcW w:w="5940" w:type="dxa"/>
            <w:shd w:val="clear" w:color="auto" w:fill="C6D9F1" w:themeFill="text2" w:themeFillTint="33"/>
          </w:tcPr>
          <w:p w:rsidR="008B29F9" w:rsidRPr="00ED512A" w:rsidRDefault="008B29F9" w:rsidP="00E552DB">
            <w:pPr>
              <w:pStyle w:val="ListParagraph"/>
              <w:spacing w:after="0" w:line="240" w:lineRule="auto"/>
              <w:ind w:left="360"/>
              <w:rPr>
                <w:rFonts w:asciiTheme="majorHAnsi" w:hAnsiTheme="majorHAnsi"/>
              </w:rPr>
            </w:pPr>
          </w:p>
        </w:tc>
      </w:tr>
      <w:tr w:rsidR="008B29F9" w:rsidRPr="00ED512A" w:rsidTr="008B29F9">
        <w:tc>
          <w:tcPr>
            <w:tcW w:w="3780" w:type="dxa"/>
          </w:tcPr>
          <w:p w:rsidR="008B29F9" w:rsidRPr="008204F0" w:rsidRDefault="008B29F9" w:rsidP="005B267D">
            <w:pPr>
              <w:spacing w:after="0" w:line="240" w:lineRule="auto"/>
              <w:rPr>
                <w:rFonts w:asciiTheme="majorHAnsi" w:hAnsiTheme="majorHAnsi"/>
              </w:rPr>
            </w:pPr>
            <w:r w:rsidRPr="008204F0">
              <w:rPr>
                <w:rFonts w:asciiTheme="majorHAnsi" w:hAnsiTheme="majorHAnsi"/>
              </w:rPr>
              <w:t xml:space="preserve">The Department is </w:t>
            </w:r>
            <w:r>
              <w:rPr>
                <w:rFonts w:asciiTheme="majorHAnsi" w:hAnsiTheme="majorHAnsi"/>
              </w:rPr>
              <w:t xml:space="preserve">providing the educator and district greater input on what PD will have the most impact on that educator and/or their students. </w:t>
            </w:r>
            <w:r>
              <w:rPr>
                <w:rFonts w:asciiTheme="majorHAnsi" w:hAnsiTheme="majorHAnsi"/>
              </w:rPr>
              <w:lastRenderedPageBreak/>
              <w:t xml:space="preserve">Currently 120 of the 150 required PDPs must be in predetermined areas; under the proposal, 60 of the 150 will be in the predetermined areas of content, pedagogy, SEI/ESL and special education. </w:t>
            </w:r>
          </w:p>
        </w:tc>
        <w:tc>
          <w:tcPr>
            <w:tcW w:w="4680" w:type="dxa"/>
          </w:tcPr>
          <w:p w:rsidR="008B29F9" w:rsidRPr="003518B8" w:rsidRDefault="008B29F9" w:rsidP="006D242D">
            <w:pPr>
              <w:spacing w:after="0" w:line="240" w:lineRule="auto"/>
              <w:rPr>
                <w:rFonts w:asciiTheme="majorHAnsi" w:hAnsiTheme="majorHAnsi"/>
              </w:rPr>
            </w:pPr>
            <w:r>
              <w:rPr>
                <w:rFonts w:asciiTheme="majorHAnsi" w:hAnsiTheme="majorHAnsi"/>
              </w:rPr>
              <w:lastRenderedPageBreak/>
              <w:t xml:space="preserve">There was overall support for this proposal, including the American Federation of Teachers Massachusetts. The MTA, while in agreement with the new distribution of PDPs, proposed to </w:t>
            </w:r>
            <w:r>
              <w:rPr>
                <w:rFonts w:asciiTheme="majorHAnsi" w:hAnsiTheme="majorHAnsi"/>
              </w:rPr>
              <w:lastRenderedPageBreak/>
              <w:t xml:space="preserve">rename the section and simplify some language.  </w:t>
            </w:r>
          </w:p>
        </w:tc>
        <w:tc>
          <w:tcPr>
            <w:tcW w:w="5940" w:type="dxa"/>
          </w:tcPr>
          <w:p w:rsidR="008B29F9" w:rsidRPr="003518B8" w:rsidRDefault="008B29F9" w:rsidP="00174FF6">
            <w:pPr>
              <w:spacing w:after="0" w:line="240" w:lineRule="auto"/>
              <w:rPr>
                <w:rFonts w:asciiTheme="majorHAnsi" w:hAnsiTheme="majorHAnsi"/>
              </w:rPr>
            </w:pPr>
            <w:r>
              <w:rPr>
                <w:rFonts w:asciiTheme="majorHAnsi" w:hAnsiTheme="majorHAnsi"/>
              </w:rPr>
              <w:lastRenderedPageBreak/>
              <w:t xml:space="preserve">Change: The Department agreed with the proposed new name of this section of the regulations and the streamlined language pertaining those renewing a primary license.  </w:t>
            </w:r>
          </w:p>
        </w:tc>
      </w:tr>
      <w:tr w:rsidR="008B29F9" w:rsidRPr="00ED512A" w:rsidTr="008B29F9">
        <w:tc>
          <w:tcPr>
            <w:tcW w:w="3780" w:type="dxa"/>
            <w:shd w:val="clear" w:color="auto" w:fill="FBD4B4" w:themeFill="accent6" w:themeFillTint="66"/>
          </w:tcPr>
          <w:p w:rsidR="008B29F9" w:rsidRPr="004844CD" w:rsidRDefault="008B29F9" w:rsidP="00C5551D">
            <w:pPr>
              <w:spacing w:after="0" w:line="240" w:lineRule="auto"/>
              <w:rPr>
                <w:rFonts w:asciiTheme="majorHAnsi" w:hAnsiTheme="majorHAnsi"/>
                <w:b/>
              </w:rPr>
            </w:pPr>
            <w:r>
              <w:rPr>
                <w:rFonts w:asciiTheme="majorHAnsi" w:hAnsiTheme="majorHAnsi"/>
                <w:b/>
              </w:rPr>
              <w:lastRenderedPageBreak/>
              <w:t>ESE Proposed Change</w:t>
            </w:r>
          </w:p>
        </w:tc>
        <w:tc>
          <w:tcPr>
            <w:tcW w:w="4680" w:type="dxa"/>
            <w:shd w:val="clear" w:color="auto" w:fill="FBD4B4" w:themeFill="accent6" w:themeFillTint="66"/>
          </w:tcPr>
          <w:p w:rsidR="008B29F9" w:rsidRPr="00ED512A" w:rsidRDefault="008B29F9" w:rsidP="00C5551D">
            <w:pPr>
              <w:spacing w:after="0" w:line="240" w:lineRule="auto"/>
              <w:rPr>
                <w:rFonts w:asciiTheme="majorHAnsi" w:hAnsiTheme="majorHAnsi"/>
                <w:b/>
              </w:rPr>
            </w:pPr>
            <w:r>
              <w:rPr>
                <w:rFonts w:asciiTheme="majorHAnsi" w:hAnsiTheme="majorHAnsi"/>
                <w:b/>
              </w:rPr>
              <w:t>Summary of Public Comment Received</w:t>
            </w:r>
          </w:p>
        </w:tc>
        <w:tc>
          <w:tcPr>
            <w:tcW w:w="5940" w:type="dxa"/>
            <w:shd w:val="clear" w:color="auto" w:fill="FBD4B4" w:themeFill="accent6" w:themeFillTint="66"/>
          </w:tcPr>
          <w:p w:rsidR="008B29F9" w:rsidRDefault="008B29F9" w:rsidP="00C5551D">
            <w:pPr>
              <w:spacing w:after="0" w:line="240" w:lineRule="auto"/>
              <w:rPr>
                <w:rFonts w:asciiTheme="majorHAnsi" w:hAnsiTheme="majorHAnsi"/>
                <w:b/>
              </w:rPr>
            </w:pPr>
            <w:r>
              <w:rPr>
                <w:rFonts w:asciiTheme="majorHAnsi" w:hAnsiTheme="majorHAnsi"/>
                <w:b/>
              </w:rPr>
              <w:t>ESE Response</w:t>
            </w:r>
          </w:p>
        </w:tc>
      </w:tr>
      <w:tr w:rsidR="008B29F9" w:rsidRPr="00ED512A" w:rsidTr="008B29F9">
        <w:trPr>
          <w:trHeight w:val="647"/>
        </w:trPr>
        <w:tc>
          <w:tcPr>
            <w:tcW w:w="3780" w:type="dxa"/>
            <w:shd w:val="clear" w:color="auto" w:fill="C6D9F1" w:themeFill="text2" w:themeFillTint="33"/>
          </w:tcPr>
          <w:p w:rsidR="008B29F9" w:rsidRPr="00B52219" w:rsidRDefault="008B29F9" w:rsidP="000E55E4">
            <w:pPr>
              <w:spacing w:after="0" w:line="240" w:lineRule="auto"/>
              <w:rPr>
                <w:rFonts w:asciiTheme="majorHAnsi" w:hAnsiTheme="majorHAnsi"/>
                <w:b/>
              </w:rPr>
            </w:pPr>
            <w:r w:rsidRPr="00B52219">
              <w:rPr>
                <w:rFonts w:asciiTheme="majorHAnsi" w:hAnsiTheme="majorHAnsi"/>
                <w:b/>
              </w:rPr>
              <w:t>Section 44.07: Inactive and Invalid Licenses</w:t>
            </w:r>
          </w:p>
        </w:tc>
        <w:tc>
          <w:tcPr>
            <w:tcW w:w="4680" w:type="dxa"/>
            <w:shd w:val="clear" w:color="auto" w:fill="C6D9F1" w:themeFill="text2" w:themeFillTint="33"/>
          </w:tcPr>
          <w:p w:rsidR="008B29F9" w:rsidRPr="0005773A" w:rsidRDefault="008B29F9" w:rsidP="0005773A">
            <w:pPr>
              <w:spacing w:after="0" w:line="240" w:lineRule="auto"/>
              <w:rPr>
                <w:rFonts w:asciiTheme="majorHAnsi" w:hAnsiTheme="majorHAnsi"/>
              </w:rPr>
            </w:pPr>
          </w:p>
        </w:tc>
        <w:tc>
          <w:tcPr>
            <w:tcW w:w="5940" w:type="dxa"/>
            <w:shd w:val="clear" w:color="auto" w:fill="C6D9F1" w:themeFill="text2" w:themeFillTint="33"/>
          </w:tcPr>
          <w:p w:rsidR="008B29F9" w:rsidRPr="00ED512A" w:rsidRDefault="008B29F9" w:rsidP="0005773A">
            <w:pPr>
              <w:pStyle w:val="ListParagraph"/>
              <w:spacing w:after="0" w:line="240" w:lineRule="auto"/>
              <w:ind w:left="360"/>
              <w:rPr>
                <w:rFonts w:asciiTheme="majorHAnsi" w:hAnsiTheme="majorHAnsi"/>
              </w:rPr>
            </w:pPr>
          </w:p>
        </w:tc>
      </w:tr>
      <w:tr w:rsidR="008B29F9" w:rsidRPr="00ED512A" w:rsidTr="008B29F9">
        <w:tc>
          <w:tcPr>
            <w:tcW w:w="3780" w:type="dxa"/>
          </w:tcPr>
          <w:p w:rsidR="008B29F9" w:rsidRPr="00020050" w:rsidRDefault="008B29F9" w:rsidP="004844CD">
            <w:pPr>
              <w:spacing w:after="0" w:line="240" w:lineRule="auto"/>
              <w:rPr>
                <w:rFonts w:asciiTheme="majorHAnsi" w:hAnsiTheme="majorHAnsi"/>
              </w:rPr>
            </w:pPr>
            <w:r>
              <w:rPr>
                <w:rFonts w:asciiTheme="majorHAnsi" w:hAnsiTheme="majorHAnsi"/>
              </w:rPr>
              <w:t xml:space="preserve">The Department is updating the language to clarify the employability of an educator with an inactive or invalid license. </w:t>
            </w:r>
          </w:p>
        </w:tc>
        <w:tc>
          <w:tcPr>
            <w:tcW w:w="4680" w:type="dxa"/>
          </w:tcPr>
          <w:p w:rsidR="008B29F9" w:rsidRPr="0005773A" w:rsidRDefault="008B29F9" w:rsidP="0005773A">
            <w:pPr>
              <w:spacing w:after="0" w:line="240" w:lineRule="auto"/>
              <w:rPr>
                <w:rFonts w:asciiTheme="majorHAnsi" w:hAnsiTheme="majorHAnsi"/>
              </w:rPr>
            </w:pPr>
            <w:r>
              <w:rPr>
                <w:rFonts w:asciiTheme="majorHAnsi" w:hAnsiTheme="majorHAnsi"/>
              </w:rPr>
              <w:t xml:space="preserve">There was overall support for these proposals with no specific recommendations for changes. </w:t>
            </w:r>
          </w:p>
        </w:tc>
        <w:tc>
          <w:tcPr>
            <w:tcW w:w="5940" w:type="dxa"/>
          </w:tcPr>
          <w:p w:rsidR="008B29F9" w:rsidRPr="0005773A" w:rsidRDefault="008B29F9" w:rsidP="005B267D">
            <w:pPr>
              <w:spacing w:after="0" w:line="240" w:lineRule="auto"/>
              <w:rPr>
                <w:rFonts w:asciiTheme="majorHAnsi" w:hAnsiTheme="majorHAnsi"/>
              </w:rPr>
            </w:pPr>
            <w:r>
              <w:rPr>
                <w:rFonts w:asciiTheme="majorHAnsi" w:hAnsiTheme="majorHAnsi"/>
              </w:rPr>
              <w:t xml:space="preserve">No change.  </w:t>
            </w:r>
          </w:p>
        </w:tc>
      </w:tr>
      <w:tr w:rsidR="008B29F9" w:rsidRPr="00ED512A" w:rsidTr="008B29F9">
        <w:tc>
          <w:tcPr>
            <w:tcW w:w="3780" w:type="dxa"/>
            <w:shd w:val="clear" w:color="auto" w:fill="C6D9F1" w:themeFill="text2" w:themeFillTint="33"/>
          </w:tcPr>
          <w:p w:rsidR="008B29F9" w:rsidRPr="00B52219" w:rsidRDefault="008B29F9" w:rsidP="004844CD">
            <w:pPr>
              <w:spacing w:after="0" w:line="240" w:lineRule="auto"/>
              <w:rPr>
                <w:rFonts w:asciiTheme="majorHAnsi" w:hAnsiTheme="majorHAnsi"/>
                <w:b/>
              </w:rPr>
            </w:pPr>
            <w:r w:rsidRPr="00B52219">
              <w:rPr>
                <w:rFonts w:asciiTheme="majorHAnsi" w:hAnsiTheme="majorHAnsi"/>
                <w:b/>
              </w:rPr>
              <w:t>Section 44.08: Application Process</w:t>
            </w:r>
          </w:p>
        </w:tc>
        <w:tc>
          <w:tcPr>
            <w:tcW w:w="4680" w:type="dxa"/>
            <w:shd w:val="clear" w:color="auto" w:fill="C6D9F1" w:themeFill="text2" w:themeFillTint="33"/>
          </w:tcPr>
          <w:p w:rsidR="008B29F9" w:rsidRPr="00ED512A" w:rsidRDefault="008B29F9" w:rsidP="0005773A">
            <w:pPr>
              <w:pStyle w:val="ListParagraph"/>
              <w:spacing w:after="0" w:line="240" w:lineRule="auto"/>
              <w:ind w:left="360"/>
              <w:rPr>
                <w:rFonts w:asciiTheme="majorHAnsi" w:hAnsiTheme="majorHAnsi"/>
              </w:rPr>
            </w:pPr>
          </w:p>
        </w:tc>
        <w:tc>
          <w:tcPr>
            <w:tcW w:w="5940" w:type="dxa"/>
            <w:shd w:val="clear" w:color="auto" w:fill="C6D9F1" w:themeFill="text2" w:themeFillTint="33"/>
          </w:tcPr>
          <w:p w:rsidR="008B29F9" w:rsidRPr="00ED512A" w:rsidRDefault="008B29F9" w:rsidP="0005773A">
            <w:pPr>
              <w:pStyle w:val="ListParagraph"/>
              <w:spacing w:after="0" w:line="240" w:lineRule="auto"/>
              <w:ind w:left="360"/>
              <w:rPr>
                <w:rFonts w:asciiTheme="majorHAnsi" w:hAnsiTheme="majorHAnsi"/>
              </w:rPr>
            </w:pPr>
          </w:p>
        </w:tc>
      </w:tr>
      <w:tr w:rsidR="008B29F9" w:rsidRPr="00ED512A" w:rsidTr="008B29F9">
        <w:tc>
          <w:tcPr>
            <w:tcW w:w="3780" w:type="dxa"/>
          </w:tcPr>
          <w:p w:rsidR="008B29F9" w:rsidRPr="00020050" w:rsidRDefault="008B29F9" w:rsidP="004844CD">
            <w:pPr>
              <w:spacing w:after="0" w:line="240" w:lineRule="auto"/>
              <w:rPr>
                <w:rFonts w:asciiTheme="majorHAnsi" w:hAnsiTheme="majorHAnsi"/>
              </w:rPr>
            </w:pPr>
            <w:r>
              <w:rPr>
                <w:rFonts w:asciiTheme="majorHAnsi" w:hAnsiTheme="majorHAnsi"/>
              </w:rPr>
              <w:t xml:space="preserve">The Department is updating language to align to policy and clarify the requirements for renewing a Professional license. </w:t>
            </w:r>
          </w:p>
        </w:tc>
        <w:tc>
          <w:tcPr>
            <w:tcW w:w="4680" w:type="dxa"/>
          </w:tcPr>
          <w:p w:rsidR="008B29F9" w:rsidRPr="0005773A" w:rsidRDefault="008B29F9" w:rsidP="005B267D">
            <w:pPr>
              <w:spacing w:after="0" w:line="240" w:lineRule="auto"/>
              <w:rPr>
                <w:rFonts w:asciiTheme="majorHAnsi" w:hAnsiTheme="majorHAnsi"/>
              </w:rPr>
            </w:pPr>
            <w:r w:rsidRPr="0005773A">
              <w:rPr>
                <w:rFonts w:asciiTheme="majorHAnsi" w:hAnsiTheme="majorHAnsi"/>
              </w:rPr>
              <w:t>There was overall support for these proposals with no specific recommendations for changes.</w:t>
            </w:r>
            <w:r>
              <w:rPr>
                <w:rFonts w:asciiTheme="majorHAnsi" w:hAnsiTheme="majorHAnsi"/>
              </w:rPr>
              <w:t xml:space="preserve"> </w:t>
            </w:r>
          </w:p>
        </w:tc>
        <w:tc>
          <w:tcPr>
            <w:tcW w:w="5940" w:type="dxa"/>
          </w:tcPr>
          <w:p w:rsidR="008B29F9" w:rsidRPr="00CF0EA3" w:rsidRDefault="008B29F9" w:rsidP="005B267D">
            <w:pPr>
              <w:spacing w:after="0" w:line="240" w:lineRule="auto"/>
              <w:rPr>
                <w:rFonts w:asciiTheme="majorHAnsi" w:hAnsiTheme="majorHAnsi"/>
              </w:rPr>
            </w:pPr>
            <w:r>
              <w:rPr>
                <w:rFonts w:asciiTheme="majorHAnsi" w:hAnsiTheme="majorHAnsi"/>
              </w:rPr>
              <w:t xml:space="preserve">No change. </w:t>
            </w:r>
          </w:p>
        </w:tc>
      </w:tr>
      <w:tr w:rsidR="008B29F9" w:rsidRPr="00ED512A" w:rsidTr="008B29F9">
        <w:tc>
          <w:tcPr>
            <w:tcW w:w="3780" w:type="dxa"/>
            <w:shd w:val="clear" w:color="auto" w:fill="C6D9F1" w:themeFill="text2" w:themeFillTint="33"/>
          </w:tcPr>
          <w:p w:rsidR="008B29F9" w:rsidRPr="00B52219" w:rsidRDefault="008B29F9" w:rsidP="004844CD">
            <w:pPr>
              <w:spacing w:after="0" w:line="240" w:lineRule="auto"/>
              <w:rPr>
                <w:rFonts w:asciiTheme="majorHAnsi" w:hAnsiTheme="majorHAnsi"/>
                <w:b/>
              </w:rPr>
            </w:pPr>
            <w:r w:rsidRPr="00B52219">
              <w:rPr>
                <w:rFonts w:asciiTheme="majorHAnsi" w:hAnsiTheme="majorHAnsi"/>
                <w:b/>
              </w:rPr>
              <w:t>Section 44.09 Documentation and Recordkeeping</w:t>
            </w:r>
          </w:p>
        </w:tc>
        <w:tc>
          <w:tcPr>
            <w:tcW w:w="4680" w:type="dxa"/>
            <w:shd w:val="clear" w:color="auto" w:fill="C6D9F1" w:themeFill="text2" w:themeFillTint="33"/>
          </w:tcPr>
          <w:p w:rsidR="008B29F9" w:rsidRPr="00ED512A" w:rsidRDefault="008B29F9" w:rsidP="00CF0EA3">
            <w:pPr>
              <w:pStyle w:val="ListParagraph"/>
              <w:spacing w:after="0" w:line="240" w:lineRule="auto"/>
              <w:ind w:left="360"/>
              <w:rPr>
                <w:rFonts w:asciiTheme="majorHAnsi" w:hAnsiTheme="majorHAnsi"/>
              </w:rPr>
            </w:pPr>
          </w:p>
        </w:tc>
        <w:tc>
          <w:tcPr>
            <w:tcW w:w="5940" w:type="dxa"/>
            <w:shd w:val="clear" w:color="auto" w:fill="C6D9F1" w:themeFill="text2" w:themeFillTint="33"/>
          </w:tcPr>
          <w:p w:rsidR="008B29F9" w:rsidRPr="00ED512A" w:rsidRDefault="008B29F9" w:rsidP="00CF0EA3">
            <w:pPr>
              <w:pStyle w:val="ListParagraph"/>
              <w:spacing w:after="0" w:line="240" w:lineRule="auto"/>
              <w:ind w:left="360"/>
              <w:rPr>
                <w:rFonts w:asciiTheme="majorHAnsi" w:hAnsiTheme="majorHAnsi"/>
              </w:rPr>
            </w:pPr>
          </w:p>
        </w:tc>
      </w:tr>
      <w:tr w:rsidR="008B29F9" w:rsidRPr="00ED512A" w:rsidTr="008B29F9">
        <w:tc>
          <w:tcPr>
            <w:tcW w:w="3780" w:type="dxa"/>
          </w:tcPr>
          <w:p w:rsidR="008B29F9" w:rsidRPr="00B52219" w:rsidRDefault="008B29F9" w:rsidP="00E842A3">
            <w:pPr>
              <w:spacing w:after="0" w:line="240" w:lineRule="auto"/>
              <w:rPr>
                <w:rFonts w:asciiTheme="majorHAnsi" w:hAnsiTheme="majorHAnsi"/>
              </w:rPr>
            </w:pPr>
            <w:r w:rsidRPr="00B52219">
              <w:rPr>
                <w:rFonts w:asciiTheme="majorHAnsi" w:hAnsiTheme="majorHAnsi"/>
              </w:rPr>
              <w:t>The Department is updating language, including the maintenance of a</w:t>
            </w:r>
            <w:r>
              <w:rPr>
                <w:rFonts w:asciiTheme="majorHAnsi" w:hAnsiTheme="majorHAnsi"/>
              </w:rPr>
              <w:t xml:space="preserve"> professional </w:t>
            </w:r>
            <w:r w:rsidRPr="00B52219">
              <w:rPr>
                <w:rFonts w:asciiTheme="majorHAnsi" w:hAnsiTheme="majorHAnsi"/>
              </w:rPr>
              <w:t xml:space="preserve"> license issued by another agency, i</w:t>
            </w:r>
            <w:r>
              <w:rPr>
                <w:rFonts w:asciiTheme="majorHAnsi" w:hAnsiTheme="majorHAnsi"/>
              </w:rPr>
              <w:t>f</w:t>
            </w:r>
            <w:r w:rsidRPr="00B52219">
              <w:rPr>
                <w:rFonts w:asciiTheme="majorHAnsi" w:hAnsiTheme="majorHAnsi"/>
              </w:rPr>
              <w:t xml:space="preserve"> applicable</w:t>
            </w:r>
            <w:r>
              <w:rPr>
                <w:rFonts w:asciiTheme="majorHAnsi" w:hAnsiTheme="majorHAnsi"/>
              </w:rPr>
              <w:t xml:space="preserve"> (such as a license as a registered nurse)</w:t>
            </w:r>
          </w:p>
        </w:tc>
        <w:tc>
          <w:tcPr>
            <w:tcW w:w="4680" w:type="dxa"/>
          </w:tcPr>
          <w:p w:rsidR="008B29F9" w:rsidRPr="00CF0EA3" w:rsidRDefault="008B29F9" w:rsidP="00CF0EA3">
            <w:pPr>
              <w:spacing w:after="0" w:line="240" w:lineRule="auto"/>
              <w:rPr>
                <w:rFonts w:asciiTheme="majorHAnsi" w:hAnsiTheme="majorHAnsi"/>
              </w:rPr>
            </w:pPr>
            <w:r w:rsidRPr="00CF0EA3">
              <w:rPr>
                <w:rFonts w:asciiTheme="majorHAnsi" w:hAnsiTheme="majorHAnsi"/>
              </w:rPr>
              <w:t>There was overall support for these proposals with no specific recommendations for changes.</w:t>
            </w:r>
          </w:p>
        </w:tc>
        <w:tc>
          <w:tcPr>
            <w:tcW w:w="5940" w:type="dxa"/>
          </w:tcPr>
          <w:p w:rsidR="008B29F9" w:rsidRPr="00CF0EA3" w:rsidRDefault="008B29F9" w:rsidP="005B267D">
            <w:pPr>
              <w:spacing w:after="0" w:line="240" w:lineRule="auto"/>
              <w:rPr>
                <w:rFonts w:asciiTheme="majorHAnsi" w:hAnsiTheme="majorHAnsi"/>
              </w:rPr>
            </w:pPr>
            <w:r>
              <w:rPr>
                <w:rFonts w:asciiTheme="majorHAnsi" w:hAnsiTheme="majorHAnsi"/>
              </w:rPr>
              <w:t xml:space="preserve">No change. </w:t>
            </w:r>
          </w:p>
        </w:tc>
      </w:tr>
      <w:tr w:rsidR="008B29F9" w:rsidRPr="00ED512A" w:rsidTr="008B29F9">
        <w:tc>
          <w:tcPr>
            <w:tcW w:w="3780" w:type="dxa"/>
            <w:shd w:val="clear" w:color="auto" w:fill="C6D9F1" w:themeFill="text2" w:themeFillTint="33"/>
          </w:tcPr>
          <w:p w:rsidR="008B29F9" w:rsidRPr="00B52219" w:rsidRDefault="008B29F9" w:rsidP="004844CD">
            <w:pPr>
              <w:spacing w:after="0" w:line="240" w:lineRule="auto"/>
              <w:rPr>
                <w:rFonts w:asciiTheme="majorHAnsi" w:hAnsiTheme="majorHAnsi"/>
                <w:b/>
              </w:rPr>
            </w:pPr>
            <w:r>
              <w:rPr>
                <w:rFonts w:asciiTheme="majorHAnsi" w:hAnsiTheme="majorHAnsi"/>
                <w:b/>
              </w:rPr>
              <w:t>Section 44.11: Failure to Satisfy Renewal Requirements</w:t>
            </w:r>
          </w:p>
        </w:tc>
        <w:tc>
          <w:tcPr>
            <w:tcW w:w="4680" w:type="dxa"/>
            <w:shd w:val="clear" w:color="auto" w:fill="C6D9F1" w:themeFill="text2" w:themeFillTint="33"/>
          </w:tcPr>
          <w:p w:rsidR="008B29F9" w:rsidRPr="00ED512A" w:rsidRDefault="008B29F9" w:rsidP="00CF0EA3">
            <w:pPr>
              <w:pStyle w:val="ListParagraph"/>
              <w:spacing w:after="0" w:line="240" w:lineRule="auto"/>
              <w:ind w:left="360"/>
              <w:rPr>
                <w:rFonts w:asciiTheme="majorHAnsi" w:hAnsiTheme="majorHAnsi"/>
              </w:rPr>
            </w:pPr>
          </w:p>
        </w:tc>
        <w:tc>
          <w:tcPr>
            <w:tcW w:w="5940" w:type="dxa"/>
            <w:shd w:val="clear" w:color="auto" w:fill="C6D9F1" w:themeFill="text2" w:themeFillTint="33"/>
          </w:tcPr>
          <w:p w:rsidR="008B29F9" w:rsidRPr="00ED512A" w:rsidRDefault="008B29F9" w:rsidP="00CF0EA3">
            <w:pPr>
              <w:pStyle w:val="ListParagraph"/>
              <w:spacing w:after="0" w:line="240" w:lineRule="auto"/>
              <w:ind w:left="360"/>
              <w:rPr>
                <w:rFonts w:asciiTheme="majorHAnsi" w:hAnsiTheme="majorHAnsi"/>
              </w:rPr>
            </w:pPr>
          </w:p>
        </w:tc>
      </w:tr>
      <w:tr w:rsidR="008B29F9" w:rsidRPr="00ED512A" w:rsidTr="008B29F9">
        <w:tc>
          <w:tcPr>
            <w:tcW w:w="3780" w:type="dxa"/>
          </w:tcPr>
          <w:p w:rsidR="008B29F9" w:rsidRPr="0005773A" w:rsidRDefault="008B29F9" w:rsidP="004844CD">
            <w:pPr>
              <w:spacing w:after="0" w:line="240" w:lineRule="auto"/>
              <w:rPr>
                <w:rFonts w:asciiTheme="majorHAnsi" w:hAnsiTheme="majorHAnsi"/>
              </w:rPr>
            </w:pPr>
            <w:r w:rsidRPr="0005773A">
              <w:rPr>
                <w:rFonts w:asciiTheme="majorHAnsi" w:hAnsiTheme="majorHAnsi"/>
              </w:rPr>
              <w:t xml:space="preserve">The Department is including language that alerts applicants that a license action may occur if there are intentional falsehoods or misrepresentations with their application.  </w:t>
            </w:r>
          </w:p>
        </w:tc>
        <w:tc>
          <w:tcPr>
            <w:tcW w:w="4680" w:type="dxa"/>
          </w:tcPr>
          <w:p w:rsidR="008B29F9" w:rsidRPr="00CF0EA3" w:rsidRDefault="008B29F9" w:rsidP="00E842A3">
            <w:pPr>
              <w:spacing w:after="0" w:line="240" w:lineRule="auto"/>
              <w:rPr>
                <w:rFonts w:asciiTheme="majorHAnsi" w:hAnsiTheme="majorHAnsi"/>
              </w:rPr>
            </w:pPr>
            <w:r>
              <w:rPr>
                <w:rFonts w:asciiTheme="majorHAnsi" w:hAnsiTheme="majorHAnsi"/>
              </w:rPr>
              <w:t>There was majority approval to this proposal with opposition from the MTA.  The MTA asserted that this change was unnecessary and the language is duplicative since the Department can already investigate potential fraud or misconduct per 603 CMR 7.15(8)</w:t>
            </w:r>
          </w:p>
        </w:tc>
        <w:tc>
          <w:tcPr>
            <w:tcW w:w="5940" w:type="dxa"/>
          </w:tcPr>
          <w:p w:rsidR="008B29F9" w:rsidRPr="00CF5392" w:rsidRDefault="008B29F9" w:rsidP="00E842A3">
            <w:pPr>
              <w:spacing w:after="0" w:line="240" w:lineRule="auto"/>
              <w:rPr>
                <w:rFonts w:asciiTheme="majorHAnsi" w:hAnsiTheme="majorHAnsi"/>
              </w:rPr>
            </w:pPr>
            <w:r>
              <w:rPr>
                <w:rFonts w:asciiTheme="majorHAnsi" w:hAnsiTheme="majorHAnsi"/>
              </w:rPr>
              <w:t xml:space="preserve">No change: The Department agrees that 603 CMR 7.15(8) allows us the ability to investigate accusations of fraud or misconduct; however, we think the new language in the section on failure to satisfy the renewal requirements puts applicants for renewal on notice that a license action can occur based on intentional misrepresentations in the renewal application. </w:t>
            </w:r>
          </w:p>
        </w:tc>
      </w:tr>
    </w:tbl>
    <w:p w:rsidR="00275B7B" w:rsidRPr="00ED512A" w:rsidRDefault="00275B7B">
      <w:pPr>
        <w:rPr>
          <w:rFonts w:asciiTheme="majorHAnsi" w:hAnsiTheme="majorHAnsi"/>
        </w:rPr>
      </w:pPr>
    </w:p>
    <w:sectPr w:rsidR="00275B7B" w:rsidRPr="00ED512A" w:rsidSect="00BA5BB5">
      <w:footerReference w:type="default" r:id="rId12"/>
      <w:pgSz w:w="15840" w:h="12240" w:orient="landscape"/>
      <w:pgMar w:top="1440" w:right="81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301" w:rsidRDefault="00C65301">
      <w:pPr>
        <w:spacing w:after="0" w:line="240" w:lineRule="auto"/>
      </w:pPr>
      <w:r>
        <w:separator/>
      </w:r>
    </w:p>
  </w:endnote>
  <w:endnote w:type="continuationSeparator" w:id="0">
    <w:p w:rsidR="00C65301" w:rsidRDefault="00C65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686020"/>
      <w:docPartObj>
        <w:docPartGallery w:val="Page Numbers (Bottom of Page)"/>
        <w:docPartUnique/>
      </w:docPartObj>
    </w:sdtPr>
    <w:sdtContent>
      <w:p w:rsidR="00C5551D" w:rsidRDefault="007F2C0D">
        <w:pPr>
          <w:pStyle w:val="Footer"/>
          <w:jc w:val="right"/>
        </w:pPr>
        <w:fldSimple w:instr=" PAGE   \* MERGEFORMAT ">
          <w:r w:rsidR="00646DE8">
            <w:rPr>
              <w:noProof/>
            </w:rPr>
            <w:t>1</w:t>
          </w:r>
        </w:fldSimple>
      </w:p>
    </w:sdtContent>
  </w:sdt>
  <w:p w:rsidR="00C5551D" w:rsidRDefault="00C555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301" w:rsidRDefault="00C65301">
      <w:pPr>
        <w:spacing w:after="0" w:line="240" w:lineRule="auto"/>
      </w:pPr>
      <w:r>
        <w:separator/>
      </w:r>
    </w:p>
  </w:footnote>
  <w:footnote w:type="continuationSeparator" w:id="0">
    <w:p w:rsidR="00C65301" w:rsidRDefault="00C65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AA5"/>
    <w:multiLevelType w:val="hybridMultilevel"/>
    <w:tmpl w:val="C18E1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BB4E6F"/>
    <w:multiLevelType w:val="hybridMultilevel"/>
    <w:tmpl w:val="95F0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FB0556"/>
    <w:multiLevelType w:val="hybridMultilevel"/>
    <w:tmpl w:val="C078709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nsid w:val="392866E6"/>
    <w:multiLevelType w:val="hybridMultilevel"/>
    <w:tmpl w:val="B210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F93CB9"/>
    <w:multiLevelType w:val="hybridMultilevel"/>
    <w:tmpl w:val="6CA0931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41F91C7A"/>
    <w:multiLevelType w:val="hybridMultilevel"/>
    <w:tmpl w:val="7552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B65E43"/>
    <w:multiLevelType w:val="hybridMultilevel"/>
    <w:tmpl w:val="1C16CFAE"/>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nsid w:val="592B11DA"/>
    <w:multiLevelType w:val="hybridMultilevel"/>
    <w:tmpl w:val="CA000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2D43783"/>
    <w:multiLevelType w:val="hybridMultilevel"/>
    <w:tmpl w:val="84948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5CA3F50"/>
    <w:multiLevelType w:val="hybridMultilevel"/>
    <w:tmpl w:val="36BE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F35301"/>
    <w:multiLevelType w:val="hybridMultilevel"/>
    <w:tmpl w:val="8ABE3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4DC7023"/>
    <w:multiLevelType w:val="hybridMultilevel"/>
    <w:tmpl w:val="7E002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num>
  <w:num w:numId="4">
    <w:abstractNumId w:val="8"/>
  </w:num>
  <w:num w:numId="5">
    <w:abstractNumId w:val="2"/>
  </w:num>
  <w:num w:numId="6">
    <w:abstractNumId w:val="9"/>
  </w:num>
  <w:num w:numId="7">
    <w:abstractNumId w:val="10"/>
  </w:num>
  <w:num w:numId="8">
    <w:abstractNumId w:val="5"/>
  </w:num>
  <w:num w:numId="9">
    <w:abstractNumId w:val="7"/>
  </w:num>
  <w:num w:numId="10">
    <w:abstractNumId w:val="1"/>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useFELayout/>
  </w:compat>
  <w:rsids>
    <w:rsidRoot w:val="00702E8A"/>
    <w:rsid w:val="00000E4A"/>
    <w:rsid w:val="000135FD"/>
    <w:rsid w:val="00020050"/>
    <w:rsid w:val="00023DED"/>
    <w:rsid w:val="00026862"/>
    <w:rsid w:val="00035387"/>
    <w:rsid w:val="000408D3"/>
    <w:rsid w:val="000451E0"/>
    <w:rsid w:val="000470F1"/>
    <w:rsid w:val="0005773A"/>
    <w:rsid w:val="00065D6B"/>
    <w:rsid w:val="00071E62"/>
    <w:rsid w:val="00074178"/>
    <w:rsid w:val="00082E0C"/>
    <w:rsid w:val="00082F7A"/>
    <w:rsid w:val="000842F0"/>
    <w:rsid w:val="000862A8"/>
    <w:rsid w:val="000E37F9"/>
    <w:rsid w:val="000E55E4"/>
    <w:rsid w:val="00117A5A"/>
    <w:rsid w:val="00122F4F"/>
    <w:rsid w:val="001249DE"/>
    <w:rsid w:val="00127263"/>
    <w:rsid w:val="0014019E"/>
    <w:rsid w:val="00174FF6"/>
    <w:rsid w:val="0017642F"/>
    <w:rsid w:val="001B1EE8"/>
    <w:rsid w:val="001B3D34"/>
    <w:rsid w:val="001E0988"/>
    <w:rsid w:val="001F3DD9"/>
    <w:rsid w:val="00216ABD"/>
    <w:rsid w:val="0022176D"/>
    <w:rsid w:val="00236762"/>
    <w:rsid w:val="002412AD"/>
    <w:rsid w:val="00250AFE"/>
    <w:rsid w:val="00250E83"/>
    <w:rsid w:val="0025625C"/>
    <w:rsid w:val="00257D20"/>
    <w:rsid w:val="0026127A"/>
    <w:rsid w:val="002640AD"/>
    <w:rsid w:val="002751D6"/>
    <w:rsid w:val="00275B7B"/>
    <w:rsid w:val="00283DF4"/>
    <w:rsid w:val="00285959"/>
    <w:rsid w:val="002B4F8F"/>
    <w:rsid w:val="002D1998"/>
    <w:rsid w:val="00301075"/>
    <w:rsid w:val="00306C31"/>
    <w:rsid w:val="00311CB5"/>
    <w:rsid w:val="00336232"/>
    <w:rsid w:val="00344EDD"/>
    <w:rsid w:val="003518B8"/>
    <w:rsid w:val="003553BB"/>
    <w:rsid w:val="003618F7"/>
    <w:rsid w:val="00382BC8"/>
    <w:rsid w:val="003932AF"/>
    <w:rsid w:val="003D0AE2"/>
    <w:rsid w:val="003D2621"/>
    <w:rsid w:val="003E6025"/>
    <w:rsid w:val="003E7B5B"/>
    <w:rsid w:val="00400D79"/>
    <w:rsid w:val="00401185"/>
    <w:rsid w:val="004023F6"/>
    <w:rsid w:val="004101FA"/>
    <w:rsid w:val="004270F2"/>
    <w:rsid w:val="00471A6F"/>
    <w:rsid w:val="0048100E"/>
    <w:rsid w:val="004844CD"/>
    <w:rsid w:val="004A1759"/>
    <w:rsid w:val="004A424B"/>
    <w:rsid w:val="004A4450"/>
    <w:rsid w:val="004A6DF0"/>
    <w:rsid w:val="004B7382"/>
    <w:rsid w:val="004C22E8"/>
    <w:rsid w:val="004E6B37"/>
    <w:rsid w:val="00510F0D"/>
    <w:rsid w:val="0051195E"/>
    <w:rsid w:val="00524455"/>
    <w:rsid w:val="00533859"/>
    <w:rsid w:val="005363B5"/>
    <w:rsid w:val="00541BC1"/>
    <w:rsid w:val="00552D4F"/>
    <w:rsid w:val="00553A16"/>
    <w:rsid w:val="005559E6"/>
    <w:rsid w:val="00562358"/>
    <w:rsid w:val="005B267D"/>
    <w:rsid w:val="005B4780"/>
    <w:rsid w:val="005B7FC5"/>
    <w:rsid w:val="005C0879"/>
    <w:rsid w:val="005E0C0E"/>
    <w:rsid w:val="005E0ECF"/>
    <w:rsid w:val="005E547A"/>
    <w:rsid w:val="005E763B"/>
    <w:rsid w:val="00632A81"/>
    <w:rsid w:val="00640C30"/>
    <w:rsid w:val="00646DE8"/>
    <w:rsid w:val="006476DD"/>
    <w:rsid w:val="0066031B"/>
    <w:rsid w:val="00670739"/>
    <w:rsid w:val="00671EBF"/>
    <w:rsid w:val="006A2B03"/>
    <w:rsid w:val="006B4833"/>
    <w:rsid w:val="006B6912"/>
    <w:rsid w:val="006B6945"/>
    <w:rsid w:val="006C6BF3"/>
    <w:rsid w:val="006D242D"/>
    <w:rsid w:val="006D3CBC"/>
    <w:rsid w:val="006F4BA8"/>
    <w:rsid w:val="00702E8A"/>
    <w:rsid w:val="00715FFF"/>
    <w:rsid w:val="00737A3B"/>
    <w:rsid w:val="0075780C"/>
    <w:rsid w:val="00764EE8"/>
    <w:rsid w:val="00773260"/>
    <w:rsid w:val="00774B39"/>
    <w:rsid w:val="00775909"/>
    <w:rsid w:val="007804B7"/>
    <w:rsid w:val="007904AE"/>
    <w:rsid w:val="007B131D"/>
    <w:rsid w:val="007C2E69"/>
    <w:rsid w:val="007C5EF4"/>
    <w:rsid w:val="007F2C0D"/>
    <w:rsid w:val="00801FC6"/>
    <w:rsid w:val="008204F0"/>
    <w:rsid w:val="00826230"/>
    <w:rsid w:val="008336C4"/>
    <w:rsid w:val="008364B2"/>
    <w:rsid w:val="008449F7"/>
    <w:rsid w:val="00853309"/>
    <w:rsid w:val="008578DF"/>
    <w:rsid w:val="0087371D"/>
    <w:rsid w:val="00874BA5"/>
    <w:rsid w:val="008837C0"/>
    <w:rsid w:val="0088707D"/>
    <w:rsid w:val="00896887"/>
    <w:rsid w:val="00896C54"/>
    <w:rsid w:val="008B22C0"/>
    <w:rsid w:val="008B29F9"/>
    <w:rsid w:val="008C0E5F"/>
    <w:rsid w:val="008D4468"/>
    <w:rsid w:val="008D6918"/>
    <w:rsid w:val="008D701A"/>
    <w:rsid w:val="00902F3D"/>
    <w:rsid w:val="00903E57"/>
    <w:rsid w:val="00921757"/>
    <w:rsid w:val="00955B48"/>
    <w:rsid w:val="0095617A"/>
    <w:rsid w:val="009576E8"/>
    <w:rsid w:val="009764CA"/>
    <w:rsid w:val="00981D59"/>
    <w:rsid w:val="009A5D2C"/>
    <w:rsid w:val="009C603D"/>
    <w:rsid w:val="009D1A27"/>
    <w:rsid w:val="009E5692"/>
    <w:rsid w:val="009E6F7A"/>
    <w:rsid w:val="00A10335"/>
    <w:rsid w:val="00A33D38"/>
    <w:rsid w:val="00A43E54"/>
    <w:rsid w:val="00A561F1"/>
    <w:rsid w:val="00A814B1"/>
    <w:rsid w:val="00A81953"/>
    <w:rsid w:val="00A8413E"/>
    <w:rsid w:val="00A93FE5"/>
    <w:rsid w:val="00AA1F25"/>
    <w:rsid w:val="00AC1DC0"/>
    <w:rsid w:val="00AC6C71"/>
    <w:rsid w:val="00AC6D1B"/>
    <w:rsid w:val="00AE5381"/>
    <w:rsid w:val="00AF3FA2"/>
    <w:rsid w:val="00AF619E"/>
    <w:rsid w:val="00B16C7B"/>
    <w:rsid w:val="00B23A50"/>
    <w:rsid w:val="00B313B2"/>
    <w:rsid w:val="00B41E26"/>
    <w:rsid w:val="00B42B43"/>
    <w:rsid w:val="00B51E06"/>
    <w:rsid w:val="00B52219"/>
    <w:rsid w:val="00B65B2D"/>
    <w:rsid w:val="00B67974"/>
    <w:rsid w:val="00B74ABB"/>
    <w:rsid w:val="00B82C40"/>
    <w:rsid w:val="00B8339B"/>
    <w:rsid w:val="00B91AC7"/>
    <w:rsid w:val="00BA5BB5"/>
    <w:rsid w:val="00BA74F0"/>
    <w:rsid w:val="00BA7ACF"/>
    <w:rsid w:val="00BB08AB"/>
    <w:rsid w:val="00BE23D0"/>
    <w:rsid w:val="00BE4A20"/>
    <w:rsid w:val="00BE58CB"/>
    <w:rsid w:val="00C042B0"/>
    <w:rsid w:val="00C305AC"/>
    <w:rsid w:val="00C3070A"/>
    <w:rsid w:val="00C36423"/>
    <w:rsid w:val="00C40176"/>
    <w:rsid w:val="00C5551D"/>
    <w:rsid w:val="00C56156"/>
    <w:rsid w:val="00C65301"/>
    <w:rsid w:val="00C85BAA"/>
    <w:rsid w:val="00CA12F4"/>
    <w:rsid w:val="00CA2236"/>
    <w:rsid w:val="00CA6911"/>
    <w:rsid w:val="00CC3D7A"/>
    <w:rsid w:val="00CF0EA3"/>
    <w:rsid w:val="00CF5392"/>
    <w:rsid w:val="00D062DB"/>
    <w:rsid w:val="00D344DB"/>
    <w:rsid w:val="00D361ED"/>
    <w:rsid w:val="00D9770C"/>
    <w:rsid w:val="00DA6F1C"/>
    <w:rsid w:val="00DC5284"/>
    <w:rsid w:val="00DD7CD3"/>
    <w:rsid w:val="00DE0949"/>
    <w:rsid w:val="00DF7AE0"/>
    <w:rsid w:val="00E13B80"/>
    <w:rsid w:val="00E46AD1"/>
    <w:rsid w:val="00E46C87"/>
    <w:rsid w:val="00E552DB"/>
    <w:rsid w:val="00E842A3"/>
    <w:rsid w:val="00E92F21"/>
    <w:rsid w:val="00E967BD"/>
    <w:rsid w:val="00EC0032"/>
    <w:rsid w:val="00EC6AC8"/>
    <w:rsid w:val="00ED512A"/>
    <w:rsid w:val="00ED75E9"/>
    <w:rsid w:val="00EF668C"/>
    <w:rsid w:val="00EF72BE"/>
    <w:rsid w:val="00F035AA"/>
    <w:rsid w:val="00F31072"/>
    <w:rsid w:val="00F33897"/>
    <w:rsid w:val="00F3464A"/>
    <w:rsid w:val="00F365D3"/>
    <w:rsid w:val="00F822D5"/>
    <w:rsid w:val="00F9762F"/>
    <w:rsid w:val="00FA752F"/>
    <w:rsid w:val="00FB0E23"/>
    <w:rsid w:val="00FB5183"/>
    <w:rsid w:val="00FB73F8"/>
    <w:rsid w:val="00FC0B72"/>
    <w:rsid w:val="00FC3B93"/>
    <w:rsid w:val="00FE72F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E8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E8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2E8A"/>
    <w:pPr>
      <w:ind w:left="720"/>
      <w:contextualSpacing/>
    </w:pPr>
  </w:style>
  <w:style w:type="paragraph" w:styleId="Footer">
    <w:name w:val="footer"/>
    <w:basedOn w:val="Normal"/>
    <w:link w:val="FooterChar"/>
    <w:uiPriority w:val="99"/>
    <w:unhideWhenUsed/>
    <w:rsid w:val="00702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E8A"/>
    <w:rPr>
      <w:rFonts w:eastAsiaTheme="minorHAnsi"/>
      <w:sz w:val="22"/>
      <w:szCs w:val="22"/>
    </w:rPr>
  </w:style>
  <w:style w:type="character" w:styleId="CommentReference">
    <w:name w:val="annotation reference"/>
    <w:basedOn w:val="DefaultParagraphFont"/>
    <w:uiPriority w:val="99"/>
    <w:semiHidden/>
    <w:unhideWhenUsed/>
    <w:rsid w:val="0095617A"/>
    <w:rPr>
      <w:sz w:val="16"/>
      <w:szCs w:val="16"/>
    </w:rPr>
  </w:style>
  <w:style w:type="paragraph" w:styleId="CommentText">
    <w:name w:val="annotation text"/>
    <w:basedOn w:val="Normal"/>
    <w:link w:val="CommentTextChar"/>
    <w:uiPriority w:val="99"/>
    <w:semiHidden/>
    <w:unhideWhenUsed/>
    <w:rsid w:val="0095617A"/>
    <w:pPr>
      <w:spacing w:line="240" w:lineRule="auto"/>
    </w:pPr>
    <w:rPr>
      <w:sz w:val="20"/>
      <w:szCs w:val="20"/>
    </w:rPr>
  </w:style>
  <w:style w:type="character" w:customStyle="1" w:styleId="CommentTextChar">
    <w:name w:val="Comment Text Char"/>
    <w:basedOn w:val="DefaultParagraphFont"/>
    <w:link w:val="CommentText"/>
    <w:uiPriority w:val="99"/>
    <w:semiHidden/>
    <w:rsid w:val="0095617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5617A"/>
    <w:rPr>
      <w:b/>
      <w:bCs/>
    </w:rPr>
  </w:style>
  <w:style w:type="character" w:customStyle="1" w:styleId="CommentSubjectChar">
    <w:name w:val="Comment Subject Char"/>
    <w:basedOn w:val="CommentTextChar"/>
    <w:link w:val="CommentSubject"/>
    <w:uiPriority w:val="99"/>
    <w:semiHidden/>
    <w:rsid w:val="0095617A"/>
    <w:rPr>
      <w:rFonts w:eastAsiaTheme="minorHAnsi"/>
      <w:b/>
      <w:bCs/>
      <w:sz w:val="20"/>
      <w:szCs w:val="20"/>
    </w:rPr>
  </w:style>
  <w:style w:type="paragraph" w:styleId="BalloonText">
    <w:name w:val="Balloon Text"/>
    <w:basedOn w:val="Normal"/>
    <w:link w:val="BalloonTextChar"/>
    <w:uiPriority w:val="99"/>
    <w:semiHidden/>
    <w:unhideWhenUsed/>
    <w:rsid w:val="00956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17A"/>
    <w:rPr>
      <w:rFonts w:ascii="Tahoma" w:eastAsiaTheme="minorHAnsi" w:hAnsi="Tahoma" w:cs="Tahoma"/>
      <w:sz w:val="16"/>
      <w:szCs w:val="16"/>
    </w:rPr>
  </w:style>
  <w:style w:type="paragraph" w:styleId="Revision">
    <w:name w:val="Revision"/>
    <w:hidden/>
    <w:uiPriority w:val="99"/>
    <w:semiHidden/>
    <w:rsid w:val="00E46AD1"/>
    <w:rPr>
      <w:rFonts w:eastAsiaTheme="minorHAnsi"/>
      <w:sz w:val="22"/>
      <w:szCs w:val="22"/>
    </w:rPr>
  </w:style>
  <w:style w:type="paragraph" w:styleId="NoSpacing">
    <w:name w:val="No Spacing"/>
    <w:uiPriority w:val="1"/>
    <w:qFormat/>
    <w:rsid w:val="00ED512A"/>
    <w:rPr>
      <w:rFonts w:eastAsiaTheme="minorHAnsi"/>
      <w:sz w:val="22"/>
      <w:szCs w:val="22"/>
    </w:rPr>
  </w:style>
  <w:style w:type="paragraph" w:styleId="Header">
    <w:name w:val="header"/>
    <w:basedOn w:val="Normal"/>
    <w:link w:val="HeaderChar"/>
    <w:uiPriority w:val="99"/>
    <w:semiHidden/>
    <w:unhideWhenUsed/>
    <w:rsid w:val="008D69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6918"/>
    <w:rPr>
      <w:rFonts w:eastAsiaTheme="minorHAnsi"/>
      <w:sz w:val="22"/>
      <w:szCs w:val="22"/>
    </w:rPr>
  </w:style>
  <w:style w:type="character" w:customStyle="1" w:styleId="bold1">
    <w:name w:val="bold1"/>
    <w:basedOn w:val="DefaultParagraphFont"/>
    <w:rsid w:val="004270F2"/>
    <w:rPr>
      <w:b/>
      <w:bCs/>
    </w:rPr>
  </w:style>
</w:styles>
</file>

<file path=word/webSettings.xml><?xml version="1.0" encoding="utf-8"?>
<w:webSettings xmlns:r="http://schemas.openxmlformats.org/officeDocument/2006/relationships" xmlns:w="http://schemas.openxmlformats.org/wordprocessingml/2006/main">
  <w:divs>
    <w:div w:id="104349084">
      <w:bodyDiv w:val="1"/>
      <w:marLeft w:val="0"/>
      <w:marRight w:val="0"/>
      <w:marTop w:val="0"/>
      <w:marBottom w:val="0"/>
      <w:divBdr>
        <w:top w:val="none" w:sz="0" w:space="0" w:color="auto"/>
        <w:left w:val="none" w:sz="0" w:space="0" w:color="auto"/>
        <w:bottom w:val="none" w:sz="0" w:space="0" w:color="auto"/>
        <w:right w:val="none" w:sz="0" w:space="0" w:color="auto"/>
      </w:divBdr>
    </w:div>
    <w:div w:id="277031850">
      <w:bodyDiv w:val="1"/>
      <w:marLeft w:val="0"/>
      <w:marRight w:val="0"/>
      <w:marTop w:val="0"/>
      <w:marBottom w:val="0"/>
      <w:divBdr>
        <w:top w:val="none" w:sz="0" w:space="0" w:color="auto"/>
        <w:left w:val="none" w:sz="0" w:space="0" w:color="auto"/>
        <w:bottom w:val="none" w:sz="0" w:space="0" w:color="auto"/>
        <w:right w:val="none" w:sz="0" w:space="0" w:color="auto"/>
      </w:divBdr>
    </w:div>
    <w:div w:id="418060821">
      <w:bodyDiv w:val="1"/>
      <w:marLeft w:val="0"/>
      <w:marRight w:val="0"/>
      <w:marTop w:val="0"/>
      <w:marBottom w:val="0"/>
      <w:divBdr>
        <w:top w:val="none" w:sz="0" w:space="0" w:color="auto"/>
        <w:left w:val="none" w:sz="0" w:space="0" w:color="auto"/>
        <w:bottom w:val="none" w:sz="0" w:space="0" w:color="auto"/>
        <w:right w:val="none" w:sz="0" w:space="0" w:color="auto"/>
      </w:divBdr>
    </w:div>
    <w:div w:id="891815416">
      <w:bodyDiv w:val="1"/>
      <w:marLeft w:val="0"/>
      <w:marRight w:val="0"/>
      <w:marTop w:val="0"/>
      <w:marBottom w:val="0"/>
      <w:divBdr>
        <w:top w:val="none" w:sz="0" w:space="0" w:color="auto"/>
        <w:left w:val="none" w:sz="0" w:space="0" w:color="auto"/>
        <w:bottom w:val="none" w:sz="0" w:space="0" w:color="auto"/>
        <w:right w:val="none" w:sz="0" w:space="0" w:color="auto"/>
      </w:divBdr>
    </w:div>
    <w:div w:id="1399748238">
      <w:bodyDiv w:val="1"/>
      <w:marLeft w:val="0"/>
      <w:marRight w:val="0"/>
      <w:marTop w:val="0"/>
      <w:marBottom w:val="0"/>
      <w:divBdr>
        <w:top w:val="none" w:sz="0" w:space="0" w:color="auto"/>
        <w:left w:val="none" w:sz="0" w:space="0" w:color="auto"/>
        <w:bottom w:val="none" w:sz="0" w:space="0" w:color="auto"/>
        <w:right w:val="none" w:sz="0" w:space="0" w:color="auto"/>
      </w:divBdr>
    </w:div>
    <w:div w:id="1549101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DESE-231-34553</_dlc_DocId>
    <_dlc_DocIdUrl xmlns="733efe1c-5bbe-4968-87dc-d400e65c879f">
      <Url>https://sharepoint.doemass.org/ese/webteam/cps/_layouts/DocIdRedir.aspx?ID=DESE-231-34553</Url>
      <Description>DESE-231-34553</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CB7F5-C79E-4AB6-A651-3CD53AAC1E7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2DB4920-E997-439F-B697-5AA3433A0404}">
  <ds:schemaRefs>
    <ds:schemaRef ds:uri="http://schemas.microsoft.com/sharepoint/v3/contenttype/forms"/>
  </ds:schemaRefs>
</ds:datastoreItem>
</file>

<file path=customXml/itemProps3.xml><?xml version="1.0" encoding="utf-8"?>
<ds:datastoreItem xmlns:ds="http://schemas.openxmlformats.org/officeDocument/2006/customXml" ds:itemID="{C6DA91F8-54CA-4507-948D-FFF7BE046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3991E3-86E7-4BEF-9D38-1D261115B6A0}">
  <ds:schemaRefs>
    <ds:schemaRef ds:uri="http://schemas.microsoft.com/sharepoint/events"/>
  </ds:schemaRefs>
</ds:datastoreItem>
</file>

<file path=customXml/itemProps5.xml><?xml version="1.0" encoding="utf-8"?>
<ds:datastoreItem xmlns:ds="http://schemas.openxmlformats.org/officeDocument/2006/customXml" ds:itemID="{3F0EB974-E54D-415E-B065-D747E2E5C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1044</Words>
  <Characters>5765</Characters>
  <Application>Microsoft Office Word</Application>
  <DocSecurity>0</DocSecurity>
  <Lines>201</Lines>
  <Paragraphs>52</Paragraphs>
  <ScaleCrop>false</ScaleCrop>
  <HeadingPairs>
    <vt:vector size="2" baseType="variant">
      <vt:variant>
        <vt:lpstr>Title</vt:lpstr>
      </vt:variant>
      <vt:variant>
        <vt:i4>1</vt:i4>
      </vt:variant>
    </vt:vector>
  </HeadingPairs>
  <TitlesOfParts>
    <vt:vector size="1" baseType="lpstr">
      <vt:lpstr>June 2017 BESE Item 3: Summ. of Mjr Themes 603 CMR 44.00</vt:lpstr>
    </vt:vector>
  </TitlesOfParts>
  <Company/>
  <LinksUpToDate>false</LinksUpToDate>
  <CharactersWithSpaces>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2017 BESE Item 3: Summ. of Mjr Themes 603 CMR 44.00</dc:title>
  <dc:creator>ESE</dc:creator>
  <cp:lastModifiedBy>dzou</cp:lastModifiedBy>
  <cp:revision>3</cp:revision>
  <cp:lastPrinted>2017-06-06T14:54:00Z</cp:lastPrinted>
  <dcterms:created xsi:type="dcterms:W3CDTF">2017-06-06T15:58:00Z</dcterms:created>
  <dcterms:modified xsi:type="dcterms:W3CDTF">2017-07-10T18:04:00Z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2017</vt:lpwstr>
  </property>
</Properties>
</file>