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4BA67" w14:textId="77777777" w:rsidR="00436EF7" w:rsidRPr="00D026DE" w:rsidRDefault="00436EF7" w:rsidP="00436EF7">
      <w:pPr>
        <w:pStyle w:val="msonospacing0"/>
        <w:jc w:val="center"/>
        <w:rPr>
          <w:rFonts w:ascii="Times New Roman" w:hAnsi="Times New Roman"/>
          <w:b/>
          <w:i/>
          <w:sz w:val="24"/>
          <w:szCs w:val="24"/>
        </w:rPr>
      </w:pPr>
      <w:r w:rsidRPr="00C61830">
        <w:rPr>
          <w:rFonts w:ascii="Times New Roman" w:hAnsi="Times New Roman"/>
          <w:b/>
          <w:sz w:val="24"/>
          <w:szCs w:val="24"/>
        </w:rPr>
        <w:t xml:space="preserve">ATTACHMENT </w:t>
      </w:r>
      <w:r>
        <w:rPr>
          <w:rFonts w:ascii="Times New Roman" w:hAnsi="Times New Roman"/>
          <w:b/>
          <w:sz w:val="24"/>
          <w:szCs w:val="24"/>
        </w:rPr>
        <w:t>A</w:t>
      </w:r>
    </w:p>
    <w:p w14:paraId="3E3FD8B6" w14:textId="77777777" w:rsidR="00436EF7" w:rsidRDefault="00436EF7" w:rsidP="00436EF7">
      <w:pPr>
        <w:pStyle w:val="NoSpacing10"/>
        <w:ind w:left="720"/>
        <w:jc w:val="center"/>
        <w:rPr>
          <w:rFonts w:ascii="Times New Roman" w:hAnsi="Times New Roman"/>
          <w:b/>
          <w:sz w:val="24"/>
          <w:szCs w:val="24"/>
        </w:rPr>
      </w:pPr>
    </w:p>
    <w:p w14:paraId="3269890C" w14:textId="77777777" w:rsidR="00436EF7" w:rsidRPr="00947170" w:rsidRDefault="00436EF7" w:rsidP="00436EF7">
      <w:pPr>
        <w:pStyle w:val="NoSpacing10"/>
        <w:ind w:left="720"/>
        <w:jc w:val="center"/>
        <w:rPr>
          <w:rFonts w:ascii="Times New Roman" w:hAnsi="Times New Roman"/>
          <w:b/>
          <w:sz w:val="24"/>
          <w:szCs w:val="24"/>
        </w:rPr>
      </w:pPr>
      <w:r w:rsidRPr="00947170">
        <w:rPr>
          <w:rFonts w:ascii="Times New Roman" w:hAnsi="Times New Roman"/>
          <w:b/>
          <w:sz w:val="24"/>
          <w:szCs w:val="24"/>
        </w:rPr>
        <w:t>Massachusetts Board of Elementary and Secondary Education</w:t>
      </w:r>
    </w:p>
    <w:p w14:paraId="15BB5D6A" w14:textId="77777777" w:rsidR="00436EF7" w:rsidRPr="00947170" w:rsidRDefault="00436EF7" w:rsidP="00436EF7">
      <w:pPr>
        <w:pStyle w:val="NoSpacing10"/>
        <w:ind w:left="720"/>
        <w:jc w:val="center"/>
        <w:rPr>
          <w:rFonts w:ascii="Times New Roman" w:hAnsi="Times New Roman"/>
          <w:b/>
          <w:sz w:val="24"/>
          <w:szCs w:val="24"/>
        </w:rPr>
      </w:pPr>
      <w:r>
        <w:rPr>
          <w:rFonts w:ascii="Times New Roman" w:hAnsi="Times New Roman"/>
          <w:b/>
          <w:sz w:val="24"/>
          <w:szCs w:val="24"/>
        </w:rPr>
        <w:t xml:space="preserve">2016-2017 </w:t>
      </w:r>
      <w:r w:rsidRPr="00947170">
        <w:rPr>
          <w:rFonts w:ascii="Times New Roman" w:hAnsi="Times New Roman"/>
          <w:b/>
          <w:sz w:val="24"/>
          <w:szCs w:val="24"/>
        </w:rPr>
        <w:t>Performance Criteria</w:t>
      </w:r>
    </w:p>
    <w:p w14:paraId="4FFB6CFF" w14:textId="77777777" w:rsidR="00436EF7" w:rsidRPr="00947170" w:rsidRDefault="00436EF7" w:rsidP="00436EF7">
      <w:pPr>
        <w:pStyle w:val="NoSpacing10"/>
        <w:ind w:left="720"/>
        <w:jc w:val="center"/>
        <w:rPr>
          <w:rFonts w:ascii="Times New Roman" w:hAnsi="Times New Roman"/>
          <w:b/>
          <w:sz w:val="24"/>
          <w:szCs w:val="24"/>
        </w:rPr>
      </w:pPr>
      <w:r w:rsidRPr="00947170">
        <w:rPr>
          <w:rFonts w:ascii="Times New Roman" w:hAnsi="Times New Roman"/>
          <w:b/>
          <w:sz w:val="24"/>
          <w:szCs w:val="24"/>
        </w:rPr>
        <w:t>For</w:t>
      </w:r>
    </w:p>
    <w:p w14:paraId="7B914308" w14:textId="77777777" w:rsidR="00436EF7" w:rsidRPr="00947170" w:rsidRDefault="00436EF7" w:rsidP="00436EF7">
      <w:pPr>
        <w:pStyle w:val="NoSpacing10"/>
        <w:ind w:left="720"/>
        <w:jc w:val="center"/>
        <w:rPr>
          <w:rFonts w:ascii="Times New Roman" w:hAnsi="Times New Roman"/>
          <w:b/>
          <w:sz w:val="24"/>
          <w:szCs w:val="24"/>
        </w:rPr>
      </w:pPr>
      <w:r>
        <w:rPr>
          <w:rFonts w:ascii="Times New Roman" w:hAnsi="Times New Roman"/>
          <w:b/>
          <w:sz w:val="24"/>
          <w:szCs w:val="24"/>
        </w:rPr>
        <w:t>Commissioner</w:t>
      </w:r>
      <w:r w:rsidRPr="00947170">
        <w:rPr>
          <w:rFonts w:ascii="Times New Roman" w:hAnsi="Times New Roman"/>
          <w:b/>
          <w:sz w:val="24"/>
          <w:szCs w:val="24"/>
        </w:rPr>
        <w:t xml:space="preserve"> of Elementary and Secondary Education</w:t>
      </w:r>
    </w:p>
    <w:p w14:paraId="0EC5864A" w14:textId="77777777" w:rsidR="00436EF7" w:rsidRPr="00947170" w:rsidRDefault="00436EF7" w:rsidP="00436EF7">
      <w:pPr>
        <w:pStyle w:val="NoSpacing10"/>
        <w:ind w:left="720"/>
        <w:rPr>
          <w:rFonts w:ascii="Times New Roman" w:hAnsi="Times New Roman"/>
          <w:sz w:val="24"/>
          <w:szCs w:val="24"/>
        </w:rPr>
      </w:pPr>
    </w:p>
    <w:p w14:paraId="4ABD8C70" w14:textId="77777777" w:rsidR="00436EF7" w:rsidRPr="006877E3" w:rsidRDefault="00436EF7" w:rsidP="00436EF7">
      <w:pPr>
        <w:pStyle w:val="NoSpacing10"/>
        <w:rPr>
          <w:rFonts w:ascii="Times New Roman" w:hAnsi="Times New Roman"/>
          <w:b/>
          <w:sz w:val="24"/>
          <w:szCs w:val="24"/>
        </w:rPr>
      </w:pPr>
      <w:r w:rsidRPr="00C4532E">
        <w:rPr>
          <w:rFonts w:ascii="Times New Roman" w:hAnsi="Times New Roman"/>
          <w:b/>
          <w:sz w:val="24"/>
          <w:szCs w:val="24"/>
        </w:rPr>
        <w:t>Background</w:t>
      </w:r>
    </w:p>
    <w:p w14:paraId="64C1906F" w14:textId="77777777" w:rsidR="00436EF7" w:rsidRDefault="00436EF7" w:rsidP="00436EF7">
      <w:pPr>
        <w:pStyle w:val="NoSpacing10"/>
        <w:rPr>
          <w:rFonts w:ascii="Times New Roman" w:hAnsi="Times New Roman"/>
          <w:sz w:val="24"/>
          <w:szCs w:val="24"/>
        </w:rPr>
      </w:pPr>
    </w:p>
    <w:p w14:paraId="70CED3CE" w14:textId="77777777" w:rsidR="00436EF7" w:rsidRDefault="00436EF7" w:rsidP="00436EF7">
      <w:pPr>
        <w:pStyle w:val="NoSpacing10"/>
        <w:rPr>
          <w:rFonts w:ascii="Times New Roman" w:hAnsi="Times New Roman"/>
          <w:sz w:val="24"/>
          <w:szCs w:val="24"/>
        </w:rPr>
      </w:pPr>
      <w:r>
        <w:rPr>
          <w:rFonts w:ascii="Times New Roman" w:hAnsi="Times New Roman"/>
          <w:sz w:val="24"/>
          <w:szCs w:val="24"/>
        </w:rPr>
        <w:t>The mission of the Massachusetts Board of Elementary and Secondary Education is to strengthen the Commonwealth’s public education system so that every student is prepared to succeed in postsecondary education, compete in the global economy, and understand the rights and responsibilities of American citizens, and in so doing, to close all proficiency gaps.</w:t>
      </w:r>
    </w:p>
    <w:p w14:paraId="49A06BBD" w14:textId="77777777" w:rsidR="00436EF7" w:rsidRDefault="00436EF7" w:rsidP="00436EF7">
      <w:pPr>
        <w:pStyle w:val="NoSpacing10"/>
        <w:rPr>
          <w:rFonts w:ascii="Times New Roman" w:hAnsi="Times New Roman"/>
          <w:sz w:val="24"/>
          <w:szCs w:val="24"/>
        </w:rPr>
      </w:pPr>
    </w:p>
    <w:p w14:paraId="2A520CB3" w14:textId="77777777" w:rsidR="00436EF7" w:rsidRDefault="00436EF7" w:rsidP="00436EF7">
      <w:pPr>
        <w:pStyle w:val="NoSpacing10"/>
        <w:rPr>
          <w:rFonts w:ascii="Times New Roman" w:hAnsi="Times New Roman"/>
          <w:sz w:val="24"/>
          <w:szCs w:val="24"/>
        </w:rPr>
      </w:pPr>
      <w:r>
        <w:rPr>
          <w:rFonts w:ascii="Times New Roman" w:hAnsi="Times New Roman"/>
          <w:sz w:val="24"/>
          <w:szCs w:val="24"/>
        </w:rPr>
        <w:t>The Commissioner is the secretary to the Board, its chief executive officer, and the chief state school officer for elementary and secondary education. Mass. General Laws chapter 15, section 1F.</w:t>
      </w:r>
    </w:p>
    <w:p w14:paraId="28BDFD1B" w14:textId="77777777" w:rsidR="00436EF7" w:rsidRDefault="00436EF7" w:rsidP="00436EF7">
      <w:pPr>
        <w:pStyle w:val="NoSpacing10"/>
        <w:rPr>
          <w:rFonts w:ascii="Times New Roman" w:hAnsi="Times New Roman"/>
          <w:sz w:val="24"/>
          <w:szCs w:val="24"/>
        </w:rPr>
      </w:pPr>
    </w:p>
    <w:p w14:paraId="1BA3B2A1" w14:textId="36509365" w:rsidR="00436EF7" w:rsidRDefault="00436EF7" w:rsidP="00436EF7">
      <w:pPr>
        <w:pStyle w:val="NoSpacing10"/>
        <w:rPr>
          <w:rFonts w:ascii="Times New Roman" w:hAnsi="Times New Roman"/>
          <w:sz w:val="24"/>
          <w:szCs w:val="24"/>
        </w:rPr>
      </w:pPr>
      <w:r>
        <w:rPr>
          <w:rFonts w:ascii="Times New Roman" w:hAnsi="Times New Roman"/>
          <w:sz w:val="24"/>
          <w:szCs w:val="24"/>
        </w:rPr>
        <w:t xml:space="preserve">In support of the Board’s mission and the goal of preparing all students for success after high school, the Commissioner and Department of Elementary and Secondary Education (DESE) have adopted five </w:t>
      </w:r>
      <w:hyperlink r:id="rId13" w:history="1">
        <w:r w:rsidRPr="006877E3">
          <w:rPr>
            <w:rStyle w:val="Hyperlink"/>
            <w:rFonts w:ascii="Times New Roman" w:hAnsi="Times New Roman"/>
            <w:sz w:val="24"/>
            <w:szCs w:val="24"/>
          </w:rPr>
          <w:t>core strat</w:t>
        </w:r>
        <w:bookmarkStart w:id="0" w:name="_GoBack"/>
        <w:bookmarkEnd w:id="0"/>
        <w:r w:rsidRPr="006877E3">
          <w:rPr>
            <w:rStyle w:val="Hyperlink"/>
            <w:rFonts w:ascii="Times New Roman" w:hAnsi="Times New Roman"/>
            <w:sz w:val="24"/>
            <w:szCs w:val="24"/>
          </w:rPr>
          <w:t>egies</w:t>
        </w:r>
      </w:hyperlink>
      <w:r>
        <w:rPr>
          <w:rFonts w:ascii="Times New Roman" w:hAnsi="Times New Roman"/>
          <w:sz w:val="24"/>
          <w:szCs w:val="24"/>
        </w:rPr>
        <w:t>:</w:t>
      </w:r>
    </w:p>
    <w:p w14:paraId="72087857" w14:textId="77777777" w:rsidR="00436EF7" w:rsidRDefault="00436EF7" w:rsidP="00436EF7">
      <w:pPr>
        <w:pStyle w:val="NoSpacing10"/>
        <w:numPr>
          <w:ilvl w:val="0"/>
          <w:numId w:val="33"/>
        </w:numPr>
        <w:rPr>
          <w:rFonts w:ascii="Times New Roman" w:hAnsi="Times New Roman"/>
          <w:sz w:val="24"/>
          <w:szCs w:val="24"/>
        </w:rPr>
      </w:pPr>
      <w:r>
        <w:rPr>
          <w:rFonts w:ascii="Times New Roman" w:hAnsi="Times New Roman"/>
          <w:sz w:val="24"/>
          <w:szCs w:val="24"/>
        </w:rPr>
        <w:t>Strengthen standards, curriculum, instruction, and assessment</w:t>
      </w:r>
    </w:p>
    <w:p w14:paraId="49FDA81A" w14:textId="77777777" w:rsidR="00436EF7" w:rsidRDefault="00436EF7" w:rsidP="00436EF7">
      <w:pPr>
        <w:pStyle w:val="NoSpacing10"/>
        <w:numPr>
          <w:ilvl w:val="0"/>
          <w:numId w:val="33"/>
        </w:numPr>
        <w:rPr>
          <w:rFonts w:ascii="Times New Roman" w:hAnsi="Times New Roman"/>
          <w:sz w:val="24"/>
          <w:szCs w:val="24"/>
        </w:rPr>
      </w:pPr>
      <w:r>
        <w:rPr>
          <w:rFonts w:ascii="Times New Roman" w:hAnsi="Times New Roman"/>
          <w:sz w:val="24"/>
          <w:szCs w:val="24"/>
        </w:rPr>
        <w:t>Promote educator development</w:t>
      </w:r>
    </w:p>
    <w:p w14:paraId="2326C916" w14:textId="77777777" w:rsidR="00436EF7" w:rsidRDefault="00436EF7" w:rsidP="00436EF7">
      <w:pPr>
        <w:pStyle w:val="NoSpacing10"/>
        <w:numPr>
          <w:ilvl w:val="0"/>
          <w:numId w:val="33"/>
        </w:numPr>
        <w:rPr>
          <w:rFonts w:ascii="Times New Roman" w:hAnsi="Times New Roman"/>
          <w:sz w:val="24"/>
          <w:szCs w:val="24"/>
        </w:rPr>
      </w:pPr>
      <w:r>
        <w:rPr>
          <w:rFonts w:ascii="Times New Roman" w:hAnsi="Times New Roman"/>
          <w:sz w:val="24"/>
          <w:szCs w:val="24"/>
        </w:rPr>
        <w:t>Turn around the lowest-performing districts and schools</w:t>
      </w:r>
    </w:p>
    <w:p w14:paraId="21FD0A17" w14:textId="77777777" w:rsidR="00436EF7" w:rsidRDefault="00436EF7" w:rsidP="00436EF7">
      <w:pPr>
        <w:pStyle w:val="NoSpacing10"/>
        <w:numPr>
          <w:ilvl w:val="0"/>
          <w:numId w:val="33"/>
        </w:numPr>
        <w:rPr>
          <w:rFonts w:ascii="Times New Roman" w:hAnsi="Times New Roman"/>
          <w:sz w:val="24"/>
          <w:szCs w:val="24"/>
        </w:rPr>
      </w:pPr>
      <w:r>
        <w:rPr>
          <w:rFonts w:ascii="Times New Roman" w:hAnsi="Times New Roman"/>
          <w:sz w:val="24"/>
          <w:szCs w:val="24"/>
        </w:rPr>
        <w:t>Use technology and data to support teaching and learning</w:t>
      </w:r>
    </w:p>
    <w:p w14:paraId="0378D792" w14:textId="77777777" w:rsidR="00436EF7" w:rsidRDefault="00436EF7" w:rsidP="00436EF7">
      <w:pPr>
        <w:pStyle w:val="NoSpacing10"/>
        <w:numPr>
          <w:ilvl w:val="0"/>
          <w:numId w:val="33"/>
        </w:numPr>
        <w:rPr>
          <w:rFonts w:ascii="Times New Roman" w:hAnsi="Times New Roman"/>
          <w:sz w:val="24"/>
          <w:szCs w:val="24"/>
        </w:rPr>
      </w:pPr>
      <w:r>
        <w:rPr>
          <w:rFonts w:ascii="Times New Roman" w:hAnsi="Times New Roman"/>
          <w:sz w:val="24"/>
          <w:szCs w:val="24"/>
        </w:rPr>
        <w:t>Support students’ social/emotional health</w:t>
      </w:r>
    </w:p>
    <w:p w14:paraId="4DF2ACE4" w14:textId="77777777" w:rsidR="00436EF7" w:rsidRDefault="00436EF7" w:rsidP="00436EF7">
      <w:pPr>
        <w:pStyle w:val="NoSpacing10"/>
        <w:rPr>
          <w:rFonts w:ascii="Times New Roman" w:hAnsi="Times New Roman"/>
          <w:sz w:val="24"/>
          <w:szCs w:val="24"/>
        </w:rPr>
      </w:pPr>
      <w:r>
        <w:rPr>
          <w:rFonts w:ascii="Times New Roman" w:hAnsi="Times New Roman"/>
          <w:sz w:val="24"/>
          <w:szCs w:val="24"/>
        </w:rPr>
        <w:t xml:space="preserve"> </w:t>
      </w:r>
    </w:p>
    <w:p w14:paraId="71DF9126" w14:textId="77777777" w:rsidR="00436EF7" w:rsidRPr="00947170" w:rsidRDefault="00436EF7" w:rsidP="00436EF7">
      <w:pPr>
        <w:pStyle w:val="NoSpacing10"/>
        <w:rPr>
          <w:rFonts w:ascii="Times New Roman" w:hAnsi="Times New Roman"/>
          <w:sz w:val="24"/>
          <w:szCs w:val="24"/>
        </w:rPr>
      </w:pPr>
      <w:r w:rsidRPr="00947170">
        <w:rPr>
          <w:rFonts w:ascii="Times New Roman" w:hAnsi="Times New Roman"/>
          <w:sz w:val="24"/>
          <w:szCs w:val="24"/>
        </w:rPr>
        <w:t xml:space="preserve">The following performance criteria focus on </w:t>
      </w:r>
      <w:r>
        <w:rPr>
          <w:rFonts w:ascii="Times New Roman" w:hAnsi="Times New Roman"/>
          <w:sz w:val="24"/>
          <w:szCs w:val="24"/>
        </w:rPr>
        <w:t>the Commissioner’s r</w:t>
      </w:r>
      <w:r w:rsidRPr="00947170">
        <w:rPr>
          <w:rFonts w:ascii="Times New Roman" w:hAnsi="Times New Roman"/>
          <w:sz w:val="24"/>
          <w:szCs w:val="24"/>
        </w:rPr>
        <w:t xml:space="preserve">oles, </w:t>
      </w:r>
      <w:r>
        <w:rPr>
          <w:rFonts w:ascii="Times New Roman" w:hAnsi="Times New Roman"/>
          <w:sz w:val="24"/>
          <w:szCs w:val="24"/>
        </w:rPr>
        <w:t>a</w:t>
      </w:r>
      <w:r w:rsidRPr="00947170">
        <w:rPr>
          <w:rFonts w:ascii="Times New Roman" w:hAnsi="Times New Roman"/>
          <w:sz w:val="24"/>
          <w:szCs w:val="24"/>
        </w:rPr>
        <w:t>ccountabilities</w:t>
      </w:r>
      <w:r>
        <w:rPr>
          <w:rFonts w:ascii="Times New Roman" w:hAnsi="Times New Roman"/>
          <w:sz w:val="24"/>
          <w:szCs w:val="24"/>
        </w:rPr>
        <w:t>,</w:t>
      </w:r>
      <w:r w:rsidRPr="00947170">
        <w:rPr>
          <w:rFonts w:ascii="Times New Roman" w:hAnsi="Times New Roman"/>
          <w:sz w:val="24"/>
          <w:szCs w:val="24"/>
        </w:rPr>
        <w:t xml:space="preserve"> and </w:t>
      </w:r>
      <w:r>
        <w:rPr>
          <w:rFonts w:ascii="Times New Roman" w:hAnsi="Times New Roman"/>
          <w:sz w:val="24"/>
          <w:szCs w:val="24"/>
        </w:rPr>
        <w:t>g</w:t>
      </w:r>
      <w:r w:rsidRPr="00947170">
        <w:rPr>
          <w:rFonts w:ascii="Times New Roman" w:hAnsi="Times New Roman"/>
          <w:sz w:val="24"/>
          <w:szCs w:val="24"/>
        </w:rPr>
        <w:t>oals</w:t>
      </w:r>
      <w:r>
        <w:rPr>
          <w:rFonts w:ascii="Times New Roman" w:hAnsi="Times New Roman"/>
          <w:sz w:val="24"/>
          <w:szCs w:val="24"/>
        </w:rPr>
        <w:t xml:space="preserve"> and are organized in four categories: promoting student achievement and growth, management and operations, external relations and communication, and Board support, all of which </w:t>
      </w:r>
      <w:r w:rsidRPr="00947170">
        <w:rPr>
          <w:rFonts w:ascii="Times New Roman" w:hAnsi="Times New Roman"/>
          <w:sz w:val="24"/>
          <w:szCs w:val="24"/>
        </w:rPr>
        <w:t xml:space="preserve">are important functions of the </w:t>
      </w:r>
      <w:r>
        <w:rPr>
          <w:rFonts w:ascii="Times New Roman" w:hAnsi="Times New Roman"/>
          <w:sz w:val="24"/>
          <w:szCs w:val="24"/>
        </w:rPr>
        <w:t>Commissioner</w:t>
      </w:r>
      <w:r w:rsidRPr="00947170">
        <w:rPr>
          <w:rFonts w:ascii="Times New Roman" w:hAnsi="Times New Roman"/>
          <w:sz w:val="24"/>
          <w:szCs w:val="24"/>
        </w:rPr>
        <w:t xml:space="preserve">. </w:t>
      </w:r>
      <w:r>
        <w:rPr>
          <w:rFonts w:ascii="Times New Roman" w:hAnsi="Times New Roman"/>
          <w:sz w:val="24"/>
          <w:szCs w:val="24"/>
        </w:rPr>
        <w:t xml:space="preserve">The criteria </w:t>
      </w:r>
      <w:r w:rsidRPr="00947170">
        <w:rPr>
          <w:rFonts w:ascii="Times New Roman" w:hAnsi="Times New Roman"/>
          <w:sz w:val="24"/>
          <w:szCs w:val="24"/>
        </w:rPr>
        <w:t>promot</w:t>
      </w:r>
      <w:r>
        <w:rPr>
          <w:rFonts w:ascii="Times New Roman" w:hAnsi="Times New Roman"/>
          <w:sz w:val="24"/>
          <w:szCs w:val="24"/>
        </w:rPr>
        <w:t>e</w:t>
      </w:r>
      <w:r w:rsidRPr="00947170">
        <w:rPr>
          <w:rFonts w:ascii="Times New Roman" w:hAnsi="Times New Roman"/>
          <w:sz w:val="24"/>
          <w:szCs w:val="24"/>
        </w:rPr>
        <w:t xml:space="preserve"> </w:t>
      </w:r>
      <w:proofErr w:type="spellStart"/>
      <w:r w:rsidRPr="00947170">
        <w:rPr>
          <w:rFonts w:ascii="Times New Roman" w:hAnsi="Times New Roman"/>
          <w:sz w:val="24"/>
          <w:szCs w:val="24"/>
        </w:rPr>
        <w:t>measureable</w:t>
      </w:r>
      <w:proofErr w:type="spellEnd"/>
      <w:r w:rsidRPr="00947170">
        <w:rPr>
          <w:rFonts w:ascii="Times New Roman" w:hAnsi="Times New Roman"/>
          <w:sz w:val="24"/>
          <w:szCs w:val="24"/>
        </w:rPr>
        <w:t xml:space="preserve"> outcomes that are realistic and attainable. The Board is recommending setting these function areas into priorities that will set the </w:t>
      </w:r>
      <w:r>
        <w:rPr>
          <w:rFonts w:ascii="Times New Roman" w:hAnsi="Times New Roman"/>
          <w:sz w:val="24"/>
          <w:szCs w:val="24"/>
        </w:rPr>
        <w:t>Commissioner</w:t>
      </w:r>
      <w:r w:rsidRPr="00947170">
        <w:rPr>
          <w:rFonts w:ascii="Times New Roman" w:hAnsi="Times New Roman"/>
          <w:sz w:val="24"/>
          <w:szCs w:val="24"/>
        </w:rPr>
        <w:t>’s work plan and distribution of his time and efforts.</w:t>
      </w:r>
    </w:p>
    <w:p w14:paraId="28D05558" w14:textId="77777777" w:rsidR="00436EF7" w:rsidRPr="00947170" w:rsidRDefault="00436EF7" w:rsidP="00436EF7">
      <w:pPr>
        <w:pStyle w:val="NoSpacing10"/>
        <w:ind w:left="720"/>
        <w:rPr>
          <w:rFonts w:ascii="Times New Roman" w:hAnsi="Times New Roman"/>
          <w:sz w:val="24"/>
          <w:szCs w:val="24"/>
        </w:rPr>
      </w:pPr>
    </w:p>
    <w:p w14:paraId="5B66D23B" w14:textId="77777777" w:rsidR="00436EF7" w:rsidRDefault="00436EF7" w:rsidP="00436EF7">
      <w:pPr>
        <w:pStyle w:val="NoSpacing10"/>
        <w:rPr>
          <w:rFonts w:ascii="Times New Roman" w:hAnsi="Times New Roman"/>
          <w:b/>
          <w:sz w:val="24"/>
          <w:szCs w:val="24"/>
        </w:rPr>
      </w:pPr>
      <w:r>
        <w:rPr>
          <w:rFonts w:ascii="Times New Roman" w:hAnsi="Times New Roman"/>
          <w:b/>
          <w:sz w:val="24"/>
          <w:szCs w:val="24"/>
        </w:rPr>
        <w:t>Performance Criteria</w:t>
      </w:r>
    </w:p>
    <w:p w14:paraId="129C034B" w14:textId="77777777" w:rsidR="00436EF7" w:rsidRDefault="00436EF7" w:rsidP="00436EF7">
      <w:pPr>
        <w:pStyle w:val="NoSpacing10"/>
        <w:rPr>
          <w:rFonts w:ascii="Times New Roman" w:hAnsi="Times New Roman"/>
          <w:b/>
          <w:sz w:val="24"/>
          <w:szCs w:val="24"/>
        </w:rPr>
      </w:pPr>
    </w:p>
    <w:p w14:paraId="06371044" w14:textId="77777777" w:rsidR="00436EF7" w:rsidRPr="00947170" w:rsidRDefault="00436EF7" w:rsidP="00436EF7">
      <w:pPr>
        <w:pStyle w:val="NoSpacing10"/>
        <w:rPr>
          <w:rFonts w:ascii="Times New Roman" w:hAnsi="Times New Roman"/>
          <w:b/>
          <w:sz w:val="24"/>
          <w:szCs w:val="24"/>
        </w:rPr>
      </w:pPr>
      <w:r>
        <w:rPr>
          <w:rFonts w:ascii="Times New Roman" w:hAnsi="Times New Roman"/>
          <w:b/>
          <w:sz w:val="24"/>
          <w:szCs w:val="24"/>
        </w:rPr>
        <w:t>Facilitate Student Achievement and Growth</w:t>
      </w:r>
      <w:r w:rsidRPr="00947170">
        <w:rPr>
          <w:rFonts w:ascii="Times New Roman" w:hAnsi="Times New Roman"/>
          <w:b/>
          <w:sz w:val="24"/>
          <w:szCs w:val="24"/>
        </w:rPr>
        <w:t xml:space="preserve"> (</w:t>
      </w:r>
      <w:r>
        <w:rPr>
          <w:rFonts w:ascii="Times New Roman" w:hAnsi="Times New Roman"/>
          <w:b/>
          <w:sz w:val="24"/>
          <w:szCs w:val="24"/>
        </w:rPr>
        <w:t>30</w:t>
      </w:r>
      <w:r w:rsidRPr="00947170">
        <w:rPr>
          <w:rFonts w:ascii="Times New Roman" w:hAnsi="Times New Roman"/>
          <w:b/>
          <w:sz w:val="24"/>
          <w:szCs w:val="24"/>
        </w:rPr>
        <w:t>%)</w:t>
      </w:r>
    </w:p>
    <w:p w14:paraId="0977C724" w14:textId="77777777" w:rsidR="00436EF7" w:rsidRDefault="00436EF7" w:rsidP="00436EF7">
      <w:pPr>
        <w:pStyle w:val="NoSpacing10"/>
        <w:ind w:left="720"/>
        <w:rPr>
          <w:rFonts w:ascii="Times New Roman" w:hAnsi="Times New Roman"/>
          <w:sz w:val="24"/>
          <w:szCs w:val="24"/>
        </w:rPr>
      </w:pPr>
    </w:p>
    <w:p w14:paraId="531F59AA" w14:textId="77777777" w:rsidR="00436EF7" w:rsidRPr="00947170" w:rsidRDefault="00436EF7" w:rsidP="00436EF7">
      <w:pPr>
        <w:pStyle w:val="NoSpacing10"/>
        <w:rPr>
          <w:rFonts w:ascii="Times New Roman" w:hAnsi="Times New Roman"/>
          <w:sz w:val="24"/>
          <w:szCs w:val="24"/>
        </w:rPr>
      </w:pPr>
      <w:r>
        <w:rPr>
          <w:rFonts w:ascii="Times New Roman" w:hAnsi="Times New Roman"/>
          <w:sz w:val="24"/>
          <w:szCs w:val="24"/>
        </w:rPr>
        <w:t>Make substantial progress on the five core strategies listed above to facilitate student growth and achievement, including:</w:t>
      </w:r>
    </w:p>
    <w:p w14:paraId="74BFA153" w14:textId="77777777" w:rsidR="00436EF7" w:rsidRDefault="00436EF7" w:rsidP="00436EF7">
      <w:pPr>
        <w:pStyle w:val="NoSpacing10"/>
        <w:numPr>
          <w:ilvl w:val="0"/>
          <w:numId w:val="24"/>
        </w:numPr>
        <w:ind w:left="720"/>
        <w:rPr>
          <w:rFonts w:ascii="Times New Roman" w:hAnsi="Times New Roman"/>
          <w:sz w:val="24"/>
          <w:szCs w:val="24"/>
        </w:rPr>
      </w:pPr>
      <w:r w:rsidRPr="00947170">
        <w:rPr>
          <w:rFonts w:ascii="Times New Roman" w:hAnsi="Times New Roman"/>
          <w:sz w:val="24"/>
          <w:szCs w:val="24"/>
        </w:rPr>
        <w:t>Develop</w:t>
      </w:r>
      <w:r>
        <w:rPr>
          <w:rFonts w:ascii="Times New Roman" w:hAnsi="Times New Roman"/>
          <w:sz w:val="24"/>
          <w:szCs w:val="24"/>
        </w:rPr>
        <w:t xml:space="preserve">, </w:t>
      </w:r>
      <w:r w:rsidRPr="00947170">
        <w:rPr>
          <w:rFonts w:ascii="Times New Roman" w:hAnsi="Times New Roman"/>
          <w:sz w:val="24"/>
          <w:szCs w:val="24"/>
        </w:rPr>
        <w:t>implement</w:t>
      </w:r>
      <w:r>
        <w:rPr>
          <w:rFonts w:ascii="Times New Roman" w:hAnsi="Times New Roman"/>
          <w:sz w:val="24"/>
          <w:szCs w:val="24"/>
        </w:rPr>
        <w:t>, monitor, and report on</w:t>
      </w:r>
      <w:r w:rsidRPr="00947170">
        <w:rPr>
          <w:rFonts w:ascii="Times New Roman" w:hAnsi="Times New Roman"/>
          <w:sz w:val="24"/>
          <w:szCs w:val="24"/>
        </w:rPr>
        <w:t xml:space="preserve"> clear </w:t>
      </w:r>
      <w:r>
        <w:rPr>
          <w:rFonts w:ascii="Times New Roman" w:hAnsi="Times New Roman"/>
          <w:sz w:val="24"/>
          <w:szCs w:val="24"/>
        </w:rPr>
        <w:t xml:space="preserve">turnaround </w:t>
      </w:r>
      <w:r w:rsidRPr="00947170">
        <w:rPr>
          <w:rFonts w:ascii="Times New Roman" w:hAnsi="Times New Roman"/>
          <w:sz w:val="24"/>
          <w:szCs w:val="24"/>
        </w:rPr>
        <w:t>strateg</w:t>
      </w:r>
      <w:r>
        <w:rPr>
          <w:rFonts w:ascii="Times New Roman" w:hAnsi="Times New Roman"/>
          <w:sz w:val="24"/>
          <w:szCs w:val="24"/>
        </w:rPr>
        <w:t>ies</w:t>
      </w:r>
      <w:r w:rsidRPr="00947170">
        <w:rPr>
          <w:rFonts w:ascii="Times New Roman" w:hAnsi="Times New Roman"/>
          <w:sz w:val="24"/>
          <w:szCs w:val="24"/>
        </w:rPr>
        <w:t xml:space="preserve"> for Level 4 and 5 districts and schools </w:t>
      </w:r>
    </w:p>
    <w:p w14:paraId="769CF3CC" w14:textId="77777777" w:rsidR="00436EF7" w:rsidRDefault="00436EF7" w:rsidP="00436EF7">
      <w:pPr>
        <w:pStyle w:val="NoSpacing10"/>
        <w:numPr>
          <w:ilvl w:val="0"/>
          <w:numId w:val="24"/>
        </w:numPr>
        <w:ind w:left="720"/>
        <w:rPr>
          <w:rFonts w:ascii="Times New Roman" w:hAnsi="Times New Roman"/>
          <w:sz w:val="24"/>
          <w:szCs w:val="24"/>
        </w:rPr>
      </w:pPr>
      <w:r>
        <w:rPr>
          <w:rFonts w:ascii="Times New Roman" w:hAnsi="Times New Roman"/>
          <w:sz w:val="24"/>
          <w:szCs w:val="24"/>
        </w:rPr>
        <w:t>Lead the effective rollout and implementation of major initiatives around curriculum and assessment, including the next generation of the statewide student assessment program</w:t>
      </w:r>
    </w:p>
    <w:p w14:paraId="7E41C2AE" w14:textId="77777777" w:rsidR="00436EF7" w:rsidRDefault="00436EF7" w:rsidP="00436EF7">
      <w:pPr>
        <w:pStyle w:val="NoSpacing10"/>
        <w:numPr>
          <w:ilvl w:val="0"/>
          <w:numId w:val="24"/>
        </w:numPr>
        <w:ind w:left="720"/>
        <w:rPr>
          <w:rFonts w:ascii="Times New Roman" w:hAnsi="Times New Roman"/>
          <w:sz w:val="24"/>
          <w:szCs w:val="24"/>
        </w:rPr>
      </w:pPr>
      <w:r>
        <w:rPr>
          <w:rFonts w:ascii="Times New Roman" w:hAnsi="Times New Roman"/>
          <w:sz w:val="24"/>
          <w:szCs w:val="24"/>
        </w:rPr>
        <w:lastRenderedPageBreak/>
        <w:t>Promote educator development through continued implementation of RETELL, the educator evaluation system, and other initiatives.</w:t>
      </w:r>
    </w:p>
    <w:p w14:paraId="3BD68ADE" w14:textId="77777777" w:rsidR="00436EF7" w:rsidRDefault="00436EF7" w:rsidP="00436EF7">
      <w:pPr>
        <w:pStyle w:val="NoSpacing10"/>
        <w:numPr>
          <w:ilvl w:val="0"/>
          <w:numId w:val="24"/>
        </w:numPr>
        <w:ind w:left="720"/>
        <w:rPr>
          <w:rFonts w:ascii="Times New Roman" w:hAnsi="Times New Roman"/>
          <w:sz w:val="24"/>
          <w:szCs w:val="24"/>
        </w:rPr>
      </w:pPr>
      <w:r w:rsidRPr="00947170">
        <w:rPr>
          <w:rFonts w:ascii="Times New Roman" w:hAnsi="Times New Roman"/>
          <w:sz w:val="24"/>
          <w:szCs w:val="24"/>
        </w:rPr>
        <w:t xml:space="preserve">Ensure effective engagement of district leaders by </w:t>
      </w:r>
      <w:r>
        <w:rPr>
          <w:rFonts w:ascii="Times New Roman" w:hAnsi="Times New Roman"/>
          <w:sz w:val="24"/>
          <w:szCs w:val="24"/>
        </w:rPr>
        <w:t xml:space="preserve">promoting, </w:t>
      </w:r>
      <w:r w:rsidRPr="00947170">
        <w:rPr>
          <w:rFonts w:ascii="Times New Roman" w:hAnsi="Times New Roman"/>
          <w:sz w:val="24"/>
          <w:szCs w:val="24"/>
        </w:rPr>
        <w:t>motivating, measuring</w:t>
      </w:r>
      <w:r>
        <w:rPr>
          <w:rFonts w:ascii="Times New Roman" w:hAnsi="Times New Roman"/>
          <w:sz w:val="24"/>
          <w:szCs w:val="24"/>
        </w:rPr>
        <w:t>,</w:t>
      </w:r>
      <w:r w:rsidRPr="00947170">
        <w:rPr>
          <w:rFonts w:ascii="Times New Roman" w:hAnsi="Times New Roman"/>
          <w:sz w:val="24"/>
          <w:szCs w:val="24"/>
        </w:rPr>
        <w:t xml:space="preserve"> and communicating progress of efforts to close proficiency gap</w:t>
      </w:r>
      <w:r>
        <w:rPr>
          <w:rFonts w:ascii="Times New Roman" w:hAnsi="Times New Roman"/>
          <w:sz w:val="24"/>
          <w:szCs w:val="24"/>
        </w:rPr>
        <w:t>s</w:t>
      </w:r>
      <w:r w:rsidRPr="00947170">
        <w:rPr>
          <w:rFonts w:ascii="Times New Roman" w:hAnsi="Times New Roman"/>
          <w:sz w:val="24"/>
          <w:szCs w:val="24"/>
        </w:rPr>
        <w:t xml:space="preserve"> and raise student performance in underperforming districts</w:t>
      </w:r>
    </w:p>
    <w:p w14:paraId="309A31A7" w14:textId="77777777" w:rsidR="00436EF7" w:rsidRDefault="00436EF7" w:rsidP="00436EF7">
      <w:pPr>
        <w:pStyle w:val="NoSpacing10"/>
        <w:numPr>
          <w:ilvl w:val="0"/>
          <w:numId w:val="24"/>
        </w:numPr>
        <w:ind w:left="720"/>
        <w:rPr>
          <w:rFonts w:ascii="Times New Roman" w:hAnsi="Times New Roman"/>
          <w:sz w:val="24"/>
          <w:szCs w:val="24"/>
        </w:rPr>
      </w:pPr>
      <w:r>
        <w:rPr>
          <w:rFonts w:ascii="Times New Roman" w:hAnsi="Times New Roman"/>
          <w:sz w:val="24"/>
          <w:szCs w:val="24"/>
        </w:rPr>
        <w:t>Develop a plan to address gaps in reading achievement</w:t>
      </w:r>
    </w:p>
    <w:p w14:paraId="266FA6B1" w14:textId="77777777" w:rsidR="00436EF7" w:rsidRDefault="00436EF7" w:rsidP="00436EF7">
      <w:pPr>
        <w:pStyle w:val="NoSpacing10"/>
        <w:numPr>
          <w:ilvl w:val="0"/>
          <w:numId w:val="24"/>
        </w:numPr>
        <w:ind w:left="720"/>
        <w:rPr>
          <w:rFonts w:ascii="Times New Roman" w:hAnsi="Times New Roman"/>
          <w:sz w:val="24"/>
          <w:szCs w:val="24"/>
        </w:rPr>
      </w:pPr>
      <w:r>
        <w:rPr>
          <w:rFonts w:ascii="Times New Roman" w:hAnsi="Times New Roman"/>
          <w:sz w:val="24"/>
          <w:szCs w:val="24"/>
        </w:rPr>
        <w:t>Develop and implement a plan to strengthen support for students’ social/emotional health</w:t>
      </w:r>
    </w:p>
    <w:p w14:paraId="245A91AB" w14:textId="77777777" w:rsidR="00436EF7" w:rsidRPr="00947170" w:rsidRDefault="00436EF7" w:rsidP="00436EF7">
      <w:pPr>
        <w:pStyle w:val="NoSpacing10"/>
        <w:ind w:left="720"/>
        <w:rPr>
          <w:rFonts w:ascii="Times New Roman" w:hAnsi="Times New Roman"/>
          <w:sz w:val="24"/>
          <w:szCs w:val="24"/>
        </w:rPr>
      </w:pPr>
    </w:p>
    <w:p w14:paraId="41931DE5" w14:textId="77777777" w:rsidR="00436EF7" w:rsidRPr="00947170" w:rsidRDefault="00436EF7" w:rsidP="00436EF7">
      <w:pPr>
        <w:pStyle w:val="NoSpacing10"/>
        <w:rPr>
          <w:rFonts w:ascii="Times New Roman" w:hAnsi="Times New Roman"/>
          <w:b/>
          <w:sz w:val="24"/>
          <w:szCs w:val="24"/>
        </w:rPr>
      </w:pPr>
      <w:r>
        <w:rPr>
          <w:rFonts w:ascii="Times New Roman" w:hAnsi="Times New Roman"/>
          <w:b/>
          <w:sz w:val="24"/>
          <w:szCs w:val="24"/>
        </w:rPr>
        <w:t>Management and Operations</w:t>
      </w:r>
      <w:r w:rsidRPr="00947170">
        <w:rPr>
          <w:rFonts w:ascii="Times New Roman" w:hAnsi="Times New Roman"/>
          <w:b/>
          <w:sz w:val="24"/>
          <w:szCs w:val="24"/>
        </w:rPr>
        <w:t xml:space="preserve"> (25%) </w:t>
      </w:r>
    </w:p>
    <w:p w14:paraId="43EEACB0" w14:textId="77777777" w:rsidR="00436EF7" w:rsidRPr="00947170" w:rsidRDefault="00436EF7" w:rsidP="00436EF7">
      <w:pPr>
        <w:pStyle w:val="NoSpacing10"/>
        <w:ind w:left="720"/>
        <w:rPr>
          <w:rFonts w:ascii="Times New Roman" w:hAnsi="Times New Roman"/>
          <w:sz w:val="24"/>
          <w:szCs w:val="24"/>
        </w:rPr>
      </w:pPr>
    </w:p>
    <w:p w14:paraId="3663B541" w14:textId="77777777" w:rsidR="00436EF7" w:rsidRDefault="00436EF7" w:rsidP="00436EF7">
      <w:pPr>
        <w:pStyle w:val="NoSpacing10"/>
        <w:numPr>
          <w:ilvl w:val="0"/>
          <w:numId w:val="25"/>
        </w:numPr>
        <w:ind w:left="720"/>
        <w:rPr>
          <w:rFonts w:ascii="Times New Roman" w:hAnsi="Times New Roman"/>
          <w:sz w:val="24"/>
          <w:szCs w:val="24"/>
        </w:rPr>
      </w:pPr>
      <w:r w:rsidRPr="00C4532E">
        <w:rPr>
          <w:rFonts w:ascii="Times New Roman" w:hAnsi="Times New Roman"/>
          <w:sz w:val="24"/>
          <w:szCs w:val="24"/>
        </w:rPr>
        <w:t>Lead the Department of Elementary and Secondary Education (DESE)</w:t>
      </w:r>
      <w:r>
        <w:rPr>
          <w:rFonts w:ascii="Times New Roman" w:hAnsi="Times New Roman"/>
          <w:sz w:val="24"/>
          <w:szCs w:val="24"/>
        </w:rPr>
        <w:t xml:space="preserve"> by s</w:t>
      </w:r>
      <w:r w:rsidRPr="00947170">
        <w:rPr>
          <w:rFonts w:ascii="Times New Roman" w:hAnsi="Times New Roman"/>
          <w:sz w:val="24"/>
          <w:szCs w:val="24"/>
        </w:rPr>
        <w:t>et</w:t>
      </w:r>
      <w:r>
        <w:rPr>
          <w:rFonts w:ascii="Times New Roman" w:hAnsi="Times New Roman"/>
          <w:sz w:val="24"/>
          <w:szCs w:val="24"/>
        </w:rPr>
        <w:t>ting</w:t>
      </w:r>
      <w:r w:rsidRPr="00947170">
        <w:rPr>
          <w:rFonts w:ascii="Times New Roman" w:hAnsi="Times New Roman"/>
          <w:sz w:val="24"/>
          <w:szCs w:val="24"/>
        </w:rPr>
        <w:t xml:space="preserve"> the vision, approv</w:t>
      </w:r>
      <w:r>
        <w:rPr>
          <w:rFonts w:ascii="Times New Roman" w:hAnsi="Times New Roman"/>
          <w:sz w:val="24"/>
          <w:szCs w:val="24"/>
        </w:rPr>
        <w:t>ing</w:t>
      </w:r>
      <w:r w:rsidRPr="00947170">
        <w:rPr>
          <w:rFonts w:ascii="Times New Roman" w:hAnsi="Times New Roman"/>
          <w:sz w:val="24"/>
          <w:szCs w:val="24"/>
        </w:rPr>
        <w:t xml:space="preserve"> the strategies, and establish</w:t>
      </w:r>
      <w:r>
        <w:rPr>
          <w:rFonts w:ascii="Times New Roman" w:hAnsi="Times New Roman"/>
          <w:sz w:val="24"/>
          <w:szCs w:val="24"/>
        </w:rPr>
        <w:t>ing</w:t>
      </w:r>
      <w:r w:rsidRPr="00947170">
        <w:rPr>
          <w:rFonts w:ascii="Times New Roman" w:hAnsi="Times New Roman"/>
          <w:sz w:val="24"/>
          <w:szCs w:val="24"/>
        </w:rPr>
        <w:t xml:space="preserve"> a culture that promotes the Board’s mission</w:t>
      </w:r>
      <w:r>
        <w:rPr>
          <w:rFonts w:ascii="Times New Roman" w:hAnsi="Times New Roman"/>
          <w:sz w:val="24"/>
          <w:szCs w:val="24"/>
        </w:rPr>
        <w:t xml:space="preserve"> and makes substantial progress on the five core strategies listed above</w:t>
      </w:r>
      <w:r w:rsidRPr="00947170">
        <w:rPr>
          <w:rFonts w:ascii="Times New Roman" w:hAnsi="Times New Roman"/>
          <w:sz w:val="24"/>
          <w:szCs w:val="24"/>
        </w:rPr>
        <w:t xml:space="preserve"> </w:t>
      </w:r>
    </w:p>
    <w:p w14:paraId="2A2D45DF" w14:textId="77777777" w:rsidR="00436EF7" w:rsidRPr="00947170" w:rsidRDefault="00436EF7" w:rsidP="00436EF7">
      <w:pPr>
        <w:pStyle w:val="NoSpacing10"/>
        <w:numPr>
          <w:ilvl w:val="0"/>
          <w:numId w:val="25"/>
        </w:numPr>
        <w:ind w:left="720"/>
        <w:rPr>
          <w:rFonts w:ascii="Times New Roman" w:hAnsi="Times New Roman"/>
          <w:sz w:val="24"/>
          <w:szCs w:val="24"/>
        </w:rPr>
      </w:pPr>
      <w:r w:rsidRPr="00947170">
        <w:rPr>
          <w:rFonts w:ascii="Times New Roman" w:hAnsi="Times New Roman"/>
          <w:sz w:val="24"/>
          <w:szCs w:val="24"/>
        </w:rPr>
        <w:t>Manage within the parameters of DESE’s bud</w:t>
      </w:r>
      <w:r>
        <w:rPr>
          <w:rFonts w:ascii="Times New Roman" w:hAnsi="Times New Roman"/>
          <w:sz w:val="24"/>
          <w:szCs w:val="24"/>
        </w:rPr>
        <w:t>get to achieve goals, including:</w:t>
      </w:r>
    </w:p>
    <w:p w14:paraId="25DE4BE3" w14:textId="77777777" w:rsidR="00436EF7" w:rsidRDefault="00436EF7" w:rsidP="00436EF7">
      <w:pPr>
        <w:pStyle w:val="NoSpacing10"/>
        <w:numPr>
          <w:ilvl w:val="1"/>
          <w:numId w:val="25"/>
        </w:numPr>
        <w:rPr>
          <w:rFonts w:ascii="Times New Roman" w:hAnsi="Times New Roman"/>
          <w:sz w:val="24"/>
          <w:szCs w:val="24"/>
        </w:rPr>
      </w:pPr>
      <w:r>
        <w:rPr>
          <w:rFonts w:ascii="Times New Roman" w:hAnsi="Times New Roman"/>
          <w:sz w:val="24"/>
          <w:szCs w:val="24"/>
        </w:rPr>
        <w:t>Report on and implement a strategic plan for DESE based on recommendations from the Fall 2015 organizational review</w:t>
      </w:r>
    </w:p>
    <w:p w14:paraId="5C120F11" w14:textId="77777777" w:rsidR="00436EF7" w:rsidRPr="00EB5A90" w:rsidRDefault="00436EF7" w:rsidP="00436EF7">
      <w:pPr>
        <w:pStyle w:val="NoSpacing10"/>
        <w:numPr>
          <w:ilvl w:val="1"/>
          <w:numId w:val="25"/>
        </w:numPr>
        <w:rPr>
          <w:rFonts w:ascii="Times New Roman" w:hAnsi="Times New Roman"/>
          <w:sz w:val="24"/>
          <w:szCs w:val="24"/>
        </w:rPr>
      </w:pPr>
      <w:r w:rsidRPr="00947170">
        <w:rPr>
          <w:rFonts w:ascii="Times New Roman" w:hAnsi="Times New Roman"/>
          <w:sz w:val="24"/>
          <w:szCs w:val="24"/>
        </w:rPr>
        <w:t>Ensure that the DESE is structured, staffed and aligned across all centers to meet its annual operational targets and stated goals, within the limitations of DESE’s budget and state hiring parameters</w:t>
      </w:r>
    </w:p>
    <w:p w14:paraId="3BD8E395" w14:textId="77777777" w:rsidR="00436EF7" w:rsidRDefault="00436EF7" w:rsidP="00436EF7">
      <w:pPr>
        <w:pStyle w:val="NoSpacing10"/>
        <w:numPr>
          <w:ilvl w:val="0"/>
          <w:numId w:val="25"/>
        </w:numPr>
        <w:ind w:left="720"/>
        <w:rPr>
          <w:rFonts w:ascii="Times New Roman" w:hAnsi="Times New Roman"/>
          <w:sz w:val="24"/>
          <w:szCs w:val="24"/>
        </w:rPr>
      </w:pPr>
      <w:r>
        <w:rPr>
          <w:rFonts w:ascii="Times New Roman" w:hAnsi="Times New Roman"/>
          <w:sz w:val="24"/>
          <w:szCs w:val="24"/>
        </w:rPr>
        <w:t>Respond appropriately to changes in federal and state requirements</w:t>
      </w:r>
    </w:p>
    <w:p w14:paraId="0A9F8DE5" w14:textId="77777777" w:rsidR="00436EF7" w:rsidRPr="00947170" w:rsidRDefault="00436EF7" w:rsidP="00436EF7">
      <w:pPr>
        <w:pStyle w:val="NoSpacing10"/>
        <w:numPr>
          <w:ilvl w:val="0"/>
          <w:numId w:val="25"/>
        </w:numPr>
        <w:ind w:left="720"/>
        <w:rPr>
          <w:rFonts w:ascii="Times New Roman" w:hAnsi="Times New Roman"/>
          <w:sz w:val="24"/>
          <w:szCs w:val="24"/>
        </w:rPr>
      </w:pPr>
      <w:r w:rsidRPr="00947170">
        <w:rPr>
          <w:rFonts w:ascii="Times New Roman" w:hAnsi="Times New Roman"/>
          <w:sz w:val="24"/>
          <w:szCs w:val="24"/>
        </w:rPr>
        <w:t xml:space="preserve">Increase diversity within the DESE staff, and within the </w:t>
      </w:r>
      <w:r>
        <w:rPr>
          <w:rFonts w:ascii="Times New Roman" w:hAnsi="Times New Roman"/>
          <w:sz w:val="24"/>
          <w:szCs w:val="24"/>
        </w:rPr>
        <w:t>a</w:t>
      </w:r>
      <w:r w:rsidRPr="00947170">
        <w:rPr>
          <w:rFonts w:ascii="Times New Roman" w:hAnsi="Times New Roman"/>
          <w:sz w:val="24"/>
          <w:szCs w:val="24"/>
        </w:rPr>
        <w:t xml:space="preserve">dvisory </w:t>
      </w:r>
      <w:r>
        <w:rPr>
          <w:rFonts w:ascii="Times New Roman" w:hAnsi="Times New Roman"/>
          <w:sz w:val="24"/>
          <w:szCs w:val="24"/>
        </w:rPr>
        <w:t>g</w:t>
      </w:r>
      <w:r w:rsidRPr="00947170">
        <w:rPr>
          <w:rFonts w:ascii="Times New Roman" w:hAnsi="Times New Roman"/>
          <w:sz w:val="24"/>
          <w:szCs w:val="24"/>
        </w:rPr>
        <w:t>roups</w:t>
      </w:r>
    </w:p>
    <w:p w14:paraId="2613379A" w14:textId="77777777" w:rsidR="00436EF7" w:rsidRPr="00947170" w:rsidRDefault="00436EF7" w:rsidP="00436EF7">
      <w:pPr>
        <w:pStyle w:val="NoSpacing10"/>
        <w:rPr>
          <w:rFonts w:ascii="Times New Roman" w:hAnsi="Times New Roman"/>
          <w:sz w:val="24"/>
          <w:szCs w:val="24"/>
        </w:rPr>
      </w:pPr>
    </w:p>
    <w:p w14:paraId="4A48C545" w14:textId="77777777" w:rsidR="00436EF7" w:rsidRPr="00947170" w:rsidRDefault="00436EF7" w:rsidP="00436EF7">
      <w:pPr>
        <w:pStyle w:val="NoSpacing10"/>
        <w:rPr>
          <w:rFonts w:ascii="Times New Roman" w:hAnsi="Times New Roman"/>
          <w:b/>
          <w:sz w:val="24"/>
          <w:szCs w:val="24"/>
        </w:rPr>
      </w:pPr>
      <w:r w:rsidRPr="00947170">
        <w:rPr>
          <w:rFonts w:ascii="Times New Roman" w:hAnsi="Times New Roman"/>
          <w:b/>
          <w:sz w:val="24"/>
          <w:szCs w:val="24"/>
        </w:rPr>
        <w:t xml:space="preserve">External Relations </w:t>
      </w:r>
      <w:r>
        <w:rPr>
          <w:rFonts w:ascii="Times New Roman" w:hAnsi="Times New Roman"/>
          <w:b/>
          <w:sz w:val="24"/>
          <w:szCs w:val="24"/>
        </w:rPr>
        <w:t xml:space="preserve">and Communication </w:t>
      </w:r>
      <w:r w:rsidRPr="00947170">
        <w:rPr>
          <w:rFonts w:ascii="Times New Roman" w:hAnsi="Times New Roman"/>
          <w:b/>
          <w:sz w:val="24"/>
          <w:szCs w:val="24"/>
        </w:rPr>
        <w:t>(2</w:t>
      </w:r>
      <w:r>
        <w:rPr>
          <w:rFonts w:ascii="Times New Roman" w:hAnsi="Times New Roman"/>
          <w:b/>
          <w:sz w:val="24"/>
          <w:szCs w:val="24"/>
        </w:rPr>
        <w:t>5</w:t>
      </w:r>
      <w:r w:rsidRPr="00947170">
        <w:rPr>
          <w:rFonts w:ascii="Times New Roman" w:hAnsi="Times New Roman"/>
          <w:b/>
          <w:sz w:val="24"/>
          <w:szCs w:val="24"/>
        </w:rPr>
        <w:t>%)</w:t>
      </w:r>
    </w:p>
    <w:p w14:paraId="64C4B5FD" w14:textId="77777777" w:rsidR="00436EF7" w:rsidRPr="00947170" w:rsidRDefault="00436EF7" w:rsidP="00436EF7">
      <w:pPr>
        <w:pStyle w:val="NoSpacing10"/>
        <w:ind w:left="720"/>
        <w:rPr>
          <w:rFonts w:ascii="Times New Roman" w:hAnsi="Times New Roman"/>
          <w:sz w:val="24"/>
          <w:szCs w:val="24"/>
        </w:rPr>
      </w:pPr>
    </w:p>
    <w:p w14:paraId="6986A784" w14:textId="77777777" w:rsidR="00436EF7" w:rsidRDefault="00436EF7" w:rsidP="00436EF7">
      <w:pPr>
        <w:pStyle w:val="NoSpacing10"/>
        <w:numPr>
          <w:ilvl w:val="0"/>
          <w:numId w:val="26"/>
        </w:numPr>
        <w:ind w:left="720"/>
        <w:rPr>
          <w:rFonts w:ascii="Times New Roman" w:hAnsi="Times New Roman"/>
          <w:sz w:val="24"/>
          <w:szCs w:val="24"/>
        </w:rPr>
      </w:pPr>
      <w:r w:rsidRPr="00947170">
        <w:rPr>
          <w:rFonts w:ascii="Times New Roman" w:hAnsi="Times New Roman"/>
          <w:sz w:val="24"/>
          <w:szCs w:val="24"/>
        </w:rPr>
        <w:t>Manage relationships</w:t>
      </w:r>
      <w:r>
        <w:rPr>
          <w:rFonts w:ascii="Times New Roman" w:hAnsi="Times New Roman"/>
          <w:sz w:val="24"/>
          <w:szCs w:val="24"/>
        </w:rPr>
        <w:t xml:space="preserve"> and communications to maximize </w:t>
      </w:r>
      <w:r w:rsidRPr="00947170">
        <w:rPr>
          <w:rFonts w:ascii="Times New Roman" w:hAnsi="Times New Roman"/>
          <w:sz w:val="24"/>
          <w:szCs w:val="24"/>
        </w:rPr>
        <w:t xml:space="preserve">alignment </w:t>
      </w:r>
      <w:r>
        <w:rPr>
          <w:rFonts w:ascii="Times New Roman" w:hAnsi="Times New Roman"/>
          <w:sz w:val="24"/>
          <w:szCs w:val="24"/>
        </w:rPr>
        <w:t>of external stakeholders (e.g., L</w:t>
      </w:r>
      <w:r w:rsidRPr="00947170">
        <w:rPr>
          <w:rFonts w:ascii="Times New Roman" w:hAnsi="Times New Roman"/>
          <w:sz w:val="24"/>
          <w:szCs w:val="24"/>
        </w:rPr>
        <w:t>egislature, Governor’s Office/EOE, MTA, AFT</w:t>
      </w:r>
      <w:r>
        <w:rPr>
          <w:rFonts w:ascii="Times New Roman" w:hAnsi="Times New Roman"/>
          <w:sz w:val="24"/>
          <w:szCs w:val="24"/>
        </w:rPr>
        <w:t>-MA</w:t>
      </w:r>
      <w:r w:rsidRPr="00947170">
        <w:rPr>
          <w:rFonts w:ascii="Times New Roman" w:hAnsi="Times New Roman"/>
          <w:sz w:val="24"/>
          <w:szCs w:val="24"/>
        </w:rPr>
        <w:t>, MASS, MASC, principals</w:t>
      </w:r>
      <w:r>
        <w:rPr>
          <w:rFonts w:ascii="Times New Roman" w:hAnsi="Times New Roman"/>
          <w:sz w:val="24"/>
          <w:szCs w:val="24"/>
        </w:rPr>
        <w:t>’</w:t>
      </w:r>
      <w:r w:rsidRPr="00947170">
        <w:rPr>
          <w:rFonts w:ascii="Times New Roman" w:hAnsi="Times New Roman"/>
          <w:sz w:val="24"/>
          <w:szCs w:val="24"/>
        </w:rPr>
        <w:t xml:space="preserve"> associations, business groups, foundations) with </w:t>
      </w:r>
      <w:r>
        <w:rPr>
          <w:rFonts w:ascii="Times New Roman" w:hAnsi="Times New Roman"/>
          <w:sz w:val="24"/>
          <w:szCs w:val="24"/>
        </w:rPr>
        <w:t xml:space="preserve">the </w:t>
      </w:r>
      <w:r w:rsidRPr="00947170">
        <w:rPr>
          <w:rFonts w:ascii="Times New Roman" w:hAnsi="Times New Roman"/>
          <w:sz w:val="24"/>
          <w:szCs w:val="24"/>
        </w:rPr>
        <w:t xml:space="preserve">Board’s overall priorities and goals </w:t>
      </w:r>
    </w:p>
    <w:p w14:paraId="6DD54F6A" w14:textId="77777777" w:rsidR="00436EF7" w:rsidRPr="00947170" w:rsidRDefault="00436EF7" w:rsidP="00436EF7">
      <w:pPr>
        <w:pStyle w:val="NoSpacing10"/>
        <w:numPr>
          <w:ilvl w:val="0"/>
          <w:numId w:val="26"/>
        </w:numPr>
        <w:ind w:left="720"/>
        <w:rPr>
          <w:rFonts w:ascii="Times New Roman" w:hAnsi="Times New Roman"/>
          <w:sz w:val="24"/>
          <w:szCs w:val="24"/>
        </w:rPr>
      </w:pPr>
      <w:r>
        <w:rPr>
          <w:rFonts w:ascii="Times New Roman" w:hAnsi="Times New Roman"/>
          <w:sz w:val="24"/>
          <w:szCs w:val="24"/>
        </w:rPr>
        <w:t>Engage and responsively communicate with the field and citizens regarding major Board and Department initiatives</w:t>
      </w:r>
    </w:p>
    <w:p w14:paraId="2B5474E5" w14:textId="77777777" w:rsidR="00436EF7" w:rsidRDefault="00436EF7" w:rsidP="00436EF7">
      <w:pPr>
        <w:pStyle w:val="NoSpacing10"/>
        <w:numPr>
          <w:ilvl w:val="0"/>
          <w:numId w:val="26"/>
        </w:numPr>
        <w:ind w:left="720"/>
        <w:rPr>
          <w:rFonts w:ascii="Times New Roman" w:hAnsi="Times New Roman"/>
          <w:sz w:val="24"/>
          <w:szCs w:val="24"/>
        </w:rPr>
      </w:pPr>
      <w:r w:rsidRPr="00947170">
        <w:rPr>
          <w:rFonts w:ascii="Times New Roman" w:hAnsi="Times New Roman"/>
          <w:sz w:val="24"/>
          <w:szCs w:val="24"/>
        </w:rPr>
        <w:t>Effectively lead the discussion</w:t>
      </w:r>
      <w:r>
        <w:rPr>
          <w:rFonts w:ascii="Times New Roman" w:hAnsi="Times New Roman"/>
          <w:sz w:val="24"/>
          <w:szCs w:val="24"/>
        </w:rPr>
        <w:t xml:space="preserve"> and </w:t>
      </w:r>
      <w:r w:rsidRPr="00947170">
        <w:rPr>
          <w:rFonts w:ascii="Times New Roman" w:hAnsi="Times New Roman"/>
          <w:sz w:val="24"/>
          <w:szCs w:val="24"/>
        </w:rPr>
        <w:t xml:space="preserve">communications regarding Massachusetts </w:t>
      </w:r>
      <w:r>
        <w:rPr>
          <w:rFonts w:ascii="Times New Roman" w:hAnsi="Times New Roman"/>
          <w:sz w:val="24"/>
          <w:szCs w:val="24"/>
        </w:rPr>
        <w:t>educational policies and initiatives</w:t>
      </w:r>
    </w:p>
    <w:p w14:paraId="62153182" w14:textId="77777777" w:rsidR="00436EF7" w:rsidRPr="00947170" w:rsidRDefault="00436EF7" w:rsidP="00436EF7">
      <w:pPr>
        <w:pStyle w:val="NoSpacing10"/>
        <w:numPr>
          <w:ilvl w:val="0"/>
          <w:numId w:val="26"/>
        </w:numPr>
        <w:ind w:left="720"/>
        <w:rPr>
          <w:rFonts w:ascii="Times New Roman" w:hAnsi="Times New Roman"/>
          <w:sz w:val="24"/>
          <w:szCs w:val="24"/>
        </w:rPr>
      </w:pPr>
      <w:r>
        <w:rPr>
          <w:rFonts w:ascii="Times New Roman" w:hAnsi="Times New Roman"/>
          <w:sz w:val="24"/>
          <w:szCs w:val="24"/>
        </w:rPr>
        <w:t>Represent Massachusetts on the wider educational scene through participation, presentations, and leadership, enhancing the Commonwealth’s position as a national leader in K-12 education and p</w:t>
      </w:r>
      <w:r w:rsidRPr="00947170">
        <w:rPr>
          <w:rFonts w:ascii="Times New Roman" w:hAnsi="Times New Roman"/>
          <w:sz w:val="24"/>
          <w:szCs w:val="24"/>
        </w:rPr>
        <w:t>osition</w:t>
      </w:r>
      <w:r>
        <w:rPr>
          <w:rFonts w:ascii="Times New Roman" w:hAnsi="Times New Roman"/>
          <w:sz w:val="24"/>
          <w:szCs w:val="24"/>
        </w:rPr>
        <w:t>ing</w:t>
      </w:r>
      <w:r w:rsidRPr="00947170">
        <w:rPr>
          <w:rFonts w:ascii="Times New Roman" w:hAnsi="Times New Roman"/>
          <w:sz w:val="24"/>
          <w:szCs w:val="24"/>
        </w:rPr>
        <w:t xml:space="preserve"> Massachusetts to benefit from best practices nationally and internationally</w:t>
      </w:r>
    </w:p>
    <w:p w14:paraId="62192A88" w14:textId="77777777" w:rsidR="00436EF7" w:rsidRPr="00947170" w:rsidRDefault="00436EF7" w:rsidP="00436EF7">
      <w:pPr>
        <w:pStyle w:val="NoSpacing10"/>
        <w:ind w:left="720"/>
        <w:rPr>
          <w:rFonts w:ascii="Times New Roman" w:hAnsi="Times New Roman"/>
          <w:sz w:val="24"/>
          <w:szCs w:val="24"/>
        </w:rPr>
      </w:pPr>
    </w:p>
    <w:p w14:paraId="7A81893B" w14:textId="77777777" w:rsidR="00436EF7" w:rsidRPr="00EA6119" w:rsidRDefault="00436EF7" w:rsidP="00436EF7">
      <w:pPr>
        <w:pStyle w:val="NoSpacing10"/>
        <w:rPr>
          <w:rFonts w:ascii="Times New Roman" w:hAnsi="Times New Roman"/>
          <w:b/>
          <w:sz w:val="24"/>
          <w:szCs w:val="24"/>
        </w:rPr>
      </w:pPr>
      <w:r>
        <w:rPr>
          <w:rFonts w:ascii="Times New Roman" w:hAnsi="Times New Roman"/>
          <w:b/>
          <w:sz w:val="24"/>
          <w:szCs w:val="24"/>
        </w:rPr>
        <w:br w:type="page"/>
      </w:r>
      <w:r w:rsidRPr="00EA6119">
        <w:rPr>
          <w:rFonts w:ascii="Times New Roman" w:hAnsi="Times New Roman"/>
          <w:b/>
          <w:sz w:val="24"/>
          <w:szCs w:val="24"/>
        </w:rPr>
        <w:lastRenderedPageBreak/>
        <w:t>Board Support/Effective Interactions (2</w:t>
      </w:r>
      <w:r>
        <w:rPr>
          <w:rFonts w:ascii="Times New Roman" w:hAnsi="Times New Roman"/>
          <w:b/>
          <w:sz w:val="24"/>
          <w:szCs w:val="24"/>
        </w:rPr>
        <w:t>0</w:t>
      </w:r>
      <w:r w:rsidRPr="00EA6119">
        <w:rPr>
          <w:rFonts w:ascii="Times New Roman" w:hAnsi="Times New Roman"/>
          <w:b/>
          <w:sz w:val="24"/>
          <w:szCs w:val="24"/>
        </w:rPr>
        <w:t>%)</w:t>
      </w:r>
    </w:p>
    <w:p w14:paraId="567A96DE" w14:textId="77777777" w:rsidR="00436EF7" w:rsidRPr="00947170" w:rsidRDefault="00436EF7" w:rsidP="00436EF7">
      <w:pPr>
        <w:pStyle w:val="NoSpacing10"/>
        <w:ind w:left="720"/>
        <w:rPr>
          <w:rFonts w:ascii="Times New Roman" w:hAnsi="Times New Roman"/>
          <w:sz w:val="24"/>
          <w:szCs w:val="24"/>
        </w:rPr>
      </w:pPr>
    </w:p>
    <w:p w14:paraId="37FA94FF" w14:textId="77777777" w:rsidR="00436EF7" w:rsidRDefault="00436EF7" w:rsidP="00436EF7">
      <w:pPr>
        <w:pStyle w:val="NoSpacing10"/>
        <w:numPr>
          <w:ilvl w:val="0"/>
          <w:numId w:val="26"/>
        </w:numPr>
        <w:ind w:left="720"/>
        <w:rPr>
          <w:rFonts w:ascii="Times New Roman" w:hAnsi="Times New Roman"/>
          <w:sz w:val="24"/>
          <w:szCs w:val="24"/>
        </w:rPr>
      </w:pPr>
      <w:r w:rsidRPr="00947170">
        <w:rPr>
          <w:rFonts w:ascii="Times New Roman" w:hAnsi="Times New Roman"/>
          <w:sz w:val="24"/>
          <w:szCs w:val="24"/>
        </w:rPr>
        <w:t>Effectively interact with members of the Board</w:t>
      </w:r>
    </w:p>
    <w:p w14:paraId="2332C604" w14:textId="77777777" w:rsidR="00436EF7" w:rsidRDefault="00436EF7" w:rsidP="00436EF7">
      <w:pPr>
        <w:pStyle w:val="NoSpacing10"/>
        <w:numPr>
          <w:ilvl w:val="0"/>
          <w:numId w:val="26"/>
        </w:numPr>
        <w:ind w:left="720"/>
        <w:rPr>
          <w:rFonts w:ascii="Times New Roman" w:hAnsi="Times New Roman"/>
          <w:sz w:val="24"/>
          <w:szCs w:val="24"/>
        </w:rPr>
      </w:pPr>
      <w:r>
        <w:rPr>
          <w:rFonts w:ascii="Times New Roman" w:hAnsi="Times New Roman"/>
          <w:sz w:val="24"/>
          <w:szCs w:val="24"/>
        </w:rPr>
        <w:t>Engage Board members in setting the strategic vision for DESE and discussing DESE priorities and local/national policy issues relevant to Massachusetts</w:t>
      </w:r>
    </w:p>
    <w:p w14:paraId="6DE356F3" w14:textId="77777777" w:rsidR="00436EF7" w:rsidRPr="00947170" w:rsidRDefault="00436EF7" w:rsidP="00436EF7">
      <w:pPr>
        <w:pStyle w:val="NoSpacing10"/>
        <w:numPr>
          <w:ilvl w:val="0"/>
          <w:numId w:val="26"/>
        </w:numPr>
        <w:ind w:left="720"/>
        <w:rPr>
          <w:rFonts w:ascii="Times New Roman" w:hAnsi="Times New Roman"/>
          <w:sz w:val="24"/>
          <w:szCs w:val="24"/>
        </w:rPr>
      </w:pPr>
      <w:r w:rsidRPr="00056F06">
        <w:rPr>
          <w:rFonts w:ascii="Times New Roman" w:hAnsi="Times New Roman"/>
          <w:sz w:val="24"/>
          <w:szCs w:val="24"/>
        </w:rPr>
        <w:t xml:space="preserve">Keep the Board updated on </w:t>
      </w:r>
      <w:r w:rsidRPr="00947170">
        <w:rPr>
          <w:rFonts w:ascii="Times New Roman" w:hAnsi="Times New Roman"/>
          <w:sz w:val="24"/>
          <w:szCs w:val="24"/>
        </w:rPr>
        <w:t>subjects necessary for the Board to fulfill its role</w:t>
      </w:r>
      <w:r>
        <w:rPr>
          <w:rFonts w:ascii="Times New Roman" w:hAnsi="Times New Roman"/>
          <w:sz w:val="24"/>
          <w:szCs w:val="24"/>
        </w:rPr>
        <w:t>, including timely transmission of materials for meetings</w:t>
      </w:r>
    </w:p>
    <w:p w14:paraId="458B9DC4" w14:textId="77777777" w:rsidR="00436EF7" w:rsidRPr="00947170" w:rsidRDefault="00436EF7" w:rsidP="00436EF7">
      <w:pPr>
        <w:pStyle w:val="NoSpacing10"/>
        <w:numPr>
          <w:ilvl w:val="0"/>
          <w:numId w:val="26"/>
        </w:numPr>
        <w:ind w:left="720"/>
        <w:rPr>
          <w:rFonts w:ascii="Times New Roman" w:hAnsi="Times New Roman"/>
          <w:sz w:val="24"/>
          <w:szCs w:val="24"/>
        </w:rPr>
      </w:pPr>
      <w:r w:rsidRPr="00947170">
        <w:rPr>
          <w:rFonts w:ascii="Times New Roman" w:hAnsi="Times New Roman"/>
          <w:sz w:val="24"/>
          <w:szCs w:val="24"/>
        </w:rPr>
        <w:t>Receive feedback from Board members during annual performance review process</w:t>
      </w:r>
    </w:p>
    <w:p w14:paraId="18303ADA" w14:textId="77777777" w:rsidR="00436EF7" w:rsidRPr="00947170" w:rsidRDefault="00436EF7" w:rsidP="00436EF7">
      <w:pPr>
        <w:pStyle w:val="NoSpacing10"/>
        <w:ind w:left="720"/>
        <w:rPr>
          <w:rFonts w:ascii="Times New Roman" w:hAnsi="Times New Roman"/>
          <w:sz w:val="24"/>
          <w:szCs w:val="24"/>
        </w:rPr>
      </w:pPr>
    </w:p>
    <w:p w14:paraId="0D4E7E16" w14:textId="77777777" w:rsidR="00436EF7" w:rsidRPr="00947170" w:rsidRDefault="00436EF7" w:rsidP="00436EF7">
      <w:pPr>
        <w:pStyle w:val="NoSpacing10"/>
        <w:ind w:left="720"/>
        <w:rPr>
          <w:rFonts w:ascii="Times New Roman" w:hAnsi="Times New Roman"/>
          <w:sz w:val="24"/>
          <w:szCs w:val="24"/>
        </w:rPr>
      </w:pPr>
    </w:p>
    <w:p w14:paraId="1747D102" w14:textId="77777777" w:rsidR="00436EF7" w:rsidRPr="00947170" w:rsidRDefault="00436EF7" w:rsidP="00436EF7">
      <w:pPr>
        <w:pStyle w:val="NoSpacing10"/>
        <w:ind w:left="720"/>
        <w:rPr>
          <w:rFonts w:ascii="Times New Roman" w:hAnsi="Times New Roman"/>
          <w:sz w:val="24"/>
          <w:szCs w:val="24"/>
        </w:rPr>
      </w:pPr>
    </w:p>
    <w:p w14:paraId="392A0A5A" w14:textId="77777777" w:rsidR="00436EF7" w:rsidRPr="00947170" w:rsidRDefault="00436EF7" w:rsidP="00436EF7">
      <w:pPr>
        <w:pStyle w:val="NoSpacing10"/>
        <w:ind w:left="90" w:firstLine="630"/>
        <w:rPr>
          <w:rFonts w:ascii="Times New Roman" w:hAnsi="Times New Roman"/>
          <w:b/>
          <w:sz w:val="24"/>
          <w:szCs w:val="24"/>
        </w:rPr>
      </w:pPr>
      <w:r w:rsidRPr="00947170">
        <w:rPr>
          <w:rFonts w:ascii="Times New Roman" w:hAnsi="Times New Roman"/>
          <w:b/>
          <w:sz w:val="24"/>
          <w:szCs w:val="24"/>
        </w:rPr>
        <w:t>Rating Structure</w:t>
      </w:r>
    </w:p>
    <w:p w14:paraId="1CDBE342" w14:textId="77777777" w:rsidR="00436EF7" w:rsidRPr="00947170" w:rsidRDefault="00436EF7" w:rsidP="00436EF7">
      <w:pPr>
        <w:pStyle w:val="NoSpacing10"/>
        <w:ind w:left="720"/>
        <w:rPr>
          <w:rFonts w:ascii="Times New Roman" w:hAnsi="Times New Roman"/>
          <w:sz w:val="24"/>
          <w:szCs w:val="24"/>
        </w:rPr>
      </w:pPr>
    </w:p>
    <w:p w14:paraId="3AAA162C" w14:textId="77777777" w:rsidR="00436EF7" w:rsidRPr="00947170" w:rsidRDefault="00436EF7" w:rsidP="00436EF7">
      <w:pPr>
        <w:pStyle w:val="NoSpacing10"/>
        <w:ind w:left="720"/>
        <w:rPr>
          <w:rFonts w:ascii="Times New Roman" w:hAnsi="Times New Roman"/>
          <w:sz w:val="24"/>
          <w:szCs w:val="24"/>
        </w:rPr>
      </w:pPr>
      <w:r w:rsidRPr="00947170">
        <w:rPr>
          <w:rFonts w:ascii="Times New Roman" w:hAnsi="Times New Roman"/>
          <w:sz w:val="24"/>
          <w:szCs w:val="24"/>
        </w:rPr>
        <w:t>•</w:t>
      </w:r>
      <w:r w:rsidRPr="00947170">
        <w:rPr>
          <w:rFonts w:ascii="Times New Roman" w:hAnsi="Times New Roman"/>
          <w:sz w:val="24"/>
          <w:szCs w:val="24"/>
        </w:rPr>
        <w:tab/>
        <w:t>Outstanding</w:t>
      </w:r>
      <w:r w:rsidRPr="00947170">
        <w:rPr>
          <w:rFonts w:ascii="Times New Roman" w:hAnsi="Times New Roman"/>
          <w:sz w:val="24"/>
          <w:szCs w:val="24"/>
        </w:rPr>
        <w:tab/>
      </w:r>
      <w:r w:rsidRPr="00947170">
        <w:rPr>
          <w:rFonts w:ascii="Times New Roman" w:hAnsi="Times New Roman"/>
          <w:sz w:val="24"/>
          <w:szCs w:val="24"/>
        </w:rPr>
        <w:tab/>
        <w:t>= 5</w:t>
      </w:r>
    </w:p>
    <w:p w14:paraId="2A215C7E" w14:textId="77777777" w:rsidR="00436EF7" w:rsidRPr="00947170" w:rsidRDefault="00436EF7" w:rsidP="00436EF7">
      <w:pPr>
        <w:pStyle w:val="NoSpacing10"/>
        <w:ind w:left="720"/>
        <w:rPr>
          <w:rFonts w:ascii="Times New Roman" w:hAnsi="Times New Roman"/>
          <w:sz w:val="24"/>
          <w:szCs w:val="24"/>
        </w:rPr>
      </w:pPr>
      <w:r w:rsidRPr="00947170">
        <w:rPr>
          <w:rFonts w:ascii="Times New Roman" w:hAnsi="Times New Roman"/>
          <w:sz w:val="24"/>
          <w:szCs w:val="24"/>
        </w:rPr>
        <w:t>•</w:t>
      </w:r>
      <w:r w:rsidRPr="00947170">
        <w:rPr>
          <w:rFonts w:ascii="Times New Roman" w:hAnsi="Times New Roman"/>
          <w:sz w:val="24"/>
          <w:szCs w:val="24"/>
        </w:rPr>
        <w:tab/>
        <w:t>Very Good</w:t>
      </w:r>
      <w:r w:rsidRPr="00947170">
        <w:rPr>
          <w:rFonts w:ascii="Times New Roman" w:hAnsi="Times New Roman"/>
          <w:sz w:val="24"/>
          <w:szCs w:val="24"/>
        </w:rPr>
        <w:tab/>
      </w:r>
      <w:r w:rsidRPr="00947170">
        <w:rPr>
          <w:rFonts w:ascii="Times New Roman" w:hAnsi="Times New Roman"/>
          <w:sz w:val="24"/>
          <w:szCs w:val="24"/>
        </w:rPr>
        <w:tab/>
        <w:t>= 4</w:t>
      </w:r>
    </w:p>
    <w:p w14:paraId="5CE624B0" w14:textId="77777777" w:rsidR="00436EF7" w:rsidRDefault="00436EF7" w:rsidP="00436EF7">
      <w:pPr>
        <w:pStyle w:val="NoSpacing10"/>
        <w:ind w:left="720"/>
        <w:rPr>
          <w:rFonts w:ascii="Times New Roman" w:hAnsi="Times New Roman"/>
          <w:sz w:val="24"/>
          <w:szCs w:val="24"/>
        </w:rPr>
      </w:pPr>
      <w:r w:rsidRPr="00947170">
        <w:rPr>
          <w:rFonts w:ascii="Times New Roman" w:hAnsi="Times New Roman"/>
          <w:sz w:val="24"/>
          <w:szCs w:val="24"/>
        </w:rPr>
        <w:t>•</w:t>
      </w:r>
      <w:r w:rsidRPr="00947170">
        <w:rPr>
          <w:rFonts w:ascii="Times New Roman" w:hAnsi="Times New Roman"/>
          <w:sz w:val="24"/>
          <w:szCs w:val="24"/>
        </w:rPr>
        <w:tab/>
      </w:r>
      <w:r>
        <w:rPr>
          <w:rFonts w:ascii="Times New Roman" w:hAnsi="Times New Roman"/>
          <w:sz w:val="24"/>
          <w:szCs w:val="24"/>
        </w:rPr>
        <w:t>Proficient</w:t>
      </w:r>
      <w:r w:rsidRPr="00947170">
        <w:rPr>
          <w:rFonts w:ascii="Times New Roman" w:hAnsi="Times New Roman"/>
          <w:sz w:val="24"/>
          <w:szCs w:val="24"/>
        </w:rPr>
        <w:tab/>
      </w:r>
      <w:r w:rsidRPr="00947170">
        <w:rPr>
          <w:rFonts w:ascii="Times New Roman" w:hAnsi="Times New Roman"/>
          <w:sz w:val="24"/>
          <w:szCs w:val="24"/>
        </w:rPr>
        <w:tab/>
        <w:t>= 3</w:t>
      </w:r>
    </w:p>
    <w:p w14:paraId="041A68C1" w14:textId="77777777" w:rsidR="00436EF7" w:rsidRDefault="00436EF7" w:rsidP="00436EF7">
      <w:pPr>
        <w:pStyle w:val="NoSpacing10"/>
        <w:ind w:left="720"/>
        <w:rPr>
          <w:rFonts w:ascii="Times New Roman" w:hAnsi="Times New Roman"/>
          <w:sz w:val="24"/>
          <w:szCs w:val="24"/>
        </w:rPr>
      </w:pPr>
      <w:r w:rsidRPr="00947170">
        <w:rPr>
          <w:rFonts w:ascii="Times New Roman" w:hAnsi="Times New Roman"/>
          <w:sz w:val="24"/>
          <w:szCs w:val="24"/>
        </w:rPr>
        <w:t>•</w:t>
      </w:r>
      <w:r w:rsidRPr="00947170">
        <w:rPr>
          <w:rFonts w:ascii="Times New Roman" w:hAnsi="Times New Roman"/>
          <w:sz w:val="24"/>
          <w:szCs w:val="24"/>
        </w:rPr>
        <w:tab/>
        <w:t>Needs Improvement</w:t>
      </w:r>
      <w:r w:rsidRPr="00947170">
        <w:rPr>
          <w:rFonts w:ascii="Times New Roman" w:hAnsi="Times New Roman"/>
          <w:sz w:val="24"/>
          <w:szCs w:val="24"/>
        </w:rPr>
        <w:tab/>
        <w:t>= 2</w:t>
      </w:r>
    </w:p>
    <w:p w14:paraId="04316E69" w14:textId="77777777" w:rsidR="00436EF7" w:rsidRDefault="00436EF7" w:rsidP="00436EF7">
      <w:pPr>
        <w:pStyle w:val="NoSpacing10"/>
        <w:numPr>
          <w:ilvl w:val="0"/>
          <w:numId w:val="31"/>
        </w:numPr>
        <w:rPr>
          <w:rFonts w:ascii="Times New Roman" w:hAnsi="Times New Roman"/>
          <w:sz w:val="24"/>
          <w:szCs w:val="24"/>
        </w:rPr>
      </w:pPr>
      <w:r>
        <w:rPr>
          <w:rFonts w:ascii="Times New Roman" w:hAnsi="Times New Roman"/>
          <w:sz w:val="24"/>
          <w:szCs w:val="24"/>
        </w:rPr>
        <w:t>Unsatisfactory</w:t>
      </w:r>
      <w:r>
        <w:rPr>
          <w:rFonts w:ascii="Times New Roman" w:hAnsi="Times New Roman"/>
          <w:sz w:val="24"/>
          <w:szCs w:val="24"/>
        </w:rPr>
        <w:tab/>
      </w:r>
      <w:r>
        <w:rPr>
          <w:rFonts w:ascii="Times New Roman" w:hAnsi="Times New Roman"/>
          <w:sz w:val="24"/>
          <w:szCs w:val="24"/>
        </w:rPr>
        <w:tab/>
        <w:t>= 1</w:t>
      </w:r>
    </w:p>
    <w:p w14:paraId="776571C1" w14:textId="77777777" w:rsidR="00436EF7" w:rsidRPr="00947170" w:rsidRDefault="00436EF7" w:rsidP="00436EF7">
      <w:pPr>
        <w:pStyle w:val="NoSpacing10"/>
        <w:ind w:left="720"/>
        <w:rPr>
          <w:rFonts w:ascii="Times New Roman" w:hAnsi="Times New Roman"/>
          <w:sz w:val="24"/>
          <w:szCs w:val="24"/>
        </w:rPr>
      </w:pPr>
    </w:p>
    <w:p w14:paraId="09CA017D" w14:textId="77777777" w:rsidR="00436EF7" w:rsidRPr="00947170" w:rsidRDefault="00436EF7" w:rsidP="00436EF7">
      <w:pPr>
        <w:widowControl/>
        <w:autoSpaceDE w:val="0"/>
        <w:autoSpaceDN w:val="0"/>
        <w:adjustRightInd w:val="0"/>
        <w:rPr>
          <w:szCs w:val="24"/>
        </w:rPr>
      </w:pPr>
    </w:p>
    <w:p w14:paraId="25A7BC01" w14:textId="77777777" w:rsidR="00436EF7" w:rsidRPr="00947170" w:rsidRDefault="00436EF7" w:rsidP="00436EF7">
      <w:pPr>
        <w:widowControl/>
        <w:autoSpaceDE w:val="0"/>
        <w:autoSpaceDN w:val="0"/>
        <w:adjustRightInd w:val="0"/>
        <w:rPr>
          <w:szCs w:val="24"/>
        </w:rPr>
      </w:pPr>
    </w:p>
    <w:p w14:paraId="2EE4308E" w14:textId="77777777" w:rsidR="00436EF7" w:rsidRDefault="00436EF7" w:rsidP="00436EF7"/>
    <w:p w14:paraId="0327884A" w14:textId="77777777" w:rsidR="00436EF7" w:rsidRDefault="00436EF7" w:rsidP="00436EF7"/>
    <w:p w14:paraId="1EA4240D" w14:textId="77777777" w:rsidR="00436EF7" w:rsidRPr="00947170" w:rsidRDefault="00436EF7" w:rsidP="00436EF7">
      <w:pPr>
        <w:pStyle w:val="msonospacing0"/>
        <w:jc w:val="center"/>
        <w:rPr>
          <w:szCs w:val="24"/>
        </w:rPr>
      </w:pPr>
      <w:r w:rsidRPr="00947170">
        <w:rPr>
          <w:szCs w:val="24"/>
        </w:rPr>
        <w:t xml:space="preserve"> </w:t>
      </w:r>
    </w:p>
    <w:p w14:paraId="1A07BDCD" w14:textId="77777777" w:rsidR="00436EF7" w:rsidRPr="00947170" w:rsidRDefault="00436EF7" w:rsidP="00436EF7">
      <w:pPr>
        <w:widowControl/>
        <w:autoSpaceDE w:val="0"/>
        <w:autoSpaceDN w:val="0"/>
        <w:adjustRightInd w:val="0"/>
        <w:rPr>
          <w:szCs w:val="24"/>
        </w:rPr>
      </w:pPr>
    </w:p>
    <w:p w14:paraId="360918FF" w14:textId="77777777" w:rsidR="00436EF7" w:rsidRDefault="00436EF7" w:rsidP="00436EF7"/>
    <w:p w14:paraId="1610B8F8" w14:textId="77777777" w:rsidR="00436EF7" w:rsidRDefault="00436EF7" w:rsidP="00436EF7"/>
    <w:p w14:paraId="1A94BCC4" w14:textId="77777777" w:rsidR="003532BF" w:rsidRPr="00947170" w:rsidRDefault="003532BF" w:rsidP="00436EF7">
      <w:pPr>
        <w:pStyle w:val="msonospacing0"/>
        <w:jc w:val="center"/>
        <w:rPr>
          <w:szCs w:val="24"/>
        </w:rPr>
      </w:pPr>
    </w:p>
    <w:p w14:paraId="571A674B" w14:textId="77777777" w:rsidR="003532BF" w:rsidRDefault="003532BF" w:rsidP="003532BF"/>
    <w:sectPr w:rsidR="003532BF" w:rsidSect="00E93736">
      <w:footerReference w:type="even" r:id="rId14"/>
      <w:footerReference w:type="default" r:id="rId15"/>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210A0" w14:textId="77777777" w:rsidR="00C210E0" w:rsidRDefault="00C210E0">
      <w:r>
        <w:separator/>
      </w:r>
    </w:p>
  </w:endnote>
  <w:endnote w:type="continuationSeparator" w:id="0">
    <w:p w14:paraId="25F67D75" w14:textId="77777777" w:rsidR="00C210E0" w:rsidRDefault="00C2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445E9" w14:textId="77777777" w:rsidR="00A52C0F" w:rsidRDefault="00104D1B">
    <w:pPr>
      <w:pStyle w:val="Footer"/>
      <w:framePr w:wrap="around" w:vAnchor="text" w:hAnchor="margin" w:xAlign="right" w:y="1"/>
      <w:rPr>
        <w:rStyle w:val="PageNumber"/>
      </w:rPr>
    </w:pPr>
    <w:r>
      <w:rPr>
        <w:rStyle w:val="PageNumber"/>
      </w:rPr>
      <w:fldChar w:fldCharType="begin"/>
    </w:r>
    <w:r w:rsidR="00A52C0F">
      <w:rPr>
        <w:rStyle w:val="PageNumber"/>
      </w:rPr>
      <w:instrText xml:space="preserve">PAGE  </w:instrText>
    </w:r>
    <w:r>
      <w:rPr>
        <w:rStyle w:val="PageNumber"/>
      </w:rPr>
      <w:fldChar w:fldCharType="end"/>
    </w:r>
  </w:p>
  <w:p w14:paraId="45EAD3FC" w14:textId="77777777" w:rsidR="00A52C0F" w:rsidRDefault="00A52C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6716C" w14:textId="77777777" w:rsidR="00A52C0F" w:rsidRDefault="00ED59AA">
    <w:pPr>
      <w:pStyle w:val="Footer"/>
      <w:jc w:val="right"/>
    </w:pPr>
    <w:r>
      <w:fldChar w:fldCharType="begin"/>
    </w:r>
    <w:r>
      <w:instrText xml:space="preserve"> PAGE   \* MERGEFORMAT </w:instrText>
    </w:r>
    <w:r>
      <w:fldChar w:fldCharType="separate"/>
    </w:r>
    <w:r w:rsidR="006606A3">
      <w:rPr>
        <w:noProof/>
      </w:rPr>
      <w:t>1</w:t>
    </w:r>
    <w:r>
      <w:rPr>
        <w:noProof/>
      </w:rPr>
      <w:fldChar w:fldCharType="end"/>
    </w:r>
  </w:p>
  <w:p w14:paraId="2DCA02F8" w14:textId="77777777" w:rsidR="00A52C0F" w:rsidRDefault="00A52C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AA844" w14:textId="77777777" w:rsidR="00C210E0" w:rsidRDefault="00C210E0">
      <w:r>
        <w:separator/>
      </w:r>
    </w:p>
  </w:footnote>
  <w:footnote w:type="continuationSeparator" w:id="0">
    <w:p w14:paraId="567882FE" w14:textId="77777777" w:rsidR="00C210E0" w:rsidRDefault="00C2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9745B3"/>
    <w:multiLevelType w:val="hybridMultilevel"/>
    <w:tmpl w:val="C892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62181"/>
    <w:multiLevelType w:val="multilevel"/>
    <w:tmpl w:val="1462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5738C"/>
    <w:multiLevelType w:val="hybridMultilevel"/>
    <w:tmpl w:val="C892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71068C"/>
    <w:multiLevelType w:val="hybridMultilevel"/>
    <w:tmpl w:val="AE824740"/>
    <w:lvl w:ilvl="0" w:tplc="5122F24C">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02112"/>
    <w:multiLevelType w:val="hybridMultilevel"/>
    <w:tmpl w:val="D67270C6"/>
    <w:lvl w:ilvl="0" w:tplc="5122F24C">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C4D09"/>
    <w:multiLevelType w:val="hybridMultilevel"/>
    <w:tmpl w:val="4790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1287E"/>
    <w:multiLevelType w:val="hybridMultilevel"/>
    <w:tmpl w:val="2BA2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532D4"/>
    <w:multiLevelType w:val="hybridMultilevel"/>
    <w:tmpl w:val="87C05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C572C"/>
    <w:multiLevelType w:val="hybridMultilevel"/>
    <w:tmpl w:val="E98E70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5F90A71"/>
    <w:multiLevelType w:val="hybridMultilevel"/>
    <w:tmpl w:val="C892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04EAB"/>
    <w:multiLevelType w:val="hybridMultilevel"/>
    <w:tmpl w:val="776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D0BB1"/>
    <w:multiLevelType w:val="hybridMultilevel"/>
    <w:tmpl w:val="326CC3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D2ECD"/>
    <w:multiLevelType w:val="hybridMultilevel"/>
    <w:tmpl w:val="5ACA617A"/>
    <w:lvl w:ilvl="0" w:tplc="5122F2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Verdan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Verdan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Verdana"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9731519"/>
    <w:multiLevelType w:val="hybridMultilevel"/>
    <w:tmpl w:val="2DAEFC5C"/>
    <w:lvl w:ilvl="0" w:tplc="5122F24C">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B2487"/>
    <w:multiLevelType w:val="multilevel"/>
    <w:tmpl w:val="FFB6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AAD5733"/>
    <w:multiLevelType w:val="hybridMultilevel"/>
    <w:tmpl w:val="D59C5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630743"/>
    <w:multiLevelType w:val="hybridMultilevel"/>
    <w:tmpl w:val="8B2A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757A65"/>
    <w:multiLevelType w:val="hybridMultilevel"/>
    <w:tmpl w:val="A8BEFD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883235"/>
    <w:multiLevelType w:val="multilevel"/>
    <w:tmpl w:val="CBD6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832254"/>
    <w:multiLevelType w:val="hybridMultilevel"/>
    <w:tmpl w:val="F0B4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C1D2AF4"/>
    <w:multiLevelType w:val="multilevel"/>
    <w:tmpl w:val="FB00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06534A"/>
    <w:multiLevelType w:val="hybridMultilevel"/>
    <w:tmpl w:val="C892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0"/>
  </w:num>
  <w:num w:numId="3">
    <w:abstractNumId w:val="0"/>
  </w:num>
  <w:num w:numId="4">
    <w:abstractNumId w:val="27"/>
  </w:num>
  <w:num w:numId="5">
    <w:abstractNumId w:val="25"/>
  </w:num>
  <w:num w:numId="6">
    <w:abstractNumId w:val="4"/>
  </w:num>
  <w:num w:numId="7">
    <w:abstractNumId w:val="19"/>
  </w:num>
  <w:num w:numId="8">
    <w:abstractNumId w:val="23"/>
  </w:num>
  <w:num w:numId="9">
    <w:abstractNumId w:val="16"/>
  </w:num>
  <w:num w:numId="10">
    <w:abstractNumId w:val="28"/>
  </w:num>
  <w:num w:numId="11">
    <w:abstractNumId w:val="6"/>
  </w:num>
  <w:num w:numId="12">
    <w:abstractNumId w:val="18"/>
  </w:num>
  <w:num w:numId="13">
    <w:abstractNumId w:val="17"/>
  </w:num>
  <w:num w:numId="14">
    <w:abstractNumId w:val="2"/>
  </w:num>
  <w:num w:numId="15">
    <w:abstractNumId w:val="13"/>
  </w:num>
  <w:num w:numId="16">
    <w:abstractNumId w:val="33"/>
  </w:num>
  <w:num w:numId="17">
    <w:abstractNumId w:val="34"/>
  </w:num>
  <w:num w:numId="18">
    <w:abstractNumId w:val="22"/>
  </w:num>
  <w:num w:numId="19">
    <w:abstractNumId w:val="12"/>
  </w:num>
  <w:num w:numId="20">
    <w:abstractNumId w:val="3"/>
  </w:num>
  <w:num w:numId="21">
    <w:abstractNumId w:val="1"/>
  </w:num>
  <w:num w:numId="22">
    <w:abstractNumId w:val="26"/>
  </w:num>
  <w:num w:numId="23">
    <w:abstractNumId w:val="30"/>
  </w:num>
  <w:num w:numId="24">
    <w:abstractNumId w:val="5"/>
  </w:num>
  <w:num w:numId="25">
    <w:abstractNumId w:val="21"/>
  </w:num>
  <w:num w:numId="26">
    <w:abstractNumId w:val="7"/>
  </w:num>
  <w:num w:numId="27">
    <w:abstractNumId w:val="29"/>
  </w:num>
  <w:num w:numId="28">
    <w:abstractNumId w:val="31"/>
  </w:num>
  <w:num w:numId="29">
    <w:abstractNumId w:val="8"/>
  </w:num>
  <w:num w:numId="30">
    <w:abstractNumId w:val="24"/>
  </w:num>
  <w:num w:numId="31">
    <w:abstractNumId w:val="15"/>
  </w:num>
  <w:num w:numId="32">
    <w:abstractNumId w:val="9"/>
  </w:num>
  <w:num w:numId="33">
    <w:abstractNumId w:val="10"/>
  </w:num>
  <w:num w:numId="34">
    <w:abstractNumId w:val="14"/>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4E"/>
    <w:rsid w:val="00001329"/>
    <w:rsid w:val="00005D04"/>
    <w:rsid w:val="000063B9"/>
    <w:rsid w:val="000072AA"/>
    <w:rsid w:val="00011738"/>
    <w:rsid w:val="0001606C"/>
    <w:rsid w:val="00027086"/>
    <w:rsid w:val="00030DD3"/>
    <w:rsid w:val="00034C92"/>
    <w:rsid w:val="000350FE"/>
    <w:rsid w:val="0003568C"/>
    <w:rsid w:val="00043474"/>
    <w:rsid w:val="00053AA3"/>
    <w:rsid w:val="00055A3D"/>
    <w:rsid w:val="00056B96"/>
    <w:rsid w:val="00063782"/>
    <w:rsid w:val="0007158E"/>
    <w:rsid w:val="0007250C"/>
    <w:rsid w:val="00077595"/>
    <w:rsid w:val="000853D9"/>
    <w:rsid w:val="00090BBA"/>
    <w:rsid w:val="00097A70"/>
    <w:rsid w:val="000A0B86"/>
    <w:rsid w:val="000A1302"/>
    <w:rsid w:val="000A5AA5"/>
    <w:rsid w:val="000B0208"/>
    <w:rsid w:val="000B235A"/>
    <w:rsid w:val="000B2C99"/>
    <w:rsid w:val="000B63DE"/>
    <w:rsid w:val="000B6697"/>
    <w:rsid w:val="000C157F"/>
    <w:rsid w:val="000D052C"/>
    <w:rsid w:val="000E1B88"/>
    <w:rsid w:val="000E1DFE"/>
    <w:rsid w:val="000E3F4E"/>
    <w:rsid w:val="000E3F88"/>
    <w:rsid w:val="000E6832"/>
    <w:rsid w:val="000F7EAB"/>
    <w:rsid w:val="00102267"/>
    <w:rsid w:val="00103AB9"/>
    <w:rsid w:val="00104D1B"/>
    <w:rsid w:val="0011213F"/>
    <w:rsid w:val="001160EA"/>
    <w:rsid w:val="00121B6D"/>
    <w:rsid w:val="00132C9F"/>
    <w:rsid w:val="00132F44"/>
    <w:rsid w:val="00133302"/>
    <w:rsid w:val="001362F3"/>
    <w:rsid w:val="00141A59"/>
    <w:rsid w:val="00163AEA"/>
    <w:rsid w:val="00173F1B"/>
    <w:rsid w:val="0017686B"/>
    <w:rsid w:val="00181784"/>
    <w:rsid w:val="0018208E"/>
    <w:rsid w:val="00183DF0"/>
    <w:rsid w:val="00186C2A"/>
    <w:rsid w:val="00190857"/>
    <w:rsid w:val="001925A3"/>
    <w:rsid w:val="00193BBC"/>
    <w:rsid w:val="00195E0F"/>
    <w:rsid w:val="001A2F8D"/>
    <w:rsid w:val="001A3CA7"/>
    <w:rsid w:val="001A4CA9"/>
    <w:rsid w:val="001B3A5F"/>
    <w:rsid w:val="001B71EB"/>
    <w:rsid w:val="001C2471"/>
    <w:rsid w:val="001C2712"/>
    <w:rsid w:val="001C7D4E"/>
    <w:rsid w:val="001D401F"/>
    <w:rsid w:val="001D7ECC"/>
    <w:rsid w:val="001E0FC4"/>
    <w:rsid w:val="001E111C"/>
    <w:rsid w:val="001F1874"/>
    <w:rsid w:val="001F1CE9"/>
    <w:rsid w:val="001F26EB"/>
    <w:rsid w:val="001F78E5"/>
    <w:rsid w:val="00202DBD"/>
    <w:rsid w:val="002049E8"/>
    <w:rsid w:val="00206443"/>
    <w:rsid w:val="002123AB"/>
    <w:rsid w:val="002150AA"/>
    <w:rsid w:val="00215989"/>
    <w:rsid w:val="002164D2"/>
    <w:rsid w:val="0022645B"/>
    <w:rsid w:val="00226754"/>
    <w:rsid w:val="0023149B"/>
    <w:rsid w:val="00237924"/>
    <w:rsid w:val="002425E3"/>
    <w:rsid w:val="00246035"/>
    <w:rsid w:val="0024634B"/>
    <w:rsid w:val="0025000B"/>
    <w:rsid w:val="00261E31"/>
    <w:rsid w:val="00262458"/>
    <w:rsid w:val="00262853"/>
    <w:rsid w:val="00265161"/>
    <w:rsid w:val="002658AC"/>
    <w:rsid w:val="002660C6"/>
    <w:rsid w:val="0026636C"/>
    <w:rsid w:val="002673FE"/>
    <w:rsid w:val="0027262E"/>
    <w:rsid w:val="0027294B"/>
    <w:rsid w:val="00283449"/>
    <w:rsid w:val="002845F8"/>
    <w:rsid w:val="00292718"/>
    <w:rsid w:val="00292AE6"/>
    <w:rsid w:val="002A70A7"/>
    <w:rsid w:val="002B014B"/>
    <w:rsid w:val="002B359D"/>
    <w:rsid w:val="002B3856"/>
    <w:rsid w:val="002C2E4F"/>
    <w:rsid w:val="002C337A"/>
    <w:rsid w:val="002C7591"/>
    <w:rsid w:val="002D1039"/>
    <w:rsid w:val="002E102C"/>
    <w:rsid w:val="002E41B2"/>
    <w:rsid w:val="002E51BC"/>
    <w:rsid w:val="002F061C"/>
    <w:rsid w:val="002F549D"/>
    <w:rsid w:val="002F5585"/>
    <w:rsid w:val="002F71C2"/>
    <w:rsid w:val="00305463"/>
    <w:rsid w:val="003149DE"/>
    <w:rsid w:val="00317064"/>
    <w:rsid w:val="00324E4C"/>
    <w:rsid w:val="00330A7E"/>
    <w:rsid w:val="00334D40"/>
    <w:rsid w:val="003532BF"/>
    <w:rsid w:val="00353491"/>
    <w:rsid w:val="00356545"/>
    <w:rsid w:val="003625A9"/>
    <w:rsid w:val="003641D0"/>
    <w:rsid w:val="00364FF1"/>
    <w:rsid w:val="00370D0E"/>
    <w:rsid w:val="0037672C"/>
    <w:rsid w:val="00376AC4"/>
    <w:rsid w:val="0037790E"/>
    <w:rsid w:val="00385013"/>
    <w:rsid w:val="00387541"/>
    <w:rsid w:val="003906C7"/>
    <w:rsid w:val="00391E0B"/>
    <w:rsid w:val="00396344"/>
    <w:rsid w:val="003A17FE"/>
    <w:rsid w:val="003B31F6"/>
    <w:rsid w:val="003B38DE"/>
    <w:rsid w:val="003B4529"/>
    <w:rsid w:val="003C7113"/>
    <w:rsid w:val="003D5981"/>
    <w:rsid w:val="003E2E9E"/>
    <w:rsid w:val="003E5DD6"/>
    <w:rsid w:val="003F2098"/>
    <w:rsid w:val="003F45CB"/>
    <w:rsid w:val="004066EF"/>
    <w:rsid w:val="004117E5"/>
    <w:rsid w:val="0041778C"/>
    <w:rsid w:val="00432013"/>
    <w:rsid w:val="004320BB"/>
    <w:rsid w:val="004323E2"/>
    <w:rsid w:val="00436EF7"/>
    <w:rsid w:val="004412C3"/>
    <w:rsid w:val="00441A40"/>
    <w:rsid w:val="0044226F"/>
    <w:rsid w:val="004528BB"/>
    <w:rsid w:val="004628FA"/>
    <w:rsid w:val="00467314"/>
    <w:rsid w:val="00472450"/>
    <w:rsid w:val="00474808"/>
    <w:rsid w:val="00483A49"/>
    <w:rsid w:val="004864C6"/>
    <w:rsid w:val="00486520"/>
    <w:rsid w:val="0049108E"/>
    <w:rsid w:val="0049178A"/>
    <w:rsid w:val="00491797"/>
    <w:rsid w:val="00497E17"/>
    <w:rsid w:val="004A16E4"/>
    <w:rsid w:val="004A2086"/>
    <w:rsid w:val="004A3523"/>
    <w:rsid w:val="004A46FF"/>
    <w:rsid w:val="004A5702"/>
    <w:rsid w:val="004A5CA3"/>
    <w:rsid w:val="004B1A61"/>
    <w:rsid w:val="004C33BC"/>
    <w:rsid w:val="004D18E2"/>
    <w:rsid w:val="004D1CC7"/>
    <w:rsid w:val="004D7E25"/>
    <w:rsid w:val="004E02B6"/>
    <w:rsid w:val="004E295A"/>
    <w:rsid w:val="004E7FFB"/>
    <w:rsid w:val="004F377F"/>
    <w:rsid w:val="0050168F"/>
    <w:rsid w:val="00512093"/>
    <w:rsid w:val="00512A29"/>
    <w:rsid w:val="005233D9"/>
    <w:rsid w:val="00526BBE"/>
    <w:rsid w:val="00531C9F"/>
    <w:rsid w:val="00534010"/>
    <w:rsid w:val="00540887"/>
    <w:rsid w:val="005438D8"/>
    <w:rsid w:val="00544E25"/>
    <w:rsid w:val="00552248"/>
    <w:rsid w:val="00555582"/>
    <w:rsid w:val="00556AF8"/>
    <w:rsid w:val="005603C5"/>
    <w:rsid w:val="00561DC6"/>
    <w:rsid w:val="00561F0C"/>
    <w:rsid w:val="00561F32"/>
    <w:rsid w:val="005632C2"/>
    <w:rsid w:val="00564569"/>
    <w:rsid w:val="00575C61"/>
    <w:rsid w:val="00576DC5"/>
    <w:rsid w:val="0058020F"/>
    <w:rsid w:val="00581828"/>
    <w:rsid w:val="005849A5"/>
    <w:rsid w:val="00594483"/>
    <w:rsid w:val="005A2808"/>
    <w:rsid w:val="005A42B8"/>
    <w:rsid w:val="005A56AA"/>
    <w:rsid w:val="005B1E54"/>
    <w:rsid w:val="005B269E"/>
    <w:rsid w:val="005B6D5E"/>
    <w:rsid w:val="005B7436"/>
    <w:rsid w:val="005C42DA"/>
    <w:rsid w:val="005C5D41"/>
    <w:rsid w:val="005E2191"/>
    <w:rsid w:val="005E4844"/>
    <w:rsid w:val="005E5D8E"/>
    <w:rsid w:val="005F1874"/>
    <w:rsid w:val="00607F9D"/>
    <w:rsid w:val="00613BF0"/>
    <w:rsid w:val="006345E9"/>
    <w:rsid w:val="00636AC7"/>
    <w:rsid w:val="00641DFD"/>
    <w:rsid w:val="00652F41"/>
    <w:rsid w:val="006606A3"/>
    <w:rsid w:val="0066491A"/>
    <w:rsid w:val="0066511D"/>
    <w:rsid w:val="00666BEC"/>
    <w:rsid w:val="006679CD"/>
    <w:rsid w:val="00676217"/>
    <w:rsid w:val="00676769"/>
    <w:rsid w:val="00685AD0"/>
    <w:rsid w:val="00690654"/>
    <w:rsid w:val="00692A67"/>
    <w:rsid w:val="00693BC1"/>
    <w:rsid w:val="0069716C"/>
    <w:rsid w:val="006A35B1"/>
    <w:rsid w:val="006A3BCD"/>
    <w:rsid w:val="006B5DD1"/>
    <w:rsid w:val="006B64B3"/>
    <w:rsid w:val="006C00AD"/>
    <w:rsid w:val="006C60B0"/>
    <w:rsid w:val="006D030C"/>
    <w:rsid w:val="006D4CBC"/>
    <w:rsid w:val="006E620A"/>
    <w:rsid w:val="006F422A"/>
    <w:rsid w:val="00705EED"/>
    <w:rsid w:val="0070733C"/>
    <w:rsid w:val="00717A96"/>
    <w:rsid w:val="007205EC"/>
    <w:rsid w:val="0072082D"/>
    <w:rsid w:val="00723057"/>
    <w:rsid w:val="00723D53"/>
    <w:rsid w:val="0072430F"/>
    <w:rsid w:val="00730853"/>
    <w:rsid w:val="00731AF4"/>
    <w:rsid w:val="00731C10"/>
    <w:rsid w:val="007358F4"/>
    <w:rsid w:val="00735907"/>
    <w:rsid w:val="00735D52"/>
    <w:rsid w:val="00737900"/>
    <w:rsid w:val="007379AC"/>
    <w:rsid w:val="0074184A"/>
    <w:rsid w:val="00743AB6"/>
    <w:rsid w:val="00753271"/>
    <w:rsid w:val="00766272"/>
    <w:rsid w:val="007709BB"/>
    <w:rsid w:val="00770F7B"/>
    <w:rsid w:val="007718AD"/>
    <w:rsid w:val="0078028D"/>
    <w:rsid w:val="00786725"/>
    <w:rsid w:val="007965D9"/>
    <w:rsid w:val="007966DA"/>
    <w:rsid w:val="007A0D6A"/>
    <w:rsid w:val="007A5AA1"/>
    <w:rsid w:val="007B5B50"/>
    <w:rsid w:val="007B65CB"/>
    <w:rsid w:val="007B7FC8"/>
    <w:rsid w:val="007C5222"/>
    <w:rsid w:val="007C71E4"/>
    <w:rsid w:val="007D0007"/>
    <w:rsid w:val="007D2C8D"/>
    <w:rsid w:val="007D6BF1"/>
    <w:rsid w:val="007E19B0"/>
    <w:rsid w:val="007E1DFE"/>
    <w:rsid w:val="007E5344"/>
    <w:rsid w:val="007F38DA"/>
    <w:rsid w:val="007F6D30"/>
    <w:rsid w:val="008011DD"/>
    <w:rsid w:val="00801EC8"/>
    <w:rsid w:val="00803D32"/>
    <w:rsid w:val="00806779"/>
    <w:rsid w:val="00807214"/>
    <w:rsid w:val="00814B5D"/>
    <w:rsid w:val="00815A4E"/>
    <w:rsid w:val="00820F63"/>
    <w:rsid w:val="00821C27"/>
    <w:rsid w:val="008254A9"/>
    <w:rsid w:val="008269F9"/>
    <w:rsid w:val="0084134C"/>
    <w:rsid w:val="00843516"/>
    <w:rsid w:val="0084404F"/>
    <w:rsid w:val="008469E8"/>
    <w:rsid w:val="0085432C"/>
    <w:rsid w:val="00856A08"/>
    <w:rsid w:val="00871C6C"/>
    <w:rsid w:val="00873E2A"/>
    <w:rsid w:val="0088140A"/>
    <w:rsid w:val="00881B8C"/>
    <w:rsid w:val="00881D9A"/>
    <w:rsid w:val="0088225A"/>
    <w:rsid w:val="00884064"/>
    <w:rsid w:val="00895CB2"/>
    <w:rsid w:val="008A1373"/>
    <w:rsid w:val="008A2E0F"/>
    <w:rsid w:val="008A6332"/>
    <w:rsid w:val="008B4475"/>
    <w:rsid w:val="008B73D8"/>
    <w:rsid w:val="008C1C16"/>
    <w:rsid w:val="008C2BE1"/>
    <w:rsid w:val="008C327E"/>
    <w:rsid w:val="008C551B"/>
    <w:rsid w:val="008C7DAC"/>
    <w:rsid w:val="008D08BB"/>
    <w:rsid w:val="008E1431"/>
    <w:rsid w:val="008F0A49"/>
    <w:rsid w:val="008F2EC4"/>
    <w:rsid w:val="008F7DF3"/>
    <w:rsid w:val="009073FC"/>
    <w:rsid w:val="00911054"/>
    <w:rsid w:val="0091782C"/>
    <w:rsid w:val="00920288"/>
    <w:rsid w:val="00920E7C"/>
    <w:rsid w:val="00921189"/>
    <w:rsid w:val="0092272F"/>
    <w:rsid w:val="0092607A"/>
    <w:rsid w:val="00927714"/>
    <w:rsid w:val="00930EB6"/>
    <w:rsid w:val="00937A15"/>
    <w:rsid w:val="00942697"/>
    <w:rsid w:val="00943163"/>
    <w:rsid w:val="00946642"/>
    <w:rsid w:val="009475FC"/>
    <w:rsid w:val="0095696F"/>
    <w:rsid w:val="00957155"/>
    <w:rsid w:val="00963B70"/>
    <w:rsid w:val="00970D92"/>
    <w:rsid w:val="0097243C"/>
    <w:rsid w:val="00977B92"/>
    <w:rsid w:val="00980B43"/>
    <w:rsid w:val="00991317"/>
    <w:rsid w:val="00991B9B"/>
    <w:rsid w:val="00992973"/>
    <w:rsid w:val="00997F86"/>
    <w:rsid w:val="009A164F"/>
    <w:rsid w:val="009A3651"/>
    <w:rsid w:val="009B4876"/>
    <w:rsid w:val="009C46BF"/>
    <w:rsid w:val="009D0E22"/>
    <w:rsid w:val="009D25AD"/>
    <w:rsid w:val="009D5232"/>
    <w:rsid w:val="009D559B"/>
    <w:rsid w:val="009D5A72"/>
    <w:rsid w:val="009D6479"/>
    <w:rsid w:val="009D6BF9"/>
    <w:rsid w:val="009D73AA"/>
    <w:rsid w:val="009E3257"/>
    <w:rsid w:val="009E74CB"/>
    <w:rsid w:val="009F0450"/>
    <w:rsid w:val="009F1E11"/>
    <w:rsid w:val="009F3C73"/>
    <w:rsid w:val="009F64AE"/>
    <w:rsid w:val="00A00281"/>
    <w:rsid w:val="00A004E6"/>
    <w:rsid w:val="00A0258F"/>
    <w:rsid w:val="00A15085"/>
    <w:rsid w:val="00A20567"/>
    <w:rsid w:val="00A24C8B"/>
    <w:rsid w:val="00A30C5B"/>
    <w:rsid w:val="00A31947"/>
    <w:rsid w:val="00A36AED"/>
    <w:rsid w:val="00A375F5"/>
    <w:rsid w:val="00A40123"/>
    <w:rsid w:val="00A4026B"/>
    <w:rsid w:val="00A42F3D"/>
    <w:rsid w:val="00A443D7"/>
    <w:rsid w:val="00A46795"/>
    <w:rsid w:val="00A477B0"/>
    <w:rsid w:val="00A52C0F"/>
    <w:rsid w:val="00A57ACB"/>
    <w:rsid w:val="00A645C5"/>
    <w:rsid w:val="00A65A44"/>
    <w:rsid w:val="00A70BFE"/>
    <w:rsid w:val="00A72114"/>
    <w:rsid w:val="00A72D38"/>
    <w:rsid w:val="00A74663"/>
    <w:rsid w:val="00A75214"/>
    <w:rsid w:val="00A75465"/>
    <w:rsid w:val="00A76029"/>
    <w:rsid w:val="00A83364"/>
    <w:rsid w:val="00A925E5"/>
    <w:rsid w:val="00A964AC"/>
    <w:rsid w:val="00AA1067"/>
    <w:rsid w:val="00AA21E4"/>
    <w:rsid w:val="00AA2373"/>
    <w:rsid w:val="00AB0230"/>
    <w:rsid w:val="00AC07B4"/>
    <w:rsid w:val="00AC1060"/>
    <w:rsid w:val="00AC2B41"/>
    <w:rsid w:val="00AC48C5"/>
    <w:rsid w:val="00AD11C2"/>
    <w:rsid w:val="00AD7FFB"/>
    <w:rsid w:val="00AE1D7A"/>
    <w:rsid w:val="00AE708E"/>
    <w:rsid w:val="00AF3A64"/>
    <w:rsid w:val="00AF411A"/>
    <w:rsid w:val="00B04CB4"/>
    <w:rsid w:val="00B0722D"/>
    <w:rsid w:val="00B10CD1"/>
    <w:rsid w:val="00B12122"/>
    <w:rsid w:val="00B14926"/>
    <w:rsid w:val="00B31568"/>
    <w:rsid w:val="00B34436"/>
    <w:rsid w:val="00B346EC"/>
    <w:rsid w:val="00B36CC5"/>
    <w:rsid w:val="00B4785F"/>
    <w:rsid w:val="00B52637"/>
    <w:rsid w:val="00B6078C"/>
    <w:rsid w:val="00B64E34"/>
    <w:rsid w:val="00B678F6"/>
    <w:rsid w:val="00B67B65"/>
    <w:rsid w:val="00B70C76"/>
    <w:rsid w:val="00B714CF"/>
    <w:rsid w:val="00B71DC2"/>
    <w:rsid w:val="00B720CE"/>
    <w:rsid w:val="00B76A63"/>
    <w:rsid w:val="00B82F0A"/>
    <w:rsid w:val="00B86AA9"/>
    <w:rsid w:val="00B87612"/>
    <w:rsid w:val="00B92842"/>
    <w:rsid w:val="00BA3BBC"/>
    <w:rsid w:val="00BA3DED"/>
    <w:rsid w:val="00BA4316"/>
    <w:rsid w:val="00BB0169"/>
    <w:rsid w:val="00BB0A92"/>
    <w:rsid w:val="00BB5EA5"/>
    <w:rsid w:val="00BB6D04"/>
    <w:rsid w:val="00BC47EE"/>
    <w:rsid w:val="00BC5B77"/>
    <w:rsid w:val="00BC7C35"/>
    <w:rsid w:val="00BD52B8"/>
    <w:rsid w:val="00BE2AD9"/>
    <w:rsid w:val="00BE6925"/>
    <w:rsid w:val="00BF06B2"/>
    <w:rsid w:val="00C02C99"/>
    <w:rsid w:val="00C02E92"/>
    <w:rsid w:val="00C0735A"/>
    <w:rsid w:val="00C12A11"/>
    <w:rsid w:val="00C210E0"/>
    <w:rsid w:val="00C234C2"/>
    <w:rsid w:val="00C23C52"/>
    <w:rsid w:val="00C37A5D"/>
    <w:rsid w:val="00C414E3"/>
    <w:rsid w:val="00C43DA7"/>
    <w:rsid w:val="00C44992"/>
    <w:rsid w:val="00C46D42"/>
    <w:rsid w:val="00C521C8"/>
    <w:rsid w:val="00C528BD"/>
    <w:rsid w:val="00C55B54"/>
    <w:rsid w:val="00C566D5"/>
    <w:rsid w:val="00C57231"/>
    <w:rsid w:val="00C62DE5"/>
    <w:rsid w:val="00C637A2"/>
    <w:rsid w:val="00C63E93"/>
    <w:rsid w:val="00C64D96"/>
    <w:rsid w:val="00C74B50"/>
    <w:rsid w:val="00C76ED7"/>
    <w:rsid w:val="00C827A2"/>
    <w:rsid w:val="00C82914"/>
    <w:rsid w:val="00C876DD"/>
    <w:rsid w:val="00C91411"/>
    <w:rsid w:val="00C929C2"/>
    <w:rsid w:val="00C9397B"/>
    <w:rsid w:val="00C95DA5"/>
    <w:rsid w:val="00CA2D7A"/>
    <w:rsid w:val="00CA46AA"/>
    <w:rsid w:val="00CA57EB"/>
    <w:rsid w:val="00CA7396"/>
    <w:rsid w:val="00CB5098"/>
    <w:rsid w:val="00CB6E14"/>
    <w:rsid w:val="00CB7517"/>
    <w:rsid w:val="00CD108A"/>
    <w:rsid w:val="00CD2E04"/>
    <w:rsid w:val="00CD72B8"/>
    <w:rsid w:val="00CE0A55"/>
    <w:rsid w:val="00CE739F"/>
    <w:rsid w:val="00CE76B7"/>
    <w:rsid w:val="00CF4B25"/>
    <w:rsid w:val="00CF4F03"/>
    <w:rsid w:val="00D07B9A"/>
    <w:rsid w:val="00D118AB"/>
    <w:rsid w:val="00D229F5"/>
    <w:rsid w:val="00D22BBA"/>
    <w:rsid w:val="00D2338F"/>
    <w:rsid w:val="00D30764"/>
    <w:rsid w:val="00D32426"/>
    <w:rsid w:val="00D34B7E"/>
    <w:rsid w:val="00D372F5"/>
    <w:rsid w:val="00D40BD2"/>
    <w:rsid w:val="00D5037F"/>
    <w:rsid w:val="00D5524E"/>
    <w:rsid w:val="00D702AC"/>
    <w:rsid w:val="00D71AFA"/>
    <w:rsid w:val="00D73AF7"/>
    <w:rsid w:val="00D74C7F"/>
    <w:rsid w:val="00D8267B"/>
    <w:rsid w:val="00D84D0A"/>
    <w:rsid w:val="00DA0806"/>
    <w:rsid w:val="00DA0850"/>
    <w:rsid w:val="00DA0FF8"/>
    <w:rsid w:val="00DA2496"/>
    <w:rsid w:val="00DB7F7C"/>
    <w:rsid w:val="00DC5246"/>
    <w:rsid w:val="00DD5420"/>
    <w:rsid w:val="00DD6D35"/>
    <w:rsid w:val="00DE03ED"/>
    <w:rsid w:val="00DE18A3"/>
    <w:rsid w:val="00DE55C4"/>
    <w:rsid w:val="00DE5D56"/>
    <w:rsid w:val="00DF1633"/>
    <w:rsid w:val="00E01EFC"/>
    <w:rsid w:val="00E35DF5"/>
    <w:rsid w:val="00E44774"/>
    <w:rsid w:val="00E45E92"/>
    <w:rsid w:val="00E45FAB"/>
    <w:rsid w:val="00E509C5"/>
    <w:rsid w:val="00E5661A"/>
    <w:rsid w:val="00E57A43"/>
    <w:rsid w:val="00E57E9F"/>
    <w:rsid w:val="00E6486D"/>
    <w:rsid w:val="00E708B6"/>
    <w:rsid w:val="00E72A50"/>
    <w:rsid w:val="00E8146C"/>
    <w:rsid w:val="00E86F08"/>
    <w:rsid w:val="00E90AB5"/>
    <w:rsid w:val="00E90B3D"/>
    <w:rsid w:val="00E93736"/>
    <w:rsid w:val="00EA5C9E"/>
    <w:rsid w:val="00EA654A"/>
    <w:rsid w:val="00EB28BB"/>
    <w:rsid w:val="00EB65E2"/>
    <w:rsid w:val="00EC5B45"/>
    <w:rsid w:val="00EC6614"/>
    <w:rsid w:val="00EC6B6F"/>
    <w:rsid w:val="00ED1D14"/>
    <w:rsid w:val="00ED59AA"/>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68D8"/>
    <w:rsid w:val="00F47F6A"/>
    <w:rsid w:val="00F502A4"/>
    <w:rsid w:val="00F56E73"/>
    <w:rsid w:val="00F60C57"/>
    <w:rsid w:val="00F61C39"/>
    <w:rsid w:val="00F64DB1"/>
    <w:rsid w:val="00F75C76"/>
    <w:rsid w:val="00F86AD7"/>
    <w:rsid w:val="00F871B5"/>
    <w:rsid w:val="00F95F6E"/>
    <w:rsid w:val="00F9630B"/>
    <w:rsid w:val="00F96CAB"/>
    <w:rsid w:val="00FA7E0D"/>
    <w:rsid w:val="00FB577A"/>
    <w:rsid w:val="00FC0064"/>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7231"/>
  <w15:docId w15:val="{9B0DA49E-8B83-4F8B-A2C8-88C74E38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lang w:eastAsia="en-US"/>
    </w:rPr>
  </w:style>
  <w:style w:type="paragraph" w:styleId="Heading1">
    <w:name w:val="heading 1"/>
    <w:basedOn w:val="Normal"/>
    <w:next w:val="Normal"/>
    <w:qFormat/>
    <w:rsid w:val="00104D1B"/>
    <w:pPr>
      <w:keepNext/>
      <w:tabs>
        <w:tab w:val="center" w:pos="4680"/>
      </w:tabs>
      <w:jc w:val="center"/>
      <w:outlineLvl w:val="0"/>
    </w:pPr>
    <w:rPr>
      <w:b/>
    </w:rPr>
  </w:style>
  <w:style w:type="paragraph" w:styleId="Heading2">
    <w:name w:val="heading 2"/>
    <w:basedOn w:val="Normal"/>
    <w:next w:val="Normal"/>
    <w:qFormat/>
    <w:rsid w:val="00104D1B"/>
    <w:pPr>
      <w:keepNext/>
      <w:ind w:left="720"/>
      <w:jc w:val="right"/>
      <w:outlineLvl w:val="1"/>
    </w:pPr>
    <w:rPr>
      <w:rFonts w:ascii="Arial" w:hAnsi="Arial"/>
      <w:i/>
      <w:sz w:val="18"/>
    </w:rPr>
  </w:style>
  <w:style w:type="paragraph" w:styleId="Heading3">
    <w:name w:val="heading 3"/>
    <w:basedOn w:val="Normal"/>
    <w:next w:val="Normal"/>
    <w:qFormat/>
    <w:rsid w:val="00104D1B"/>
    <w:pPr>
      <w:keepNext/>
      <w:tabs>
        <w:tab w:val="left" w:pos="5400"/>
      </w:tabs>
      <w:ind w:left="720"/>
      <w:outlineLvl w:val="2"/>
    </w:pPr>
    <w:rPr>
      <w:rFonts w:ascii="Arial" w:hAnsi="Arial"/>
      <w:i/>
      <w:sz w:val="18"/>
    </w:rPr>
  </w:style>
  <w:style w:type="paragraph" w:styleId="Heading4">
    <w:name w:val="heading 4"/>
    <w:basedOn w:val="Normal"/>
    <w:next w:val="Normal"/>
    <w:qFormat/>
    <w:rsid w:val="00104D1B"/>
    <w:pPr>
      <w:keepNext/>
      <w:outlineLvl w:val="3"/>
    </w:pPr>
    <w:rPr>
      <w:b/>
      <w:bCs/>
    </w:rPr>
  </w:style>
  <w:style w:type="paragraph" w:styleId="Heading5">
    <w:name w:val="heading 5"/>
    <w:basedOn w:val="Normal"/>
    <w:next w:val="Normal"/>
    <w:qFormat/>
    <w:rsid w:val="00104D1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04D1B"/>
  </w:style>
  <w:style w:type="paragraph" w:styleId="Footer">
    <w:name w:val="footer"/>
    <w:basedOn w:val="Normal"/>
    <w:link w:val="FooterChar"/>
    <w:uiPriority w:val="99"/>
    <w:rsid w:val="00104D1B"/>
    <w:pPr>
      <w:widowControl/>
      <w:tabs>
        <w:tab w:val="center" w:pos="4320"/>
        <w:tab w:val="right" w:pos="8640"/>
      </w:tabs>
    </w:pPr>
    <w:rPr>
      <w:snapToGrid/>
      <w:szCs w:val="24"/>
    </w:rPr>
  </w:style>
  <w:style w:type="paragraph" w:styleId="BodyText">
    <w:name w:val="Body Text"/>
    <w:basedOn w:val="Normal"/>
    <w:rsid w:val="00104D1B"/>
    <w:pPr>
      <w:widowControl/>
    </w:pPr>
    <w:rPr>
      <w:rFonts w:ascii="Times" w:hAnsi="Times"/>
      <w:color w:val="000000"/>
    </w:rPr>
  </w:style>
  <w:style w:type="character" w:styleId="Hyperlink">
    <w:name w:val="Hyperlink"/>
    <w:rsid w:val="00104D1B"/>
    <w:rPr>
      <w:color w:val="0000FF"/>
      <w:u w:val="single"/>
    </w:rPr>
  </w:style>
  <w:style w:type="paragraph" w:styleId="BodyText2">
    <w:name w:val="Body Text 2"/>
    <w:basedOn w:val="Normal"/>
    <w:rsid w:val="00104D1B"/>
    <w:rPr>
      <w:i/>
      <w:iCs/>
    </w:rPr>
  </w:style>
  <w:style w:type="paragraph" w:styleId="BodyTextIndent">
    <w:name w:val="Body Text Indent"/>
    <w:basedOn w:val="Normal"/>
    <w:rsid w:val="00104D1B"/>
    <w:pPr>
      <w:autoSpaceDE w:val="0"/>
      <w:autoSpaceDN w:val="0"/>
      <w:adjustRightInd w:val="0"/>
      <w:ind w:left="-360"/>
    </w:pPr>
    <w:rPr>
      <w:snapToGrid/>
      <w:szCs w:val="24"/>
    </w:rPr>
  </w:style>
  <w:style w:type="character" w:styleId="PageNumber">
    <w:name w:val="page number"/>
    <w:basedOn w:val="DefaultParagraphFont"/>
    <w:rsid w:val="00104D1B"/>
  </w:style>
  <w:style w:type="paragraph" w:styleId="BodyTextIndent3">
    <w:name w:val="Body Text Indent 3"/>
    <w:basedOn w:val="Normal"/>
    <w:rsid w:val="00104D1B"/>
    <w:pPr>
      <w:widowControl/>
      <w:ind w:left="360" w:hanging="360"/>
    </w:pPr>
    <w:rPr>
      <w:szCs w:val="24"/>
    </w:rPr>
  </w:style>
  <w:style w:type="paragraph" w:styleId="BodyText3">
    <w:name w:val="Body Text 3"/>
    <w:basedOn w:val="Normal"/>
    <w:rsid w:val="00104D1B"/>
    <w:pPr>
      <w:autoSpaceDE w:val="0"/>
      <w:autoSpaceDN w:val="0"/>
      <w:adjustRightInd w:val="0"/>
    </w:pPr>
    <w:rPr>
      <w:b/>
      <w:bCs/>
    </w:rPr>
  </w:style>
  <w:style w:type="character" w:styleId="FollowedHyperlink">
    <w:name w:val="FollowedHyperlink"/>
    <w:rsid w:val="00104D1B"/>
    <w:rPr>
      <w:color w:val="800080"/>
      <w:u w:val="single"/>
    </w:rPr>
  </w:style>
  <w:style w:type="character" w:styleId="Strong">
    <w:name w:val="Strong"/>
    <w:qFormat/>
    <w:rsid w:val="00104D1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lang w:eastAsia="en-US"/>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sz w:val="24"/>
    </w:rPr>
  </w:style>
  <w:style w:type="character" w:customStyle="1" w:styleId="FooterChar">
    <w:name w:val="Footer Char"/>
    <w:link w:val="Footer"/>
    <w:uiPriority w:val="99"/>
    <w:rsid w:val="004E02B6"/>
    <w:rPr>
      <w:sz w:val="24"/>
      <w:szCs w:val="24"/>
    </w:rPr>
  </w:style>
  <w:style w:type="paragraph" w:customStyle="1" w:styleId="ColorfulList-Accent11">
    <w:name w:val="Colorful List - Accent 11"/>
    <w:basedOn w:val="Normal"/>
    <w:uiPriority w:val="34"/>
    <w:qFormat/>
    <w:rsid w:val="001C7D4E"/>
    <w:pPr>
      <w:widowControl/>
      <w:spacing w:after="200" w:line="276" w:lineRule="auto"/>
      <w:ind w:left="720"/>
      <w:contextualSpacing/>
    </w:pPr>
    <w:rPr>
      <w:rFonts w:ascii="Calibri" w:eastAsia="Calibri" w:hAnsi="Calibri"/>
      <w:snapToGrid/>
      <w:sz w:val="22"/>
      <w:szCs w:val="22"/>
    </w:rPr>
  </w:style>
  <w:style w:type="paragraph" w:styleId="BodyTextIndent2">
    <w:name w:val="Body Text Indent 2"/>
    <w:basedOn w:val="Normal"/>
    <w:link w:val="BodyTextIndent2Char"/>
    <w:rsid w:val="001A3CA7"/>
    <w:pPr>
      <w:ind w:left="2160" w:firstLine="720"/>
    </w:pPr>
  </w:style>
  <w:style w:type="character" w:customStyle="1" w:styleId="BodyTextIndent2Char">
    <w:name w:val="Body Text Indent 2 Char"/>
    <w:link w:val="BodyTextIndent2"/>
    <w:rsid w:val="001A3CA7"/>
    <w:rPr>
      <w:snapToGrid w:val="0"/>
      <w:sz w:val="24"/>
    </w:rPr>
  </w:style>
  <w:style w:type="paragraph" w:customStyle="1" w:styleId="NoSpacing1">
    <w:name w:val="No Spacing1"/>
    <w:uiPriority w:val="99"/>
    <w:qFormat/>
    <w:rsid w:val="003532BF"/>
    <w:rPr>
      <w:rFonts w:ascii="Calibri" w:hAnsi="Calibri" w:cs="Calibri"/>
      <w:sz w:val="22"/>
      <w:szCs w:val="22"/>
      <w:lang w:eastAsia="en-US"/>
    </w:rPr>
  </w:style>
  <w:style w:type="paragraph" w:customStyle="1" w:styleId="msonospacing0">
    <w:name w:val="msonospacing"/>
    <w:basedOn w:val="Normal"/>
    <w:rsid w:val="003532BF"/>
    <w:pPr>
      <w:widowControl/>
    </w:pPr>
    <w:rPr>
      <w:rFonts w:ascii="Calibri" w:hAnsi="Calibri"/>
      <w:snapToGrid/>
      <w:sz w:val="22"/>
      <w:szCs w:val="22"/>
    </w:rPr>
  </w:style>
  <w:style w:type="paragraph" w:customStyle="1" w:styleId="NoSpacing10">
    <w:name w:val="No Spacing1"/>
    <w:qFormat/>
    <w:rsid w:val="003532BF"/>
    <w:rPr>
      <w:rFonts w:ascii="Calibri" w:hAnsi="Calibri" w:cs="Calibri"/>
      <w:sz w:val="22"/>
      <w:szCs w:val="22"/>
      <w:lang w:eastAsia="en-US"/>
    </w:rPr>
  </w:style>
  <w:style w:type="paragraph" w:styleId="ListParagraph">
    <w:name w:val="List Paragraph"/>
    <w:basedOn w:val="Normal"/>
    <w:uiPriority w:val="34"/>
    <w:qFormat/>
    <w:rsid w:val="005C5D41"/>
    <w:pPr>
      <w:widowControl/>
      <w:ind w:left="720"/>
    </w:pPr>
    <w:rPr>
      <w:rFonts w:ascii="Calibri" w:eastAsia="Calibri" w:hAnsi="Calibri"/>
      <w:snapToGrid/>
      <w:sz w:val="22"/>
      <w:szCs w:val="22"/>
    </w:rPr>
  </w:style>
  <w:style w:type="character" w:styleId="CommentReference">
    <w:name w:val="annotation reference"/>
    <w:basedOn w:val="DefaultParagraphFont"/>
    <w:rsid w:val="00011738"/>
    <w:rPr>
      <w:sz w:val="16"/>
      <w:szCs w:val="16"/>
    </w:rPr>
  </w:style>
  <w:style w:type="paragraph" w:styleId="CommentText">
    <w:name w:val="annotation text"/>
    <w:basedOn w:val="Normal"/>
    <w:link w:val="CommentTextChar"/>
    <w:rsid w:val="00011738"/>
    <w:rPr>
      <w:sz w:val="20"/>
    </w:rPr>
  </w:style>
  <w:style w:type="character" w:customStyle="1" w:styleId="CommentTextChar">
    <w:name w:val="Comment Text Char"/>
    <w:basedOn w:val="DefaultParagraphFont"/>
    <w:link w:val="CommentText"/>
    <w:rsid w:val="00011738"/>
    <w:rPr>
      <w:snapToGrid w:val="0"/>
    </w:rPr>
  </w:style>
  <w:style w:type="paragraph" w:styleId="CommentSubject">
    <w:name w:val="annotation subject"/>
    <w:basedOn w:val="CommentText"/>
    <w:next w:val="CommentText"/>
    <w:link w:val="CommentSubjectChar"/>
    <w:rsid w:val="00011738"/>
    <w:rPr>
      <w:b/>
      <w:bCs/>
    </w:rPr>
  </w:style>
  <w:style w:type="character" w:customStyle="1" w:styleId="CommentSubjectChar">
    <w:name w:val="Comment Subject Char"/>
    <w:basedOn w:val="CommentTextChar"/>
    <w:link w:val="CommentSubject"/>
    <w:rsid w:val="00011738"/>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57788509">
      <w:bodyDiv w:val="1"/>
      <w:marLeft w:val="0"/>
      <w:marRight w:val="0"/>
      <w:marTop w:val="0"/>
      <w:marBottom w:val="0"/>
      <w:divBdr>
        <w:top w:val="none" w:sz="0" w:space="0" w:color="auto"/>
        <w:left w:val="none" w:sz="0" w:space="0" w:color="auto"/>
        <w:bottom w:val="none" w:sz="0" w:space="0" w:color="auto"/>
        <w:right w:val="none" w:sz="0" w:space="0" w:color="auto"/>
      </w:divBdr>
      <w:divsChild>
        <w:div w:id="471291254">
          <w:marLeft w:val="0"/>
          <w:marRight w:val="0"/>
          <w:marTop w:val="225"/>
          <w:marBottom w:val="0"/>
          <w:divBdr>
            <w:top w:val="single" w:sz="18" w:space="0" w:color="CBAE60"/>
            <w:left w:val="single" w:sz="18" w:space="0" w:color="CBAE60"/>
            <w:bottom w:val="single" w:sz="6" w:space="0" w:color="CBAE60"/>
            <w:right w:val="single" w:sz="18" w:space="0" w:color="CBAE60"/>
          </w:divBdr>
          <w:divsChild>
            <w:div w:id="207572541">
              <w:marLeft w:val="0"/>
              <w:marRight w:val="0"/>
              <w:marTop w:val="0"/>
              <w:marBottom w:val="0"/>
              <w:divBdr>
                <w:top w:val="none" w:sz="0" w:space="0" w:color="auto"/>
                <w:left w:val="none" w:sz="0" w:space="0" w:color="auto"/>
                <w:bottom w:val="none" w:sz="0" w:space="0" w:color="auto"/>
                <w:right w:val="none" w:sz="0" w:space="0" w:color="auto"/>
              </w:divBdr>
              <w:divsChild>
                <w:div w:id="977536688">
                  <w:marLeft w:val="0"/>
                  <w:marRight w:val="0"/>
                  <w:marTop w:val="0"/>
                  <w:marBottom w:val="0"/>
                  <w:divBdr>
                    <w:top w:val="none" w:sz="0" w:space="0" w:color="auto"/>
                    <w:left w:val="none" w:sz="0" w:space="0" w:color="auto"/>
                    <w:bottom w:val="none" w:sz="0" w:space="0" w:color="auto"/>
                    <w:right w:val="none" w:sz="0" w:space="0" w:color="auto"/>
                  </w:divBdr>
                  <w:divsChild>
                    <w:div w:id="1138450780">
                      <w:marLeft w:val="0"/>
                      <w:marRight w:val="0"/>
                      <w:marTop w:val="0"/>
                      <w:marBottom w:val="0"/>
                      <w:divBdr>
                        <w:top w:val="none" w:sz="0" w:space="0" w:color="auto"/>
                        <w:left w:val="none" w:sz="0" w:space="0" w:color="auto"/>
                        <w:bottom w:val="none" w:sz="0" w:space="0" w:color="auto"/>
                        <w:right w:val="none" w:sz="0" w:space="0" w:color="auto"/>
                      </w:divBdr>
                      <w:divsChild>
                        <w:div w:id="1453937004">
                          <w:marLeft w:val="0"/>
                          <w:marRight w:val="0"/>
                          <w:marTop w:val="0"/>
                          <w:marBottom w:val="0"/>
                          <w:divBdr>
                            <w:top w:val="none" w:sz="0" w:space="0" w:color="auto"/>
                            <w:left w:val="none" w:sz="0" w:space="0" w:color="auto"/>
                            <w:bottom w:val="none" w:sz="0" w:space="0" w:color="auto"/>
                            <w:right w:val="none" w:sz="0" w:space="0" w:color="auto"/>
                          </w:divBdr>
                          <w:divsChild>
                            <w:div w:id="125589682">
                              <w:marLeft w:val="0"/>
                              <w:marRight w:val="0"/>
                              <w:marTop w:val="0"/>
                              <w:marBottom w:val="0"/>
                              <w:divBdr>
                                <w:top w:val="none" w:sz="0" w:space="0" w:color="auto"/>
                                <w:left w:val="none" w:sz="0" w:space="0" w:color="auto"/>
                                <w:bottom w:val="none" w:sz="0" w:space="0" w:color="auto"/>
                                <w:right w:val="none" w:sz="0" w:space="0" w:color="auto"/>
                              </w:divBdr>
                              <w:divsChild>
                                <w:div w:id="819804741">
                                  <w:marLeft w:val="0"/>
                                  <w:marRight w:val="0"/>
                                  <w:marTop w:val="0"/>
                                  <w:marBottom w:val="0"/>
                                  <w:divBdr>
                                    <w:top w:val="none" w:sz="0" w:space="0" w:color="auto"/>
                                    <w:left w:val="none" w:sz="0" w:space="0" w:color="auto"/>
                                    <w:bottom w:val="none" w:sz="0" w:space="0" w:color="auto"/>
                                    <w:right w:val="none" w:sz="0" w:space="0" w:color="auto"/>
                                  </w:divBdr>
                                  <w:divsChild>
                                    <w:div w:id="542862902">
                                      <w:marLeft w:val="0"/>
                                      <w:marRight w:val="0"/>
                                      <w:marTop w:val="0"/>
                                      <w:marBottom w:val="0"/>
                                      <w:divBdr>
                                        <w:top w:val="none" w:sz="0" w:space="0" w:color="auto"/>
                                        <w:left w:val="none" w:sz="0" w:space="0" w:color="auto"/>
                                        <w:bottom w:val="none" w:sz="0" w:space="0" w:color="auto"/>
                                        <w:right w:val="none" w:sz="0" w:space="0" w:color="auto"/>
                                      </w:divBdr>
                                      <w:divsChild>
                                        <w:div w:id="975181149">
                                          <w:marLeft w:val="0"/>
                                          <w:marRight w:val="0"/>
                                          <w:marTop w:val="0"/>
                                          <w:marBottom w:val="300"/>
                                          <w:divBdr>
                                            <w:top w:val="none" w:sz="0" w:space="0" w:color="auto"/>
                                            <w:left w:val="none" w:sz="0" w:space="0" w:color="auto"/>
                                            <w:bottom w:val="none" w:sz="0" w:space="0" w:color="auto"/>
                                            <w:right w:val="none" w:sz="0" w:space="0" w:color="auto"/>
                                          </w:divBdr>
                                          <w:divsChild>
                                            <w:div w:id="16531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90852227">
      <w:bodyDiv w:val="1"/>
      <w:marLeft w:val="0"/>
      <w:marRight w:val="0"/>
      <w:marTop w:val="0"/>
      <w:marBottom w:val="0"/>
      <w:divBdr>
        <w:top w:val="none" w:sz="0" w:space="0" w:color="auto"/>
        <w:left w:val="none" w:sz="0" w:space="0" w:color="auto"/>
        <w:bottom w:val="none" w:sz="0" w:space="0" w:color="auto"/>
        <w:right w:val="none" w:sz="0" w:space="0" w:color="auto"/>
      </w:divBdr>
    </w:div>
    <w:div w:id="1902517105">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e.mass.edu/research/delivery.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DESE-231-63342</_dlc_DocId>
    <_dlc_DocIdUrl xmlns="733efe1c-5bbe-4968-87dc-d400e65c879f">
      <Url>https://sharepoint.doemass.org/ese/webteam/cps/_layouts/DocIdRedir.aspx?ID=DESE-231-63342</Url>
      <Description>DESE-231-63342</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A3873-DE23-44B5-9F03-E3750BE3CB0E}">
  <ds:schemaRefs>
    <ds:schemaRef ds:uri="http://schemas.microsoft.com/sharepoint/v3/contenttype/forms"/>
  </ds:schemaRefs>
</ds:datastoreItem>
</file>

<file path=customXml/itemProps2.xml><?xml version="1.0" encoding="utf-8"?>
<ds:datastoreItem xmlns:ds="http://schemas.openxmlformats.org/officeDocument/2006/customXml" ds:itemID="{B31CC47A-C16A-4F15-9F92-4D9C1A01DA02}">
  <ds:schemaRefs>
    <ds:schemaRef ds:uri="http://schemas.microsoft.com/office/2006/metadata/propertie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C4180FC-576C-4453-977C-836AE5BCA650}">
  <ds:schemaRefs>
    <ds:schemaRef ds:uri="http://schemas.microsoft.com/office/2006/metadata/longProperties"/>
  </ds:schemaRefs>
</ds:datastoreItem>
</file>

<file path=customXml/itemProps4.xml><?xml version="1.0" encoding="utf-8"?>
<ds:datastoreItem xmlns:ds="http://schemas.openxmlformats.org/officeDocument/2006/customXml" ds:itemID="{89CEBEBD-81B3-4EE6-9A74-D8AA20B1C777}">
  <ds:schemaRefs>
    <ds:schemaRef ds:uri="http://schemas.microsoft.com/sharepoint/events"/>
  </ds:schemaRefs>
</ds:datastoreItem>
</file>

<file path=customXml/itemProps5.xml><?xml version="1.0" encoding="utf-8"?>
<ds:datastoreItem xmlns:ds="http://schemas.openxmlformats.org/officeDocument/2006/customXml" ds:itemID="{A3E4CDEC-4E73-4057-91C8-22B4571D6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1BB345-6543-48AD-9573-E003A0D4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BESE June 2017 ITEM 6 Attachment A: 2016-2017 Performance Criteria For Commissioner of Elementary and Secondary Education</vt:lpstr>
    </vt:vector>
  </TitlesOfParts>
  <Company/>
  <LinksUpToDate>false</LinksUpToDate>
  <CharactersWithSpaces>4968</CharactersWithSpaces>
  <SharedDoc>false</SharedDoc>
  <HLinks>
    <vt:vector size="6" baseType="variant">
      <vt:variant>
        <vt:i4>4718656</vt:i4>
      </vt:variant>
      <vt:variant>
        <vt:i4>0</vt:i4>
      </vt:variant>
      <vt:variant>
        <vt:i4>0</vt:i4>
      </vt:variant>
      <vt:variant>
        <vt:i4>5</vt:i4>
      </vt:variant>
      <vt:variant>
        <vt:lpwstr>http://www.doe.mass.edu/research/StrategicPlan.pdf</vt:lpwstr>
      </vt:variant>
      <vt:variant>
        <vt:lpwstr>search=%22strategic%22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2017 ITEM 6 Attachment A: 2016-2017 Performance Criteria For Commissioner of Elementary and Secondary Education</dc:title>
  <dc:creator>DESE</dc:creator>
  <cp:lastModifiedBy>Zou, Dong (EOE)</cp:lastModifiedBy>
  <cp:revision>6</cp:revision>
  <cp:lastPrinted>2011-01-14T19:54:00Z</cp:lastPrinted>
  <dcterms:created xsi:type="dcterms:W3CDTF">2020-07-30T15:41:00Z</dcterms:created>
  <dcterms:modified xsi:type="dcterms:W3CDTF">2020-08-10T21:02:00Z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2020</vt:lpwstr>
  </property>
</Properties>
</file>