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FE" w:rsidRDefault="00CC0E1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rsidR="00FD23FE" w:rsidRDefault="00FD23FE">
      <w:pPr>
        <w:outlineLvl w:val="0"/>
        <w:rPr>
          <w:rFonts w:ascii="Arial" w:hAnsi="Arial"/>
          <w:b/>
          <w:i/>
          <w:sz w:val="50"/>
        </w:rPr>
      </w:pPr>
      <w:r>
        <w:rPr>
          <w:rFonts w:ascii="Arial" w:hAnsi="Arial"/>
          <w:b/>
          <w:i/>
          <w:sz w:val="40"/>
        </w:rPr>
        <w:t>Elementary and Secondary Education</w:t>
      </w:r>
    </w:p>
    <w:p w:rsidR="00FD23FE" w:rsidRDefault="001F2BA9">
      <w:pPr>
        <w:rPr>
          <w:rFonts w:ascii="Arial" w:hAnsi="Arial"/>
          <w:i/>
        </w:rPr>
      </w:pPr>
      <w:r>
        <w:rPr>
          <w:rFonts w:ascii="Arial" w:hAnsi="Arial"/>
          <w:i/>
          <w:noProof/>
          <w:snapToGrid/>
          <w:lang w:eastAsia="zh-CN"/>
        </w:rPr>
        <mc:AlternateContent>
          <mc:Choice Requires="wps">
            <w:drawing>
              <wp:anchor distT="4294967294" distB="4294967294" distL="114300" distR="114300" simplePos="0" relativeHeight="251658240" behindDoc="0" locked="0" layoutInCell="0" allowOverlap="1">
                <wp:simplePos x="0" y="0"/>
                <wp:positionH relativeFrom="column">
                  <wp:posOffset>843824</wp:posOffset>
                </wp:positionH>
                <wp:positionV relativeFrom="paragraph">
                  <wp:posOffset>67945</wp:posOffset>
                </wp:positionV>
                <wp:extent cx="48387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B89D4" id="Line 3" o:spid="_x0000_s1026" alt="horizontal line"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5pt,5.35pt" to="447.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" o:allowincell="f" strokeweight="1pt"/>
            </w:pict>
          </mc:Fallback>
        </mc:AlternateContent>
      </w:r>
    </w:p>
    <w:p w:rsidR="00D06463" w:rsidRDefault="00FD23FE" w:rsidP="00D06463">
      <w:pPr>
        <w:pStyle w:val="Heading3"/>
        <w:tabs>
          <w:tab w:val="right" w:pos="8550"/>
        </w:tabs>
        <w:ind w:right="360"/>
        <w:rPr>
          <w:sz w:val="16"/>
          <w:szCs w:val="16"/>
        </w:rPr>
      </w:pPr>
      <w:r>
        <w:rPr>
          <w:sz w:val="16"/>
          <w:szCs w:val="16"/>
        </w:rPr>
        <w:t>75 Pleasant Street, Malden, Massachusetts 02148-4906</w:t>
      </w:r>
      <w:r w:rsidR="00D06463">
        <w:rPr>
          <w:sz w:val="16"/>
          <w:szCs w:val="16"/>
        </w:rPr>
        <w:tab/>
      </w:r>
      <w:r w:rsidR="00D06463">
        <w:rPr>
          <w:sz w:val="16"/>
          <w:szCs w:val="16"/>
        </w:rPr>
        <w:tab/>
      </w:r>
      <w:r>
        <w:rPr>
          <w:sz w:val="16"/>
          <w:szCs w:val="16"/>
        </w:rPr>
        <w:t>Telephone: (781) 338-3000</w:t>
      </w:r>
    </w:p>
    <w:p w:rsidR="00FD23FE" w:rsidRPr="00D06463" w:rsidRDefault="00D06463" w:rsidP="00D06463">
      <w:pPr>
        <w:pStyle w:val="Heading3"/>
        <w:tabs>
          <w:tab w:val="clear" w:pos="5400"/>
          <w:tab w:val="left" w:pos="6300"/>
          <w:tab w:val="right" w:pos="9090"/>
        </w:tabs>
        <w:ind w:right="360"/>
        <w:rPr>
          <w:rFonts w:cs="Arial"/>
          <w:i w:val="0"/>
          <w:sz w:val="16"/>
          <w:szCs w:val="16"/>
        </w:rPr>
      </w:pPr>
      <w:r>
        <w:rPr>
          <w:sz w:val="16"/>
          <w:szCs w:val="16"/>
        </w:rPr>
        <w:tab/>
      </w:r>
      <w:r w:rsidR="00FD23FE" w:rsidRPr="00D06463">
        <w:rPr>
          <w:rFonts w:cs="Arial"/>
          <w:i w:val="0"/>
          <w:sz w:val="16"/>
          <w:szCs w:val="16"/>
        </w:rPr>
        <w:t>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footerReference w:type="even" r:id="rId13"/>
          <w:footerReference w:type="default" r:id="rId14"/>
          <w:footerReference w:type="first" r:id="rId15"/>
          <w:endnotePr>
            <w:numFmt w:val="decimal"/>
          </w:endnotePr>
          <w:pgSz w:w="12240" w:h="15840"/>
          <w:pgMar w:top="864" w:right="1080" w:bottom="1440" w:left="1800" w:header="1440" w:footer="1440" w:gutter="0"/>
          <w:cols w:space="720"/>
          <w:noEndnote/>
          <w:titlePg/>
        </w:sectPr>
      </w:pPr>
    </w:p>
    <w:p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tc>
          <w:tcPr>
            <w:tcW w:w="2988" w:type="dxa"/>
          </w:tcPr>
          <w:p w:rsidR="00FD23FE" w:rsidRDefault="00240E6A">
            <w:pPr>
              <w:jc w:val="center"/>
              <w:rPr>
                <w:rFonts w:ascii="Arial" w:hAnsi="Arial" w:cs="Arial"/>
                <w:sz w:val="16"/>
                <w:szCs w:val="16"/>
              </w:rPr>
            </w:pPr>
            <w:r>
              <w:rPr>
                <w:rFonts w:ascii="Arial" w:hAnsi="Arial" w:cs="Arial"/>
                <w:sz w:val="16"/>
                <w:szCs w:val="16"/>
              </w:rPr>
              <w:t xml:space="preserve">Jeff </w:t>
            </w:r>
            <w:r w:rsidR="006A5B5A">
              <w:rPr>
                <w:rFonts w:ascii="Arial" w:hAnsi="Arial" w:cs="Arial"/>
                <w:sz w:val="16"/>
                <w:szCs w:val="16"/>
              </w:rPr>
              <w:t>Wulfson</w:t>
            </w:r>
          </w:p>
          <w:p w:rsidR="00FD23FE" w:rsidRDefault="006A5B5A">
            <w:pPr>
              <w:jc w:val="center"/>
              <w:rPr>
                <w:rFonts w:ascii="Arial" w:hAnsi="Arial"/>
                <w:i/>
                <w:sz w:val="16"/>
                <w:szCs w:val="16"/>
              </w:rPr>
            </w:pPr>
            <w:r>
              <w:rPr>
                <w:rFonts w:ascii="Arial" w:hAnsi="Arial"/>
                <w:i/>
                <w:sz w:val="16"/>
                <w:szCs w:val="16"/>
              </w:rPr>
              <w:t xml:space="preserve">Acting </w:t>
            </w:r>
            <w:r w:rsidR="00FD23FE">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6D0972" w:rsidRDefault="00FD23FE">
      <w:pPr>
        <w:pStyle w:val="Heading1"/>
        <w:widowControl/>
        <w:tabs>
          <w:tab w:val="clear" w:pos="4680"/>
        </w:tabs>
      </w:pPr>
      <w:r>
        <w:t>MEMORANDUM</w:t>
      </w:r>
    </w:p>
    <w:p w:rsidR="006D0972" w:rsidRDefault="006D0972" w:rsidP="00D06463"/>
    <w:tbl>
      <w:tblPr>
        <w:tblW w:w="0" w:type="auto"/>
        <w:tblLook w:val="01E0" w:firstRow="1" w:lastRow="1" w:firstColumn="1" w:lastColumn="1" w:noHBand="0" w:noVBand="0"/>
      </w:tblPr>
      <w:tblGrid>
        <w:gridCol w:w="1184"/>
        <w:gridCol w:w="8176"/>
      </w:tblGrid>
      <w:tr w:rsidR="00FD23FE">
        <w:tc>
          <w:tcPr>
            <w:tcW w:w="1188" w:type="dxa"/>
          </w:tcPr>
          <w:p w:rsidR="006D0972" w:rsidRDefault="00FD23FE">
            <w:pPr>
              <w:widowControl/>
              <w:rPr>
                <w:b/>
              </w:rPr>
            </w:pPr>
            <w:r>
              <w:rPr>
                <w:b/>
              </w:rPr>
              <w:t>To:</w:t>
            </w:r>
          </w:p>
        </w:tc>
        <w:tc>
          <w:tcPr>
            <w:tcW w:w="8388" w:type="dxa"/>
          </w:tcPr>
          <w:p w:rsidR="006D0972" w:rsidRDefault="00FD23FE">
            <w:pPr>
              <w:pStyle w:val="Footer"/>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6D0972" w:rsidRDefault="00FD23FE">
            <w:pPr>
              <w:widowControl/>
              <w:rPr>
                <w:b/>
              </w:rPr>
            </w:pPr>
            <w:r>
              <w:rPr>
                <w:b/>
              </w:rPr>
              <w:t>From:</w:t>
            </w:r>
            <w:r>
              <w:tab/>
            </w:r>
          </w:p>
        </w:tc>
        <w:tc>
          <w:tcPr>
            <w:tcW w:w="8388" w:type="dxa"/>
          </w:tcPr>
          <w:p w:rsidR="006D0972" w:rsidRDefault="006A5B5A">
            <w:pPr>
              <w:pStyle w:val="Footer"/>
              <w:tabs>
                <w:tab w:val="clear" w:pos="4320"/>
                <w:tab w:val="clear" w:pos="8640"/>
              </w:tabs>
              <w:rPr>
                <w:bCs/>
                <w:snapToGrid w:val="0"/>
                <w:szCs w:val="20"/>
              </w:rPr>
            </w:pPr>
            <w:r>
              <w:rPr>
                <w:bCs/>
                <w:snapToGrid w:val="0"/>
                <w:szCs w:val="20"/>
              </w:rPr>
              <w:t>Jeff Wulfson</w:t>
            </w:r>
            <w:r w:rsidR="00FD23FE">
              <w:rPr>
                <w:bCs/>
                <w:snapToGrid w:val="0"/>
                <w:szCs w:val="20"/>
              </w:rPr>
              <w:t xml:space="preserve">, </w:t>
            </w:r>
            <w:r>
              <w:rPr>
                <w:bCs/>
                <w:snapToGrid w:val="0"/>
                <w:szCs w:val="20"/>
              </w:rPr>
              <w:t xml:space="preserve">Acting </w:t>
            </w:r>
            <w:r w:rsidR="00FD23FE">
              <w:rPr>
                <w:bCs/>
                <w:snapToGrid w:val="0"/>
                <w:szCs w:val="20"/>
              </w:rPr>
              <w:t>Commissioner</w:t>
            </w:r>
          </w:p>
        </w:tc>
      </w:tr>
      <w:tr w:rsidR="00FD23FE">
        <w:tc>
          <w:tcPr>
            <w:tcW w:w="1188" w:type="dxa"/>
          </w:tcPr>
          <w:p w:rsidR="006D0972" w:rsidRDefault="00FD23FE">
            <w:pPr>
              <w:widowControl/>
              <w:rPr>
                <w:b/>
              </w:rPr>
            </w:pPr>
            <w:r>
              <w:rPr>
                <w:b/>
              </w:rPr>
              <w:t>Date:</w:t>
            </w:r>
            <w:r>
              <w:tab/>
            </w:r>
          </w:p>
        </w:tc>
        <w:tc>
          <w:tcPr>
            <w:tcW w:w="8388" w:type="dxa"/>
          </w:tcPr>
          <w:p w:rsidR="006D0972" w:rsidRDefault="00F52A8B" w:rsidP="007B0B18">
            <w:pPr>
              <w:pStyle w:val="Footer"/>
              <w:tabs>
                <w:tab w:val="clear" w:pos="4320"/>
                <w:tab w:val="clear" w:pos="8640"/>
              </w:tabs>
              <w:rPr>
                <w:bCs/>
                <w:snapToGrid w:val="0"/>
                <w:szCs w:val="20"/>
              </w:rPr>
            </w:pPr>
            <w:r>
              <w:rPr>
                <w:bCs/>
                <w:snapToGrid w:val="0"/>
                <w:szCs w:val="20"/>
              </w:rPr>
              <w:t>February 1</w:t>
            </w:r>
            <w:r w:rsidR="007B0B18">
              <w:rPr>
                <w:bCs/>
                <w:snapToGrid w:val="0"/>
                <w:szCs w:val="20"/>
              </w:rPr>
              <w:t>6</w:t>
            </w:r>
            <w:r>
              <w:rPr>
                <w:bCs/>
                <w:snapToGrid w:val="0"/>
                <w:szCs w:val="20"/>
              </w:rPr>
              <w:t>, 2018</w:t>
            </w:r>
          </w:p>
        </w:tc>
      </w:tr>
      <w:tr w:rsidR="00FD23FE">
        <w:tc>
          <w:tcPr>
            <w:tcW w:w="1188" w:type="dxa"/>
          </w:tcPr>
          <w:p w:rsidR="006D0972" w:rsidRDefault="00FD23FE">
            <w:pPr>
              <w:widowControl/>
              <w:rPr>
                <w:b/>
              </w:rPr>
            </w:pPr>
            <w:r>
              <w:rPr>
                <w:b/>
              </w:rPr>
              <w:t>Subject:</w:t>
            </w:r>
          </w:p>
        </w:tc>
        <w:tc>
          <w:tcPr>
            <w:tcW w:w="8388" w:type="dxa"/>
          </w:tcPr>
          <w:p w:rsidR="006D0972" w:rsidRDefault="002E3D6C" w:rsidP="00F52A8B">
            <w:pPr>
              <w:pStyle w:val="Footer"/>
              <w:tabs>
                <w:tab w:val="clear" w:pos="4320"/>
                <w:tab w:val="clear" w:pos="8640"/>
              </w:tabs>
              <w:rPr>
                <w:bCs/>
                <w:snapToGrid w:val="0"/>
                <w:szCs w:val="20"/>
              </w:rPr>
            </w:pPr>
            <w:r>
              <w:rPr>
                <w:bCs/>
                <w:snapToGrid w:val="0"/>
                <w:szCs w:val="20"/>
              </w:rPr>
              <w:t>Charter Schools –</w:t>
            </w:r>
            <w:r w:rsidR="00F52A8B">
              <w:rPr>
                <w:bCs/>
                <w:snapToGrid w:val="0"/>
                <w:szCs w:val="20"/>
              </w:rPr>
              <w:t xml:space="preserve"> </w:t>
            </w:r>
            <w:r>
              <w:rPr>
                <w:bCs/>
                <w:snapToGrid w:val="0"/>
                <w:szCs w:val="20"/>
              </w:rPr>
              <w:t xml:space="preserve">Recommendation </w:t>
            </w:r>
            <w:r w:rsidR="000801C2">
              <w:rPr>
                <w:bCs/>
                <w:snapToGrid w:val="0"/>
                <w:szCs w:val="20"/>
              </w:rPr>
              <w:t xml:space="preserve">to Renew </w:t>
            </w:r>
            <w:r w:rsidR="00F52A8B">
              <w:rPr>
                <w:bCs/>
                <w:snapToGrid w:val="0"/>
                <w:szCs w:val="20"/>
              </w:rPr>
              <w:t xml:space="preserve">the </w:t>
            </w:r>
            <w:r>
              <w:rPr>
                <w:bCs/>
                <w:snapToGrid w:val="0"/>
                <w:szCs w:val="20"/>
              </w:rPr>
              <w:t>Charter</w:t>
            </w:r>
            <w:r w:rsidR="00AA0DFC">
              <w:rPr>
                <w:bCs/>
                <w:snapToGrid w:val="0"/>
                <w:szCs w:val="20"/>
              </w:rPr>
              <w:t xml:space="preserve"> </w:t>
            </w:r>
            <w:r w:rsidR="00F52A8B">
              <w:rPr>
                <w:bCs/>
                <w:snapToGrid w:val="0"/>
                <w:szCs w:val="20"/>
              </w:rPr>
              <w:t xml:space="preserve">of Helen Y. Davis Leadership Academy Charter Public School </w:t>
            </w:r>
            <w:r w:rsidR="00AA0DFC">
              <w:rPr>
                <w:bCs/>
                <w:snapToGrid w:val="0"/>
                <w:szCs w:val="20"/>
              </w:rPr>
              <w:t>with Probation</w:t>
            </w:r>
          </w:p>
        </w:tc>
      </w:tr>
    </w:tbl>
    <w:p w:rsidR="006D0972" w:rsidRDefault="006D0972">
      <w:pPr>
        <w:widowControl/>
        <w:pBdr>
          <w:bottom w:val="single" w:sz="4" w:space="1" w:color="auto"/>
        </w:pBdr>
      </w:pPr>
      <w:bookmarkStart w:id="0" w:name="TO"/>
      <w:bookmarkStart w:id="1" w:name="FROM"/>
      <w:bookmarkStart w:id="2" w:name="DATE"/>
      <w:bookmarkStart w:id="3" w:name="RE"/>
      <w:bookmarkEnd w:id="0"/>
      <w:bookmarkEnd w:id="1"/>
      <w:bookmarkEnd w:id="2"/>
      <w:bookmarkEnd w:id="3"/>
    </w:p>
    <w:p w:rsidR="00FD23FE" w:rsidRDefault="00FD23FE" w:rsidP="00C44B5C">
      <w:pPr>
        <w:widowControl/>
        <w:rPr>
          <w:sz w:val="16"/>
        </w:rPr>
        <w:sectPr w:rsidR="00FD23FE">
          <w:endnotePr>
            <w:numFmt w:val="decimal"/>
          </w:endnotePr>
          <w:type w:val="continuous"/>
          <w:pgSz w:w="12240" w:h="15840"/>
          <w:pgMar w:top="1440" w:right="1440" w:bottom="1440" w:left="1440" w:header="1440" w:footer="1440" w:gutter="0"/>
          <w:cols w:space="720"/>
          <w:noEndnote/>
        </w:sectPr>
      </w:pPr>
    </w:p>
    <w:p w:rsidR="006D0972" w:rsidRDefault="006D0972">
      <w:pPr>
        <w:widowControl/>
        <w:rPr>
          <w:sz w:val="16"/>
        </w:rPr>
      </w:pPr>
    </w:p>
    <w:p w:rsidR="006D0972" w:rsidRDefault="00CC67B0">
      <w:pPr>
        <w:widowControl/>
      </w:pPr>
      <w:r>
        <w:t xml:space="preserve">This month, the Board of Elementary and Secondary Education (Board) will discuss and vote on the charter renewal application for </w:t>
      </w:r>
      <w:r w:rsidR="00F52A8B">
        <w:rPr>
          <w:bCs/>
        </w:rPr>
        <w:t>Helen Y. Davis Leadership Academy Charter Public School</w:t>
      </w:r>
      <w:r>
        <w:t xml:space="preserve"> (</w:t>
      </w:r>
      <w:r w:rsidR="00F52A8B">
        <w:t>D</w:t>
      </w:r>
      <w:r w:rsidR="00FC5A08">
        <w:t>LA</w:t>
      </w:r>
      <w:r>
        <w:t xml:space="preserve">). I recommend that the </w:t>
      </w:r>
      <w:r w:rsidR="00886538">
        <w:t>B</w:t>
      </w:r>
      <w:r>
        <w:t xml:space="preserve">oard </w:t>
      </w:r>
      <w:r w:rsidR="00886538">
        <w:t xml:space="preserve">renew the school’s charter and </w:t>
      </w:r>
      <w:r>
        <w:t xml:space="preserve">place </w:t>
      </w:r>
      <w:r w:rsidR="00325EE9">
        <w:t xml:space="preserve">the school </w:t>
      </w:r>
      <w:r>
        <w:t xml:space="preserve">on probation with the conditions described </w:t>
      </w:r>
      <w:r w:rsidR="00DB7AE3">
        <w:t>later in this memorandum</w:t>
      </w:r>
      <w:r>
        <w:t xml:space="preserve">. </w:t>
      </w:r>
    </w:p>
    <w:p w:rsidR="006D0972" w:rsidRDefault="006D0972">
      <w:pPr>
        <w:widowControl/>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CC67B0" w:rsidRPr="00C215D3">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CC67B0" w:rsidRPr="00F52A8B" w:rsidRDefault="00F52A8B" w:rsidP="00C44B5C">
            <w:pPr>
              <w:widowControl/>
              <w:autoSpaceDE w:val="0"/>
              <w:autoSpaceDN w:val="0"/>
              <w:adjustRightInd w:val="0"/>
              <w:rPr>
                <w:rFonts w:eastAsia="Batang"/>
                <w:b/>
                <w:bCs/>
                <w:i/>
                <w:sz w:val="28"/>
                <w:lang w:eastAsia="ko-KR"/>
              </w:rPr>
            </w:pPr>
            <w:r w:rsidRPr="00F52A8B">
              <w:rPr>
                <w:b/>
                <w:bCs/>
              </w:rPr>
              <w:t>Helen Y. Davis Leadership Academy Charter Public School</w:t>
            </w:r>
            <w:r w:rsidR="002153C9" w:rsidRPr="002153C9">
              <w:rPr>
                <w:rStyle w:val="FootnoteReference"/>
                <w:b/>
                <w:bCs/>
                <w:vertAlign w:val="superscript"/>
              </w:rPr>
              <w:footnoteReference w:id="1"/>
            </w:r>
          </w:p>
        </w:tc>
      </w:tr>
      <w:tr w:rsidR="00CC67B0" w:rsidRPr="00C215D3">
        <w:trPr>
          <w:trHeight w:val="700"/>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6D0972" w:rsidRDefault="00CC67B0">
            <w:pPr>
              <w:widowControl/>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6D0972" w:rsidRDefault="00FC5A08">
            <w:pPr>
              <w:widowControl/>
              <w:tabs>
                <w:tab w:val="left" w:pos="1940"/>
              </w:tabs>
              <w:spacing w:before="40" w:after="40"/>
              <w:ind w:left="162" w:hanging="193"/>
              <w:rPr>
                <w:rFonts w:eastAsia="Batang"/>
                <w:sz w:val="20"/>
                <w:lang w:eastAsia="ko-KR"/>
              </w:rPr>
            </w:pPr>
            <w:r>
              <w:rPr>
                <w:rFonts w:eastAsia="Batang"/>
                <w:sz w:val="20"/>
                <w:lang w:eastAsia="ko-KR"/>
              </w:rPr>
              <w:t>Boston</w:t>
            </w:r>
          </w:p>
        </w:tc>
      </w:tr>
      <w:tr w:rsidR="00CC67B0" w:rsidRPr="00C215D3">
        <w:trPr>
          <w:trHeight w:val="503"/>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6D0972" w:rsidRDefault="00F52A8B">
            <w:pPr>
              <w:widowControl/>
              <w:tabs>
                <w:tab w:val="left" w:pos="1940"/>
              </w:tabs>
              <w:spacing w:before="40"/>
              <w:ind w:left="162" w:hanging="193"/>
              <w:rPr>
                <w:rFonts w:eastAsia="Batang"/>
                <w:sz w:val="20"/>
                <w:lang w:eastAsia="ko-KR"/>
              </w:rPr>
            </w:pPr>
            <w:r>
              <w:rPr>
                <w:rFonts w:eastAsia="Batang"/>
                <w:sz w:val="20"/>
                <w:lang w:eastAsia="ko-KR"/>
              </w:rPr>
              <w:t xml:space="preserve">Non-Regional </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6D0972" w:rsidRDefault="00CC67B0">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6D0972" w:rsidRDefault="00FC5A08">
            <w:pPr>
              <w:widowControl/>
              <w:tabs>
                <w:tab w:val="left" w:pos="1940"/>
              </w:tabs>
              <w:spacing w:before="40" w:after="40"/>
              <w:ind w:left="-18" w:hanging="13"/>
              <w:rPr>
                <w:rFonts w:eastAsia="Batang"/>
                <w:sz w:val="20"/>
                <w:lang w:eastAsia="ko-KR"/>
              </w:rPr>
            </w:pPr>
            <w:r>
              <w:rPr>
                <w:rFonts w:eastAsia="Batang"/>
                <w:sz w:val="20"/>
                <w:lang w:eastAsia="ko-KR"/>
              </w:rPr>
              <w:t>N/A</w:t>
            </w:r>
          </w:p>
        </w:tc>
      </w:tr>
      <w:tr w:rsidR="00CC67B0" w:rsidRPr="00C215D3">
        <w:trPr>
          <w:trHeight w:val="291"/>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6D0972" w:rsidRDefault="00FC5A08">
            <w:pPr>
              <w:widowControl/>
              <w:tabs>
                <w:tab w:val="left" w:pos="1940"/>
              </w:tabs>
              <w:spacing w:before="40"/>
              <w:ind w:left="162" w:hanging="193"/>
              <w:rPr>
                <w:rFonts w:eastAsia="Batang"/>
                <w:sz w:val="20"/>
                <w:lang w:eastAsia="ko-KR"/>
              </w:rPr>
            </w:pPr>
            <w:r>
              <w:rPr>
                <w:rFonts w:eastAsia="Batang"/>
                <w:sz w:val="20"/>
                <w:lang w:eastAsia="ko-KR"/>
              </w:rPr>
              <w:t>2003</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6D0972" w:rsidRDefault="00CC67B0">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6D0972" w:rsidRDefault="00FC5A08">
            <w:pPr>
              <w:widowControl/>
              <w:tabs>
                <w:tab w:val="left" w:pos="1940"/>
              </w:tabs>
              <w:spacing w:before="40" w:after="40"/>
              <w:ind w:left="162" w:hanging="193"/>
              <w:rPr>
                <w:rFonts w:eastAsia="Batang"/>
                <w:sz w:val="20"/>
                <w:lang w:eastAsia="ko-KR"/>
              </w:rPr>
            </w:pPr>
            <w:r>
              <w:rPr>
                <w:rFonts w:eastAsia="Batang"/>
                <w:sz w:val="20"/>
                <w:lang w:eastAsia="ko-KR"/>
              </w:rPr>
              <w:t>2008, 2013</w:t>
            </w:r>
          </w:p>
        </w:tc>
      </w:tr>
      <w:tr w:rsidR="00CC67B0" w:rsidRPr="00C215D3">
        <w:trPr>
          <w:trHeight w:val="358"/>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6D0972" w:rsidRDefault="00FC5A08">
            <w:pPr>
              <w:widowControl/>
              <w:tabs>
                <w:tab w:val="left" w:pos="1940"/>
              </w:tabs>
              <w:spacing w:before="40"/>
              <w:ind w:left="162" w:hanging="193"/>
              <w:rPr>
                <w:rFonts w:eastAsia="Batang"/>
                <w:sz w:val="20"/>
                <w:lang w:eastAsia="ko-KR"/>
              </w:rPr>
            </w:pPr>
            <w:r>
              <w:rPr>
                <w:rFonts w:eastAsia="Batang"/>
                <w:sz w:val="20"/>
                <w:lang w:eastAsia="ko-KR"/>
              </w:rPr>
              <w:t>216</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6D0972" w:rsidRDefault="00FC5A08">
            <w:pPr>
              <w:widowControl/>
              <w:tabs>
                <w:tab w:val="left" w:pos="1940"/>
              </w:tabs>
              <w:spacing w:before="40" w:after="40"/>
              <w:ind w:left="162" w:hanging="193"/>
              <w:rPr>
                <w:rFonts w:eastAsia="Batang"/>
                <w:sz w:val="20"/>
                <w:lang w:eastAsia="ko-KR"/>
              </w:rPr>
            </w:pPr>
            <w:r>
              <w:rPr>
                <w:rFonts w:eastAsia="Batang"/>
                <w:sz w:val="20"/>
                <w:lang w:eastAsia="ko-KR"/>
              </w:rPr>
              <w:t>214</w:t>
            </w:r>
          </w:p>
        </w:tc>
      </w:tr>
      <w:tr w:rsidR="00CC67B0" w:rsidRPr="00C215D3">
        <w:trPr>
          <w:trHeight w:val="520"/>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6D0972" w:rsidRDefault="00FC5A08">
            <w:pPr>
              <w:widowControl/>
              <w:tabs>
                <w:tab w:val="left" w:pos="1940"/>
              </w:tabs>
              <w:spacing w:before="40"/>
              <w:ind w:left="162" w:hanging="193"/>
              <w:rPr>
                <w:rFonts w:eastAsia="Batang"/>
                <w:sz w:val="20"/>
                <w:lang w:eastAsia="ko-KR"/>
              </w:rPr>
            </w:pPr>
            <w:r>
              <w:rPr>
                <w:rFonts w:eastAsia="Batang"/>
                <w:sz w:val="20"/>
                <w:lang w:eastAsia="ko-KR"/>
              </w:rPr>
              <w:t>6-8</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6D0972" w:rsidRDefault="00FC5A08">
            <w:pPr>
              <w:widowControl/>
              <w:tabs>
                <w:tab w:val="left" w:pos="1940"/>
              </w:tabs>
              <w:spacing w:before="40" w:after="40"/>
              <w:ind w:left="162" w:hanging="193"/>
              <w:rPr>
                <w:rFonts w:eastAsia="Batang"/>
                <w:sz w:val="20"/>
                <w:lang w:eastAsia="ko-KR"/>
              </w:rPr>
            </w:pPr>
            <w:r>
              <w:rPr>
                <w:rFonts w:eastAsia="Batang"/>
                <w:sz w:val="20"/>
                <w:lang w:eastAsia="ko-KR"/>
              </w:rPr>
              <w:t>6-8</w:t>
            </w:r>
          </w:p>
        </w:tc>
      </w:tr>
      <w:tr w:rsidR="00CC67B0" w:rsidRPr="00C215D3">
        <w:trPr>
          <w:trHeight w:val="520"/>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6D0972" w:rsidRDefault="00FC5A08" w:rsidP="00F52A8B">
            <w:pPr>
              <w:widowControl/>
              <w:tabs>
                <w:tab w:val="left" w:pos="1940"/>
              </w:tabs>
              <w:spacing w:before="40"/>
              <w:ind w:left="162" w:hanging="193"/>
              <w:rPr>
                <w:rFonts w:eastAsia="Batang"/>
                <w:sz w:val="20"/>
                <w:lang w:eastAsia="ko-KR"/>
              </w:rPr>
            </w:pPr>
            <w:r>
              <w:rPr>
                <w:rFonts w:eastAsia="Batang"/>
                <w:sz w:val="20"/>
                <w:lang w:eastAsia="ko-KR"/>
              </w:rPr>
              <w:t>210</w:t>
            </w:r>
            <w:r w:rsidRPr="00B9415C">
              <w:rPr>
                <w:rStyle w:val="FootnoteReference"/>
                <w:rFonts w:eastAsia="Batang"/>
                <w:sz w:val="20"/>
                <w:vertAlign w:val="superscript"/>
                <w:lang w:eastAsia="ko-KR"/>
              </w:rPr>
              <w:footnoteReference w:id="2"/>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6D0972" w:rsidRDefault="00FC5A08">
            <w:pPr>
              <w:widowControl/>
              <w:tabs>
                <w:tab w:val="left" w:pos="1940"/>
              </w:tabs>
              <w:spacing w:before="40" w:after="40"/>
              <w:ind w:left="162" w:hanging="193"/>
              <w:rPr>
                <w:rFonts w:eastAsia="Batang"/>
                <w:sz w:val="20"/>
                <w:lang w:eastAsia="ko-KR"/>
              </w:rPr>
            </w:pPr>
            <w:r>
              <w:rPr>
                <w:rFonts w:eastAsia="Batang"/>
                <w:sz w:val="20"/>
                <w:lang w:eastAsia="ko-KR"/>
              </w:rPr>
              <w:t>15 years</w:t>
            </w:r>
          </w:p>
        </w:tc>
      </w:tr>
      <w:tr w:rsidR="00CC67B0" w:rsidRPr="00C215D3" w:rsidTr="005A0A90">
        <w:trPr>
          <w:trHeight w:val="1250"/>
        </w:trPr>
        <w:tc>
          <w:tcPr>
            <w:tcW w:w="9900" w:type="dxa"/>
            <w:gridSpan w:val="4"/>
            <w:shd w:val="clear" w:color="auto" w:fill="F2F2F2"/>
            <w:tcMar>
              <w:top w:w="0" w:type="dxa"/>
              <w:left w:w="108" w:type="dxa"/>
              <w:bottom w:w="0" w:type="dxa"/>
              <w:right w:w="108" w:type="dxa"/>
            </w:tcMar>
          </w:tcPr>
          <w:p w:rsidR="006D0972" w:rsidRDefault="00CC67B0">
            <w:pPr>
              <w:widowControl/>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6D0972" w:rsidRDefault="006B07DA">
            <w:pPr>
              <w:widowControl/>
              <w:tabs>
                <w:tab w:val="left" w:pos="1940"/>
              </w:tabs>
              <w:spacing w:before="120" w:after="40"/>
              <w:ind w:left="-18" w:hanging="13"/>
              <w:rPr>
                <w:rFonts w:eastAsia="Batang"/>
                <w:b/>
                <w:bCs/>
                <w:color w:val="365F91" w:themeColor="accent1" w:themeShade="BF"/>
                <w:sz w:val="20"/>
                <w:lang w:eastAsia="ko-KR"/>
              </w:rPr>
            </w:pPr>
            <w:r w:rsidRPr="003A6CF6">
              <w:rPr>
                <w:sz w:val="20"/>
              </w:rPr>
              <w:t>Our school develops high-achieving students of good character who use problem solving, communication, and interpersonal skills to inspire others and to catalyze educational, economic, and political advancement within their communities and the broader nation.</w:t>
            </w:r>
          </w:p>
        </w:tc>
      </w:tr>
    </w:tbl>
    <w:p w:rsidR="006D0972" w:rsidRDefault="006D0972">
      <w:pPr>
        <w:widowControl/>
      </w:pPr>
    </w:p>
    <w:p w:rsidR="00F4209F" w:rsidRDefault="00F4209F">
      <w:pPr>
        <w:widowControl/>
        <w:rPr>
          <w:b/>
          <w:u w:val="single"/>
        </w:rPr>
      </w:pPr>
    </w:p>
    <w:p w:rsidR="006D0972" w:rsidRDefault="00E41A95">
      <w:pPr>
        <w:widowControl/>
        <w:rPr>
          <w:b/>
          <w:u w:val="single"/>
        </w:rPr>
      </w:pPr>
      <w:r w:rsidRPr="00E41A95">
        <w:rPr>
          <w:b/>
          <w:u w:val="single"/>
        </w:rPr>
        <w:lastRenderedPageBreak/>
        <w:t>Basis of Recommendations Regarding the Renewal of Charters</w:t>
      </w:r>
    </w:p>
    <w:p w:rsidR="006D0972" w:rsidRDefault="006D0972">
      <w:pPr>
        <w:widowControl/>
      </w:pPr>
    </w:p>
    <w:p w:rsidR="006D0972" w:rsidRDefault="00CC67B0">
      <w:pPr>
        <w:widowControl/>
        <w:rPr>
          <w:szCs w:val="24"/>
        </w:rPr>
      </w:pPr>
      <w:r>
        <w:t xml:space="preserve">The charter school regulations state that “[t]he decision by the </w:t>
      </w:r>
      <w:r>
        <w:rPr>
          <w:szCs w:val="24"/>
        </w:rPr>
        <w:t xml:space="preserve">Board to renew a charter shall be based upon the presentation of affirmative evidence regarding the success of the school’s academic program; the viability of the school as an organization, </w:t>
      </w:r>
      <w:r>
        <w:t>including the extent to which the school has followed its recruitment and retention plan</w:t>
      </w:r>
      <w:r>
        <w:rPr>
          <w:szCs w:val="24"/>
        </w:rPr>
        <w:t>; and the faithfulness of the school to the te</w:t>
      </w:r>
      <w:r w:rsidR="00A21B51">
        <w:rPr>
          <w:szCs w:val="24"/>
        </w:rPr>
        <w:t>rms of its charter</w:t>
      </w:r>
      <w:r w:rsidR="0024534A">
        <w:rPr>
          <w:szCs w:val="24"/>
        </w:rPr>
        <w:t>.</w:t>
      </w:r>
      <w:r w:rsidR="00A21B51">
        <w:rPr>
          <w:szCs w:val="24"/>
        </w:rPr>
        <w:t xml:space="preserve">” </w:t>
      </w:r>
      <w:proofErr w:type="gramStart"/>
      <w:r w:rsidR="00A21B51">
        <w:rPr>
          <w:szCs w:val="24"/>
        </w:rPr>
        <w:t>603</w:t>
      </w:r>
      <w:proofErr w:type="gramEnd"/>
      <w:r w:rsidR="00A21B51">
        <w:rPr>
          <w:szCs w:val="24"/>
        </w:rPr>
        <w:t xml:space="preserve"> CMR 1.11(2)</w:t>
      </w:r>
      <w:r>
        <w:rPr>
          <w:szCs w:val="24"/>
        </w:rPr>
        <w:t xml:space="preserve">. Consistent with the regulations, recommendations regarding renewal are based upon the Department of Elementary and Secondary Education’s (Department) evaluation of the school’s performance in these areas as outlined in the </w:t>
      </w:r>
      <w:hyperlink r:id="rId16" w:history="1">
        <w:r>
          <w:rPr>
            <w:rStyle w:val="Hyperlink"/>
            <w:szCs w:val="24"/>
          </w:rPr>
          <w:t>Charter School Performance Criteria</w:t>
        </w:r>
      </w:hyperlink>
      <w:r>
        <w:rPr>
          <w:szCs w:val="24"/>
        </w:rPr>
        <w:t xml:space="preserve"> and </w:t>
      </w:r>
      <w:r>
        <w:t>Commissioner Chester’s memorandum dated October 7, 2013</w:t>
      </w:r>
      <w:r w:rsidR="0024534A">
        <w:t>,</w:t>
      </w:r>
      <w:r>
        <w:t xml:space="preserve"> regarding </w:t>
      </w:r>
      <w:hyperlink r:id="rId17" w:history="1">
        <w:r>
          <w:rPr>
            <w:rStyle w:val="Hyperlink"/>
            <w:szCs w:val="24"/>
          </w:rPr>
          <w:t>Considerations for Charter School Renewal</w:t>
        </w:r>
      </w:hyperlink>
      <w:r>
        <w:rPr>
          <w:szCs w:val="24"/>
        </w:rPr>
        <w:t>.</w:t>
      </w:r>
      <w:r>
        <w:t xml:space="preserve"> I</w:t>
      </w:r>
      <w:r>
        <w:rPr>
          <w:szCs w:val="24"/>
        </w:rPr>
        <w:t>n its review, the Department has considered the school’s absolute performance at the time of the application for renewal and the progress the school has made during the past four years of its charter. The accountability process for charter schools recognizes that in exchange for increased freedom, a school must demonstrate results within the term of its five-year charter or risk non-renewal</w:t>
      </w:r>
      <w:r w:rsidR="0024534A">
        <w:rPr>
          <w:szCs w:val="24"/>
        </w:rPr>
        <w:t xml:space="preserve"> or </w:t>
      </w:r>
      <w:r w:rsidR="00180662">
        <w:rPr>
          <w:szCs w:val="24"/>
        </w:rPr>
        <w:t xml:space="preserve">other </w:t>
      </w:r>
      <w:r w:rsidR="0024534A">
        <w:rPr>
          <w:szCs w:val="24"/>
        </w:rPr>
        <w:t xml:space="preserve">possible </w:t>
      </w:r>
      <w:r w:rsidR="00180662">
        <w:rPr>
          <w:szCs w:val="24"/>
        </w:rPr>
        <w:t xml:space="preserve">sanctions, including </w:t>
      </w:r>
      <w:r w:rsidR="0024534A">
        <w:rPr>
          <w:szCs w:val="24"/>
        </w:rPr>
        <w:t>revocation</w:t>
      </w:r>
      <w:r>
        <w:rPr>
          <w:szCs w:val="24"/>
        </w:rPr>
        <w:t>.</w:t>
      </w:r>
    </w:p>
    <w:p w:rsidR="006D0972" w:rsidRDefault="006D0972">
      <w:pPr>
        <w:widowControl/>
        <w:rPr>
          <w:szCs w:val="24"/>
        </w:rPr>
      </w:pPr>
    </w:p>
    <w:p w:rsidR="006D0972" w:rsidRDefault="00CC67B0">
      <w:pPr>
        <w:pStyle w:val="BodyText2"/>
        <w:widowControl/>
        <w:rPr>
          <w:i w:val="0"/>
          <w:iCs w:val="0"/>
          <w:szCs w:val="24"/>
        </w:rPr>
      </w:pPr>
      <w:r w:rsidRPr="00CC67B0">
        <w:rPr>
          <w:i w:val="0"/>
          <w:iCs w:val="0"/>
          <w:szCs w:val="24"/>
        </w:rPr>
        <w:t xml:space="preserve">The superintendent of </w:t>
      </w:r>
      <w:r w:rsidR="006B07DA">
        <w:rPr>
          <w:i w:val="0"/>
          <w:iCs w:val="0"/>
          <w:szCs w:val="24"/>
        </w:rPr>
        <w:t>Boston Public Schools</w:t>
      </w:r>
      <w:r w:rsidR="00F4209F">
        <w:rPr>
          <w:i w:val="0"/>
          <w:iCs w:val="0"/>
          <w:szCs w:val="24"/>
        </w:rPr>
        <w:t xml:space="preserve"> (BPS)</w:t>
      </w:r>
      <w:r w:rsidR="006B07DA">
        <w:rPr>
          <w:i w:val="0"/>
          <w:iCs w:val="0"/>
          <w:szCs w:val="24"/>
        </w:rPr>
        <w:t xml:space="preserve"> was</w:t>
      </w:r>
      <w:r w:rsidRPr="00CC67B0">
        <w:rPr>
          <w:i w:val="0"/>
          <w:iCs w:val="0"/>
          <w:szCs w:val="24"/>
        </w:rPr>
        <w:t xml:space="preserve"> invited to submit written comment to the Department regarding the renewal of </w:t>
      </w:r>
      <w:r w:rsidR="006B07DA">
        <w:rPr>
          <w:i w:val="0"/>
          <w:iCs w:val="0"/>
          <w:szCs w:val="24"/>
        </w:rPr>
        <w:t>DLA’s</w:t>
      </w:r>
      <w:r w:rsidRPr="00CC67B0">
        <w:rPr>
          <w:i w:val="0"/>
          <w:iCs w:val="0"/>
          <w:szCs w:val="24"/>
        </w:rPr>
        <w:t xml:space="preserve"> charter. </w:t>
      </w:r>
      <w:r w:rsidR="00E1471A">
        <w:rPr>
          <w:i w:val="0"/>
          <w:iCs w:val="0"/>
          <w:szCs w:val="24"/>
        </w:rPr>
        <w:t xml:space="preserve">The Department did not receive any </w:t>
      </w:r>
      <w:r w:rsidR="00F4670E">
        <w:rPr>
          <w:i w:val="0"/>
          <w:iCs w:val="0"/>
          <w:szCs w:val="24"/>
        </w:rPr>
        <w:t>comment</w:t>
      </w:r>
      <w:r w:rsidRPr="00CC67B0">
        <w:rPr>
          <w:i w:val="0"/>
          <w:iCs w:val="0"/>
          <w:szCs w:val="24"/>
        </w:rPr>
        <w:t>.</w:t>
      </w:r>
    </w:p>
    <w:p w:rsidR="006D0972" w:rsidRDefault="006D0972">
      <w:pPr>
        <w:pStyle w:val="BodyText2"/>
        <w:widowControl/>
        <w:rPr>
          <w:i w:val="0"/>
          <w:iCs w:val="0"/>
          <w:szCs w:val="24"/>
        </w:rPr>
      </w:pPr>
    </w:p>
    <w:p w:rsidR="006D0972" w:rsidRDefault="00E41A95">
      <w:pPr>
        <w:pStyle w:val="BodyText2"/>
        <w:widowControl/>
        <w:rPr>
          <w:b/>
          <w:i w:val="0"/>
          <w:iCs w:val="0"/>
          <w:szCs w:val="24"/>
          <w:u w:val="single"/>
        </w:rPr>
      </w:pPr>
      <w:r w:rsidRPr="00E41A95">
        <w:rPr>
          <w:b/>
          <w:i w:val="0"/>
          <w:iCs w:val="0"/>
          <w:szCs w:val="24"/>
          <w:u w:val="single"/>
        </w:rPr>
        <w:t>Recommendation for Board Action</w:t>
      </w:r>
    </w:p>
    <w:p w:rsidR="006D0972" w:rsidRDefault="006D0972">
      <w:pPr>
        <w:pStyle w:val="BodyText2"/>
        <w:widowControl/>
        <w:rPr>
          <w:i w:val="0"/>
          <w:iCs w:val="0"/>
          <w:szCs w:val="24"/>
        </w:rPr>
      </w:pPr>
    </w:p>
    <w:p w:rsidR="00CC67B0" w:rsidRPr="00CC67B0" w:rsidRDefault="00CC67B0" w:rsidP="00C44B5C">
      <w:pPr>
        <w:pStyle w:val="BodyText"/>
        <w:ind w:right="-360"/>
        <w:rPr>
          <w:szCs w:val="24"/>
        </w:rPr>
      </w:pPr>
      <w:r>
        <w:t xml:space="preserve">Based upon the evidence described in </w:t>
      </w:r>
      <w:r w:rsidR="00701545">
        <w:t xml:space="preserve">the attached Summary of Review </w:t>
      </w:r>
      <w:r>
        <w:t xml:space="preserve">and other information summarized below, I </w:t>
      </w:r>
      <w:r>
        <w:rPr>
          <w:szCs w:val="24"/>
        </w:rPr>
        <w:t xml:space="preserve">recommend that the Board </w:t>
      </w:r>
      <w:r w:rsidR="00B878F7">
        <w:t>renew the school’s charter and</w:t>
      </w:r>
      <w:r w:rsidR="00B878F7">
        <w:rPr>
          <w:szCs w:val="24"/>
        </w:rPr>
        <w:t xml:space="preserve"> </w:t>
      </w:r>
      <w:r>
        <w:rPr>
          <w:szCs w:val="24"/>
        </w:rPr>
        <w:t xml:space="preserve">place </w:t>
      </w:r>
      <w:r w:rsidR="00B878F7">
        <w:rPr>
          <w:szCs w:val="24"/>
        </w:rPr>
        <w:t>it</w:t>
      </w:r>
      <w:r>
        <w:rPr>
          <w:szCs w:val="24"/>
        </w:rPr>
        <w:t xml:space="preserve"> on probation with conditions requiring m</w:t>
      </w:r>
      <w:r w:rsidR="009120F9">
        <w:rPr>
          <w:szCs w:val="24"/>
        </w:rPr>
        <w:t xml:space="preserve">ajor improvements </w:t>
      </w:r>
      <w:r w:rsidR="00DC0F89">
        <w:rPr>
          <w:szCs w:val="24"/>
        </w:rPr>
        <w:t xml:space="preserve">in </w:t>
      </w:r>
      <w:r w:rsidR="009120F9">
        <w:rPr>
          <w:szCs w:val="24"/>
        </w:rPr>
        <w:t xml:space="preserve">governance, </w:t>
      </w:r>
      <w:r>
        <w:rPr>
          <w:szCs w:val="24"/>
        </w:rPr>
        <w:t xml:space="preserve">financial oversight, </w:t>
      </w:r>
      <w:r w:rsidR="00DC0F89">
        <w:rPr>
          <w:szCs w:val="24"/>
        </w:rPr>
        <w:t>and</w:t>
      </w:r>
      <w:r w:rsidR="00B878F7">
        <w:rPr>
          <w:szCs w:val="24"/>
        </w:rPr>
        <w:t xml:space="preserve"> the school’s</w:t>
      </w:r>
      <w:r>
        <w:rPr>
          <w:szCs w:val="24"/>
        </w:rPr>
        <w:t xml:space="preserve"> academic program and performance. </w:t>
      </w:r>
    </w:p>
    <w:p w:rsidR="006D0972" w:rsidRDefault="006D0972">
      <w:pPr>
        <w:widowControl/>
      </w:pPr>
    </w:p>
    <w:p w:rsidR="006D0972" w:rsidRDefault="00146FC6">
      <w:pPr>
        <w:widowControl/>
      </w:pPr>
      <w:r>
        <w:t>My</w:t>
      </w:r>
      <w:r w:rsidRPr="004F6EC8">
        <w:t xml:space="preserve"> recommendation </w:t>
      </w:r>
      <w:r w:rsidR="006E4C5E">
        <w:t xml:space="preserve">to place the school on probation with conditions </w:t>
      </w:r>
      <w:r w:rsidRPr="004F6EC8">
        <w:t xml:space="preserve">is </w:t>
      </w:r>
      <w:r w:rsidR="009120F9">
        <w:t>based on</w:t>
      </w:r>
      <w:r w:rsidR="00AA0DFC">
        <w:t xml:space="preserve"> </w:t>
      </w:r>
      <w:r w:rsidR="00F4670E">
        <w:t>my concerns about recurr</w:t>
      </w:r>
      <w:r w:rsidR="00DC0F89">
        <w:t>ing</w:t>
      </w:r>
      <w:r w:rsidR="00F4670E">
        <w:t xml:space="preserve"> poor governance practices and new evidence revealing </w:t>
      </w:r>
      <w:r w:rsidR="00AA0DFC">
        <w:t>a lack of financial oversight and mismanagement</w:t>
      </w:r>
      <w:r w:rsidR="001E4171">
        <w:t xml:space="preserve"> </w:t>
      </w:r>
      <w:r w:rsidR="000801C2">
        <w:t xml:space="preserve">of the charter school </w:t>
      </w:r>
      <w:r w:rsidR="009120F9">
        <w:t>by</w:t>
      </w:r>
      <w:r w:rsidR="000801C2">
        <w:t xml:space="preserve"> the board of trustees</w:t>
      </w:r>
      <w:r w:rsidRPr="004F6EC8">
        <w:t xml:space="preserve">. </w:t>
      </w:r>
      <w:r w:rsidR="00F4670E">
        <w:t>Additionally, throughout the charter term, DLA</w:t>
      </w:r>
      <w:r w:rsidR="00DC0F89">
        <w:t>’s academic performance has</w:t>
      </w:r>
      <w:r w:rsidR="00F4670E">
        <w:t xml:space="preserve"> decline</w:t>
      </w:r>
      <w:r w:rsidR="00DC0F89">
        <w:t>d</w:t>
      </w:r>
      <w:r w:rsidR="00F4670E">
        <w:t>.</w:t>
      </w:r>
      <w:r w:rsidR="00F4670E" w:rsidRPr="006845D1">
        <w:rPr>
          <w:szCs w:val="24"/>
        </w:rPr>
        <w:t xml:space="preserve"> </w:t>
      </w:r>
      <w:r w:rsidR="00F4209F">
        <w:rPr>
          <w:bCs/>
        </w:rPr>
        <w:t>Helen Y. Davis Leadership Academy Charter Public School</w:t>
      </w:r>
      <w:r w:rsidRPr="004F6EC8">
        <w:t xml:space="preserve"> </w:t>
      </w:r>
      <w:r w:rsidR="005F601B">
        <w:t xml:space="preserve">is in its fifteenth </w:t>
      </w:r>
      <w:r>
        <w:t xml:space="preserve">year of operation, and I expect </w:t>
      </w:r>
      <w:r w:rsidR="003B76A3">
        <w:t xml:space="preserve">a </w:t>
      </w:r>
      <w:r>
        <w:t xml:space="preserve">school </w:t>
      </w:r>
      <w:r w:rsidR="003B76A3">
        <w:t xml:space="preserve">of this age </w:t>
      </w:r>
      <w:r>
        <w:t>to be organizationally viable</w:t>
      </w:r>
      <w:r w:rsidR="0094432D">
        <w:t xml:space="preserve"> and to deliver</w:t>
      </w:r>
      <w:r w:rsidR="00F4209F">
        <w:t xml:space="preserve"> </w:t>
      </w:r>
      <w:r w:rsidR="0094432D">
        <w:t>a robust program of study</w:t>
      </w:r>
      <w:r w:rsidR="00721809">
        <w:t xml:space="preserve"> with strong academic results</w:t>
      </w:r>
      <w:r>
        <w:t xml:space="preserve">. </w:t>
      </w:r>
    </w:p>
    <w:p w:rsidR="00406C32" w:rsidRDefault="00406C32">
      <w:pPr>
        <w:widowControl/>
      </w:pPr>
    </w:p>
    <w:p w:rsidR="00CC331D" w:rsidRDefault="00F4670E">
      <w:pPr>
        <w:widowControl/>
        <w:rPr>
          <w:szCs w:val="24"/>
        </w:rPr>
      </w:pPr>
      <w:r>
        <w:rPr>
          <w:szCs w:val="24"/>
        </w:rPr>
        <w:t xml:space="preserve">In July 2017, DLA employees </w:t>
      </w:r>
      <w:r w:rsidR="007B0B18">
        <w:rPr>
          <w:szCs w:val="24"/>
        </w:rPr>
        <w:t xml:space="preserve">presented </w:t>
      </w:r>
      <w:r>
        <w:rPr>
          <w:szCs w:val="24"/>
        </w:rPr>
        <w:t xml:space="preserve">concerns </w:t>
      </w:r>
      <w:r w:rsidR="007B0B18">
        <w:rPr>
          <w:szCs w:val="24"/>
        </w:rPr>
        <w:t xml:space="preserve">to </w:t>
      </w:r>
      <w:r>
        <w:rPr>
          <w:szCs w:val="24"/>
        </w:rPr>
        <w:t xml:space="preserve">the Department regarding the school’s use and oversight of public funds. Due to the nature of the information shared, the Department referred the matter to the Massachusetts Office of the State Auditor (OSA) and the Massachusetts Office of the Inspector General (OIG). The Department met with representatives from the OSA and the OIG to discuss the concerns. The OSA is </w:t>
      </w:r>
      <w:r w:rsidR="00721809">
        <w:rPr>
          <w:szCs w:val="24"/>
        </w:rPr>
        <w:t xml:space="preserve">presently </w:t>
      </w:r>
      <w:r>
        <w:rPr>
          <w:szCs w:val="24"/>
        </w:rPr>
        <w:t xml:space="preserve">engaged in a review of DLA that will evaluate governance </w:t>
      </w:r>
      <w:r w:rsidR="00CC331D">
        <w:rPr>
          <w:szCs w:val="24"/>
        </w:rPr>
        <w:t xml:space="preserve">generally </w:t>
      </w:r>
      <w:r>
        <w:rPr>
          <w:szCs w:val="24"/>
        </w:rPr>
        <w:t xml:space="preserve">and financial </w:t>
      </w:r>
      <w:r w:rsidR="00CC331D">
        <w:rPr>
          <w:szCs w:val="24"/>
        </w:rPr>
        <w:t>oversight and management</w:t>
      </w:r>
      <w:r w:rsidR="007B0B18">
        <w:rPr>
          <w:szCs w:val="24"/>
        </w:rPr>
        <w:t xml:space="preserve"> specifically</w:t>
      </w:r>
      <w:r>
        <w:rPr>
          <w:szCs w:val="24"/>
        </w:rPr>
        <w:t>. Fieldwork for this review is scheduled through March 2018</w:t>
      </w:r>
      <w:r w:rsidR="00CC331D">
        <w:rPr>
          <w:szCs w:val="24"/>
        </w:rPr>
        <w:t>,</w:t>
      </w:r>
      <w:r>
        <w:rPr>
          <w:szCs w:val="24"/>
        </w:rPr>
        <w:t xml:space="preserve"> and</w:t>
      </w:r>
      <w:r w:rsidR="00CC331D">
        <w:rPr>
          <w:szCs w:val="24"/>
        </w:rPr>
        <w:t xml:space="preserve"> the OSA will issue a report at some point after the fieldwork i</w:t>
      </w:r>
      <w:r w:rsidR="007B0B18">
        <w:rPr>
          <w:szCs w:val="24"/>
        </w:rPr>
        <w:t>s</w:t>
      </w:r>
      <w:r w:rsidR="00CC331D">
        <w:rPr>
          <w:szCs w:val="24"/>
        </w:rPr>
        <w:t xml:space="preserve"> complete</w:t>
      </w:r>
      <w:r>
        <w:rPr>
          <w:szCs w:val="24"/>
        </w:rPr>
        <w:t>.</w:t>
      </w:r>
      <w:r w:rsidR="00300E72">
        <w:rPr>
          <w:szCs w:val="24"/>
        </w:rPr>
        <w:t xml:space="preserve"> </w:t>
      </w:r>
    </w:p>
    <w:p w:rsidR="00F4209F" w:rsidRDefault="00F4209F">
      <w:pPr>
        <w:widowControl/>
        <w:rPr>
          <w:szCs w:val="24"/>
        </w:rPr>
      </w:pPr>
    </w:p>
    <w:p w:rsidR="006D068A" w:rsidRDefault="00300E72">
      <w:pPr>
        <w:widowControl/>
        <w:rPr>
          <w:b/>
          <w:u w:val="single"/>
        </w:rPr>
      </w:pPr>
      <w:r>
        <w:rPr>
          <w:szCs w:val="24"/>
        </w:rPr>
        <w:lastRenderedPageBreak/>
        <w:t xml:space="preserve">While the OSA’s report will not be finalized in time for a renewal determination, DLA’s fiscal year 2017 audit confirmed some of the concerns </w:t>
      </w:r>
      <w:r w:rsidR="007B0B18">
        <w:rPr>
          <w:szCs w:val="24"/>
        </w:rPr>
        <w:t xml:space="preserve">presented to </w:t>
      </w:r>
      <w:r>
        <w:rPr>
          <w:szCs w:val="24"/>
        </w:rPr>
        <w:t>the Department in July 2017</w:t>
      </w:r>
      <w:r w:rsidR="00CC331D">
        <w:rPr>
          <w:szCs w:val="24"/>
        </w:rPr>
        <w:t>. T</w:t>
      </w:r>
      <w:r>
        <w:rPr>
          <w:szCs w:val="24"/>
        </w:rPr>
        <w:t xml:space="preserve">he school’s board of trustees did not provide competent stewardship of the school’s finances during the past year. Given the reemergence of poor governance practices </w:t>
      </w:r>
      <w:r w:rsidR="007B0B18">
        <w:rPr>
          <w:szCs w:val="24"/>
        </w:rPr>
        <w:t xml:space="preserve">coupled </w:t>
      </w:r>
      <w:r>
        <w:rPr>
          <w:szCs w:val="24"/>
        </w:rPr>
        <w:t xml:space="preserve">with </w:t>
      </w:r>
      <w:r w:rsidR="00B41086">
        <w:rPr>
          <w:szCs w:val="24"/>
        </w:rPr>
        <w:t xml:space="preserve">new </w:t>
      </w:r>
      <w:r>
        <w:rPr>
          <w:szCs w:val="24"/>
        </w:rPr>
        <w:t xml:space="preserve">evidence of </w:t>
      </w:r>
      <w:r w:rsidR="00705F1D">
        <w:rPr>
          <w:szCs w:val="24"/>
        </w:rPr>
        <w:t xml:space="preserve">troubling decisions made by the school’s board of trustees, placing the school on probation signals my deep concerns about the viability of the school under its current governing board. </w:t>
      </w:r>
      <w:r w:rsidR="006D068A">
        <w:rPr>
          <w:szCs w:val="24"/>
        </w:rPr>
        <w:t xml:space="preserve">Evidence relating to my concerns follows. </w:t>
      </w:r>
    </w:p>
    <w:p w:rsidR="00CC3DB8" w:rsidRDefault="00CC3DB8">
      <w:pPr>
        <w:widowControl/>
        <w:rPr>
          <w:b/>
          <w:u w:val="single"/>
        </w:rPr>
      </w:pPr>
    </w:p>
    <w:p w:rsidR="005E1E6B" w:rsidRDefault="005E1E6B" w:rsidP="005E1E6B">
      <w:pPr>
        <w:widowControl/>
        <w:rPr>
          <w:b/>
        </w:rPr>
      </w:pPr>
      <w:r w:rsidRPr="00225110">
        <w:rPr>
          <w:b/>
        </w:rPr>
        <w:t>Mismanagement of the Charter School</w:t>
      </w:r>
    </w:p>
    <w:p w:rsidR="006D0972" w:rsidRDefault="006D0972">
      <w:pPr>
        <w:widowControl/>
        <w:rPr>
          <w:b/>
          <w:u w:val="single"/>
        </w:rPr>
      </w:pPr>
    </w:p>
    <w:p w:rsidR="002153C9" w:rsidRDefault="00AE7E25" w:rsidP="00AB64BE">
      <w:r>
        <w:t>As noted in the attached summary of review and data charts</w:t>
      </w:r>
      <w:r w:rsidR="00B42ED4">
        <w:t xml:space="preserve">, </w:t>
      </w:r>
      <w:r w:rsidR="00B41086">
        <w:t>I have</w:t>
      </w:r>
      <w:r w:rsidR="00827068">
        <w:t xml:space="preserve"> </w:t>
      </w:r>
      <w:r w:rsidR="00B42ED4">
        <w:t xml:space="preserve">concerns regarding </w:t>
      </w:r>
      <w:r w:rsidR="00AA0DFC">
        <w:t>financial oversight and</w:t>
      </w:r>
      <w:r w:rsidR="00827068">
        <w:t xml:space="preserve"> management </w:t>
      </w:r>
      <w:r w:rsidR="00240D39">
        <w:t>by</w:t>
      </w:r>
      <w:r w:rsidR="00827068">
        <w:t xml:space="preserve"> the board of trustees</w:t>
      </w:r>
      <w:r w:rsidR="003D4412">
        <w:t xml:space="preserve"> </w:t>
      </w:r>
      <w:r w:rsidR="00B41086">
        <w:t xml:space="preserve">as well as </w:t>
      </w:r>
      <w:r w:rsidR="007B0B18">
        <w:t xml:space="preserve">the school’s </w:t>
      </w:r>
      <w:r w:rsidR="00B41086">
        <w:t>poor academic results</w:t>
      </w:r>
      <w:r w:rsidR="00B42ED4">
        <w:t xml:space="preserve">. </w:t>
      </w:r>
    </w:p>
    <w:p w:rsidR="002153C9" w:rsidRDefault="002153C9" w:rsidP="00AB64BE"/>
    <w:p w:rsidR="002153C9" w:rsidRPr="00F76007" w:rsidRDefault="002153C9" w:rsidP="002153C9">
      <w:pPr>
        <w:widowControl/>
        <w:rPr>
          <w:szCs w:val="24"/>
        </w:rPr>
      </w:pPr>
      <w:r w:rsidRPr="00F76007">
        <w:rPr>
          <w:szCs w:val="24"/>
        </w:rPr>
        <w:t>At the conclusion of DLA’s prior charter term</w:t>
      </w:r>
      <w:r>
        <w:rPr>
          <w:szCs w:val="24"/>
        </w:rPr>
        <w:t xml:space="preserve"> (</w:t>
      </w:r>
      <w:r w:rsidRPr="00F76007">
        <w:rPr>
          <w:szCs w:val="24"/>
        </w:rPr>
        <w:t>2008-2013</w:t>
      </w:r>
      <w:r>
        <w:rPr>
          <w:szCs w:val="24"/>
        </w:rPr>
        <w:t>),</w:t>
      </w:r>
      <w:r w:rsidRPr="00F76007">
        <w:rPr>
          <w:szCs w:val="24"/>
        </w:rPr>
        <w:t xml:space="preserve"> the</w:t>
      </w:r>
      <w:r>
        <w:rPr>
          <w:szCs w:val="24"/>
        </w:rPr>
        <w:t xml:space="preserve"> school’s charter was</w:t>
      </w:r>
      <w:r w:rsidRPr="00F76007">
        <w:rPr>
          <w:szCs w:val="24"/>
        </w:rPr>
        <w:t xml:space="preserve"> renewed with </w:t>
      </w:r>
      <w:r>
        <w:rPr>
          <w:szCs w:val="24"/>
        </w:rPr>
        <w:t xml:space="preserve">a set of three </w:t>
      </w:r>
      <w:r w:rsidRPr="00F76007">
        <w:rPr>
          <w:szCs w:val="24"/>
        </w:rPr>
        <w:t>conditions related to governance. The 2013 Summary of Review included evidence related to governance instability and a lack of adequate financial oversight. Board turnover had been high</w:t>
      </w:r>
      <w:r>
        <w:rPr>
          <w:szCs w:val="24"/>
        </w:rPr>
        <w:t>, resulting in a lack of capacity</w:t>
      </w:r>
      <w:r w:rsidRPr="00F76007">
        <w:rPr>
          <w:szCs w:val="24"/>
        </w:rPr>
        <w:t>. In 2010-</w:t>
      </w:r>
      <w:r w:rsidR="00F4209F">
        <w:rPr>
          <w:szCs w:val="24"/>
        </w:rPr>
        <w:t>20</w:t>
      </w:r>
      <w:r w:rsidRPr="00F76007">
        <w:rPr>
          <w:szCs w:val="24"/>
        </w:rPr>
        <w:t>11, 10 members departed the board and 10 members joined. In 2011-</w:t>
      </w:r>
      <w:r w:rsidR="00F4209F">
        <w:rPr>
          <w:szCs w:val="24"/>
        </w:rPr>
        <w:t>20</w:t>
      </w:r>
      <w:r w:rsidRPr="00F76007">
        <w:rPr>
          <w:szCs w:val="24"/>
        </w:rPr>
        <w:t xml:space="preserve">12, 10 members departed the board and 9 members joined the board. Additionally, twice during the charter term, </w:t>
      </w:r>
      <w:r w:rsidR="007B492D">
        <w:rPr>
          <w:szCs w:val="24"/>
        </w:rPr>
        <w:t xml:space="preserve">the school </w:t>
      </w:r>
      <w:r w:rsidRPr="00F76007">
        <w:rPr>
          <w:szCs w:val="24"/>
        </w:rPr>
        <w:t>had to issue mid-year layoffs in order to balance the school’s budget. The fiscal year 2012 audit contained two findings of significant deficiency.</w:t>
      </w:r>
      <w:r>
        <w:rPr>
          <w:szCs w:val="24"/>
        </w:rPr>
        <w:t xml:space="preserve"> While board membership has stabilized during the current charter term (2013-2018), I have concerns about the reemergence of a lack of appropriate oversight exercised by the board, further described below. </w:t>
      </w:r>
    </w:p>
    <w:p w:rsidR="002153C9" w:rsidRPr="00F76007" w:rsidRDefault="002153C9" w:rsidP="002153C9">
      <w:pPr>
        <w:widowControl/>
        <w:rPr>
          <w:szCs w:val="24"/>
        </w:rPr>
      </w:pPr>
    </w:p>
    <w:p w:rsidR="002153C9" w:rsidRDefault="002153C9" w:rsidP="002153C9">
      <w:pPr>
        <w:widowControl/>
        <w:rPr>
          <w:b/>
          <w:u w:val="single"/>
        </w:rPr>
      </w:pPr>
      <w:r w:rsidRPr="006845D1">
        <w:rPr>
          <w:szCs w:val="24"/>
        </w:rPr>
        <w:t>During the 2013-</w:t>
      </w:r>
      <w:r w:rsidR="00F4209F">
        <w:rPr>
          <w:szCs w:val="24"/>
        </w:rPr>
        <w:t>20</w:t>
      </w:r>
      <w:r w:rsidRPr="006845D1">
        <w:rPr>
          <w:szCs w:val="24"/>
        </w:rPr>
        <w:t xml:space="preserve">14 school year, after </w:t>
      </w:r>
      <w:r>
        <w:rPr>
          <w:szCs w:val="24"/>
        </w:rPr>
        <w:t xml:space="preserve">the school </w:t>
      </w:r>
      <w:r w:rsidRPr="006845D1">
        <w:rPr>
          <w:szCs w:val="24"/>
        </w:rPr>
        <w:t>submitt</w:t>
      </w:r>
      <w:r>
        <w:rPr>
          <w:szCs w:val="24"/>
        </w:rPr>
        <w:t>ed</w:t>
      </w:r>
      <w:r w:rsidRPr="006845D1">
        <w:rPr>
          <w:szCs w:val="24"/>
        </w:rPr>
        <w:t xml:space="preserve"> monthly board minutes, conduct</w:t>
      </w:r>
      <w:r>
        <w:rPr>
          <w:szCs w:val="24"/>
        </w:rPr>
        <w:t>ed</w:t>
      </w:r>
      <w:r w:rsidRPr="006845D1">
        <w:rPr>
          <w:szCs w:val="24"/>
        </w:rPr>
        <w:t xml:space="preserve"> a board self-evaluation, </w:t>
      </w:r>
      <w:r>
        <w:rPr>
          <w:szCs w:val="24"/>
        </w:rPr>
        <w:t xml:space="preserve">and </w:t>
      </w:r>
      <w:r w:rsidRPr="006845D1">
        <w:rPr>
          <w:szCs w:val="24"/>
        </w:rPr>
        <w:t>under</w:t>
      </w:r>
      <w:r>
        <w:rPr>
          <w:szCs w:val="24"/>
        </w:rPr>
        <w:t>went</w:t>
      </w:r>
      <w:r w:rsidRPr="006845D1">
        <w:rPr>
          <w:szCs w:val="24"/>
        </w:rPr>
        <w:t xml:space="preserve"> governance training, </w:t>
      </w:r>
      <w:r>
        <w:rPr>
          <w:szCs w:val="24"/>
        </w:rPr>
        <w:t xml:space="preserve">the Department conducted </w:t>
      </w:r>
      <w:r w:rsidRPr="006845D1">
        <w:rPr>
          <w:szCs w:val="24"/>
        </w:rPr>
        <w:t>a site visit</w:t>
      </w:r>
      <w:r>
        <w:rPr>
          <w:szCs w:val="24"/>
        </w:rPr>
        <w:t xml:space="preserve"> and</w:t>
      </w:r>
      <w:r w:rsidRPr="006845D1">
        <w:rPr>
          <w:szCs w:val="24"/>
        </w:rPr>
        <w:t xml:space="preserve"> </w:t>
      </w:r>
      <w:r>
        <w:rPr>
          <w:szCs w:val="24"/>
        </w:rPr>
        <w:t xml:space="preserve">determined that </w:t>
      </w:r>
      <w:r w:rsidRPr="006845D1">
        <w:rPr>
          <w:szCs w:val="24"/>
        </w:rPr>
        <w:t>the school met the</w:t>
      </w:r>
      <w:r>
        <w:rPr>
          <w:szCs w:val="24"/>
        </w:rPr>
        <w:t>se</w:t>
      </w:r>
      <w:r w:rsidRPr="006845D1">
        <w:rPr>
          <w:szCs w:val="24"/>
        </w:rPr>
        <w:t xml:space="preserve"> conditions. Commissioner </w:t>
      </w:r>
      <w:r>
        <w:rPr>
          <w:szCs w:val="24"/>
        </w:rPr>
        <w:t xml:space="preserve">Chester </w:t>
      </w:r>
      <w:r w:rsidRPr="006845D1">
        <w:rPr>
          <w:szCs w:val="24"/>
        </w:rPr>
        <w:t>released the school from conditions in January 2014.</w:t>
      </w:r>
    </w:p>
    <w:p w:rsidR="001607B7" w:rsidRDefault="001607B7" w:rsidP="00AB64BE">
      <w:pPr>
        <w:rPr>
          <w:szCs w:val="24"/>
        </w:rPr>
      </w:pPr>
    </w:p>
    <w:p w:rsidR="00C24F76" w:rsidRDefault="001607B7" w:rsidP="00C24F76">
      <w:pPr>
        <w:rPr>
          <w:szCs w:val="24"/>
        </w:rPr>
      </w:pPr>
      <w:r>
        <w:rPr>
          <w:szCs w:val="24"/>
        </w:rPr>
        <w:t>G</w:t>
      </w:r>
      <w:r w:rsidR="003C7769">
        <w:rPr>
          <w:szCs w:val="24"/>
        </w:rPr>
        <w:t xml:space="preserve">overnance </w:t>
      </w:r>
      <w:r w:rsidR="00626D03">
        <w:rPr>
          <w:szCs w:val="24"/>
        </w:rPr>
        <w:t>c</w:t>
      </w:r>
      <w:r w:rsidR="00AB64BE">
        <w:rPr>
          <w:szCs w:val="24"/>
        </w:rPr>
        <w:t xml:space="preserve">oncerns </w:t>
      </w:r>
      <w:r w:rsidR="002153C9">
        <w:rPr>
          <w:szCs w:val="24"/>
        </w:rPr>
        <w:t xml:space="preserve">have </w:t>
      </w:r>
      <w:r w:rsidR="00AB64BE">
        <w:rPr>
          <w:szCs w:val="24"/>
        </w:rPr>
        <w:t>resur</w:t>
      </w:r>
      <w:r w:rsidR="003C7769">
        <w:rPr>
          <w:szCs w:val="24"/>
        </w:rPr>
        <w:t>faced during th</w:t>
      </w:r>
      <w:r w:rsidR="007B0B18">
        <w:rPr>
          <w:szCs w:val="24"/>
        </w:rPr>
        <w:t>e current</w:t>
      </w:r>
      <w:r w:rsidR="003C7769">
        <w:rPr>
          <w:szCs w:val="24"/>
        </w:rPr>
        <w:t xml:space="preserve"> charter term</w:t>
      </w:r>
      <w:r w:rsidR="00DD2133">
        <w:rPr>
          <w:szCs w:val="24"/>
        </w:rPr>
        <w:t>. T</w:t>
      </w:r>
      <w:r>
        <w:rPr>
          <w:szCs w:val="24"/>
        </w:rPr>
        <w:t xml:space="preserve">he board of trustees </w:t>
      </w:r>
      <w:r w:rsidR="002153C9">
        <w:rPr>
          <w:szCs w:val="24"/>
        </w:rPr>
        <w:t>has not consistently complied with the Open Meeting Law</w:t>
      </w:r>
      <w:r w:rsidR="003C7769">
        <w:rPr>
          <w:szCs w:val="24"/>
        </w:rPr>
        <w:t xml:space="preserve">, </w:t>
      </w:r>
      <w:r w:rsidR="002153C9">
        <w:rPr>
          <w:szCs w:val="24"/>
        </w:rPr>
        <w:t xml:space="preserve">has not </w:t>
      </w:r>
      <w:r w:rsidR="00DD2133">
        <w:rPr>
          <w:szCs w:val="24"/>
        </w:rPr>
        <w:t>demonstrated adequate</w:t>
      </w:r>
      <w:r w:rsidR="003C7769">
        <w:rPr>
          <w:szCs w:val="24"/>
        </w:rPr>
        <w:t xml:space="preserve"> strategic planning, and </w:t>
      </w:r>
      <w:r w:rsidR="00DD2133">
        <w:rPr>
          <w:szCs w:val="24"/>
        </w:rPr>
        <w:t>has not demonstrated</w:t>
      </w:r>
      <w:r w:rsidR="003C7769">
        <w:rPr>
          <w:szCs w:val="24"/>
        </w:rPr>
        <w:t xml:space="preserve"> competent financial oversight. </w:t>
      </w:r>
      <w:r>
        <w:rPr>
          <w:szCs w:val="24"/>
        </w:rPr>
        <w:t>M</w:t>
      </w:r>
      <w:r w:rsidR="006B79BF">
        <w:rPr>
          <w:szCs w:val="24"/>
        </w:rPr>
        <w:t xml:space="preserve">ost concerning </w:t>
      </w:r>
      <w:r>
        <w:rPr>
          <w:szCs w:val="24"/>
        </w:rPr>
        <w:t xml:space="preserve">is the failure of </w:t>
      </w:r>
      <w:r w:rsidR="006B79BF">
        <w:rPr>
          <w:szCs w:val="24"/>
        </w:rPr>
        <w:t xml:space="preserve">the board </w:t>
      </w:r>
      <w:r>
        <w:rPr>
          <w:szCs w:val="24"/>
        </w:rPr>
        <w:t>to exercise its duty of care i</w:t>
      </w:r>
      <w:r w:rsidR="00A20343">
        <w:rPr>
          <w:szCs w:val="24"/>
        </w:rPr>
        <w:t>n</w:t>
      </w:r>
      <w:r>
        <w:rPr>
          <w:szCs w:val="24"/>
        </w:rPr>
        <w:t xml:space="preserve"> connection with retirement of </w:t>
      </w:r>
      <w:r w:rsidR="006B79BF">
        <w:rPr>
          <w:szCs w:val="24"/>
        </w:rPr>
        <w:t>the school’s former executive director</w:t>
      </w:r>
      <w:r w:rsidR="00DD2133">
        <w:rPr>
          <w:szCs w:val="24"/>
        </w:rPr>
        <w:t xml:space="preserve"> with regard to a benefit granted as part of the retirement</w:t>
      </w:r>
      <w:r w:rsidR="006B79BF">
        <w:rPr>
          <w:szCs w:val="24"/>
        </w:rPr>
        <w:t xml:space="preserve">. </w:t>
      </w:r>
      <w:r w:rsidR="00DD2133">
        <w:rPr>
          <w:szCs w:val="24"/>
        </w:rPr>
        <w:t xml:space="preserve">This board decision with regard to the benefit is described further below. </w:t>
      </w:r>
      <w:r w:rsidR="00C24F76" w:rsidRPr="006845D1">
        <w:rPr>
          <w:szCs w:val="24"/>
        </w:rPr>
        <w:t xml:space="preserve">The school’s </w:t>
      </w:r>
      <w:r>
        <w:rPr>
          <w:szCs w:val="24"/>
        </w:rPr>
        <w:t>former</w:t>
      </w:r>
      <w:r w:rsidR="00C24F76" w:rsidRPr="006845D1">
        <w:rPr>
          <w:szCs w:val="24"/>
        </w:rPr>
        <w:t xml:space="preserve"> executive director</w:t>
      </w:r>
      <w:r w:rsidR="00C24F76">
        <w:rPr>
          <w:szCs w:val="24"/>
        </w:rPr>
        <w:t>, who was also the school’s founding principal,</w:t>
      </w:r>
      <w:r w:rsidR="00C24F76" w:rsidRPr="006845D1">
        <w:rPr>
          <w:szCs w:val="24"/>
        </w:rPr>
        <w:t xml:space="preserve"> </w:t>
      </w:r>
      <w:r w:rsidR="00C24F76">
        <w:rPr>
          <w:szCs w:val="24"/>
        </w:rPr>
        <w:t>retired</w:t>
      </w:r>
      <w:r w:rsidR="00C24F76" w:rsidRPr="006845D1">
        <w:rPr>
          <w:szCs w:val="24"/>
        </w:rPr>
        <w:t xml:space="preserve"> in </w:t>
      </w:r>
      <w:r w:rsidR="00DE4FD8">
        <w:rPr>
          <w:szCs w:val="24"/>
        </w:rPr>
        <w:t>August</w:t>
      </w:r>
      <w:r w:rsidR="00DE4FD8" w:rsidRPr="006845D1">
        <w:rPr>
          <w:szCs w:val="24"/>
        </w:rPr>
        <w:t xml:space="preserve"> </w:t>
      </w:r>
      <w:r w:rsidR="00C24F76" w:rsidRPr="006845D1">
        <w:rPr>
          <w:szCs w:val="24"/>
        </w:rPr>
        <w:t>2017</w:t>
      </w:r>
      <w:r w:rsidR="00A20343">
        <w:rPr>
          <w:szCs w:val="24"/>
        </w:rPr>
        <w:t xml:space="preserve"> and </w:t>
      </w:r>
      <w:r w:rsidR="00C24F76">
        <w:rPr>
          <w:szCs w:val="24"/>
        </w:rPr>
        <w:t xml:space="preserve">continues to work for the school as a consultant. </w:t>
      </w:r>
      <w:r w:rsidR="00F4209F">
        <w:rPr>
          <w:bCs/>
        </w:rPr>
        <w:t>Helen Y. Davis Leadership Academy Charter Public School</w:t>
      </w:r>
      <w:r w:rsidR="00F4209F">
        <w:t xml:space="preserve"> </w:t>
      </w:r>
      <w:r w:rsidR="00C24F76">
        <w:rPr>
          <w:szCs w:val="24"/>
        </w:rPr>
        <w:t xml:space="preserve">hired an interim executive director before the retirement of the executive director. </w:t>
      </w:r>
      <w:r w:rsidR="00DD2133">
        <w:rPr>
          <w:szCs w:val="24"/>
        </w:rPr>
        <w:t>Later in the summer of 2017, t</w:t>
      </w:r>
      <w:r w:rsidR="00C24F76" w:rsidRPr="006845D1">
        <w:rPr>
          <w:szCs w:val="24"/>
        </w:rPr>
        <w:t xml:space="preserve">he </w:t>
      </w:r>
      <w:r>
        <w:rPr>
          <w:szCs w:val="24"/>
        </w:rPr>
        <w:t>board</w:t>
      </w:r>
      <w:r w:rsidRPr="006845D1">
        <w:rPr>
          <w:szCs w:val="24"/>
        </w:rPr>
        <w:t xml:space="preserve"> </w:t>
      </w:r>
      <w:r w:rsidR="00C24F76">
        <w:rPr>
          <w:szCs w:val="24"/>
        </w:rPr>
        <w:t xml:space="preserve">hired </w:t>
      </w:r>
      <w:r w:rsidR="00DD2133">
        <w:rPr>
          <w:szCs w:val="24"/>
        </w:rPr>
        <w:t>a different</w:t>
      </w:r>
      <w:r>
        <w:rPr>
          <w:szCs w:val="24"/>
        </w:rPr>
        <w:t xml:space="preserve"> person as</w:t>
      </w:r>
      <w:r w:rsidR="00C24F76" w:rsidRPr="006845D1">
        <w:rPr>
          <w:szCs w:val="24"/>
        </w:rPr>
        <w:t xml:space="preserve"> acting interim executive director. </w:t>
      </w:r>
      <w:r w:rsidR="00DD2133">
        <w:rPr>
          <w:szCs w:val="24"/>
        </w:rPr>
        <w:t xml:space="preserve">The second individual to hold the role as acting interim executive director is currently serving as interim executive director. </w:t>
      </w:r>
    </w:p>
    <w:p w:rsidR="00C24F76" w:rsidRDefault="00C24F76" w:rsidP="00C24F76">
      <w:pPr>
        <w:rPr>
          <w:szCs w:val="24"/>
        </w:rPr>
      </w:pPr>
    </w:p>
    <w:p w:rsidR="00C7705D" w:rsidRDefault="00DE4FD8">
      <w:pPr>
        <w:widowControl/>
        <w:rPr>
          <w:rFonts w:ascii="TimesNewRomanPSMT" w:hAnsi="TimesNewRomanPSMT" w:cs="TimesNewRomanPSMT"/>
          <w:szCs w:val="24"/>
        </w:rPr>
      </w:pPr>
      <w:r>
        <w:rPr>
          <w:szCs w:val="24"/>
        </w:rPr>
        <w:t>I</w:t>
      </w:r>
      <w:r w:rsidR="006B79BF">
        <w:rPr>
          <w:szCs w:val="24"/>
        </w:rPr>
        <w:t xml:space="preserve">n July 2017, DLA </w:t>
      </w:r>
      <w:r w:rsidR="00AA7B79">
        <w:rPr>
          <w:szCs w:val="24"/>
        </w:rPr>
        <w:t>employees</w:t>
      </w:r>
      <w:r w:rsidR="006B79BF">
        <w:rPr>
          <w:szCs w:val="24"/>
        </w:rPr>
        <w:t xml:space="preserve"> </w:t>
      </w:r>
      <w:r w:rsidR="003735F8">
        <w:rPr>
          <w:szCs w:val="24"/>
        </w:rPr>
        <w:t xml:space="preserve">presented </w:t>
      </w:r>
      <w:r w:rsidR="006B79BF">
        <w:rPr>
          <w:szCs w:val="24"/>
        </w:rPr>
        <w:t xml:space="preserve">concerns </w:t>
      </w:r>
      <w:r w:rsidR="003735F8">
        <w:rPr>
          <w:szCs w:val="24"/>
        </w:rPr>
        <w:t xml:space="preserve">to </w:t>
      </w:r>
      <w:r w:rsidR="006B79BF">
        <w:rPr>
          <w:szCs w:val="24"/>
        </w:rPr>
        <w:t xml:space="preserve">the Department regarding financial decisions made by the school’s board of trustees. </w:t>
      </w:r>
      <w:r>
        <w:rPr>
          <w:szCs w:val="24"/>
        </w:rPr>
        <w:t>T</w:t>
      </w:r>
      <w:r w:rsidR="006B79BF">
        <w:rPr>
          <w:szCs w:val="24"/>
        </w:rPr>
        <w:t xml:space="preserve">he </w:t>
      </w:r>
      <w:r w:rsidR="006B79BF" w:rsidRPr="003A1990">
        <w:rPr>
          <w:szCs w:val="24"/>
        </w:rPr>
        <w:t>OSA</w:t>
      </w:r>
      <w:r>
        <w:rPr>
          <w:szCs w:val="24"/>
        </w:rPr>
        <w:t xml:space="preserve">, as noted previously, </w:t>
      </w:r>
      <w:r w:rsidR="006B79BF" w:rsidRPr="003A1990">
        <w:rPr>
          <w:szCs w:val="24"/>
        </w:rPr>
        <w:t xml:space="preserve">is </w:t>
      </w:r>
      <w:r>
        <w:rPr>
          <w:szCs w:val="24"/>
        </w:rPr>
        <w:t xml:space="preserve">currently evaluating </w:t>
      </w:r>
      <w:r w:rsidR="00AA7B79">
        <w:rPr>
          <w:szCs w:val="24"/>
        </w:rPr>
        <w:t xml:space="preserve">the school’s governance, </w:t>
      </w:r>
      <w:r>
        <w:rPr>
          <w:szCs w:val="24"/>
        </w:rPr>
        <w:t>financial oversight</w:t>
      </w:r>
      <w:r w:rsidR="00AA7B79">
        <w:rPr>
          <w:szCs w:val="24"/>
        </w:rPr>
        <w:t>,</w:t>
      </w:r>
      <w:r>
        <w:rPr>
          <w:szCs w:val="24"/>
        </w:rPr>
        <w:t xml:space="preserve"> and management</w:t>
      </w:r>
      <w:r w:rsidR="006B79BF" w:rsidRPr="003A1990">
        <w:rPr>
          <w:szCs w:val="24"/>
        </w:rPr>
        <w:t>.</w:t>
      </w:r>
      <w:r w:rsidR="006B79BF">
        <w:rPr>
          <w:szCs w:val="24"/>
        </w:rPr>
        <w:t xml:space="preserve"> </w:t>
      </w:r>
      <w:r w:rsidR="005569BB">
        <w:rPr>
          <w:szCs w:val="24"/>
        </w:rPr>
        <w:t>As reported to the Department and documented in</w:t>
      </w:r>
      <w:r w:rsidR="006B79BF">
        <w:rPr>
          <w:szCs w:val="24"/>
        </w:rPr>
        <w:t xml:space="preserve"> DLA’s fiscal audit</w:t>
      </w:r>
      <w:r w:rsidR="005569BB">
        <w:rPr>
          <w:szCs w:val="24"/>
        </w:rPr>
        <w:t xml:space="preserve"> for </w:t>
      </w:r>
      <w:r w:rsidR="00EE6D46">
        <w:rPr>
          <w:szCs w:val="24"/>
        </w:rPr>
        <w:t>fiscal year 2017 (</w:t>
      </w:r>
      <w:r w:rsidR="005569BB">
        <w:rPr>
          <w:szCs w:val="24"/>
        </w:rPr>
        <w:t>FY17</w:t>
      </w:r>
      <w:r w:rsidR="00EE6D46">
        <w:rPr>
          <w:szCs w:val="24"/>
        </w:rPr>
        <w:t>)</w:t>
      </w:r>
      <w:r w:rsidR="005569BB">
        <w:rPr>
          <w:rFonts w:ascii="TimesNewRomanPSMT" w:hAnsi="TimesNewRomanPSMT" w:cs="TimesNewRomanPSMT"/>
          <w:szCs w:val="24"/>
        </w:rPr>
        <w:t xml:space="preserve"> and</w:t>
      </w:r>
      <w:r w:rsidR="006B79BF">
        <w:rPr>
          <w:rFonts w:ascii="TimesNewRomanPSMT" w:hAnsi="TimesNewRomanPSMT" w:cs="TimesNewRomanPSMT"/>
          <w:szCs w:val="24"/>
        </w:rPr>
        <w:t xml:space="preserve"> </w:t>
      </w:r>
      <w:r w:rsidR="00EE6D46">
        <w:rPr>
          <w:rFonts w:ascii="TimesNewRomanPSMT" w:hAnsi="TimesNewRomanPSMT" w:cs="TimesNewRomanPSMT"/>
          <w:szCs w:val="24"/>
        </w:rPr>
        <w:t xml:space="preserve">board </w:t>
      </w:r>
      <w:r w:rsidR="00EE6D46">
        <w:rPr>
          <w:rFonts w:ascii="TimesNewRomanPSMT" w:hAnsi="TimesNewRomanPSMT" w:cs="TimesNewRomanPSMT"/>
          <w:szCs w:val="24"/>
        </w:rPr>
        <w:lastRenderedPageBreak/>
        <w:t xml:space="preserve">minutes, </w:t>
      </w:r>
      <w:r w:rsidR="006B79BF" w:rsidRPr="003A1990">
        <w:rPr>
          <w:rFonts w:ascii="TimesNewRomanPSMT" w:hAnsi="TimesNewRomanPSMT" w:cs="TimesNewRomanPSMT"/>
          <w:szCs w:val="24"/>
        </w:rPr>
        <w:t>the board</w:t>
      </w:r>
      <w:r w:rsidR="00AA7B79">
        <w:rPr>
          <w:rFonts w:ascii="TimesNewRomanPSMT" w:hAnsi="TimesNewRomanPSMT" w:cs="TimesNewRomanPSMT"/>
          <w:szCs w:val="24"/>
        </w:rPr>
        <w:t xml:space="preserve"> discussed and then</w:t>
      </w:r>
      <w:r w:rsidR="006B79BF" w:rsidRPr="003A1990">
        <w:rPr>
          <w:rFonts w:ascii="TimesNewRomanPSMT" w:hAnsi="TimesNewRomanPSMT" w:cs="TimesNewRomanPSMT"/>
          <w:szCs w:val="24"/>
        </w:rPr>
        <w:t xml:space="preserve"> voted to </w:t>
      </w:r>
      <w:r w:rsidR="006B79BF">
        <w:rPr>
          <w:rFonts w:ascii="TimesNewRomanPSMT" w:hAnsi="TimesNewRomanPSMT" w:cs="TimesNewRomanPSMT"/>
          <w:szCs w:val="24"/>
        </w:rPr>
        <w:t>“buy back” the retiring executive director’s accumulated sick time</w:t>
      </w:r>
      <w:r w:rsidR="005569BB">
        <w:rPr>
          <w:rFonts w:ascii="TimesNewRomanPSMT" w:hAnsi="TimesNewRomanPSMT" w:cs="TimesNewRomanPSMT"/>
          <w:szCs w:val="24"/>
        </w:rPr>
        <w:t xml:space="preserve"> in connection with her retirement</w:t>
      </w:r>
      <w:r w:rsidR="006B79BF">
        <w:rPr>
          <w:rFonts w:ascii="TimesNewRomanPSMT" w:hAnsi="TimesNewRomanPSMT" w:cs="TimesNewRomanPSMT"/>
          <w:szCs w:val="24"/>
        </w:rPr>
        <w:t xml:space="preserve">. It is unclear </w:t>
      </w:r>
      <w:r w:rsidR="005569BB">
        <w:rPr>
          <w:rFonts w:ascii="TimesNewRomanPSMT" w:hAnsi="TimesNewRomanPSMT" w:cs="TimesNewRomanPSMT"/>
          <w:szCs w:val="24"/>
        </w:rPr>
        <w:t xml:space="preserve">whether this </w:t>
      </w:r>
      <w:r w:rsidR="00EE6D46">
        <w:rPr>
          <w:rFonts w:ascii="TimesNewRomanPSMT" w:hAnsi="TimesNewRomanPSMT" w:cs="TimesNewRomanPSMT"/>
          <w:szCs w:val="24"/>
        </w:rPr>
        <w:t xml:space="preserve">benefit </w:t>
      </w:r>
      <w:r w:rsidR="005569BB">
        <w:rPr>
          <w:rFonts w:ascii="TimesNewRomanPSMT" w:hAnsi="TimesNewRomanPSMT" w:cs="TimesNewRomanPSMT"/>
          <w:szCs w:val="24"/>
        </w:rPr>
        <w:t>was provided for in</w:t>
      </w:r>
      <w:r w:rsidR="006B79BF">
        <w:rPr>
          <w:rFonts w:ascii="TimesNewRomanPSMT" w:hAnsi="TimesNewRomanPSMT" w:cs="TimesNewRomanPSMT"/>
          <w:szCs w:val="24"/>
        </w:rPr>
        <w:t xml:space="preserve"> the former executive director’s contract</w:t>
      </w:r>
      <w:r w:rsidR="005569BB">
        <w:rPr>
          <w:rFonts w:ascii="TimesNewRomanPSMT" w:hAnsi="TimesNewRomanPSMT" w:cs="TimesNewRomanPSMT"/>
          <w:szCs w:val="24"/>
        </w:rPr>
        <w:t>s</w:t>
      </w:r>
      <w:r w:rsidR="006B79BF">
        <w:rPr>
          <w:rFonts w:ascii="TimesNewRomanPSMT" w:hAnsi="TimesNewRomanPSMT" w:cs="TimesNewRomanPSMT"/>
          <w:szCs w:val="24"/>
        </w:rPr>
        <w:t xml:space="preserve">. The contracts </w:t>
      </w:r>
      <w:r w:rsidR="005569BB">
        <w:rPr>
          <w:rFonts w:ascii="TimesNewRomanPSMT" w:hAnsi="TimesNewRomanPSMT" w:cs="TimesNewRomanPSMT"/>
          <w:szCs w:val="24"/>
        </w:rPr>
        <w:t xml:space="preserve">for </w:t>
      </w:r>
      <w:r w:rsidR="006B79BF">
        <w:rPr>
          <w:rFonts w:ascii="TimesNewRomanPSMT" w:hAnsi="TimesNewRomanPSMT" w:cs="TimesNewRomanPSMT"/>
          <w:szCs w:val="24"/>
        </w:rPr>
        <w:t>FY12</w:t>
      </w:r>
      <w:r w:rsidR="005569BB">
        <w:rPr>
          <w:rFonts w:ascii="TimesNewRomanPSMT" w:hAnsi="TimesNewRomanPSMT" w:cs="TimesNewRomanPSMT"/>
          <w:szCs w:val="24"/>
        </w:rPr>
        <w:t xml:space="preserve"> through FY</w:t>
      </w:r>
      <w:r w:rsidR="00EE6D46">
        <w:rPr>
          <w:rFonts w:ascii="TimesNewRomanPSMT" w:hAnsi="TimesNewRomanPSMT" w:cs="TimesNewRomanPSMT"/>
          <w:szCs w:val="24"/>
        </w:rPr>
        <w:t>14</w:t>
      </w:r>
      <w:r w:rsidR="005569BB">
        <w:rPr>
          <w:rFonts w:ascii="TimesNewRomanPSMT" w:hAnsi="TimesNewRomanPSMT" w:cs="TimesNewRomanPSMT"/>
          <w:szCs w:val="24"/>
        </w:rPr>
        <w:t xml:space="preserve"> </w:t>
      </w:r>
      <w:r w:rsidR="006B79BF">
        <w:rPr>
          <w:rFonts w:ascii="TimesNewRomanPSMT" w:hAnsi="TimesNewRomanPSMT" w:cs="TimesNewRomanPSMT"/>
          <w:szCs w:val="24"/>
        </w:rPr>
        <w:t xml:space="preserve">include the statement that “sick days may not be carried over.” </w:t>
      </w:r>
      <w:r w:rsidR="00EE6D46">
        <w:rPr>
          <w:rFonts w:ascii="TimesNewRomanPSMT" w:hAnsi="TimesNewRomanPSMT" w:cs="TimesNewRomanPSMT"/>
        </w:rPr>
        <w:t xml:space="preserve">The contract from FYs15-16 is silent on the issue. </w:t>
      </w:r>
      <w:proofErr w:type="gramStart"/>
      <w:r w:rsidR="006B79BF">
        <w:rPr>
          <w:rFonts w:ascii="TimesNewRomanPSMT" w:hAnsi="TimesNewRomanPSMT" w:cs="TimesNewRomanPSMT"/>
          <w:szCs w:val="24"/>
        </w:rPr>
        <w:t>DLA’s board of trustees included a statement in the</w:t>
      </w:r>
      <w:r w:rsidR="00EE6D46">
        <w:rPr>
          <w:rFonts w:ascii="TimesNewRomanPSMT" w:hAnsi="TimesNewRomanPSMT" w:cs="TimesNewRomanPSMT"/>
          <w:szCs w:val="24"/>
        </w:rPr>
        <w:t xml:space="preserve"> school’s</w:t>
      </w:r>
      <w:r w:rsidR="006B79BF">
        <w:rPr>
          <w:rFonts w:ascii="TimesNewRomanPSMT" w:hAnsi="TimesNewRomanPSMT" w:cs="TimesNewRomanPSMT"/>
          <w:szCs w:val="24"/>
        </w:rPr>
        <w:t xml:space="preserve"> FY17 audit </w:t>
      </w:r>
      <w:r w:rsidR="00EE6D46">
        <w:rPr>
          <w:rFonts w:ascii="TimesNewRomanPSMT" w:hAnsi="TimesNewRomanPSMT" w:cs="TimesNewRomanPSMT"/>
          <w:szCs w:val="24"/>
        </w:rPr>
        <w:t>stating:</w:t>
      </w:r>
      <w:r w:rsidR="006B79BF">
        <w:rPr>
          <w:rFonts w:ascii="TimesNewRomanPSMT" w:hAnsi="TimesNewRomanPSMT" w:cs="TimesNewRomanPSMT"/>
          <w:szCs w:val="24"/>
        </w:rPr>
        <w:t>“</w:t>
      </w:r>
      <w:r w:rsidR="006B79BF" w:rsidRPr="003A1990">
        <w:rPr>
          <w:rFonts w:ascii="TimesNewRomanPSMT" w:hAnsi="TimesNewRomanPSMT" w:cs="TimesNewRomanPSMT"/>
          <w:szCs w:val="24"/>
        </w:rPr>
        <w:t>In this audit, it has been made clear that the Academy</w:t>
      </w:r>
      <w:r w:rsidR="006B79BF">
        <w:rPr>
          <w:rFonts w:ascii="TimesNewRomanPSMT" w:hAnsi="TimesNewRomanPSMT" w:cs="TimesNewRomanPSMT"/>
          <w:szCs w:val="24"/>
        </w:rPr>
        <w:t xml:space="preserve"> [DLA]</w:t>
      </w:r>
      <w:r w:rsidR="006B79BF" w:rsidRPr="003A1990">
        <w:rPr>
          <w:rFonts w:ascii="TimesNewRomanPSMT" w:hAnsi="TimesNewRomanPSMT" w:cs="TimesNewRomanPSMT"/>
          <w:szCs w:val="24"/>
        </w:rPr>
        <w:t xml:space="preserve"> will end the fiscal year 2017 school year with a</w:t>
      </w:r>
      <w:r w:rsidR="006B79BF">
        <w:rPr>
          <w:rFonts w:ascii="TimesNewRomanPSMT" w:hAnsi="TimesNewRomanPSMT" w:cs="TimesNewRomanPSMT"/>
          <w:szCs w:val="24"/>
        </w:rPr>
        <w:t xml:space="preserve"> </w:t>
      </w:r>
      <w:r w:rsidR="006B79BF" w:rsidRPr="003A1990">
        <w:rPr>
          <w:rFonts w:ascii="TimesNewRomanPSMT" w:hAnsi="TimesNewRomanPSMT" w:cs="TimesNewRomanPSMT"/>
          <w:szCs w:val="24"/>
        </w:rPr>
        <w:t>shortfall of $99,011 due to a one-time payment for unused sick time; which was part of an agreement</w:t>
      </w:r>
      <w:r w:rsidR="006B79BF">
        <w:rPr>
          <w:rFonts w:ascii="TimesNewRomanPSMT" w:hAnsi="TimesNewRomanPSMT" w:cs="TimesNewRomanPSMT"/>
          <w:szCs w:val="24"/>
        </w:rPr>
        <w:t xml:space="preserve"> </w:t>
      </w:r>
      <w:r w:rsidR="006B79BF" w:rsidRPr="003A1990">
        <w:rPr>
          <w:rFonts w:ascii="TimesNewRomanPSMT" w:hAnsi="TimesNewRomanPSMT" w:cs="TimesNewRomanPSMT"/>
          <w:szCs w:val="24"/>
        </w:rPr>
        <w:t>reached during negotiations with our now retired Executive Directo</w:t>
      </w:r>
      <w:r w:rsidR="006B79BF">
        <w:rPr>
          <w:rFonts w:ascii="TimesNewRomanPSMT" w:hAnsi="TimesNewRomanPSMT" w:cs="TimesNewRomanPSMT"/>
          <w:szCs w:val="24"/>
        </w:rPr>
        <w:t>r.”</w:t>
      </w:r>
      <w:proofErr w:type="gramEnd"/>
      <w:r w:rsidR="006B79BF">
        <w:rPr>
          <w:rFonts w:ascii="TimesNewRomanPSMT" w:hAnsi="TimesNewRomanPSMT" w:cs="TimesNewRomanPSMT"/>
          <w:szCs w:val="24"/>
        </w:rPr>
        <w:t xml:space="preserve"> The board’s statement </w:t>
      </w:r>
      <w:r w:rsidR="005569BB">
        <w:rPr>
          <w:rFonts w:ascii="TimesNewRomanPSMT" w:hAnsi="TimesNewRomanPSMT" w:cs="TimesNewRomanPSMT"/>
          <w:szCs w:val="24"/>
        </w:rPr>
        <w:t>also notes</w:t>
      </w:r>
      <w:r w:rsidR="006B79BF">
        <w:rPr>
          <w:rFonts w:ascii="TimesNewRomanPSMT" w:hAnsi="TimesNewRomanPSMT" w:cs="TimesNewRomanPSMT"/>
          <w:szCs w:val="24"/>
        </w:rPr>
        <w:t xml:space="preserve"> that if the board had received better advice from its </w:t>
      </w:r>
      <w:r w:rsidR="005569BB">
        <w:rPr>
          <w:rFonts w:ascii="TimesNewRomanPSMT" w:hAnsi="TimesNewRomanPSMT" w:cs="TimesNewRomanPSMT"/>
          <w:szCs w:val="24"/>
        </w:rPr>
        <w:t>“</w:t>
      </w:r>
      <w:r w:rsidR="006B79BF">
        <w:rPr>
          <w:rFonts w:ascii="TimesNewRomanPSMT" w:hAnsi="TimesNewRomanPSMT" w:cs="TimesNewRomanPSMT"/>
          <w:szCs w:val="24"/>
        </w:rPr>
        <w:t>consultants</w:t>
      </w:r>
      <w:r w:rsidR="005569BB">
        <w:rPr>
          <w:rFonts w:ascii="TimesNewRomanPSMT" w:hAnsi="TimesNewRomanPSMT" w:cs="TimesNewRomanPSMT"/>
          <w:szCs w:val="24"/>
        </w:rPr>
        <w:t>,”</w:t>
      </w:r>
      <w:r w:rsidR="006B79BF">
        <w:rPr>
          <w:rFonts w:ascii="TimesNewRomanPSMT" w:hAnsi="TimesNewRomanPSMT" w:cs="TimesNewRomanPSMT"/>
          <w:szCs w:val="24"/>
        </w:rPr>
        <w:t xml:space="preserve"> the sick time pay</w:t>
      </w:r>
      <w:r w:rsidR="003735F8">
        <w:rPr>
          <w:rFonts w:ascii="TimesNewRomanPSMT" w:hAnsi="TimesNewRomanPSMT" w:cs="TimesNewRomanPSMT"/>
          <w:szCs w:val="24"/>
        </w:rPr>
        <w:t>-</w:t>
      </w:r>
      <w:r w:rsidR="006B79BF">
        <w:rPr>
          <w:rFonts w:ascii="TimesNewRomanPSMT" w:hAnsi="TimesNewRomanPSMT" w:cs="TimesNewRomanPSMT"/>
          <w:szCs w:val="24"/>
        </w:rPr>
        <w:t xml:space="preserve"> out would not have had a “negative impact on the bottom-line.” The audit confirms that DLA </w:t>
      </w:r>
      <w:r w:rsidR="005569BB">
        <w:rPr>
          <w:rFonts w:ascii="TimesNewRomanPSMT" w:hAnsi="TimesNewRomanPSMT" w:cs="TimesNewRomanPSMT"/>
          <w:szCs w:val="24"/>
        </w:rPr>
        <w:t xml:space="preserve">had </w:t>
      </w:r>
      <w:r w:rsidR="006B79BF">
        <w:rPr>
          <w:rFonts w:ascii="TimesNewRomanPSMT" w:hAnsi="TimesNewRomanPSMT" w:cs="TimesNewRomanPSMT"/>
          <w:szCs w:val="24"/>
        </w:rPr>
        <w:t>a deficit of approximately $99,011 during FY17.</w:t>
      </w:r>
    </w:p>
    <w:p w:rsidR="00EE6D46" w:rsidRDefault="00EE6D46">
      <w:pPr>
        <w:widowControl/>
        <w:rPr>
          <w:rFonts w:ascii="TimesNewRomanPSMT" w:hAnsi="TimesNewRomanPSMT" w:cs="TimesNewRomanPSMT"/>
          <w:szCs w:val="24"/>
        </w:rPr>
      </w:pPr>
    </w:p>
    <w:p w:rsidR="006D0972" w:rsidRDefault="00A42D9E">
      <w:pPr>
        <w:widowControl/>
        <w:rPr>
          <w:b/>
        </w:rPr>
      </w:pPr>
      <w:r>
        <w:rPr>
          <w:b/>
        </w:rPr>
        <w:t>Declines in</w:t>
      </w:r>
      <w:r w:rsidR="00225110" w:rsidRPr="00225110">
        <w:rPr>
          <w:b/>
        </w:rPr>
        <w:t xml:space="preserve"> Academic Success</w:t>
      </w:r>
    </w:p>
    <w:p w:rsidR="006D0972" w:rsidRDefault="006D0972">
      <w:pPr>
        <w:widowControl/>
        <w:rPr>
          <w:b/>
        </w:rPr>
      </w:pPr>
    </w:p>
    <w:p w:rsidR="006D78A1" w:rsidRDefault="005E1E6B">
      <w:pPr>
        <w:widowControl/>
      </w:pPr>
      <w:r>
        <w:t xml:space="preserve">I also have concerns about the lack of improvement </w:t>
      </w:r>
      <w:r w:rsidR="00B134D2">
        <w:t>in</w:t>
      </w:r>
      <w:r>
        <w:t xml:space="preserve"> student academic results during the charter term. </w:t>
      </w:r>
      <w:r w:rsidR="00F0157C">
        <w:t xml:space="preserve">As a grade </w:t>
      </w:r>
      <w:r w:rsidR="00701545">
        <w:t>6-8</w:t>
      </w:r>
      <w:r w:rsidR="00F0157C">
        <w:t xml:space="preserve"> school,</w:t>
      </w:r>
      <w:r w:rsidR="00701545">
        <w:t xml:space="preserve"> DLA </w:t>
      </w:r>
      <w:r w:rsidR="00B134D2">
        <w:t xml:space="preserve">has administered </w:t>
      </w:r>
      <w:r w:rsidR="00701545">
        <w:t>b</w:t>
      </w:r>
      <w:r w:rsidR="004F42EF">
        <w:t>oth the MCAS and the Next-G</w:t>
      </w:r>
      <w:r w:rsidR="00701545">
        <w:t xml:space="preserve">eneration MCAS </w:t>
      </w:r>
      <w:r w:rsidR="00B134D2">
        <w:t xml:space="preserve">to students during </w:t>
      </w:r>
      <w:r w:rsidR="00701545">
        <w:t>this charter term</w:t>
      </w:r>
      <w:r w:rsidR="00B134D2">
        <w:t>, and a</w:t>
      </w:r>
      <w:r w:rsidR="00D26A28">
        <w:t>ssessment performance</w:t>
      </w:r>
      <w:r w:rsidR="00F0157C">
        <w:t xml:space="preserve"> </w:t>
      </w:r>
      <w:r w:rsidR="00701545">
        <w:t>has declined</w:t>
      </w:r>
      <w:r w:rsidR="00F0157C">
        <w:t xml:space="preserve">. </w:t>
      </w:r>
    </w:p>
    <w:p w:rsidR="006D0972" w:rsidRDefault="006D0972">
      <w:pPr>
        <w:widowControl/>
      </w:pPr>
    </w:p>
    <w:p w:rsidR="004E482F" w:rsidRDefault="00701545" w:rsidP="007B492D">
      <w:pPr>
        <w:pStyle w:val="ListParagraph"/>
        <w:numPr>
          <w:ilvl w:val="0"/>
          <w:numId w:val="22"/>
        </w:numPr>
        <w:ind w:left="360"/>
      </w:pPr>
      <w:r>
        <w:t>The school was in Level 1 in 2014 and 2015 and in the 35</w:t>
      </w:r>
      <w:r w:rsidRPr="00701545">
        <w:rPr>
          <w:vertAlign w:val="superscript"/>
        </w:rPr>
        <w:t>th</w:t>
      </w:r>
      <w:r>
        <w:t xml:space="preserve"> and 36</w:t>
      </w:r>
      <w:r w:rsidRPr="00701545">
        <w:rPr>
          <w:vertAlign w:val="superscript"/>
        </w:rPr>
        <w:t>th</w:t>
      </w:r>
      <w:r>
        <w:t xml:space="preserve"> percentiles respectively. </w:t>
      </w:r>
    </w:p>
    <w:p w:rsidR="00B47FE2" w:rsidRDefault="00701545" w:rsidP="007B492D">
      <w:pPr>
        <w:pStyle w:val="ListParagraph"/>
        <w:numPr>
          <w:ilvl w:val="0"/>
          <w:numId w:val="22"/>
        </w:numPr>
        <w:ind w:left="360"/>
      </w:pPr>
      <w:r>
        <w:t>In 2016, the school was placed in Level 2 for not meeting gap</w:t>
      </w:r>
      <w:r w:rsidR="00B134D2">
        <w:t>-</w:t>
      </w:r>
      <w:r>
        <w:t>narrowing goals and for low assessment participation for E</w:t>
      </w:r>
      <w:r w:rsidR="00AF7A68">
        <w:t xml:space="preserve">nglish </w:t>
      </w:r>
      <w:r>
        <w:t>L</w:t>
      </w:r>
      <w:r w:rsidR="00AF7A68">
        <w:t>earner (EL)</w:t>
      </w:r>
      <w:r>
        <w:t xml:space="preserve"> students</w:t>
      </w:r>
      <w:r w:rsidR="00AF7A68">
        <w:t xml:space="preserve"> and former EL students</w:t>
      </w:r>
      <w:r>
        <w:t>. In 2016, the school was in the 25</w:t>
      </w:r>
      <w:r w:rsidRPr="00701545">
        <w:rPr>
          <w:vertAlign w:val="superscript"/>
        </w:rPr>
        <w:t>th</w:t>
      </w:r>
      <w:r>
        <w:t xml:space="preserve"> percentile.</w:t>
      </w:r>
    </w:p>
    <w:p w:rsidR="00AF7A68" w:rsidRDefault="00AF7A68" w:rsidP="007B492D">
      <w:pPr>
        <w:pStyle w:val="ListParagraph"/>
        <w:numPr>
          <w:ilvl w:val="0"/>
          <w:numId w:val="22"/>
        </w:numPr>
        <w:ind w:left="360"/>
      </w:pPr>
      <w:r>
        <w:t>The school met its P</w:t>
      </w:r>
      <w:r w:rsidR="004F42EF">
        <w:t>rogress and Performance Index (P</w:t>
      </w:r>
      <w:r>
        <w:t>PI</w:t>
      </w:r>
      <w:r w:rsidR="004F42EF">
        <w:t>)</w:t>
      </w:r>
      <w:r>
        <w:t xml:space="preserve"> targets in 2015, declined in 2016, and improved below target for its Cumulative PPI in 2016.</w:t>
      </w:r>
    </w:p>
    <w:p w:rsidR="00AF7A68" w:rsidRDefault="004F42EF" w:rsidP="007B492D">
      <w:pPr>
        <w:pStyle w:val="ListParagraph"/>
        <w:numPr>
          <w:ilvl w:val="0"/>
          <w:numId w:val="22"/>
        </w:numPr>
        <w:ind w:left="360"/>
      </w:pPr>
      <w:r>
        <w:t>In 2017, DLA administered the Next-G</w:t>
      </w:r>
      <w:r w:rsidR="00AF7A68" w:rsidRPr="00AF7A68">
        <w:t xml:space="preserve">eneration MCAS in </w:t>
      </w:r>
      <w:r w:rsidR="002926EC">
        <w:t>English language arts (</w:t>
      </w:r>
      <w:r w:rsidR="00AF7A68" w:rsidRPr="00AF7A68">
        <w:t>ELA</w:t>
      </w:r>
      <w:r w:rsidR="002926EC">
        <w:t>)</w:t>
      </w:r>
      <w:r w:rsidR="00AF7A68" w:rsidRPr="00AF7A68">
        <w:t xml:space="preserve"> and mathematics in grades 6 through 8 and therefore has no level in 2017. </w:t>
      </w:r>
    </w:p>
    <w:p w:rsidR="00AF7A68" w:rsidRDefault="00AF7A68" w:rsidP="007B492D">
      <w:pPr>
        <w:pStyle w:val="ListParagraph"/>
        <w:numPr>
          <w:ilvl w:val="0"/>
          <w:numId w:val="22"/>
        </w:numPr>
        <w:ind w:left="360"/>
      </w:pPr>
      <w:r w:rsidRPr="00AF7A68">
        <w:t xml:space="preserve">In 2017, 34 percent of DLA students in grades 6 through 8 met or exceeded expectations on the </w:t>
      </w:r>
      <w:r w:rsidR="004F42EF">
        <w:t>Next-G</w:t>
      </w:r>
      <w:r w:rsidR="004F42EF" w:rsidRPr="00AF7A68">
        <w:t xml:space="preserve">eneration </w:t>
      </w:r>
      <w:r w:rsidRPr="00AF7A68">
        <w:t xml:space="preserve">MCAS in ELA, below the state average of 49 percent. </w:t>
      </w:r>
      <w:r>
        <w:t>The school performed above its sending district, Boston Public Schools (BPS), which had an average of 31 percent</w:t>
      </w:r>
      <w:r w:rsidR="00B134D2">
        <w:t xml:space="preserve"> meeting or exceeding expectations</w:t>
      </w:r>
      <w:r>
        <w:t>.</w:t>
      </w:r>
    </w:p>
    <w:p w:rsidR="00AF7A68" w:rsidRPr="00AF7A68" w:rsidRDefault="00AF7A68" w:rsidP="007B492D">
      <w:pPr>
        <w:pStyle w:val="ListParagraph"/>
        <w:numPr>
          <w:ilvl w:val="0"/>
          <w:numId w:val="22"/>
        </w:numPr>
        <w:ind w:left="360"/>
      </w:pPr>
      <w:r w:rsidRPr="00AF7A68">
        <w:t xml:space="preserve">In mathematics, 19 percent of students in grades 6 through 8 met or exceeded expectations on the </w:t>
      </w:r>
      <w:r w:rsidR="004F42EF">
        <w:t>Next-G</w:t>
      </w:r>
      <w:r w:rsidR="004F42EF" w:rsidRPr="00AF7A68">
        <w:t xml:space="preserve">eneration </w:t>
      </w:r>
      <w:r w:rsidRPr="00AF7A68">
        <w:t xml:space="preserve">MCAS, below the state average of 48 percent. </w:t>
      </w:r>
      <w:r>
        <w:t xml:space="preserve">The school performed below BPS, where 31 percent of students </w:t>
      </w:r>
      <w:r w:rsidR="00080A39">
        <w:t>met or exceeded expectations.</w:t>
      </w:r>
    </w:p>
    <w:p w:rsidR="00AF7A68" w:rsidRDefault="00AF7A68" w:rsidP="007B492D">
      <w:pPr>
        <w:pStyle w:val="ListParagraph"/>
        <w:numPr>
          <w:ilvl w:val="0"/>
          <w:numId w:val="22"/>
        </w:numPr>
        <w:ind w:left="360"/>
      </w:pPr>
      <w:r w:rsidRPr="00AF7A68">
        <w:t xml:space="preserve">In 2017, DLA administered the legacy MCAS in science and technology/engineering for grade 8. In science and technology/engineering in grade 8, 6 percent of students earned proficient or advanced on the legacy MCAS, below the state average of 40 percent. </w:t>
      </w:r>
      <w:r>
        <w:t>The school performed below BPS, where 15 percent of 8</w:t>
      </w:r>
      <w:r w:rsidRPr="00D65BFB">
        <w:rPr>
          <w:vertAlign w:val="superscript"/>
        </w:rPr>
        <w:t>th</w:t>
      </w:r>
      <w:r>
        <w:t xml:space="preserve"> graders scored proficient or advanced.</w:t>
      </w:r>
    </w:p>
    <w:p w:rsidR="006D0972" w:rsidRDefault="004F42EF" w:rsidP="007B492D">
      <w:pPr>
        <w:pStyle w:val="ListParagraph"/>
        <w:numPr>
          <w:ilvl w:val="0"/>
          <w:numId w:val="22"/>
        </w:numPr>
        <w:ind w:left="360"/>
      </w:pPr>
      <w:r>
        <w:t xml:space="preserve">As noted in the </w:t>
      </w:r>
      <w:r w:rsidR="002926EC">
        <w:t xml:space="preserve">composite performance index (CPI) charts below, during the current charter term, CPI scores have declined in all subject areas: ELA, mathematics, and science and technology/engineering. </w:t>
      </w:r>
    </w:p>
    <w:p w:rsidR="00D06463" w:rsidRDefault="00D06463">
      <w:pPr>
        <w:widowControl/>
        <w:rPr>
          <w:snapToGrid/>
          <w:szCs w:val="24"/>
        </w:rPr>
      </w:pPr>
      <w:r>
        <w:br w:type="page"/>
      </w:r>
    </w:p>
    <w:p w:rsidR="00671E2E" w:rsidRDefault="00671E2E" w:rsidP="00C44B5C">
      <w:pPr>
        <w:pStyle w:val="ListParagraph"/>
        <w:shd w:val="clear" w:color="auto" w:fill="EEECE1"/>
        <w:ind w:left="0"/>
        <w:jc w:val="center"/>
        <w:rPr>
          <w:b/>
          <w:color w:val="000000"/>
          <w:sz w:val="28"/>
        </w:rPr>
      </w:pPr>
      <w:r w:rsidRPr="008D6942">
        <w:rPr>
          <w:b/>
          <w:color w:val="000000"/>
          <w:sz w:val="28"/>
        </w:rPr>
        <w:lastRenderedPageBreak/>
        <w:t>ELA CPI Chart</w:t>
      </w:r>
    </w:p>
    <w:p w:rsidR="006D0972" w:rsidRDefault="006D0972">
      <w:pPr>
        <w:widowControl/>
      </w:pPr>
    </w:p>
    <w:p w:rsidR="006D0972" w:rsidRDefault="00660EF6">
      <w:pPr>
        <w:widowControl/>
        <w:jc w:val="center"/>
      </w:pPr>
      <w:r>
        <w:rPr>
          <w:noProof/>
          <w:snapToGrid/>
          <w:lang w:eastAsia="zh-CN"/>
        </w:rPr>
        <w:drawing>
          <wp:inline distT="0" distB="0" distL="0" distR="0">
            <wp:extent cx="4554220" cy="3133725"/>
            <wp:effectExtent l="19050" t="0" r="0" b="0"/>
            <wp:docPr id="7" name="Picture 3" descr="http://profiles.doe.mass.edu/mcas/achievement_level.aspx?linkid=32&amp;orgcode=04190305&amp;orgtypecode=6&a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554220" cy="3133725"/>
                    </a:xfrm>
                    <a:prstGeom prst="rect">
                      <a:avLst/>
                    </a:prstGeom>
                    <a:noFill/>
                  </pic:spPr>
                </pic:pic>
              </a:graphicData>
            </a:graphic>
          </wp:inline>
        </w:drawing>
      </w:r>
    </w:p>
    <w:p w:rsidR="009A34AF" w:rsidRDefault="009A34AF">
      <w:pPr>
        <w:widowControl/>
        <w:jc w:val="center"/>
      </w:pPr>
    </w:p>
    <w:p w:rsidR="00671E2E" w:rsidRDefault="00671E2E" w:rsidP="00C44B5C">
      <w:pPr>
        <w:pStyle w:val="ListParagraph"/>
        <w:shd w:val="clear" w:color="auto" w:fill="EEECE1"/>
        <w:ind w:left="0"/>
        <w:jc w:val="center"/>
        <w:rPr>
          <w:b/>
          <w:color w:val="000000"/>
          <w:sz w:val="28"/>
        </w:rPr>
      </w:pPr>
      <w:r>
        <w:rPr>
          <w:b/>
          <w:color w:val="000000"/>
          <w:sz w:val="28"/>
        </w:rPr>
        <w:t>Mathematics</w:t>
      </w:r>
      <w:r w:rsidRPr="008D6942">
        <w:rPr>
          <w:b/>
          <w:color w:val="000000"/>
          <w:sz w:val="28"/>
        </w:rPr>
        <w:t xml:space="preserve"> CPI Chart</w:t>
      </w:r>
    </w:p>
    <w:p w:rsidR="006D0972" w:rsidRDefault="006D0972">
      <w:pPr>
        <w:widowControl/>
        <w:jc w:val="center"/>
      </w:pPr>
    </w:p>
    <w:p w:rsidR="006D0972" w:rsidRDefault="00660EF6">
      <w:pPr>
        <w:widowControl/>
        <w:jc w:val="center"/>
      </w:pPr>
      <w:r>
        <w:rPr>
          <w:noProof/>
          <w:snapToGrid/>
          <w:lang w:eastAsia="zh-CN"/>
        </w:rPr>
        <w:drawing>
          <wp:inline distT="0" distB="0" distL="0" distR="0">
            <wp:extent cx="4554220" cy="3133725"/>
            <wp:effectExtent l="19050" t="0" r="0" b="0"/>
            <wp:docPr id="9" name="Picture 4" descr="http://profiles.doe.mass.edu/mcas/achievement_level.aspx?linkid=32&amp;orgcode=04190305&amp;orgtypecode=6&a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554220" cy="3133725"/>
                    </a:xfrm>
                    <a:prstGeom prst="rect">
                      <a:avLst/>
                    </a:prstGeom>
                    <a:noFill/>
                  </pic:spPr>
                </pic:pic>
              </a:graphicData>
            </a:graphic>
          </wp:inline>
        </w:drawing>
      </w:r>
    </w:p>
    <w:p w:rsidR="00D06463" w:rsidRDefault="00D06463">
      <w:pPr>
        <w:widowControl/>
      </w:pPr>
      <w:r>
        <w:br w:type="page"/>
      </w:r>
    </w:p>
    <w:p w:rsidR="00671E2E" w:rsidRDefault="00671E2E" w:rsidP="00C44B5C">
      <w:pPr>
        <w:pStyle w:val="ListParagraph"/>
        <w:shd w:val="clear" w:color="auto" w:fill="EEECE1"/>
        <w:ind w:left="0"/>
        <w:jc w:val="center"/>
        <w:rPr>
          <w:b/>
          <w:color w:val="000000"/>
          <w:sz w:val="28"/>
        </w:rPr>
      </w:pPr>
      <w:r>
        <w:rPr>
          <w:b/>
          <w:color w:val="000000"/>
          <w:sz w:val="28"/>
        </w:rPr>
        <w:lastRenderedPageBreak/>
        <w:t>Science</w:t>
      </w:r>
      <w:r w:rsidRPr="008D6942">
        <w:rPr>
          <w:b/>
          <w:color w:val="000000"/>
          <w:sz w:val="28"/>
        </w:rPr>
        <w:t xml:space="preserve"> CPI Chart</w:t>
      </w:r>
    </w:p>
    <w:p w:rsidR="006D0972" w:rsidRDefault="006D0972" w:rsidP="00F4209F">
      <w:pPr>
        <w:widowControl/>
      </w:pPr>
    </w:p>
    <w:p w:rsidR="00E532A9" w:rsidRDefault="00F26951">
      <w:pPr>
        <w:widowControl/>
        <w:jc w:val="center"/>
      </w:pPr>
      <w:r>
        <w:rPr>
          <w:noProof/>
          <w:snapToGrid/>
          <w:lang w:eastAsia="zh-CN"/>
        </w:rPr>
        <w:drawing>
          <wp:inline distT="0" distB="0" distL="0" distR="0">
            <wp:extent cx="4559935" cy="3133725"/>
            <wp:effectExtent l="19050" t="0" r="0" b="0"/>
            <wp:docPr id="13" name="Picture 6" descr="http://profiles.doe.mass.edu/mcas/achievement_level.aspx?linkid=32&amp;orgcode=04190305&amp;orgtypecode=6&a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559935" cy="3133725"/>
                    </a:xfrm>
                    <a:prstGeom prst="rect">
                      <a:avLst/>
                    </a:prstGeom>
                    <a:noFill/>
                  </pic:spPr>
                </pic:pic>
              </a:graphicData>
            </a:graphic>
          </wp:inline>
        </w:drawing>
      </w:r>
    </w:p>
    <w:p w:rsidR="00660EF6" w:rsidRDefault="00660EF6">
      <w:pPr>
        <w:widowControl/>
        <w:jc w:val="center"/>
      </w:pPr>
    </w:p>
    <w:p w:rsidR="006D0972" w:rsidRDefault="00647130">
      <w:pPr>
        <w:widowControl/>
        <w:rPr>
          <w:szCs w:val="24"/>
        </w:rPr>
      </w:pPr>
      <w:r>
        <w:rPr>
          <w:szCs w:val="24"/>
        </w:rPr>
        <w:t>H</w:t>
      </w:r>
      <w:r w:rsidR="00117053" w:rsidRPr="00DB1DA7">
        <w:rPr>
          <w:szCs w:val="24"/>
        </w:rPr>
        <w:t xml:space="preserve">istorical </w:t>
      </w:r>
      <w:r w:rsidR="000F7649">
        <w:rPr>
          <w:szCs w:val="24"/>
        </w:rPr>
        <w:t>student growth percentile (</w:t>
      </w:r>
      <w:r w:rsidR="00117053" w:rsidRPr="00DB1DA7">
        <w:rPr>
          <w:szCs w:val="24"/>
        </w:rPr>
        <w:t>SGP</w:t>
      </w:r>
      <w:r w:rsidR="000F7649">
        <w:rPr>
          <w:szCs w:val="24"/>
        </w:rPr>
        <w:t>)</w:t>
      </w:r>
      <w:r w:rsidR="00117053" w:rsidRPr="00DB1DA7">
        <w:rPr>
          <w:szCs w:val="24"/>
        </w:rPr>
        <w:t xml:space="preserve"> data is displayed in the chart </w:t>
      </w:r>
      <w:r w:rsidR="003301E0">
        <w:rPr>
          <w:szCs w:val="24"/>
        </w:rPr>
        <w:t>that follows</w:t>
      </w:r>
      <w:r w:rsidR="00117053" w:rsidRPr="00DB1DA7">
        <w:rPr>
          <w:szCs w:val="24"/>
        </w:rPr>
        <w:t>.</w:t>
      </w:r>
      <w:r w:rsidR="00117053">
        <w:rPr>
          <w:szCs w:val="24"/>
        </w:rPr>
        <w:t xml:space="preserve"> </w:t>
      </w:r>
      <w:r w:rsidR="002926EC">
        <w:rPr>
          <w:szCs w:val="24"/>
        </w:rPr>
        <w:t xml:space="preserve">Growth scores have been variable by year and subject area. </w:t>
      </w:r>
    </w:p>
    <w:p w:rsidR="006D0972" w:rsidRDefault="006D0972">
      <w:pPr>
        <w:widowControl/>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170"/>
        <w:gridCol w:w="783"/>
        <w:gridCol w:w="783"/>
        <w:gridCol w:w="785"/>
        <w:gridCol w:w="783"/>
      </w:tblGrid>
      <w:tr w:rsidR="00117053" w:rsidRPr="00DB1DA7">
        <w:tc>
          <w:tcPr>
            <w:tcW w:w="0" w:type="auto"/>
            <w:gridSpan w:val="6"/>
            <w:shd w:val="clear" w:color="auto" w:fill="EEECE1" w:themeFill="background2"/>
            <w:vAlign w:val="center"/>
          </w:tcPr>
          <w:p w:rsidR="006D0972" w:rsidRDefault="00701545" w:rsidP="00701545">
            <w:pPr>
              <w:widowControl/>
              <w:jc w:val="center"/>
              <w:rPr>
                <w:b/>
                <w:bCs/>
                <w:szCs w:val="24"/>
              </w:rPr>
            </w:pPr>
            <w:r>
              <w:rPr>
                <w:b/>
                <w:bCs/>
                <w:szCs w:val="24"/>
              </w:rPr>
              <w:t>DLA</w:t>
            </w:r>
            <w:r w:rsidR="00117053" w:rsidRPr="00DB1DA7">
              <w:rPr>
                <w:b/>
                <w:bCs/>
                <w:szCs w:val="24"/>
              </w:rPr>
              <w:t xml:space="preserve"> Median Student Growth Percentile </w:t>
            </w:r>
          </w:p>
        </w:tc>
      </w:tr>
      <w:tr w:rsidR="00117053" w:rsidRPr="00DB1DA7">
        <w:tc>
          <w:tcPr>
            <w:tcW w:w="2294" w:type="dxa"/>
            <w:gridSpan w:val="2"/>
            <w:shd w:val="clear" w:color="auto" w:fill="EEECE1" w:themeFill="background2"/>
            <w:vAlign w:val="center"/>
          </w:tcPr>
          <w:p w:rsidR="006D0972" w:rsidRDefault="00117053">
            <w:pPr>
              <w:widowControl/>
              <w:jc w:val="center"/>
              <w:rPr>
                <w:b/>
                <w:bCs/>
                <w:szCs w:val="24"/>
              </w:rPr>
            </w:pPr>
            <w:r w:rsidRPr="00DB1DA7">
              <w:rPr>
                <w:b/>
                <w:bCs/>
                <w:szCs w:val="24"/>
              </w:rPr>
              <w:t>Year</w:t>
            </w:r>
          </w:p>
        </w:tc>
        <w:tc>
          <w:tcPr>
            <w:tcW w:w="783" w:type="dxa"/>
            <w:shd w:val="clear" w:color="auto" w:fill="EEECE1" w:themeFill="background2"/>
          </w:tcPr>
          <w:p w:rsidR="006D0972" w:rsidRDefault="00117053">
            <w:pPr>
              <w:widowControl/>
              <w:jc w:val="center"/>
              <w:rPr>
                <w:b/>
                <w:bCs/>
                <w:szCs w:val="24"/>
              </w:rPr>
            </w:pPr>
            <w:r w:rsidRPr="00DB1DA7">
              <w:rPr>
                <w:b/>
                <w:bCs/>
                <w:szCs w:val="24"/>
              </w:rPr>
              <w:t>2014</w:t>
            </w:r>
          </w:p>
        </w:tc>
        <w:tc>
          <w:tcPr>
            <w:tcW w:w="783" w:type="dxa"/>
            <w:shd w:val="clear" w:color="auto" w:fill="EEECE1" w:themeFill="background2"/>
          </w:tcPr>
          <w:p w:rsidR="006D0972" w:rsidRDefault="00117053">
            <w:pPr>
              <w:widowControl/>
              <w:jc w:val="center"/>
              <w:rPr>
                <w:b/>
                <w:bCs/>
                <w:szCs w:val="24"/>
              </w:rPr>
            </w:pPr>
            <w:r w:rsidRPr="00DB1DA7">
              <w:rPr>
                <w:b/>
                <w:bCs/>
                <w:szCs w:val="24"/>
              </w:rPr>
              <w:t>2015</w:t>
            </w:r>
          </w:p>
        </w:tc>
        <w:tc>
          <w:tcPr>
            <w:tcW w:w="785" w:type="dxa"/>
            <w:shd w:val="clear" w:color="auto" w:fill="EEECE1" w:themeFill="background2"/>
          </w:tcPr>
          <w:p w:rsidR="006D0972" w:rsidRDefault="00117053">
            <w:pPr>
              <w:widowControl/>
              <w:jc w:val="center"/>
              <w:rPr>
                <w:b/>
                <w:bCs/>
                <w:szCs w:val="24"/>
              </w:rPr>
            </w:pPr>
            <w:r w:rsidRPr="00DB1DA7">
              <w:rPr>
                <w:b/>
                <w:bCs/>
                <w:szCs w:val="24"/>
              </w:rPr>
              <w:t>2016</w:t>
            </w:r>
          </w:p>
        </w:tc>
        <w:tc>
          <w:tcPr>
            <w:tcW w:w="783" w:type="dxa"/>
            <w:shd w:val="clear" w:color="auto" w:fill="EEECE1" w:themeFill="background2"/>
          </w:tcPr>
          <w:p w:rsidR="006D0972" w:rsidRDefault="00117053" w:rsidP="00D40431">
            <w:pPr>
              <w:widowControl/>
              <w:jc w:val="center"/>
              <w:rPr>
                <w:b/>
                <w:bCs/>
                <w:szCs w:val="24"/>
              </w:rPr>
            </w:pPr>
            <w:r w:rsidRPr="00DB1DA7">
              <w:rPr>
                <w:b/>
                <w:bCs/>
                <w:szCs w:val="24"/>
              </w:rPr>
              <w:t>2017</w:t>
            </w:r>
            <w:r w:rsidR="00D40431">
              <w:rPr>
                <w:b/>
                <w:bCs/>
                <w:szCs w:val="24"/>
              </w:rPr>
              <w:t xml:space="preserve"> </w:t>
            </w:r>
          </w:p>
        </w:tc>
      </w:tr>
      <w:tr w:rsidR="00117053" w:rsidRPr="00DB1DA7">
        <w:tc>
          <w:tcPr>
            <w:tcW w:w="0" w:type="auto"/>
            <w:vMerge w:val="restart"/>
            <w:shd w:val="clear" w:color="auto" w:fill="EEECE1" w:themeFill="background2"/>
            <w:vAlign w:val="center"/>
          </w:tcPr>
          <w:p w:rsidR="006D0972" w:rsidRDefault="00117053">
            <w:pPr>
              <w:widowControl/>
              <w:rPr>
                <w:b/>
                <w:bCs/>
                <w:szCs w:val="24"/>
              </w:rPr>
            </w:pPr>
            <w:r w:rsidRPr="00DB1DA7">
              <w:rPr>
                <w:b/>
                <w:bCs/>
                <w:szCs w:val="24"/>
              </w:rPr>
              <w:t>ELA SGP</w:t>
            </w:r>
          </w:p>
        </w:tc>
        <w:tc>
          <w:tcPr>
            <w:tcW w:w="1170" w:type="dxa"/>
          </w:tcPr>
          <w:p w:rsidR="006D0972" w:rsidRDefault="00117053">
            <w:pPr>
              <w:widowControl/>
              <w:jc w:val="center"/>
              <w:rPr>
                <w:bCs/>
                <w:szCs w:val="24"/>
              </w:rPr>
            </w:pPr>
            <w:r w:rsidRPr="00DB1DA7">
              <w:rPr>
                <w:bCs/>
                <w:szCs w:val="24"/>
              </w:rPr>
              <w:t>All</w:t>
            </w:r>
          </w:p>
        </w:tc>
        <w:tc>
          <w:tcPr>
            <w:tcW w:w="783" w:type="dxa"/>
            <w:vAlign w:val="center"/>
          </w:tcPr>
          <w:p w:rsidR="006D0972" w:rsidRDefault="00C06BDC">
            <w:pPr>
              <w:widowControl/>
              <w:jc w:val="center"/>
              <w:rPr>
                <w:bCs/>
                <w:szCs w:val="24"/>
              </w:rPr>
            </w:pPr>
            <w:r>
              <w:rPr>
                <w:bCs/>
                <w:szCs w:val="24"/>
              </w:rPr>
              <w:t>58</w:t>
            </w:r>
          </w:p>
        </w:tc>
        <w:tc>
          <w:tcPr>
            <w:tcW w:w="783" w:type="dxa"/>
            <w:vAlign w:val="center"/>
          </w:tcPr>
          <w:p w:rsidR="006D0972" w:rsidRDefault="00C06BDC">
            <w:pPr>
              <w:widowControl/>
              <w:jc w:val="center"/>
              <w:rPr>
                <w:bCs/>
                <w:szCs w:val="24"/>
              </w:rPr>
            </w:pPr>
            <w:r>
              <w:rPr>
                <w:bCs/>
                <w:szCs w:val="24"/>
              </w:rPr>
              <w:t>53.5</w:t>
            </w:r>
          </w:p>
        </w:tc>
        <w:tc>
          <w:tcPr>
            <w:tcW w:w="785" w:type="dxa"/>
            <w:vAlign w:val="center"/>
          </w:tcPr>
          <w:p w:rsidR="006D0972" w:rsidRDefault="00675954">
            <w:pPr>
              <w:widowControl/>
              <w:jc w:val="center"/>
              <w:rPr>
                <w:bCs/>
                <w:szCs w:val="24"/>
              </w:rPr>
            </w:pPr>
            <w:r>
              <w:rPr>
                <w:bCs/>
                <w:szCs w:val="24"/>
              </w:rPr>
              <w:t>42</w:t>
            </w:r>
          </w:p>
        </w:tc>
        <w:tc>
          <w:tcPr>
            <w:tcW w:w="783" w:type="dxa"/>
            <w:vAlign w:val="center"/>
          </w:tcPr>
          <w:p w:rsidR="006D0972" w:rsidRDefault="00F26951">
            <w:pPr>
              <w:widowControl/>
              <w:jc w:val="center"/>
              <w:rPr>
                <w:bCs/>
                <w:szCs w:val="24"/>
              </w:rPr>
            </w:pPr>
            <w:r>
              <w:rPr>
                <w:bCs/>
                <w:szCs w:val="24"/>
              </w:rPr>
              <w:t>61</w:t>
            </w:r>
          </w:p>
        </w:tc>
      </w:tr>
      <w:tr w:rsidR="00117053" w:rsidRPr="00DB1DA7">
        <w:tc>
          <w:tcPr>
            <w:tcW w:w="0" w:type="auto"/>
            <w:vMerge/>
            <w:shd w:val="clear" w:color="auto" w:fill="EEECE1" w:themeFill="background2"/>
            <w:vAlign w:val="center"/>
          </w:tcPr>
          <w:p w:rsidR="006D0972" w:rsidRDefault="006D0972">
            <w:pPr>
              <w:widowControl/>
              <w:rPr>
                <w:b/>
                <w:bCs/>
                <w:szCs w:val="24"/>
              </w:rPr>
            </w:pPr>
          </w:p>
        </w:tc>
        <w:tc>
          <w:tcPr>
            <w:tcW w:w="1170" w:type="dxa"/>
          </w:tcPr>
          <w:p w:rsidR="006D0972" w:rsidRDefault="00117053">
            <w:pPr>
              <w:widowControl/>
              <w:jc w:val="center"/>
              <w:rPr>
                <w:bCs/>
                <w:szCs w:val="24"/>
              </w:rPr>
            </w:pPr>
            <w:r w:rsidRPr="00DB1DA7">
              <w:rPr>
                <w:bCs/>
                <w:szCs w:val="24"/>
              </w:rPr>
              <w:t>High needs</w:t>
            </w:r>
          </w:p>
        </w:tc>
        <w:tc>
          <w:tcPr>
            <w:tcW w:w="783" w:type="dxa"/>
            <w:vAlign w:val="center"/>
          </w:tcPr>
          <w:p w:rsidR="006D0972" w:rsidRDefault="00C06BDC">
            <w:pPr>
              <w:widowControl/>
              <w:jc w:val="center"/>
              <w:rPr>
                <w:bCs/>
                <w:szCs w:val="24"/>
              </w:rPr>
            </w:pPr>
            <w:r>
              <w:rPr>
                <w:bCs/>
                <w:szCs w:val="24"/>
              </w:rPr>
              <w:t>58</w:t>
            </w:r>
          </w:p>
        </w:tc>
        <w:tc>
          <w:tcPr>
            <w:tcW w:w="783" w:type="dxa"/>
            <w:vAlign w:val="center"/>
          </w:tcPr>
          <w:p w:rsidR="006D0972" w:rsidRDefault="00C06BDC">
            <w:pPr>
              <w:widowControl/>
              <w:jc w:val="center"/>
              <w:rPr>
                <w:bCs/>
                <w:szCs w:val="24"/>
              </w:rPr>
            </w:pPr>
            <w:r>
              <w:rPr>
                <w:bCs/>
                <w:szCs w:val="24"/>
              </w:rPr>
              <w:t>54</w:t>
            </w:r>
          </w:p>
        </w:tc>
        <w:tc>
          <w:tcPr>
            <w:tcW w:w="785" w:type="dxa"/>
            <w:vAlign w:val="center"/>
          </w:tcPr>
          <w:p w:rsidR="006D0972" w:rsidRDefault="00675954">
            <w:pPr>
              <w:widowControl/>
              <w:jc w:val="center"/>
              <w:rPr>
                <w:bCs/>
                <w:szCs w:val="24"/>
              </w:rPr>
            </w:pPr>
            <w:r>
              <w:rPr>
                <w:bCs/>
                <w:szCs w:val="24"/>
              </w:rPr>
              <w:t>42</w:t>
            </w:r>
          </w:p>
        </w:tc>
        <w:tc>
          <w:tcPr>
            <w:tcW w:w="783" w:type="dxa"/>
            <w:vAlign w:val="center"/>
          </w:tcPr>
          <w:p w:rsidR="006D0972" w:rsidRDefault="00675954">
            <w:pPr>
              <w:widowControl/>
              <w:jc w:val="center"/>
              <w:rPr>
                <w:bCs/>
                <w:szCs w:val="24"/>
              </w:rPr>
            </w:pPr>
            <w:r>
              <w:rPr>
                <w:bCs/>
                <w:szCs w:val="24"/>
              </w:rPr>
              <w:t>61.5</w:t>
            </w:r>
          </w:p>
        </w:tc>
      </w:tr>
      <w:tr w:rsidR="00117053" w:rsidRPr="00DB1DA7">
        <w:tc>
          <w:tcPr>
            <w:tcW w:w="0" w:type="auto"/>
            <w:vMerge w:val="restart"/>
            <w:shd w:val="clear" w:color="auto" w:fill="EEECE1" w:themeFill="background2"/>
            <w:vAlign w:val="center"/>
          </w:tcPr>
          <w:p w:rsidR="006D0972" w:rsidRDefault="00117053">
            <w:pPr>
              <w:widowControl/>
              <w:rPr>
                <w:b/>
                <w:bCs/>
                <w:szCs w:val="24"/>
              </w:rPr>
            </w:pPr>
            <w:r w:rsidRPr="00DB1DA7">
              <w:rPr>
                <w:b/>
                <w:bCs/>
                <w:szCs w:val="24"/>
              </w:rPr>
              <w:t>Math SGP</w:t>
            </w:r>
          </w:p>
        </w:tc>
        <w:tc>
          <w:tcPr>
            <w:tcW w:w="1170" w:type="dxa"/>
          </w:tcPr>
          <w:p w:rsidR="006D0972" w:rsidRDefault="00117053">
            <w:pPr>
              <w:widowControl/>
              <w:jc w:val="center"/>
              <w:rPr>
                <w:bCs/>
                <w:szCs w:val="24"/>
              </w:rPr>
            </w:pPr>
            <w:r w:rsidRPr="00DB1DA7">
              <w:rPr>
                <w:bCs/>
                <w:szCs w:val="24"/>
              </w:rPr>
              <w:t xml:space="preserve">All </w:t>
            </w:r>
          </w:p>
        </w:tc>
        <w:tc>
          <w:tcPr>
            <w:tcW w:w="783" w:type="dxa"/>
            <w:vAlign w:val="center"/>
          </w:tcPr>
          <w:p w:rsidR="006D0972" w:rsidRDefault="00C06BDC">
            <w:pPr>
              <w:widowControl/>
              <w:jc w:val="center"/>
              <w:rPr>
                <w:bCs/>
                <w:szCs w:val="24"/>
              </w:rPr>
            </w:pPr>
            <w:r>
              <w:rPr>
                <w:bCs/>
                <w:szCs w:val="24"/>
              </w:rPr>
              <w:t>63</w:t>
            </w:r>
          </w:p>
        </w:tc>
        <w:tc>
          <w:tcPr>
            <w:tcW w:w="783" w:type="dxa"/>
            <w:vAlign w:val="center"/>
          </w:tcPr>
          <w:p w:rsidR="006D0972" w:rsidRDefault="00C06BDC">
            <w:pPr>
              <w:widowControl/>
              <w:jc w:val="center"/>
              <w:rPr>
                <w:bCs/>
                <w:szCs w:val="24"/>
              </w:rPr>
            </w:pPr>
            <w:r>
              <w:rPr>
                <w:bCs/>
                <w:szCs w:val="24"/>
              </w:rPr>
              <w:t>63</w:t>
            </w:r>
          </w:p>
        </w:tc>
        <w:tc>
          <w:tcPr>
            <w:tcW w:w="785" w:type="dxa"/>
            <w:vAlign w:val="center"/>
          </w:tcPr>
          <w:p w:rsidR="006D0972" w:rsidRDefault="00C06BDC">
            <w:pPr>
              <w:widowControl/>
              <w:jc w:val="center"/>
              <w:rPr>
                <w:bCs/>
                <w:szCs w:val="24"/>
              </w:rPr>
            </w:pPr>
            <w:r>
              <w:rPr>
                <w:bCs/>
                <w:szCs w:val="24"/>
              </w:rPr>
              <w:t>47</w:t>
            </w:r>
          </w:p>
        </w:tc>
        <w:tc>
          <w:tcPr>
            <w:tcW w:w="783" w:type="dxa"/>
            <w:vAlign w:val="center"/>
          </w:tcPr>
          <w:p w:rsidR="006D0972" w:rsidRDefault="00F26951">
            <w:pPr>
              <w:widowControl/>
              <w:jc w:val="center"/>
              <w:rPr>
                <w:bCs/>
                <w:szCs w:val="24"/>
              </w:rPr>
            </w:pPr>
            <w:r>
              <w:rPr>
                <w:bCs/>
                <w:szCs w:val="24"/>
              </w:rPr>
              <w:t>42</w:t>
            </w:r>
          </w:p>
        </w:tc>
      </w:tr>
      <w:tr w:rsidR="00117053" w:rsidRPr="00DB1DA7">
        <w:tc>
          <w:tcPr>
            <w:tcW w:w="0" w:type="auto"/>
            <w:vMerge/>
            <w:shd w:val="clear" w:color="auto" w:fill="EEECE1" w:themeFill="background2"/>
            <w:vAlign w:val="center"/>
          </w:tcPr>
          <w:p w:rsidR="006D0972" w:rsidRDefault="006D0972">
            <w:pPr>
              <w:widowControl/>
              <w:rPr>
                <w:b/>
                <w:bCs/>
                <w:szCs w:val="24"/>
              </w:rPr>
            </w:pPr>
          </w:p>
        </w:tc>
        <w:tc>
          <w:tcPr>
            <w:tcW w:w="1170" w:type="dxa"/>
          </w:tcPr>
          <w:p w:rsidR="006D0972" w:rsidRDefault="00117053">
            <w:pPr>
              <w:widowControl/>
              <w:jc w:val="center"/>
              <w:rPr>
                <w:bCs/>
                <w:szCs w:val="24"/>
              </w:rPr>
            </w:pPr>
            <w:r w:rsidRPr="00DB1DA7">
              <w:rPr>
                <w:bCs/>
                <w:szCs w:val="24"/>
              </w:rPr>
              <w:t>High needs</w:t>
            </w:r>
          </w:p>
        </w:tc>
        <w:tc>
          <w:tcPr>
            <w:tcW w:w="783" w:type="dxa"/>
            <w:vAlign w:val="center"/>
          </w:tcPr>
          <w:p w:rsidR="006D0972" w:rsidRDefault="00C06BDC">
            <w:pPr>
              <w:widowControl/>
              <w:jc w:val="center"/>
              <w:rPr>
                <w:bCs/>
                <w:szCs w:val="24"/>
              </w:rPr>
            </w:pPr>
            <w:r>
              <w:rPr>
                <w:bCs/>
                <w:szCs w:val="24"/>
              </w:rPr>
              <w:t>64</w:t>
            </w:r>
          </w:p>
        </w:tc>
        <w:tc>
          <w:tcPr>
            <w:tcW w:w="783" w:type="dxa"/>
            <w:vAlign w:val="center"/>
          </w:tcPr>
          <w:p w:rsidR="006D0972" w:rsidRDefault="00C06BDC">
            <w:pPr>
              <w:widowControl/>
              <w:jc w:val="center"/>
              <w:rPr>
                <w:bCs/>
                <w:szCs w:val="24"/>
              </w:rPr>
            </w:pPr>
            <w:r>
              <w:rPr>
                <w:bCs/>
                <w:szCs w:val="24"/>
              </w:rPr>
              <w:t>65.5</w:t>
            </w:r>
          </w:p>
        </w:tc>
        <w:tc>
          <w:tcPr>
            <w:tcW w:w="785" w:type="dxa"/>
            <w:vAlign w:val="center"/>
          </w:tcPr>
          <w:p w:rsidR="006D0972" w:rsidRDefault="00C06BDC">
            <w:pPr>
              <w:widowControl/>
              <w:jc w:val="center"/>
              <w:rPr>
                <w:bCs/>
                <w:szCs w:val="24"/>
              </w:rPr>
            </w:pPr>
            <w:r>
              <w:rPr>
                <w:bCs/>
                <w:szCs w:val="24"/>
              </w:rPr>
              <w:t>49</w:t>
            </w:r>
          </w:p>
        </w:tc>
        <w:tc>
          <w:tcPr>
            <w:tcW w:w="783" w:type="dxa"/>
            <w:vAlign w:val="center"/>
          </w:tcPr>
          <w:p w:rsidR="006D0972" w:rsidRDefault="00675954">
            <w:pPr>
              <w:widowControl/>
              <w:jc w:val="center"/>
              <w:rPr>
                <w:bCs/>
                <w:szCs w:val="24"/>
              </w:rPr>
            </w:pPr>
            <w:r>
              <w:rPr>
                <w:bCs/>
                <w:szCs w:val="24"/>
              </w:rPr>
              <w:t>44.5</w:t>
            </w:r>
          </w:p>
        </w:tc>
      </w:tr>
    </w:tbl>
    <w:p w:rsidR="006D0972" w:rsidRDefault="006D0972">
      <w:pPr>
        <w:widowControl/>
      </w:pPr>
    </w:p>
    <w:p w:rsidR="006D0972" w:rsidRDefault="00117053">
      <w:pPr>
        <w:widowControl/>
        <w:rPr>
          <w:szCs w:val="24"/>
        </w:rPr>
      </w:pPr>
      <w:r w:rsidRPr="003C1CD3">
        <w:rPr>
          <w:szCs w:val="24"/>
        </w:rPr>
        <w:t xml:space="preserve"> </w:t>
      </w:r>
    </w:p>
    <w:p w:rsidR="006D0972" w:rsidRDefault="006D0972">
      <w:pPr>
        <w:widowControl/>
        <w:rPr>
          <w:szCs w:val="24"/>
        </w:rPr>
      </w:pPr>
    </w:p>
    <w:p w:rsidR="006D0972" w:rsidRDefault="006D0972">
      <w:pPr>
        <w:widowControl/>
        <w:rPr>
          <w:szCs w:val="24"/>
        </w:rPr>
      </w:pPr>
    </w:p>
    <w:p w:rsidR="006D0972" w:rsidRDefault="006D0972">
      <w:pPr>
        <w:widowControl/>
        <w:rPr>
          <w:szCs w:val="24"/>
        </w:rPr>
      </w:pPr>
    </w:p>
    <w:p w:rsidR="006D0972" w:rsidRDefault="006D0972">
      <w:pPr>
        <w:widowControl/>
        <w:rPr>
          <w:szCs w:val="24"/>
        </w:rPr>
      </w:pPr>
    </w:p>
    <w:p w:rsidR="006D0972" w:rsidRDefault="006D0972">
      <w:pPr>
        <w:widowControl/>
        <w:rPr>
          <w:szCs w:val="24"/>
        </w:rPr>
      </w:pPr>
    </w:p>
    <w:p w:rsidR="006D0972" w:rsidRDefault="006D0972">
      <w:pPr>
        <w:widowControl/>
      </w:pPr>
    </w:p>
    <w:p w:rsidR="006D0972" w:rsidRDefault="006D0972">
      <w:pPr>
        <w:widowControl/>
      </w:pPr>
    </w:p>
    <w:p w:rsidR="006D0972" w:rsidRDefault="006D0972">
      <w:pPr>
        <w:widowControl/>
      </w:pPr>
    </w:p>
    <w:p w:rsidR="006D0972" w:rsidRDefault="00CC67B0">
      <w:pPr>
        <w:widowControl/>
        <w:rPr>
          <w:b/>
          <w:u w:val="single"/>
        </w:rPr>
      </w:pPr>
      <w:r>
        <w:rPr>
          <w:b/>
          <w:u w:val="single"/>
        </w:rPr>
        <w:t>Conditions Imposed with Probation and Charter Renewal</w:t>
      </w:r>
    </w:p>
    <w:p w:rsidR="006D0972" w:rsidRDefault="006D0972">
      <w:pPr>
        <w:widowControl/>
        <w:rPr>
          <w:b/>
          <w:u w:val="single"/>
        </w:rPr>
      </w:pPr>
    </w:p>
    <w:p w:rsidR="0071420C" w:rsidRDefault="00CC67B0" w:rsidP="00701545">
      <w:pPr>
        <w:widowControl/>
      </w:pPr>
      <w:r>
        <w:t xml:space="preserve">I recommend that the Board vote to place </w:t>
      </w:r>
      <w:r w:rsidR="00701545">
        <w:t>DLA</w:t>
      </w:r>
      <w:r>
        <w:t xml:space="preserve"> on probation and impose the conditions that follow on the school’s charter</w:t>
      </w:r>
      <w:r w:rsidR="005C6AE3">
        <w:t>.</w:t>
      </w:r>
      <w:r>
        <w:t xml:space="preserve"> </w:t>
      </w:r>
      <w:r w:rsidR="00B0076F">
        <w:t xml:space="preserve">Additional conditions may be imposed after a review of the report from the State Auditor’s Office. </w:t>
      </w:r>
    </w:p>
    <w:p w:rsidR="000E58FD" w:rsidRDefault="000E58FD" w:rsidP="00701545">
      <w:pPr>
        <w:widowControl/>
      </w:pPr>
    </w:p>
    <w:p w:rsidR="000E58FD" w:rsidRDefault="000E58FD" w:rsidP="000E58FD">
      <w:pPr>
        <w:widowControl/>
        <w:numPr>
          <w:ilvl w:val="0"/>
          <w:numId w:val="23"/>
        </w:numPr>
      </w:pPr>
      <w:r w:rsidRPr="00E41A95">
        <w:rPr>
          <w:b/>
        </w:rPr>
        <w:t>Until further notice</w:t>
      </w:r>
      <w:r>
        <w:t xml:space="preserve">, DLA must submit to the Department of Elementary and Secondary Education (Department), at </w:t>
      </w:r>
      <w:hyperlink r:id="rId21" w:history="1">
        <w:r>
          <w:rPr>
            <w:rStyle w:val="Hyperlink"/>
          </w:rPr>
          <w:t>charterschools@doe.mass.edu</w:t>
        </w:r>
      </w:hyperlink>
      <w:r>
        <w:t xml:space="preserve"> or 75 Pleasant St., Malden, MA 02148, board </w:t>
      </w:r>
      <w:r w:rsidRPr="00E41A95">
        <w:rPr>
          <w:bCs/>
        </w:rPr>
        <w:t>and committee</w:t>
      </w:r>
      <w:r>
        <w:rPr>
          <w:b/>
          <w:bCs/>
        </w:rPr>
        <w:t xml:space="preserve"> </w:t>
      </w:r>
      <w:r>
        <w:t xml:space="preserve">meeting agendas, materials, and minutes prior to each board meeting at the same time that these items are sent to the school’s board members. Additionally, if board materials do not already include this information, the school must </w:t>
      </w:r>
      <w:r>
        <w:lastRenderedPageBreak/>
        <w:t>also submit monthly financial statements.</w:t>
      </w:r>
      <w:r>
        <w:rPr>
          <w:color w:val="1F497D"/>
        </w:rPr>
        <w:t xml:space="preserve"> </w:t>
      </w:r>
      <w:r w:rsidRPr="00E41A95">
        <w:rPr>
          <w:bCs/>
        </w:rPr>
        <w:t>The documents must reflect adherence to the Open Meeting Law.</w:t>
      </w:r>
      <w:r>
        <w:rPr>
          <w:b/>
          <w:bCs/>
        </w:rPr>
        <w:t xml:space="preserve"> </w:t>
      </w:r>
    </w:p>
    <w:p w:rsidR="000E58FD" w:rsidRDefault="000E58FD" w:rsidP="000E58FD">
      <w:pPr>
        <w:widowControl/>
        <w:numPr>
          <w:ilvl w:val="0"/>
          <w:numId w:val="23"/>
        </w:numPr>
      </w:pPr>
      <w:r>
        <w:t xml:space="preserve">By </w:t>
      </w:r>
      <w:r w:rsidR="00080A39">
        <w:rPr>
          <w:b/>
          <w:bCs/>
        </w:rPr>
        <w:t>March 30</w:t>
      </w:r>
      <w:r>
        <w:rPr>
          <w:b/>
          <w:bCs/>
        </w:rPr>
        <w:t>, 2018</w:t>
      </w:r>
      <w:r>
        <w:t xml:space="preserve">, the school must establish an escrow account in an amount determined by the Department in consultation with the </w:t>
      </w:r>
      <w:r w:rsidRPr="00297F9E">
        <w:t>school</w:t>
      </w:r>
      <w:r>
        <w:t xml:space="preserve"> to pay for any potential closing, legal, and audit expenses associated with closure, should that occur.</w:t>
      </w:r>
    </w:p>
    <w:p w:rsidR="00B0076F" w:rsidRDefault="000E58FD" w:rsidP="00B0076F">
      <w:pPr>
        <w:pStyle w:val="ListParagraph"/>
        <w:numPr>
          <w:ilvl w:val="0"/>
          <w:numId w:val="23"/>
        </w:numPr>
        <w:contextualSpacing w:val="0"/>
      </w:pPr>
      <w:r>
        <w:t>By</w:t>
      </w:r>
      <w:r w:rsidRPr="00414B7E">
        <w:rPr>
          <w:b/>
          <w:bCs/>
        </w:rPr>
        <w:t xml:space="preserve"> April 18, 201</w:t>
      </w:r>
      <w:r>
        <w:rPr>
          <w:b/>
          <w:bCs/>
        </w:rPr>
        <w:t>8</w:t>
      </w:r>
      <w:r>
        <w:t>, all members of the board of trustees must participate in training on the Open Meeting Law offered by the Office of the Attorney General.</w:t>
      </w:r>
      <w:r w:rsidR="00B0076F">
        <w:t xml:space="preserve"> In addition, all members of the board of trustees must participate in training on state ethics offered by the State Ethics Commission. </w:t>
      </w:r>
      <w:r>
        <w:t xml:space="preserve"> </w:t>
      </w:r>
    </w:p>
    <w:p w:rsidR="000E58FD" w:rsidRDefault="000E58FD" w:rsidP="000E58FD">
      <w:pPr>
        <w:pStyle w:val="ListParagraph"/>
        <w:numPr>
          <w:ilvl w:val="0"/>
          <w:numId w:val="23"/>
        </w:numPr>
        <w:contextualSpacing w:val="0"/>
        <w:rPr>
          <w:rFonts w:eastAsiaTheme="minorHAnsi"/>
        </w:rPr>
      </w:pPr>
      <w:r>
        <w:t xml:space="preserve">By </w:t>
      </w:r>
      <w:r>
        <w:rPr>
          <w:b/>
          <w:bCs/>
        </w:rPr>
        <w:t>May 31, 2018</w:t>
      </w:r>
      <w:r>
        <w:t xml:space="preserve">, the board of trustees will work with the Department to obtain approval of its bylaws. </w:t>
      </w:r>
    </w:p>
    <w:p w:rsidR="000E58FD" w:rsidRDefault="000E58FD" w:rsidP="000E58FD">
      <w:pPr>
        <w:pStyle w:val="ListParagraph"/>
        <w:numPr>
          <w:ilvl w:val="0"/>
          <w:numId w:val="23"/>
        </w:numPr>
        <w:contextualSpacing w:val="0"/>
      </w:pPr>
      <w:r>
        <w:rPr>
          <w:color w:val="000000"/>
        </w:rPr>
        <w:t xml:space="preserve">By </w:t>
      </w:r>
      <w:r w:rsidRPr="00C32A88">
        <w:rPr>
          <w:b/>
          <w:color w:val="000000"/>
        </w:rPr>
        <w:t>June 1, 2018</w:t>
      </w:r>
      <w:r w:rsidRPr="00635563">
        <w:rPr>
          <w:color w:val="000000"/>
        </w:rPr>
        <w:t>, the</w:t>
      </w:r>
      <w:r>
        <w:rPr>
          <w:color w:val="000000"/>
        </w:rPr>
        <w:t xml:space="preserve"> school must submit to the Department a comprehensive evaluation of its mathematics, English language arts, and science programs. Such comprehensive evaluation must be conducted by an external consultant(s) acceptable to and approved in advance by the Department. </w:t>
      </w:r>
    </w:p>
    <w:p w:rsidR="000E58FD" w:rsidRPr="00B0076F" w:rsidRDefault="000E58FD" w:rsidP="000E58FD">
      <w:pPr>
        <w:pStyle w:val="ListParagraph"/>
        <w:numPr>
          <w:ilvl w:val="0"/>
          <w:numId w:val="23"/>
        </w:numPr>
        <w:contextualSpacing w:val="0"/>
      </w:pPr>
      <w:r>
        <w:rPr>
          <w:color w:val="000000"/>
        </w:rPr>
        <w:t xml:space="preserve">By </w:t>
      </w:r>
      <w:r w:rsidRPr="003F0952">
        <w:rPr>
          <w:b/>
          <w:color w:val="000000"/>
        </w:rPr>
        <w:t>June 29, 2018</w:t>
      </w:r>
      <w:r>
        <w:rPr>
          <w:color w:val="000000"/>
        </w:rPr>
        <w:t>, the school must submit to the Department for approval an action plan to improve academic performance. Such action plan must specify the strategies to improve mathematics, English language arts, and science performance for all student groups. The action plan must set clear and specific implementation benchmarks, with a clear timetable and deadlines for completion of key tasks sufficient to allow the school's board of trustees and the Department to monitor implementation.</w:t>
      </w:r>
    </w:p>
    <w:p w:rsidR="006A6B9F" w:rsidRPr="006A6B9F" w:rsidRDefault="006A6B9F" w:rsidP="006A6B9F">
      <w:pPr>
        <w:pStyle w:val="ListParagraph"/>
        <w:numPr>
          <w:ilvl w:val="0"/>
          <w:numId w:val="23"/>
        </w:numPr>
        <w:contextualSpacing w:val="0"/>
        <w:rPr>
          <w:rFonts w:eastAsiaTheme="minorHAnsi"/>
        </w:rPr>
      </w:pPr>
      <w:r>
        <w:t xml:space="preserve">By </w:t>
      </w:r>
      <w:r w:rsidRPr="006A6B9F">
        <w:rPr>
          <w:b/>
        </w:rPr>
        <w:t>July 1, 2018</w:t>
      </w:r>
      <w:r>
        <w:t xml:space="preserve">, the board of trustees must assess its capacity and expertise, taking into consideration current term limits for existing board members, and add membership that will allow the board to fulfill its governance duties. </w:t>
      </w:r>
    </w:p>
    <w:p w:rsidR="00B0076F" w:rsidRPr="00087BB6" w:rsidRDefault="00B0076F" w:rsidP="006A6B9F">
      <w:pPr>
        <w:pStyle w:val="ListParagraph"/>
        <w:numPr>
          <w:ilvl w:val="0"/>
          <w:numId w:val="23"/>
        </w:numPr>
      </w:pPr>
      <w:r w:rsidRPr="006A6B9F">
        <w:rPr>
          <w:color w:val="000000"/>
        </w:rPr>
        <w:t xml:space="preserve">By </w:t>
      </w:r>
      <w:r w:rsidRPr="006A6B9F">
        <w:rPr>
          <w:b/>
          <w:color w:val="000000"/>
        </w:rPr>
        <w:t>December 31, 2019</w:t>
      </w:r>
      <w:r w:rsidRPr="006A6B9F">
        <w:rPr>
          <w:color w:val="000000"/>
        </w:rPr>
        <w:t>, the school must demonstrate that it is an academic success by providing evidence that the school has exhibited significant and sustained academic improvement in mathematics, English language arts, and science.</w:t>
      </w:r>
    </w:p>
    <w:p w:rsidR="006D0972" w:rsidRDefault="006D0972">
      <w:pPr>
        <w:widowControl/>
      </w:pPr>
    </w:p>
    <w:p w:rsidR="000E58FD" w:rsidRDefault="000E58FD">
      <w:pPr>
        <w:widowControl/>
      </w:pPr>
      <w:r>
        <w:t xml:space="preserve">Should the SAO’s report contain additional evidence concerning the school’s viability, I will share that </w:t>
      </w:r>
      <w:r w:rsidR="00B134D2">
        <w:t xml:space="preserve">information </w:t>
      </w:r>
      <w:r>
        <w:t>with the Board</w:t>
      </w:r>
      <w:r w:rsidRPr="000E58FD">
        <w:t xml:space="preserve"> </w:t>
      </w:r>
      <w:r>
        <w:t xml:space="preserve">and </w:t>
      </w:r>
      <w:r w:rsidR="00612D45">
        <w:t xml:space="preserve">may </w:t>
      </w:r>
      <w:r>
        <w:t xml:space="preserve">recommend </w:t>
      </w:r>
      <w:r w:rsidR="00612D45">
        <w:t>additional</w:t>
      </w:r>
      <w:r>
        <w:t xml:space="preserve"> action with respect to the school’s charter including, but not limited to</w:t>
      </w:r>
      <w:r w:rsidR="00612D45">
        <w:t>,</w:t>
      </w:r>
      <w:r>
        <w:t xml:space="preserve"> </w:t>
      </w:r>
      <w:r w:rsidR="00612D45">
        <w:t xml:space="preserve">possible </w:t>
      </w:r>
      <w:r>
        <w:t>suspension and revocation of the school’s charter.</w:t>
      </w:r>
    </w:p>
    <w:p w:rsidR="000E58FD" w:rsidRDefault="000E58FD">
      <w:pPr>
        <w:widowControl/>
      </w:pPr>
    </w:p>
    <w:p w:rsidR="006D0972" w:rsidRDefault="00CC67B0">
      <w:pPr>
        <w:widowControl/>
      </w:pPr>
      <w:r>
        <w:t xml:space="preserve">In addition to meeting the terms of probation, </w:t>
      </w:r>
      <w:r w:rsidR="00701545">
        <w:t>DLA</w:t>
      </w:r>
      <w:r>
        <w:t xml:space="preserve">, like all charter schools, must also comply with the terms of its charter. </w:t>
      </w:r>
      <w:r w:rsidR="00BE5FBA">
        <w:t xml:space="preserve">Failure of </w:t>
      </w:r>
      <w:r w:rsidR="00701545">
        <w:t>DLA</w:t>
      </w:r>
      <w:r w:rsidR="00BE5FBA">
        <w:t xml:space="preserve"> to meet the conditions placed on renewal of its charter within the timelines specified may result in immediate suspension and revocation of the school’s charter.</w:t>
      </w:r>
      <w:r w:rsidR="000E58FD">
        <w:t xml:space="preserve"> </w:t>
      </w:r>
      <w:r>
        <w:t xml:space="preserve">I will review and report to the Board on </w:t>
      </w:r>
      <w:r w:rsidR="00701545">
        <w:t>DLA</w:t>
      </w:r>
      <w:r>
        <w:t xml:space="preserve">’s success or lack of success in meeting the terms of probation. </w:t>
      </w:r>
    </w:p>
    <w:p w:rsidR="006D0972" w:rsidRDefault="006D0972">
      <w:pPr>
        <w:widowControl/>
      </w:pPr>
    </w:p>
    <w:p w:rsidR="00AE7E25" w:rsidRDefault="00AE7E25" w:rsidP="00C44B5C">
      <w:pPr>
        <w:widowControl/>
        <w:rPr>
          <w:color w:val="000000"/>
        </w:rPr>
      </w:pPr>
      <w:r>
        <w:rPr>
          <w:color w:val="000000"/>
        </w:rPr>
        <w:t xml:space="preserve">If you have any questions regarding this </w:t>
      </w:r>
      <w:r w:rsidRPr="00494E83">
        <w:rPr>
          <w:color w:val="000000"/>
        </w:rPr>
        <w:t>recommendation</w:t>
      </w:r>
      <w:r>
        <w:rPr>
          <w:color w:val="000000"/>
        </w:rPr>
        <w:t xml:space="preserve"> or require additional information, please contact Alison Bagg, Director (781-338-3218); Cliff Chuang, Senior Associate Commissioner (781-338-3222); or me.</w:t>
      </w:r>
    </w:p>
    <w:p w:rsidR="00AE7E25" w:rsidRDefault="00AE7E25" w:rsidP="00C44B5C">
      <w:pPr>
        <w:widowControl/>
        <w:rPr>
          <w:color w:val="000000"/>
        </w:rPr>
      </w:pPr>
    </w:p>
    <w:p w:rsidR="00F4209F" w:rsidRDefault="00F4209F">
      <w:pPr>
        <w:widowControl/>
        <w:rPr>
          <w:color w:val="000000"/>
        </w:rPr>
      </w:pPr>
    </w:p>
    <w:p w:rsidR="007379AC" w:rsidRPr="00503B84" w:rsidRDefault="00AE7E25" w:rsidP="00F4209F">
      <w:pPr>
        <w:widowControl/>
        <w:rPr>
          <w:szCs w:val="24"/>
        </w:rPr>
      </w:pPr>
      <w:r w:rsidRPr="00503B84">
        <w:rPr>
          <w:color w:val="000000"/>
          <w:szCs w:val="24"/>
        </w:rPr>
        <w:t xml:space="preserve">Attachments: </w:t>
      </w:r>
      <w:r w:rsidR="009F19E6" w:rsidRPr="00503B84">
        <w:rPr>
          <w:color w:val="000000"/>
          <w:szCs w:val="24"/>
        </w:rPr>
        <w:tab/>
      </w:r>
      <w:hyperlink r:id="rId22" w:history="1">
        <w:r w:rsidR="00A42D9E" w:rsidRPr="005A3D36">
          <w:rPr>
            <w:rStyle w:val="Hyperlink"/>
            <w:szCs w:val="24"/>
          </w:rPr>
          <w:t>DLA</w:t>
        </w:r>
        <w:r w:rsidR="009F19E6" w:rsidRPr="005A3D36">
          <w:rPr>
            <w:rStyle w:val="Hyperlink"/>
            <w:szCs w:val="24"/>
          </w:rPr>
          <w:t xml:space="preserve"> Summary of Review</w:t>
        </w:r>
      </w:hyperlink>
      <w:bookmarkStart w:id="4" w:name="_GoBack"/>
      <w:bookmarkEnd w:id="4"/>
    </w:p>
    <w:sectPr w:rsidR="007379AC" w:rsidRPr="00503B84" w:rsidSect="00F4209F">
      <w:endnotePr>
        <w:numFmt w:val="decimal"/>
      </w:endnotePr>
      <w:type w:val="continuous"/>
      <w:pgSz w:w="12240" w:h="15840"/>
      <w:pgMar w:top="1440" w:right="1440" w:bottom="1440" w:left="1440" w:header="144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CA5" w:rsidRDefault="00455CA5">
      <w:r>
        <w:separator/>
      </w:r>
    </w:p>
  </w:endnote>
  <w:endnote w:type="continuationSeparator" w:id="0">
    <w:p w:rsidR="00455CA5" w:rsidRDefault="0045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6F" w:rsidRDefault="007B6B98">
    <w:pPr>
      <w:pStyle w:val="Footer"/>
      <w:framePr w:wrap="around" w:vAnchor="text" w:hAnchor="margin" w:xAlign="right" w:y="1"/>
      <w:rPr>
        <w:rStyle w:val="PageNumber"/>
        <w:snapToGrid w:val="0"/>
        <w:szCs w:val="20"/>
      </w:rPr>
    </w:pPr>
    <w:r>
      <w:rPr>
        <w:rStyle w:val="PageNumber"/>
      </w:rPr>
      <w:fldChar w:fldCharType="begin"/>
    </w:r>
    <w:r w:rsidR="00B0076F">
      <w:rPr>
        <w:rStyle w:val="PageNumber"/>
      </w:rPr>
      <w:instrText xml:space="preserve">PAGE  </w:instrText>
    </w:r>
    <w:r>
      <w:rPr>
        <w:rStyle w:val="PageNumber"/>
      </w:rPr>
      <w:fldChar w:fldCharType="end"/>
    </w:r>
  </w:p>
  <w:p w:rsidR="00B0076F" w:rsidRDefault="00B00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9862"/>
      <w:docPartObj>
        <w:docPartGallery w:val="Page Numbers (Bottom of Page)"/>
        <w:docPartUnique/>
      </w:docPartObj>
    </w:sdtPr>
    <w:sdtEndPr/>
    <w:sdtContent>
      <w:p w:rsidR="00F4209F" w:rsidRDefault="0061294E">
        <w:pPr>
          <w:pStyle w:val="Footer"/>
          <w:jc w:val="right"/>
        </w:pPr>
        <w:r>
          <w:fldChar w:fldCharType="begin"/>
        </w:r>
        <w:r>
          <w:instrText xml:space="preserve"> PAGE   \* MERGEFORMAT </w:instrText>
        </w:r>
        <w:r>
          <w:fldChar w:fldCharType="separate"/>
        </w:r>
        <w:r w:rsidR="00A92C40">
          <w:rPr>
            <w:noProof/>
          </w:rPr>
          <w:t>4</w:t>
        </w:r>
        <w:r>
          <w:rPr>
            <w:noProof/>
          </w:rPr>
          <w:fldChar w:fldCharType="end"/>
        </w:r>
      </w:p>
    </w:sdtContent>
  </w:sdt>
  <w:p w:rsidR="00B0076F" w:rsidRDefault="00B007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6F" w:rsidRDefault="00B0076F">
    <w:pPr>
      <w:pStyle w:val="Footer"/>
      <w:jc w:val="center"/>
    </w:pPr>
  </w:p>
  <w:p w:rsidR="00B0076F" w:rsidRDefault="00B00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CA5" w:rsidRDefault="00455CA5">
      <w:r>
        <w:separator/>
      </w:r>
    </w:p>
  </w:footnote>
  <w:footnote w:type="continuationSeparator" w:id="0">
    <w:p w:rsidR="00455CA5" w:rsidRDefault="00455CA5">
      <w:r>
        <w:continuationSeparator/>
      </w:r>
    </w:p>
  </w:footnote>
  <w:footnote w:id="1">
    <w:p w:rsidR="00B0076F" w:rsidRDefault="00B0076F" w:rsidP="002153C9">
      <w:r w:rsidRPr="00503B84">
        <w:rPr>
          <w:rStyle w:val="FootnoteReference"/>
          <w:sz w:val="20"/>
          <w:vertAlign w:val="superscript"/>
        </w:rPr>
        <w:footnoteRef/>
      </w:r>
      <w:r w:rsidRPr="00503B84">
        <w:rPr>
          <w:sz w:val="20"/>
          <w:vertAlign w:val="superscript"/>
        </w:rPr>
        <w:t xml:space="preserve"> </w:t>
      </w:r>
      <w:r w:rsidRPr="00503B84">
        <w:rPr>
          <w:sz w:val="20"/>
        </w:rPr>
        <w:t>Helen Y.</w:t>
      </w:r>
      <w:r w:rsidRPr="002153C9">
        <w:rPr>
          <w:sz w:val="20"/>
        </w:rPr>
        <w:t xml:space="preserve"> Davis Leadership Academy Charter Public School (DLA) was formerly known as Smith Leadership Academy Charter Public School, but requested, and was granted, a name change amendment that took effect during the 2014-15 school year. The school has operated as Helen Y. Davis Leadership Academy Charter Public School since the summer of 2014.</w:t>
      </w:r>
      <w:r w:rsidRPr="00F76007">
        <w:rPr>
          <w:szCs w:val="24"/>
        </w:rPr>
        <w:t xml:space="preserve"> </w:t>
      </w:r>
    </w:p>
  </w:footnote>
  <w:footnote w:id="2">
    <w:p w:rsidR="00B0076F" w:rsidRDefault="00B0076F">
      <w:pPr>
        <w:pStyle w:val="FootnoteText"/>
      </w:pPr>
      <w:r w:rsidRPr="005A0A90">
        <w:rPr>
          <w:rStyle w:val="FootnoteReference"/>
          <w:vertAlign w:val="superscript"/>
        </w:rPr>
        <w:footnoteRef/>
      </w:r>
      <w:r w:rsidRPr="005A0A90">
        <w:rPr>
          <w:vertAlign w:val="superscript"/>
        </w:rPr>
        <w:t xml:space="preserve"> </w:t>
      </w:r>
      <w:r>
        <w:t>As reported on March 15, 2017, in the Massachusetts Charter School Waitlist Initial Report for 2017-2018 (FY18).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655D3"/>
    <w:multiLevelType w:val="hybridMultilevel"/>
    <w:tmpl w:val="6954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23702E"/>
    <w:multiLevelType w:val="hybridMultilevel"/>
    <w:tmpl w:val="DB7E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10389"/>
    <w:multiLevelType w:val="hybridMultilevel"/>
    <w:tmpl w:val="888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87BA3"/>
    <w:multiLevelType w:val="hybridMultilevel"/>
    <w:tmpl w:val="EFF4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10CB7"/>
    <w:multiLevelType w:val="hybridMultilevel"/>
    <w:tmpl w:val="D4A2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DD10D0"/>
    <w:multiLevelType w:val="hybridMultilevel"/>
    <w:tmpl w:val="48B6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92AD1"/>
    <w:multiLevelType w:val="hybridMultilevel"/>
    <w:tmpl w:val="BD8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BF16929"/>
    <w:multiLevelType w:val="hybridMultilevel"/>
    <w:tmpl w:val="3148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C56195"/>
    <w:multiLevelType w:val="hybridMultilevel"/>
    <w:tmpl w:val="D7FC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21541"/>
    <w:multiLevelType w:val="hybridMultilevel"/>
    <w:tmpl w:val="20F6DB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A002F2F"/>
    <w:multiLevelType w:val="hybridMultilevel"/>
    <w:tmpl w:val="20F6DB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3"/>
  </w:num>
  <w:num w:numId="3">
    <w:abstractNumId w:val="0"/>
  </w:num>
  <w:num w:numId="4">
    <w:abstractNumId w:val="19"/>
  </w:num>
  <w:num w:numId="5">
    <w:abstractNumId w:val="18"/>
  </w:num>
  <w:num w:numId="6">
    <w:abstractNumId w:val="2"/>
  </w:num>
  <w:num w:numId="7">
    <w:abstractNumId w:val="12"/>
  </w:num>
  <w:num w:numId="8">
    <w:abstractNumId w:val="16"/>
  </w:num>
  <w:num w:numId="9">
    <w:abstractNumId w:val="8"/>
  </w:num>
  <w:num w:numId="10">
    <w:abstractNumId w:val="20"/>
  </w:num>
  <w:num w:numId="11">
    <w:abstractNumId w:val="3"/>
  </w:num>
  <w:num w:numId="12">
    <w:abstractNumId w:val="11"/>
  </w:num>
  <w:num w:numId="13">
    <w:abstractNumId w:val="9"/>
  </w:num>
  <w:num w:numId="14">
    <w:abstractNumId w:val="17"/>
  </w:num>
  <w:num w:numId="15">
    <w:abstractNumId w:val="4"/>
  </w:num>
  <w:num w:numId="16">
    <w:abstractNumId w:val="10"/>
  </w:num>
  <w:num w:numId="17">
    <w:abstractNumId w:val="1"/>
  </w:num>
  <w:num w:numId="18">
    <w:abstractNumId w:val="6"/>
  </w:num>
  <w:num w:numId="19">
    <w:abstractNumId w:val="15"/>
  </w:num>
  <w:num w:numId="20">
    <w:abstractNumId w:val="7"/>
  </w:num>
  <w:num w:numId="21">
    <w:abstractNumId w:val="21"/>
  </w:num>
  <w:num w:numId="22">
    <w:abstractNumId w:val="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6C"/>
    <w:rsid w:val="00000E32"/>
    <w:rsid w:val="00001329"/>
    <w:rsid w:val="000019C3"/>
    <w:rsid w:val="000063B9"/>
    <w:rsid w:val="00006A44"/>
    <w:rsid w:val="000072AA"/>
    <w:rsid w:val="0001606C"/>
    <w:rsid w:val="000244CF"/>
    <w:rsid w:val="00027086"/>
    <w:rsid w:val="00030DD3"/>
    <w:rsid w:val="000338EB"/>
    <w:rsid w:val="00034C92"/>
    <w:rsid w:val="0004197F"/>
    <w:rsid w:val="00043474"/>
    <w:rsid w:val="00043EA9"/>
    <w:rsid w:val="00047B9F"/>
    <w:rsid w:val="0005118C"/>
    <w:rsid w:val="00053AA3"/>
    <w:rsid w:val="00055A3D"/>
    <w:rsid w:val="00056B96"/>
    <w:rsid w:val="00063782"/>
    <w:rsid w:val="00064AC1"/>
    <w:rsid w:val="0007105A"/>
    <w:rsid w:val="0007158E"/>
    <w:rsid w:val="0007250C"/>
    <w:rsid w:val="00077595"/>
    <w:rsid w:val="000801C2"/>
    <w:rsid w:val="00080A39"/>
    <w:rsid w:val="00082531"/>
    <w:rsid w:val="00083CD9"/>
    <w:rsid w:val="000853D9"/>
    <w:rsid w:val="000867D8"/>
    <w:rsid w:val="00086E0E"/>
    <w:rsid w:val="00087E35"/>
    <w:rsid w:val="00090BBA"/>
    <w:rsid w:val="00091AE8"/>
    <w:rsid w:val="00097A70"/>
    <w:rsid w:val="000A0B86"/>
    <w:rsid w:val="000A1302"/>
    <w:rsid w:val="000A4050"/>
    <w:rsid w:val="000A5AA5"/>
    <w:rsid w:val="000B2C99"/>
    <w:rsid w:val="000B63DE"/>
    <w:rsid w:val="000B6697"/>
    <w:rsid w:val="000C2058"/>
    <w:rsid w:val="000C51C1"/>
    <w:rsid w:val="000D052C"/>
    <w:rsid w:val="000D094D"/>
    <w:rsid w:val="000D5238"/>
    <w:rsid w:val="000E1B88"/>
    <w:rsid w:val="000E1DFE"/>
    <w:rsid w:val="000E3229"/>
    <w:rsid w:val="000E3F4E"/>
    <w:rsid w:val="000E3F88"/>
    <w:rsid w:val="000E4060"/>
    <w:rsid w:val="000E58FD"/>
    <w:rsid w:val="000E5B36"/>
    <w:rsid w:val="000E6832"/>
    <w:rsid w:val="000F59B3"/>
    <w:rsid w:val="000F7649"/>
    <w:rsid w:val="000F7EAB"/>
    <w:rsid w:val="00100A09"/>
    <w:rsid w:val="00102267"/>
    <w:rsid w:val="00103AB9"/>
    <w:rsid w:val="00107F1B"/>
    <w:rsid w:val="001160EA"/>
    <w:rsid w:val="0011621D"/>
    <w:rsid w:val="00117053"/>
    <w:rsid w:val="00117180"/>
    <w:rsid w:val="001210B7"/>
    <w:rsid w:val="00121B6D"/>
    <w:rsid w:val="00132C9F"/>
    <w:rsid w:val="00132F44"/>
    <w:rsid w:val="00133302"/>
    <w:rsid w:val="001362F3"/>
    <w:rsid w:val="00140414"/>
    <w:rsid w:val="00141A59"/>
    <w:rsid w:val="00141A75"/>
    <w:rsid w:val="00143E14"/>
    <w:rsid w:val="0014438A"/>
    <w:rsid w:val="00146FC6"/>
    <w:rsid w:val="001607B7"/>
    <w:rsid w:val="00161231"/>
    <w:rsid w:val="00163AEA"/>
    <w:rsid w:val="00171CF8"/>
    <w:rsid w:val="00173F1B"/>
    <w:rsid w:val="0017686B"/>
    <w:rsid w:val="00180662"/>
    <w:rsid w:val="00181784"/>
    <w:rsid w:val="0018208E"/>
    <w:rsid w:val="00183DF0"/>
    <w:rsid w:val="001925A3"/>
    <w:rsid w:val="00193BBC"/>
    <w:rsid w:val="00195E0F"/>
    <w:rsid w:val="001A1533"/>
    <w:rsid w:val="001A304D"/>
    <w:rsid w:val="001A4CA9"/>
    <w:rsid w:val="001A671F"/>
    <w:rsid w:val="001B3A5F"/>
    <w:rsid w:val="001B71EB"/>
    <w:rsid w:val="001C2471"/>
    <w:rsid w:val="001C2712"/>
    <w:rsid w:val="001C655D"/>
    <w:rsid w:val="001D7ECC"/>
    <w:rsid w:val="001E0FC4"/>
    <w:rsid w:val="001E111C"/>
    <w:rsid w:val="001E4171"/>
    <w:rsid w:val="001E5EBC"/>
    <w:rsid w:val="001E7AAD"/>
    <w:rsid w:val="001E7F07"/>
    <w:rsid w:val="001F1874"/>
    <w:rsid w:val="001F26EB"/>
    <w:rsid w:val="001F2BA9"/>
    <w:rsid w:val="001F2D5F"/>
    <w:rsid w:val="00202DBD"/>
    <w:rsid w:val="002049E8"/>
    <w:rsid w:val="002123AB"/>
    <w:rsid w:val="00212FBF"/>
    <w:rsid w:val="002150AA"/>
    <w:rsid w:val="002153C9"/>
    <w:rsid w:val="00215989"/>
    <w:rsid w:val="00225110"/>
    <w:rsid w:val="00226754"/>
    <w:rsid w:val="0023149B"/>
    <w:rsid w:val="002367E0"/>
    <w:rsid w:val="00237924"/>
    <w:rsid w:val="00240D39"/>
    <w:rsid w:val="00240E6A"/>
    <w:rsid w:val="00241D63"/>
    <w:rsid w:val="002425E3"/>
    <w:rsid w:val="0024534A"/>
    <w:rsid w:val="00246035"/>
    <w:rsid w:val="0025000B"/>
    <w:rsid w:val="00252DE2"/>
    <w:rsid w:val="00260EE4"/>
    <w:rsid w:val="00261E31"/>
    <w:rsid w:val="00262458"/>
    <w:rsid w:val="00263507"/>
    <w:rsid w:val="0026636C"/>
    <w:rsid w:val="002673FE"/>
    <w:rsid w:val="00270DEC"/>
    <w:rsid w:val="0027262E"/>
    <w:rsid w:val="0027294B"/>
    <w:rsid w:val="00273E92"/>
    <w:rsid w:val="00277961"/>
    <w:rsid w:val="002845F8"/>
    <w:rsid w:val="002926EC"/>
    <w:rsid w:val="0029452F"/>
    <w:rsid w:val="002A33E2"/>
    <w:rsid w:val="002A440E"/>
    <w:rsid w:val="002A70A7"/>
    <w:rsid w:val="002B014B"/>
    <w:rsid w:val="002B0E24"/>
    <w:rsid w:val="002B359D"/>
    <w:rsid w:val="002C2E4F"/>
    <w:rsid w:val="002C337A"/>
    <w:rsid w:val="002C7591"/>
    <w:rsid w:val="002D1039"/>
    <w:rsid w:val="002E102C"/>
    <w:rsid w:val="002E3D6C"/>
    <w:rsid w:val="002E41B2"/>
    <w:rsid w:val="002E51BC"/>
    <w:rsid w:val="002E7EAF"/>
    <w:rsid w:val="002F061C"/>
    <w:rsid w:val="002F0C76"/>
    <w:rsid w:val="002F48D2"/>
    <w:rsid w:val="002F71C2"/>
    <w:rsid w:val="00300E72"/>
    <w:rsid w:val="003015A3"/>
    <w:rsid w:val="0030305A"/>
    <w:rsid w:val="00305463"/>
    <w:rsid w:val="003149DE"/>
    <w:rsid w:val="00317064"/>
    <w:rsid w:val="00317A58"/>
    <w:rsid w:val="00323313"/>
    <w:rsid w:val="00324E4C"/>
    <w:rsid w:val="00325EE9"/>
    <w:rsid w:val="00326F0A"/>
    <w:rsid w:val="003301E0"/>
    <w:rsid w:val="00330A7E"/>
    <w:rsid w:val="00331637"/>
    <w:rsid w:val="00333BBE"/>
    <w:rsid w:val="00334D40"/>
    <w:rsid w:val="003408E2"/>
    <w:rsid w:val="00350FBE"/>
    <w:rsid w:val="00353491"/>
    <w:rsid w:val="003546E7"/>
    <w:rsid w:val="00356545"/>
    <w:rsid w:val="003625A9"/>
    <w:rsid w:val="003641D0"/>
    <w:rsid w:val="00364FF1"/>
    <w:rsid w:val="0036703F"/>
    <w:rsid w:val="003718C8"/>
    <w:rsid w:val="003735F8"/>
    <w:rsid w:val="0037790E"/>
    <w:rsid w:val="00387541"/>
    <w:rsid w:val="003906C7"/>
    <w:rsid w:val="00390CB8"/>
    <w:rsid w:val="00391E0B"/>
    <w:rsid w:val="00393160"/>
    <w:rsid w:val="0039536F"/>
    <w:rsid w:val="003962DB"/>
    <w:rsid w:val="00396344"/>
    <w:rsid w:val="003A17FE"/>
    <w:rsid w:val="003A4305"/>
    <w:rsid w:val="003B31F6"/>
    <w:rsid w:val="003B4529"/>
    <w:rsid w:val="003B506D"/>
    <w:rsid w:val="003B76A3"/>
    <w:rsid w:val="003C1CD3"/>
    <w:rsid w:val="003C7113"/>
    <w:rsid w:val="003C7769"/>
    <w:rsid w:val="003D4412"/>
    <w:rsid w:val="003D5981"/>
    <w:rsid w:val="003D5DBB"/>
    <w:rsid w:val="003D6D61"/>
    <w:rsid w:val="003E2E9E"/>
    <w:rsid w:val="003E3251"/>
    <w:rsid w:val="003E69B8"/>
    <w:rsid w:val="003F0952"/>
    <w:rsid w:val="003F1134"/>
    <w:rsid w:val="003F2098"/>
    <w:rsid w:val="003F2FDA"/>
    <w:rsid w:val="003F45CB"/>
    <w:rsid w:val="004066EF"/>
    <w:rsid w:val="00406C2D"/>
    <w:rsid w:val="00406C32"/>
    <w:rsid w:val="004117E5"/>
    <w:rsid w:val="00414B7E"/>
    <w:rsid w:val="0041778C"/>
    <w:rsid w:val="0042753A"/>
    <w:rsid w:val="0043104A"/>
    <w:rsid w:val="00432013"/>
    <w:rsid w:val="004320BB"/>
    <w:rsid w:val="004323E2"/>
    <w:rsid w:val="004338A9"/>
    <w:rsid w:val="004412C3"/>
    <w:rsid w:val="0044226F"/>
    <w:rsid w:val="004528BB"/>
    <w:rsid w:val="00455B94"/>
    <w:rsid w:val="00455CA5"/>
    <w:rsid w:val="00457ED2"/>
    <w:rsid w:val="004602BC"/>
    <w:rsid w:val="004628FA"/>
    <w:rsid w:val="00467314"/>
    <w:rsid w:val="00467377"/>
    <w:rsid w:val="00472450"/>
    <w:rsid w:val="00483A49"/>
    <w:rsid w:val="004864C6"/>
    <w:rsid w:val="00486520"/>
    <w:rsid w:val="0049108E"/>
    <w:rsid w:val="0049178A"/>
    <w:rsid w:val="00491797"/>
    <w:rsid w:val="00493DC5"/>
    <w:rsid w:val="00497E17"/>
    <w:rsid w:val="004A16E4"/>
    <w:rsid w:val="004A2086"/>
    <w:rsid w:val="004A3523"/>
    <w:rsid w:val="004A46FF"/>
    <w:rsid w:val="004A5CA3"/>
    <w:rsid w:val="004B1A61"/>
    <w:rsid w:val="004B1E6E"/>
    <w:rsid w:val="004B6987"/>
    <w:rsid w:val="004C33BC"/>
    <w:rsid w:val="004D18E2"/>
    <w:rsid w:val="004D1CC7"/>
    <w:rsid w:val="004D2964"/>
    <w:rsid w:val="004D7710"/>
    <w:rsid w:val="004D79EF"/>
    <w:rsid w:val="004D7E25"/>
    <w:rsid w:val="004E02B6"/>
    <w:rsid w:val="004E18D8"/>
    <w:rsid w:val="004E295A"/>
    <w:rsid w:val="004E482F"/>
    <w:rsid w:val="004E7FFB"/>
    <w:rsid w:val="004F1970"/>
    <w:rsid w:val="004F3629"/>
    <w:rsid w:val="004F377F"/>
    <w:rsid w:val="004F42EF"/>
    <w:rsid w:val="00502E2B"/>
    <w:rsid w:val="00503B84"/>
    <w:rsid w:val="005047AF"/>
    <w:rsid w:val="005114A5"/>
    <w:rsid w:val="00512093"/>
    <w:rsid w:val="00512858"/>
    <w:rsid w:val="00512A29"/>
    <w:rsid w:val="00515D18"/>
    <w:rsid w:val="00526BBE"/>
    <w:rsid w:val="00527936"/>
    <w:rsid w:val="00531C9F"/>
    <w:rsid w:val="00534010"/>
    <w:rsid w:val="00534822"/>
    <w:rsid w:val="00537E76"/>
    <w:rsid w:val="00540887"/>
    <w:rsid w:val="00545582"/>
    <w:rsid w:val="00550B27"/>
    <w:rsid w:val="00552248"/>
    <w:rsid w:val="00552541"/>
    <w:rsid w:val="00552EB5"/>
    <w:rsid w:val="00555582"/>
    <w:rsid w:val="005569BB"/>
    <w:rsid w:val="005603C5"/>
    <w:rsid w:val="00561DC6"/>
    <w:rsid w:val="00561F0C"/>
    <w:rsid w:val="00561F32"/>
    <w:rsid w:val="005632C2"/>
    <w:rsid w:val="00564569"/>
    <w:rsid w:val="005646CC"/>
    <w:rsid w:val="00571F9E"/>
    <w:rsid w:val="00574A24"/>
    <w:rsid w:val="0058020F"/>
    <w:rsid w:val="00581262"/>
    <w:rsid w:val="00581828"/>
    <w:rsid w:val="005849A5"/>
    <w:rsid w:val="00585B3F"/>
    <w:rsid w:val="00592FBA"/>
    <w:rsid w:val="00594483"/>
    <w:rsid w:val="005A0A56"/>
    <w:rsid w:val="005A0A90"/>
    <w:rsid w:val="005A2808"/>
    <w:rsid w:val="005A3D36"/>
    <w:rsid w:val="005A42B8"/>
    <w:rsid w:val="005A4A93"/>
    <w:rsid w:val="005A56AA"/>
    <w:rsid w:val="005B1E54"/>
    <w:rsid w:val="005B244E"/>
    <w:rsid w:val="005B269E"/>
    <w:rsid w:val="005B4994"/>
    <w:rsid w:val="005B6D5E"/>
    <w:rsid w:val="005B7436"/>
    <w:rsid w:val="005C42DA"/>
    <w:rsid w:val="005C45F1"/>
    <w:rsid w:val="005C6AE3"/>
    <w:rsid w:val="005D052F"/>
    <w:rsid w:val="005E015B"/>
    <w:rsid w:val="005E088D"/>
    <w:rsid w:val="005E0C42"/>
    <w:rsid w:val="005E1E6B"/>
    <w:rsid w:val="005E2191"/>
    <w:rsid w:val="005E4844"/>
    <w:rsid w:val="005E5D8E"/>
    <w:rsid w:val="005F1874"/>
    <w:rsid w:val="005F5D54"/>
    <w:rsid w:val="005F601B"/>
    <w:rsid w:val="006038DE"/>
    <w:rsid w:val="006103F7"/>
    <w:rsid w:val="0061294E"/>
    <w:rsid w:val="00612D45"/>
    <w:rsid w:val="00613BF0"/>
    <w:rsid w:val="00616842"/>
    <w:rsid w:val="00626D03"/>
    <w:rsid w:val="00633A0D"/>
    <w:rsid w:val="006345E9"/>
    <w:rsid w:val="00635563"/>
    <w:rsid w:val="0063563D"/>
    <w:rsid w:val="00636AC7"/>
    <w:rsid w:val="00637F5F"/>
    <w:rsid w:val="00641DFD"/>
    <w:rsid w:val="006422C3"/>
    <w:rsid w:val="00647130"/>
    <w:rsid w:val="00660EF6"/>
    <w:rsid w:val="0066491A"/>
    <w:rsid w:val="00664EEB"/>
    <w:rsid w:val="0066511D"/>
    <w:rsid w:val="00666BEC"/>
    <w:rsid w:val="00671E2E"/>
    <w:rsid w:val="00675954"/>
    <w:rsid w:val="00676217"/>
    <w:rsid w:val="0067672E"/>
    <w:rsid w:val="00676769"/>
    <w:rsid w:val="00685AD0"/>
    <w:rsid w:val="00685DBD"/>
    <w:rsid w:val="0069013D"/>
    <w:rsid w:val="00690654"/>
    <w:rsid w:val="00692A67"/>
    <w:rsid w:val="00693BC1"/>
    <w:rsid w:val="0069716C"/>
    <w:rsid w:val="006A3BCD"/>
    <w:rsid w:val="006A5B5A"/>
    <w:rsid w:val="006A6B9F"/>
    <w:rsid w:val="006B07DA"/>
    <w:rsid w:val="006B11F4"/>
    <w:rsid w:val="006B3216"/>
    <w:rsid w:val="006B4383"/>
    <w:rsid w:val="006B4671"/>
    <w:rsid w:val="006B5DD1"/>
    <w:rsid w:val="006B79BF"/>
    <w:rsid w:val="006C60B0"/>
    <w:rsid w:val="006D068A"/>
    <w:rsid w:val="006D0972"/>
    <w:rsid w:val="006D4CBC"/>
    <w:rsid w:val="006D78A1"/>
    <w:rsid w:val="006E4C5E"/>
    <w:rsid w:val="006E620A"/>
    <w:rsid w:val="00701545"/>
    <w:rsid w:val="00705EED"/>
    <w:rsid w:val="00705F1D"/>
    <w:rsid w:val="0070733C"/>
    <w:rsid w:val="0071420C"/>
    <w:rsid w:val="00717A96"/>
    <w:rsid w:val="00717B05"/>
    <w:rsid w:val="0072082D"/>
    <w:rsid w:val="00721809"/>
    <w:rsid w:val="00723057"/>
    <w:rsid w:val="00723D53"/>
    <w:rsid w:val="0072430F"/>
    <w:rsid w:val="00730853"/>
    <w:rsid w:val="00731AF4"/>
    <w:rsid w:val="007358F4"/>
    <w:rsid w:val="00735907"/>
    <w:rsid w:val="00735D52"/>
    <w:rsid w:val="00737900"/>
    <w:rsid w:val="007379AC"/>
    <w:rsid w:val="00740CBE"/>
    <w:rsid w:val="0074184A"/>
    <w:rsid w:val="007426E8"/>
    <w:rsid w:val="00742999"/>
    <w:rsid w:val="00743AB6"/>
    <w:rsid w:val="00753271"/>
    <w:rsid w:val="0075589E"/>
    <w:rsid w:val="007579B6"/>
    <w:rsid w:val="007634EF"/>
    <w:rsid w:val="00765B24"/>
    <w:rsid w:val="00766272"/>
    <w:rsid w:val="007709BB"/>
    <w:rsid w:val="00770F7B"/>
    <w:rsid w:val="007718AD"/>
    <w:rsid w:val="0078028D"/>
    <w:rsid w:val="00783544"/>
    <w:rsid w:val="007965D9"/>
    <w:rsid w:val="007966DA"/>
    <w:rsid w:val="007A22FF"/>
    <w:rsid w:val="007A7343"/>
    <w:rsid w:val="007B0B18"/>
    <w:rsid w:val="007B492D"/>
    <w:rsid w:val="007B5B50"/>
    <w:rsid w:val="007B65CB"/>
    <w:rsid w:val="007B6B98"/>
    <w:rsid w:val="007B7FC8"/>
    <w:rsid w:val="007C5222"/>
    <w:rsid w:val="007C71E4"/>
    <w:rsid w:val="007D0007"/>
    <w:rsid w:val="007D4700"/>
    <w:rsid w:val="007D6BF1"/>
    <w:rsid w:val="007E19B0"/>
    <w:rsid w:val="007E5344"/>
    <w:rsid w:val="007F38DA"/>
    <w:rsid w:val="007F6D30"/>
    <w:rsid w:val="007F6F5C"/>
    <w:rsid w:val="008011DD"/>
    <w:rsid w:val="00806779"/>
    <w:rsid w:val="00807214"/>
    <w:rsid w:val="00807D17"/>
    <w:rsid w:val="00814B5D"/>
    <w:rsid w:val="00820BA0"/>
    <w:rsid w:val="00820F63"/>
    <w:rsid w:val="00821C27"/>
    <w:rsid w:val="00827068"/>
    <w:rsid w:val="00827689"/>
    <w:rsid w:val="00835E9B"/>
    <w:rsid w:val="00837C72"/>
    <w:rsid w:val="008423E1"/>
    <w:rsid w:val="00843516"/>
    <w:rsid w:val="00843EE1"/>
    <w:rsid w:val="0084404F"/>
    <w:rsid w:val="0085432C"/>
    <w:rsid w:val="00856A08"/>
    <w:rsid w:val="00871C6C"/>
    <w:rsid w:val="00873E2A"/>
    <w:rsid w:val="00873F87"/>
    <w:rsid w:val="0087666D"/>
    <w:rsid w:val="00876BCB"/>
    <w:rsid w:val="00877FA5"/>
    <w:rsid w:val="0088140A"/>
    <w:rsid w:val="00881B8C"/>
    <w:rsid w:val="00881D9A"/>
    <w:rsid w:val="0088225A"/>
    <w:rsid w:val="00884064"/>
    <w:rsid w:val="00886538"/>
    <w:rsid w:val="00886BD6"/>
    <w:rsid w:val="0089560F"/>
    <w:rsid w:val="00895CB2"/>
    <w:rsid w:val="008963B0"/>
    <w:rsid w:val="008A1373"/>
    <w:rsid w:val="008A1F3E"/>
    <w:rsid w:val="008A2E0F"/>
    <w:rsid w:val="008A4FB2"/>
    <w:rsid w:val="008A6332"/>
    <w:rsid w:val="008A6A87"/>
    <w:rsid w:val="008B1375"/>
    <w:rsid w:val="008B4475"/>
    <w:rsid w:val="008B6DCA"/>
    <w:rsid w:val="008B73D8"/>
    <w:rsid w:val="008C1C16"/>
    <w:rsid w:val="008C2BE1"/>
    <w:rsid w:val="008C327E"/>
    <w:rsid w:val="008C551B"/>
    <w:rsid w:val="008C7DAC"/>
    <w:rsid w:val="008D08BB"/>
    <w:rsid w:val="008D50C4"/>
    <w:rsid w:val="008D7A63"/>
    <w:rsid w:val="008E1431"/>
    <w:rsid w:val="008F2EC4"/>
    <w:rsid w:val="008F3376"/>
    <w:rsid w:val="008F7DF3"/>
    <w:rsid w:val="009073FC"/>
    <w:rsid w:val="00911054"/>
    <w:rsid w:val="009120F9"/>
    <w:rsid w:val="00915170"/>
    <w:rsid w:val="00915949"/>
    <w:rsid w:val="009167F8"/>
    <w:rsid w:val="0091782C"/>
    <w:rsid w:val="00920E7C"/>
    <w:rsid w:val="00921189"/>
    <w:rsid w:val="0092272F"/>
    <w:rsid w:val="00922BC8"/>
    <w:rsid w:val="00927714"/>
    <w:rsid w:val="00930EB6"/>
    <w:rsid w:val="00937A15"/>
    <w:rsid w:val="00940EB0"/>
    <w:rsid w:val="009410CB"/>
    <w:rsid w:val="0094156B"/>
    <w:rsid w:val="009419CB"/>
    <w:rsid w:val="00942697"/>
    <w:rsid w:val="00943163"/>
    <w:rsid w:val="0094432D"/>
    <w:rsid w:val="00946642"/>
    <w:rsid w:val="009475FC"/>
    <w:rsid w:val="0095696F"/>
    <w:rsid w:val="00957155"/>
    <w:rsid w:val="0096355E"/>
    <w:rsid w:val="00963B70"/>
    <w:rsid w:val="00970D92"/>
    <w:rsid w:val="00971C3F"/>
    <w:rsid w:val="0097243C"/>
    <w:rsid w:val="00980B43"/>
    <w:rsid w:val="0098155C"/>
    <w:rsid w:val="00983066"/>
    <w:rsid w:val="00991317"/>
    <w:rsid w:val="00991B9B"/>
    <w:rsid w:val="00994520"/>
    <w:rsid w:val="009A138F"/>
    <w:rsid w:val="009A34AF"/>
    <w:rsid w:val="009A3651"/>
    <w:rsid w:val="009B4876"/>
    <w:rsid w:val="009D0E22"/>
    <w:rsid w:val="009D25AD"/>
    <w:rsid w:val="009D559B"/>
    <w:rsid w:val="009D5A72"/>
    <w:rsid w:val="009D6479"/>
    <w:rsid w:val="009D6BF9"/>
    <w:rsid w:val="009D73AA"/>
    <w:rsid w:val="009E3257"/>
    <w:rsid w:val="009E74CB"/>
    <w:rsid w:val="009F0450"/>
    <w:rsid w:val="009F19E6"/>
    <w:rsid w:val="009F1E11"/>
    <w:rsid w:val="009F3C73"/>
    <w:rsid w:val="009F64AE"/>
    <w:rsid w:val="009F773E"/>
    <w:rsid w:val="00A00281"/>
    <w:rsid w:val="00A0258F"/>
    <w:rsid w:val="00A10A78"/>
    <w:rsid w:val="00A15085"/>
    <w:rsid w:val="00A16B67"/>
    <w:rsid w:val="00A20343"/>
    <w:rsid w:val="00A20567"/>
    <w:rsid w:val="00A21B51"/>
    <w:rsid w:val="00A24C8B"/>
    <w:rsid w:val="00A30C5B"/>
    <w:rsid w:val="00A31947"/>
    <w:rsid w:val="00A354A6"/>
    <w:rsid w:val="00A3697D"/>
    <w:rsid w:val="00A36AED"/>
    <w:rsid w:val="00A375F5"/>
    <w:rsid w:val="00A40123"/>
    <w:rsid w:val="00A4026B"/>
    <w:rsid w:val="00A42D9E"/>
    <w:rsid w:val="00A42F3D"/>
    <w:rsid w:val="00A434E8"/>
    <w:rsid w:val="00A443D7"/>
    <w:rsid w:val="00A46795"/>
    <w:rsid w:val="00A477B0"/>
    <w:rsid w:val="00A57ACB"/>
    <w:rsid w:val="00A61F23"/>
    <w:rsid w:val="00A645C5"/>
    <w:rsid w:val="00A65A44"/>
    <w:rsid w:val="00A70BFE"/>
    <w:rsid w:val="00A72D38"/>
    <w:rsid w:val="00A74663"/>
    <w:rsid w:val="00A75214"/>
    <w:rsid w:val="00A76029"/>
    <w:rsid w:val="00A83364"/>
    <w:rsid w:val="00A868E5"/>
    <w:rsid w:val="00A90358"/>
    <w:rsid w:val="00A925E5"/>
    <w:rsid w:val="00A92C40"/>
    <w:rsid w:val="00A964AC"/>
    <w:rsid w:val="00AA0DFC"/>
    <w:rsid w:val="00AA1067"/>
    <w:rsid w:val="00AA2373"/>
    <w:rsid w:val="00AA7B79"/>
    <w:rsid w:val="00AB00E9"/>
    <w:rsid w:val="00AB0230"/>
    <w:rsid w:val="00AB64BE"/>
    <w:rsid w:val="00AB7DDB"/>
    <w:rsid w:val="00AC07B4"/>
    <w:rsid w:val="00AC1060"/>
    <w:rsid w:val="00AC2B41"/>
    <w:rsid w:val="00AC3512"/>
    <w:rsid w:val="00AC3919"/>
    <w:rsid w:val="00AC48C5"/>
    <w:rsid w:val="00AC56BC"/>
    <w:rsid w:val="00AC7A17"/>
    <w:rsid w:val="00AD0F34"/>
    <w:rsid w:val="00AD11C2"/>
    <w:rsid w:val="00AD2D65"/>
    <w:rsid w:val="00AD7FFB"/>
    <w:rsid w:val="00AE1D7A"/>
    <w:rsid w:val="00AE708E"/>
    <w:rsid w:val="00AE7E25"/>
    <w:rsid w:val="00AF411A"/>
    <w:rsid w:val="00AF4414"/>
    <w:rsid w:val="00AF5F3C"/>
    <w:rsid w:val="00AF67A0"/>
    <w:rsid w:val="00AF7A68"/>
    <w:rsid w:val="00B0076F"/>
    <w:rsid w:val="00B0319A"/>
    <w:rsid w:val="00B04CB4"/>
    <w:rsid w:val="00B10CD1"/>
    <w:rsid w:val="00B12122"/>
    <w:rsid w:val="00B134D2"/>
    <w:rsid w:val="00B14926"/>
    <w:rsid w:val="00B16BD6"/>
    <w:rsid w:val="00B27619"/>
    <w:rsid w:val="00B31568"/>
    <w:rsid w:val="00B33B56"/>
    <w:rsid w:val="00B34436"/>
    <w:rsid w:val="00B346EC"/>
    <w:rsid w:val="00B36629"/>
    <w:rsid w:val="00B36CC5"/>
    <w:rsid w:val="00B41086"/>
    <w:rsid w:val="00B41214"/>
    <w:rsid w:val="00B425B8"/>
    <w:rsid w:val="00B42ED4"/>
    <w:rsid w:val="00B4785F"/>
    <w:rsid w:val="00B47FE2"/>
    <w:rsid w:val="00B6078C"/>
    <w:rsid w:val="00B64E34"/>
    <w:rsid w:val="00B678F6"/>
    <w:rsid w:val="00B70C76"/>
    <w:rsid w:val="00B714CF"/>
    <w:rsid w:val="00B71DC2"/>
    <w:rsid w:val="00B720CE"/>
    <w:rsid w:val="00B76A63"/>
    <w:rsid w:val="00B82F0A"/>
    <w:rsid w:val="00B87413"/>
    <w:rsid w:val="00B87612"/>
    <w:rsid w:val="00B878F7"/>
    <w:rsid w:val="00B90844"/>
    <w:rsid w:val="00B92842"/>
    <w:rsid w:val="00BA3BBC"/>
    <w:rsid w:val="00BA3DED"/>
    <w:rsid w:val="00BA4316"/>
    <w:rsid w:val="00BB0169"/>
    <w:rsid w:val="00BB0A92"/>
    <w:rsid w:val="00BB5EA5"/>
    <w:rsid w:val="00BB6D04"/>
    <w:rsid w:val="00BB745D"/>
    <w:rsid w:val="00BC3B21"/>
    <w:rsid w:val="00BC46DF"/>
    <w:rsid w:val="00BC47EE"/>
    <w:rsid w:val="00BC6EE5"/>
    <w:rsid w:val="00BC7C35"/>
    <w:rsid w:val="00BD3E6B"/>
    <w:rsid w:val="00BD52B8"/>
    <w:rsid w:val="00BD5E34"/>
    <w:rsid w:val="00BE2AD9"/>
    <w:rsid w:val="00BE3133"/>
    <w:rsid w:val="00BE4580"/>
    <w:rsid w:val="00BE5FBA"/>
    <w:rsid w:val="00BE6925"/>
    <w:rsid w:val="00BE71B0"/>
    <w:rsid w:val="00BF06B2"/>
    <w:rsid w:val="00C02C99"/>
    <w:rsid w:val="00C02E92"/>
    <w:rsid w:val="00C06BDC"/>
    <w:rsid w:val="00C0735A"/>
    <w:rsid w:val="00C12354"/>
    <w:rsid w:val="00C12A11"/>
    <w:rsid w:val="00C24F76"/>
    <w:rsid w:val="00C32A88"/>
    <w:rsid w:val="00C34F41"/>
    <w:rsid w:val="00C40CA9"/>
    <w:rsid w:val="00C414E3"/>
    <w:rsid w:val="00C41F80"/>
    <w:rsid w:val="00C43DA7"/>
    <w:rsid w:val="00C44992"/>
    <w:rsid w:val="00C44B5C"/>
    <w:rsid w:val="00C46D42"/>
    <w:rsid w:val="00C521C8"/>
    <w:rsid w:val="00C528BD"/>
    <w:rsid w:val="00C566D5"/>
    <w:rsid w:val="00C57231"/>
    <w:rsid w:val="00C62DE5"/>
    <w:rsid w:val="00C637A2"/>
    <w:rsid w:val="00C63E93"/>
    <w:rsid w:val="00C734C9"/>
    <w:rsid w:val="00C74B50"/>
    <w:rsid w:val="00C76ED7"/>
    <w:rsid w:val="00C7705D"/>
    <w:rsid w:val="00C827A2"/>
    <w:rsid w:val="00C82914"/>
    <w:rsid w:val="00C876DD"/>
    <w:rsid w:val="00C91411"/>
    <w:rsid w:val="00C9397B"/>
    <w:rsid w:val="00CA2D7A"/>
    <w:rsid w:val="00CA46AA"/>
    <w:rsid w:val="00CA57EB"/>
    <w:rsid w:val="00CA7396"/>
    <w:rsid w:val="00CB1599"/>
    <w:rsid w:val="00CB43F1"/>
    <w:rsid w:val="00CB5098"/>
    <w:rsid w:val="00CB6E14"/>
    <w:rsid w:val="00CB6FE5"/>
    <w:rsid w:val="00CB7517"/>
    <w:rsid w:val="00CC0E1C"/>
    <w:rsid w:val="00CC2210"/>
    <w:rsid w:val="00CC331D"/>
    <w:rsid w:val="00CC3DB8"/>
    <w:rsid w:val="00CC67B0"/>
    <w:rsid w:val="00CD196B"/>
    <w:rsid w:val="00CD2E04"/>
    <w:rsid w:val="00CE084D"/>
    <w:rsid w:val="00CE0A55"/>
    <w:rsid w:val="00CE739F"/>
    <w:rsid w:val="00CE76B7"/>
    <w:rsid w:val="00CE7BB9"/>
    <w:rsid w:val="00CF4B25"/>
    <w:rsid w:val="00CF4F03"/>
    <w:rsid w:val="00D01C4B"/>
    <w:rsid w:val="00D046F7"/>
    <w:rsid w:val="00D06463"/>
    <w:rsid w:val="00D07B9A"/>
    <w:rsid w:val="00D15B90"/>
    <w:rsid w:val="00D16CCF"/>
    <w:rsid w:val="00D209CB"/>
    <w:rsid w:val="00D229F5"/>
    <w:rsid w:val="00D22BBA"/>
    <w:rsid w:val="00D2338F"/>
    <w:rsid w:val="00D26A28"/>
    <w:rsid w:val="00D30764"/>
    <w:rsid w:val="00D32426"/>
    <w:rsid w:val="00D3351A"/>
    <w:rsid w:val="00D34B7E"/>
    <w:rsid w:val="00D372F5"/>
    <w:rsid w:val="00D40431"/>
    <w:rsid w:val="00D40BD2"/>
    <w:rsid w:val="00D42E5C"/>
    <w:rsid w:val="00D5037F"/>
    <w:rsid w:val="00D52488"/>
    <w:rsid w:val="00D5524E"/>
    <w:rsid w:val="00D62537"/>
    <w:rsid w:val="00D65BFB"/>
    <w:rsid w:val="00D71AFA"/>
    <w:rsid w:val="00D7318A"/>
    <w:rsid w:val="00D75DC5"/>
    <w:rsid w:val="00D8267B"/>
    <w:rsid w:val="00D84D0A"/>
    <w:rsid w:val="00DA0850"/>
    <w:rsid w:val="00DA0FF8"/>
    <w:rsid w:val="00DA2496"/>
    <w:rsid w:val="00DA636E"/>
    <w:rsid w:val="00DA738C"/>
    <w:rsid w:val="00DB5157"/>
    <w:rsid w:val="00DB7AE3"/>
    <w:rsid w:val="00DB7F7C"/>
    <w:rsid w:val="00DC0F89"/>
    <w:rsid w:val="00DC2430"/>
    <w:rsid w:val="00DC2899"/>
    <w:rsid w:val="00DC3909"/>
    <w:rsid w:val="00DC4A08"/>
    <w:rsid w:val="00DC5246"/>
    <w:rsid w:val="00DC59C5"/>
    <w:rsid w:val="00DD2133"/>
    <w:rsid w:val="00DD5420"/>
    <w:rsid w:val="00DD6600"/>
    <w:rsid w:val="00DE18A3"/>
    <w:rsid w:val="00DE4FD8"/>
    <w:rsid w:val="00DE5A44"/>
    <w:rsid w:val="00DF0A7C"/>
    <w:rsid w:val="00DF1633"/>
    <w:rsid w:val="00DF18EA"/>
    <w:rsid w:val="00DF6AF4"/>
    <w:rsid w:val="00E01EB1"/>
    <w:rsid w:val="00E01EFC"/>
    <w:rsid w:val="00E1471A"/>
    <w:rsid w:val="00E27995"/>
    <w:rsid w:val="00E355C4"/>
    <w:rsid w:val="00E41A95"/>
    <w:rsid w:val="00E44774"/>
    <w:rsid w:val="00E45E92"/>
    <w:rsid w:val="00E45FAB"/>
    <w:rsid w:val="00E462CE"/>
    <w:rsid w:val="00E509C5"/>
    <w:rsid w:val="00E532A9"/>
    <w:rsid w:val="00E5661A"/>
    <w:rsid w:val="00E57135"/>
    <w:rsid w:val="00E57A43"/>
    <w:rsid w:val="00E57F73"/>
    <w:rsid w:val="00E62701"/>
    <w:rsid w:val="00E6486D"/>
    <w:rsid w:val="00E708B6"/>
    <w:rsid w:val="00E72A50"/>
    <w:rsid w:val="00E779FB"/>
    <w:rsid w:val="00E8146C"/>
    <w:rsid w:val="00E86F08"/>
    <w:rsid w:val="00E90AB5"/>
    <w:rsid w:val="00E90B3D"/>
    <w:rsid w:val="00E91205"/>
    <w:rsid w:val="00EA654A"/>
    <w:rsid w:val="00EB28BB"/>
    <w:rsid w:val="00EB5AFA"/>
    <w:rsid w:val="00EB65E2"/>
    <w:rsid w:val="00EB7ED4"/>
    <w:rsid w:val="00EC392C"/>
    <w:rsid w:val="00EC5F38"/>
    <w:rsid w:val="00EC6614"/>
    <w:rsid w:val="00EC6B6F"/>
    <w:rsid w:val="00ED1D14"/>
    <w:rsid w:val="00ED2D3C"/>
    <w:rsid w:val="00ED70B5"/>
    <w:rsid w:val="00ED7436"/>
    <w:rsid w:val="00ED7C97"/>
    <w:rsid w:val="00EE11BE"/>
    <w:rsid w:val="00EE11C8"/>
    <w:rsid w:val="00EE1388"/>
    <w:rsid w:val="00EE1AA3"/>
    <w:rsid w:val="00EE3A31"/>
    <w:rsid w:val="00EE4119"/>
    <w:rsid w:val="00EE5C4E"/>
    <w:rsid w:val="00EE64FC"/>
    <w:rsid w:val="00EE6A34"/>
    <w:rsid w:val="00EE6D46"/>
    <w:rsid w:val="00EF2211"/>
    <w:rsid w:val="00EF2EE2"/>
    <w:rsid w:val="00EF2F5D"/>
    <w:rsid w:val="00EF5DB0"/>
    <w:rsid w:val="00EF7985"/>
    <w:rsid w:val="00EF7A30"/>
    <w:rsid w:val="00F00EDF"/>
    <w:rsid w:val="00F0157C"/>
    <w:rsid w:val="00F035DC"/>
    <w:rsid w:val="00F1120A"/>
    <w:rsid w:val="00F11BC7"/>
    <w:rsid w:val="00F1429A"/>
    <w:rsid w:val="00F25122"/>
    <w:rsid w:val="00F26679"/>
    <w:rsid w:val="00F26951"/>
    <w:rsid w:val="00F33734"/>
    <w:rsid w:val="00F35503"/>
    <w:rsid w:val="00F37ED3"/>
    <w:rsid w:val="00F409FA"/>
    <w:rsid w:val="00F4186B"/>
    <w:rsid w:val="00F41EB6"/>
    <w:rsid w:val="00F4209F"/>
    <w:rsid w:val="00F429CE"/>
    <w:rsid w:val="00F43CE0"/>
    <w:rsid w:val="00F465D4"/>
    <w:rsid w:val="00F4670E"/>
    <w:rsid w:val="00F47049"/>
    <w:rsid w:val="00F47F6A"/>
    <w:rsid w:val="00F502A4"/>
    <w:rsid w:val="00F52A8B"/>
    <w:rsid w:val="00F56E73"/>
    <w:rsid w:val="00F60C57"/>
    <w:rsid w:val="00F61C39"/>
    <w:rsid w:val="00F64DB1"/>
    <w:rsid w:val="00F73BE6"/>
    <w:rsid w:val="00F73E54"/>
    <w:rsid w:val="00F757D3"/>
    <w:rsid w:val="00F75C76"/>
    <w:rsid w:val="00F76007"/>
    <w:rsid w:val="00F8036A"/>
    <w:rsid w:val="00F80949"/>
    <w:rsid w:val="00F871B5"/>
    <w:rsid w:val="00F901BF"/>
    <w:rsid w:val="00F92B01"/>
    <w:rsid w:val="00F95F6E"/>
    <w:rsid w:val="00F9630B"/>
    <w:rsid w:val="00F96CAB"/>
    <w:rsid w:val="00FA31DC"/>
    <w:rsid w:val="00FA7E0D"/>
    <w:rsid w:val="00FB2A13"/>
    <w:rsid w:val="00FB577A"/>
    <w:rsid w:val="00FB7F8A"/>
    <w:rsid w:val="00FC100E"/>
    <w:rsid w:val="00FC1EF6"/>
    <w:rsid w:val="00FC2278"/>
    <w:rsid w:val="00FC5A08"/>
    <w:rsid w:val="00FD1524"/>
    <w:rsid w:val="00FD179F"/>
    <w:rsid w:val="00FD23FE"/>
    <w:rsid w:val="00FD6F5A"/>
    <w:rsid w:val="00FD7879"/>
    <w:rsid w:val="00FE0187"/>
    <w:rsid w:val="00FE1348"/>
    <w:rsid w:val="00FE2208"/>
    <w:rsid w:val="00FE3AA6"/>
    <w:rsid w:val="00FE51F2"/>
    <w:rsid w:val="00FE52B1"/>
    <w:rsid w:val="00FE710F"/>
    <w:rsid w:val="00FE7EDF"/>
    <w:rsid w:val="00FF1D4C"/>
    <w:rsid w:val="00FF200D"/>
    <w:rsid w:val="00FF303A"/>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A827B-D0BC-4B8C-86D1-3DFA753B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410CB"/>
    <w:pPr>
      <w:keepNext/>
      <w:tabs>
        <w:tab w:val="center" w:pos="4680"/>
      </w:tabs>
      <w:jc w:val="center"/>
      <w:outlineLvl w:val="0"/>
    </w:pPr>
    <w:rPr>
      <w:b/>
    </w:rPr>
  </w:style>
  <w:style w:type="paragraph" w:styleId="Heading2">
    <w:name w:val="heading 2"/>
    <w:basedOn w:val="Normal"/>
    <w:next w:val="Normal"/>
    <w:qFormat/>
    <w:rsid w:val="009410CB"/>
    <w:pPr>
      <w:keepNext/>
      <w:ind w:left="720"/>
      <w:jc w:val="right"/>
      <w:outlineLvl w:val="1"/>
    </w:pPr>
    <w:rPr>
      <w:rFonts w:ascii="Arial" w:hAnsi="Arial"/>
      <w:i/>
      <w:sz w:val="18"/>
    </w:rPr>
  </w:style>
  <w:style w:type="paragraph" w:styleId="Heading3">
    <w:name w:val="heading 3"/>
    <w:basedOn w:val="Normal"/>
    <w:next w:val="Normal"/>
    <w:qFormat/>
    <w:rsid w:val="009410CB"/>
    <w:pPr>
      <w:keepNext/>
      <w:tabs>
        <w:tab w:val="left" w:pos="5400"/>
      </w:tabs>
      <w:ind w:left="720"/>
      <w:outlineLvl w:val="2"/>
    </w:pPr>
    <w:rPr>
      <w:rFonts w:ascii="Arial" w:hAnsi="Arial"/>
      <w:i/>
      <w:sz w:val="18"/>
    </w:rPr>
  </w:style>
  <w:style w:type="paragraph" w:styleId="Heading4">
    <w:name w:val="heading 4"/>
    <w:basedOn w:val="Normal"/>
    <w:next w:val="Normal"/>
    <w:qFormat/>
    <w:rsid w:val="009410CB"/>
    <w:pPr>
      <w:keepNext/>
      <w:outlineLvl w:val="3"/>
    </w:pPr>
    <w:rPr>
      <w:b/>
      <w:bCs/>
    </w:rPr>
  </w:style>
  <w:style w:type="paragraph" w:styleId="Heading5">
    <w:name w:val="heading 5"/>
    <w:basedOn w:val="Normal"/>
    <w:next w:val="Normal"/>
    <w:qFormat/>
    <w:rsid w:val="009410C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410CB"/>
  </w:style>
  <w:style w:type="paragraph" w:styleId="Footer">
    <w:name w:val="footer"/>
    <w:basedOn w:val="Normal"/>
    <w:link w:val="FooterChar"/>
    <w:uiPriority w:val="99"/>
    <w:rsid w:val="009410CB"/>
    <w:pPr>
      <w:widowControl/>
      <w:tabs>
        <w:tab w:val="center" w:pos="4320"/>
        <w:tab w:val="right" w:pos="8640"/>
      </w:tabs>
    </w:pPr>
    <w:rPr>
      <w:snapToGrid/>
      <w:szCs w:val="24"/>
    </w:rPr>
  </w:style>
  <w:style w:type="paragraph" w:styleId="BodyText">
    <w:name w:val="Body Text"/>
    <w:basedOn w:val="Normal"/>
    <w:rsid w:val="009410CB"/>
    <w:pPr>
      <w:widowControl/>
    </w:pPr>
    <w:rPr>
      <w:rFonts w:ascii="Times" w:hAnsi="Times"/>
      <w:color w:val="000000"/>
    </w:rPr>
  </w:style>
  <w:style w:type="character" w:styleId="Hyperlink">
    <w:name w:val="Hyperlink"/>
    <w:rsid w:val="009410CB"/>
    <w:rPr>
      <w:color w:val="0000FF"/>
      <w:u w:val="single"/>
    </w:rPr>
  </w:style>
  <w:style w:type="paragraph" w:styleId="BodyText2">
    <w:name w:val="Body Text 2"/>
    <w:basedOn w:val="Normal"/>
    <w:rsid w:val="009410CB"/>
    <w:rPr>
      <w:i/>
      <w:iCs/>
    </w:rPr>
  </w:style>
  <w:style w:type="paragraph" w:styleId="BodyTextIndent">
    <w:name w:val="Body Text Indent"/>
    <w:basedOn w:val="Normal"/>
    <w:rsid w:val="009410CB"/>
    <w:pPr>
      <w:autoSpaceDE w:val="0"/>
      <w:autoSpaceDN w:val="0"/>
      <w:adjustRightInd w:val="0"/>
      <w:ind w:left="-360"/>
    </w:pPr>
    <w:rPr>
      <w:snapToGrid/>
      <w:szCs w:val="24"/>
    </w:rPr>
  </w:style>
  <w:style w:type="character" w:styleId="PageNumber">
    <w:name w:val="page number"/>
    <w:basedOn w:val="DefaultParagraphFont"/>
    <w:rsid w:val="009410CB"/>
  </w:style>
  <w:style w:type="paragraph" w:styleId="BodyTextIndent3">
    <w:name w:val="Body Text Indent 3"/>
    <w:basedOn w:val="Normal"/>
    <w:rsid w:val="009410CB"/>
    <w:pPr>
      <w:widowControl/>
      <w:ind w:left="360" w:hanging="360"/>
    </w:pPr>
    <w:rPr>
      <w:szCs w:val="24"/>
    </w:rPr>
  </w:style>
  <w:style w:type="paragraph" w:styleId="BodyText3">
    <w:name w:val="Body Text 3"/>
    <w:basedOn w:val="Normal"/>
    <w:rsid w:val="009410CB"/>
    <w:pPr>
      <w:autoSpaceDE w:val="0"/>
      <w:autoSpaceDN w:val="0"/>
      <w:adjustRightInd w:val="0"/>
    </w:pPr>
    <w:rPr>
      <w:b/>
      <w:bCs/>
    </w:rPr>
  </w:style>
  <w:style w:type="character" w:styleId="FollowedHyperlink">
    <w:name w:val="FollowedHyperlink"/>
    <w:rsid w:val="009410CB"/>
    <w:rPr>
      <w:color w:val="800080"/>
      <w:u w:val="single"/>
    </w:rPr>
  </w:style>
  <w:style w:type="character" w:styleId="Strong">
    <w:name w:val="Strong"/>
    <w:qFormat/>
    <w:rsid w:val="009410CB"/>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FootnoteTextChar">
    <w:name w:val="Footnote Text Char"/>
    <w:basedOn w:val="DefaultParagraphFont"/>
    <w:link w:val="FootnoteText"/>
    <w:rsid w:val="00146FC6"/>
  </w:style>
  <w:style w:type="character" w:customStyle="1" w:styleId="bold">
    <w:name w:val="bold"/>
    <w:basedOn w:val="DefaultParagraphFont"/>
    <w:rsid w:val="00146FC6"/>
  </w:style>
  <w:style w:type="character" w:styleId="CommentReference">
    <w:name w:val="annotation reference"/>
    <w:basedOn w:val="DefaultParagraphFont"/>
    <w:uiPriority w:val="99"/>
    <w:unhideWhenUsed/>
    <w:rsid w:val="00146FC6"/>
    <w:rPr>
      <w:sz w:val="16"/>
      <w:szCs w:val="16"/>
    </w:rPr>
  </w:style>
  <w:style w:type="paragraph" w:styleId="CommentText">
    <w:name w:val="annotation text"/>
    <w:basedOn w:val="Normal"/>
    <w:link w:val="CommentTextChar"/>
    <w:uiPriority w:val="99"/>
    <w:unhideWhenUsed/>
    <w:rsid w:val="00146FC6"/>
    <w:rPr>
      <w:sz w:val="20"/>
    </w:rPr>
  </w:style>
  <w:style w:type="character" w:customStyle="1" w:styleId="CommentTextChar">
    <w:name w:val="Comment Text Char"/>
    <w:basedOn w:val="DefaultParagraphFont"/>
    <w:link w:val="CommentText"/>
    <w:uiPriority w:val="99"/>
    <w:rsid w:val="00146FC6"/>
    <w:rPr>
      <w:snapToGrid w:val="0"/>
    </w:rPr>
  </w:style>
  <w:style w:type="paragraph" w:styleId="CommentSubject">
    <w:name w:val="annotation subject"/>
    <w:basedOn w:val="CommentText"/>
    <w:next w:val="CommentText"/>
    <w:link w:val="CommentSubjectChar"/>
    <w:semiHidden/>
    <w:unhideWhenUsed/>
    <w:rsid w:val="00146FC6"/>
    <w:rPr>
      <w:b/>
      <w:bCs/>
    </w:rPr>
  </w:style>
  <w:style w:type="character" w:customStyle="1" w:styleId="CommentSubjectChar">
    <w:name w:val="Comment Subject Char"/>
    <w:basedOn w:val="CommentTextChar"/>
    <w:link w:val="CommentSubject"/>
    <w:semiHidden/>
    <w:rsid w:val="00146FC6"/>
    <w:rPr>
      <w:b/>
      <w:bCs/>
      <w:snapToGrid w:val="0"/>
    </w:rPr>
  </w:style>
  <w:style w:type="paragraph" w:styleId="ListParagraph">
    <w:name w:val="List Paragraph"/>
    <w:basedOn w:val="Normal"/>
    <w:link w:val="ListParagraphChar"/>
    <w:uiPriority w:val="34"/>
    <w:qFormat/>
    <w:rsid w:val="003015A3"/>
    <w:pPr>
      <w:widowControl/>
      <w:ind w:left="720"/>
      <w:contextualSpacing/>
    </w:pPr>
    <w:rPr>
      <w:snapToGrid/>
      <w:szCs w:val="24"/>
    </w:rPr>
  </w:style>
  <w:style w:type="character" w:customStyle="1" w:styleId="ListParagraphChar">
    <w:name w:val="List Paragraph Char"/>
    <w:basedOn w:val="DefaultParagraphFont"/>
    <w:link w:val="ListParagraph"/>
    <w:uiPriority w:val="34"/>
    <w:locked/>
    <w:rsid w:val="003015A3"/>
    <w:rPr>
      <w:sz w:val="24"/>
      <w:szCs w:val="24"/>
    </w:rPr>
  </w:style>
  <w:style w:type="paragraph" w:styleId="Revision">
    <w:name w:val="Revision"/>
    <w:hidden/>
    <w:uiPriority w:val="99"/>
    <w:semiHidden/>
    <w:rsid w:val="00A16B6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245726614">
      <w:bodyDiv w:val="1"/>
      <w:marLeft w:val="0"/>
      <w:marRight w:val="0"/>
      <w:marTop w:val="0"/>
      <w:marBottom w:val="0"/>
      <w:divBdr>
        <w:top w:val="none" w:sz="0" w:space="0" w:color="auto"/>
        <w:left w:val="none" w:sz="0" w:space="0" w:color="auto"/>
        <w:bottom w:val="none" w:sz="0" w:space="0" w:color="auto"/>
        <w:right w:val="none" w:sz="0" w:space="0" w:color="auto"/>
      </w:divBdr>
    </w:div>
    <w:div w:id="1257789959">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charterschool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news/news.aspx?id=7802" TargetMode="External"/><Relationship Id="rId2" Type="http://schemas.openxmlformats.org/officeDocument/2006/relationships/customXml" Target="../customXml/item2.xml"/><Relationship Id="rId16" Type="http://schemas.openxmlformats.org/officeDocument/2006/relationships/hyperlink" Target="http://www.doe.mass.edu/charter/acct.html?section=criteria"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bese/docs/FY2018/2018-02/item5-dla-review-summar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DESE-231-40072</_dlc_DocId>
    <_dlc_DocIdUrl xmlns="733efe1c-5bbe-4968-87dc-d400e65c879f">
      <Url>https://sharepoint.doemass.org/ese/webteam/cps/_layouts/DocIdRedir.aspx?ID=DESE-231-40072</Url>
      <Description>DESE-231-40072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1E61F-01AB-45C3-AAEF-FCF4346AFC4A}">
  <ds:schemaRefs>
    <ds:schemaRef ds:uri="http://schemas.microsoft.com/sharepoint/events"/>
  </ds:schemaRefs>
</ds:datastoreItem>
</file>

<file path=customXml/itemProps2.xml><?xml version="1.0" encoding="utf-8"?>
<ds:datastoreItem xmlns:ds="http://schemas.openxmlformats.org/officeDocument/2006/customXml" ds:itemID="{F1F33B66-0493-4744-AB49-3B6265D93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9356B-BE69-4DC2-A6C7-885559521227}">
  <ds:schemaRefs>
    <ds:schemaRef ds:uri="http://schemas.microsoft.com/sharepoint/v3/contenttype/forms"/>
  </ds:schemaRefs>
</ds:datastoreItem>
</file>

<file path=customXml/itemProps4.xml><?xml version="1.0" encoding="utf-8"?>
<ds:datastoreItem xmlns:ds="http://schemas.openxmlformats.org/officeDocument/2006/customXml" ds:itemID="{56C4CDE8-90E6-4044-9E7A-1FEF2F05BA2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B1EC494-BDE6-449E-8694-5BBD6D55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BESE Feb. 2018 Item 5 Memo Proposed Charter Renewal with Probation</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 2018 Item 5 Memo Proposed Charter Renewal with Probation</dc:title>
  <dc:creator>ESE</dc:creator>
  <cp:lastModifiedBy>Zou, Dong</cp:lastModifiedBy>
  <cp:revision>6</cp:revision>
  <cp:lastPrinted>2011-01-14T19:54:00Z</cp:lastPrinted>
  <dcterms:created xsi:type="dcterms:W3CDTF">2018-02-21T20:50:00Z</dcterms:created>
  <dcterms:modified xsi:type="dcterms:W3CDTF">2018-02-21T21:23:00Z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2018</vt:lpwstr>
  </property>
</Properties>
</file>