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69A5" w14:textId="2C243C98" w:rsidR="001D2E80" w:rsidRPr="006D424D" w:rsidRDefault="00D93993" w:rsidP="009E2946">
      <w:pPr>
        <w:pStyle w:val="Heading1"/>
        <w:spacing w:after="120"/>
      </w:pPr>
      <w:r>
        <w:t>2017–18</w:t>
      </w:r>
      <w:r w:rsidR="001D2E80" w:rsidRPr="006D424D">
        <w:t xml:space="preserve"> Level 5 School End-of-Year Report</w:t>
      </w:r>
      <w:r w:rsidR="001D2E80">
        <w:br/>
      </w:r>
      <w:r w:rsidR="001D2E80" w:rsidRPr="006D424D">
        <w:t xml:space="preserve">UP Academy Holland, Boston, </w:t>
      </w:r>
      <w:r w:rsidR="001D2E80">
        <w:t xml:space="preserve">Massachusetts </w:t>
      </w:r>
    </w:p>
    <w:p w14:paraId="658A8288" w14:textId="41836FB0" w:rsidR="001D2E80" w:rsidRPr="006D424D" w:rsidRDefault="001D2E80" w:rsidP="001D2E80">
      <w:pPr>
        <w:pStyle w:val="Heading3"/>
        <w:spacing w:after="300"/>
      </w:pPr>
      <w:r w:rsidRPr="006D424D">
        <w:t xml:space="preserve">Receiver: UP </w:t>
      </w:r>
      <w:r>
        <w:t xml:space="preserve">Education </w:t>
      </w:r>
      <w:r w:rsidRPr="006D424D">
        <w:t>Network</w:t>
      </w:r>
    </w:p>
    <w:p w14:paraId="603FD110" w14:textId="77777777" w:rsidR="001D2E80" w:rsidRPr="006D424D" w:rsidRDefault="001D2E80" w:rsidP="001D2E80">
      <w:pPr>
        <w:pStyle w:val="Heading2"/>
      </w:pPr>
      <w:r w:rsidRPr="006D424D">
        <w:t>Introduction</w:t>
      </w:r>
      <w:bookmarkStart w:id="0" w:name="_GoBack"/>
      <w:bookmarkEnd w:id="0"/>
    </w:p>
    <w:p w14:paraId="65CE3365" w14:textId="0070E94D" w:rsidR="00AE455F" w:rsidRDefault="00AE455F" w:rsidP="00AE455F">
      <w:pPr>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Massachusetts Department of Elementary and Secondary Education (</w:t>
      </w:r>
      <w:r w:rsidR="0059178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 contracted with </w:t>
      </w:r>
      <w:r w:rsidR="000B4A2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Institutes for Research (AIR) to collect evidence from each Level 5 school on the progress toward implementation of the turnaround plan in Year 4 of Level 5 status. </w:t>
      </w:r>
      <w:r w:rsidR="00591780">
        <w:rPr>
          <w:rFonts w:ascii="Times New Roman" w:eastAsia="Times New Roman" w:hAnsi="Times New Roman" w:cs="Times New Roman"/>
          <w:sz w:val="24"/>
          <w:szCs w:val="24"/>
        </w:rPr>
        <w:t>D</w:t>
      </w:r>
      <w:r>
        <w:rPr>
          <w:rFonts w:ascii="Times New Roman" w:eastAsia="Times New Roman" w:hAnsi="Times New Roman" w:cs="Times New Roman"/>
          <w:sz w:val="24"/>
          <w:szCs w:val="24"/>
        </w:rPr>
        <w:t>ESE facilitated the collection of information from the receiver throughout the year for the quarterly reports, detailing highlights and challenges during the previous quarter and progress toward benchmarks. In addition, in November 2017</w:t>
      </w:r>
      <w:r w:rsidR="000B4A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AIR staff collected data through instructional observations using </w:t>
      </w:r>
      <w:proofErr w:type="spellStart"/>
      <w:r>
        <w:rPr>
          <w:rFonts w:ascii="Times New Roman" w:eastAsia="Times New Roman" w:hAnsi="Times New Roman" w:cs="Times New Roman"/>
          <w:sz w:val="24"/>
          <w:szCs w:val="24"/>
        </w:rPr>
        <w:t>Teachstone’s</w:t>
      </w:r>
      <w:proofErr w:type="spellEnd"/>
      <w:r>
        <w:rPr>
          <w:rFonts w:ascii="Times New Roman" w:eastAsia="Times New Roman" w:hAnsi="Times New Roman" w:cs="Times New Roman"/>
          <w:sz w:val="24"/>
          <w:szCs w:val="24"/>
        </w:rPr>
        <w:t xml:space="preserve"> Classroom Assessment Scoring System (CLASS)</w:t>
      </w:r>
      <w:r w:rsidR="000B4A22">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in February 2018 conducted a monitoring site visit that included key stakeholder interviews and focus groups, an instructional staff survey, and a review of extant documentation (e.g., turnaround plan, quarterly reports, and other documents). In spring 2018, subsequent data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by conducting follow-up instructional observations and interviews with the school principal. The data collection and analysis processes were developed </w:t>
      </w:r>
      <w:r w:rsidR="000B4A22">
        <w:rPr>
          <w:rFonts w:ascii="Times New Roman" w:eastAsia="Times New Roman" w:hAnsi="Times New Roman" w:cs="Times New Roman"/>
          <w:sz w:val="24"/>
          <w:szCs w:val="24"/>
        </w:rPr>
        <w:t xml:space="preserve">purposely </w:t>
      </w:r>
      <w:r>
        <w:rPr>
          <w:rFonts w:ascii="Times New Roman" w:eastAsia="Times New Roman" w:hAnsi="Times New Roman" w:cs="Times New Roman"/>
          <w:sz w:val="24"/>
          <w:szCs w:val="24"/>
        </w:rPr>
        <w:t>to ensure that the data were reliable and valid</w:t>
      </w:r>
      <w:r w:rsidR="000B4A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the </w:t>
      </w:r>
      <w:proofErr w:type="gramStart"/>
      <w:r>
        <w:rPr>
          <w:rFonts w:ascii="Times New Roman" w:eastAsia="Times New Roman" w:hAnsi="Times New Roman" w:cs="Times New Roman"/>
          <w:sz w:val="24"/>
          <w:szCs w:val="24"/>
        </w:rPr>
        <w:t>findings were informed by the appropriate key informants</w:t>
      </w:r>
      <w:proofErr w:type="gramEnd"/>
      <w:r>
        <w:rPr>
          <w:rFonts w:ascii="Times New Roman" w:eastAsia="Times New Roman" w:hAnsi="Times New Roman" w:cs="Times New Roman"/>
          <w:sz w:val="24"/>
          <w:szCs w:val="24"/>
        </w:rPr>
        <w:t xml:space="preserve">. For Level 5 schools, data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during the monitoring site visit and follow-up activities to inform </w:t>
      </w:r>
      <w:r w:rsidR="0059178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ESE’s statutory requirement to annually evaluate each Level 5 school’s progress toward implementing the turnaround plan. AIR’s Level 5 school review process focused on work at each school related to each of the specific turnaround practice areas. </w:t>
      </w:r>
    </w:p>
    <w:p w14:paraId="550C8AD3" w14:textId="6371B57D" w:rsidR="001D2E80" w:rsidRDefault="001D2E80" w:rsidP="001D2E80">
      <w:pPr>
        <w:pStyle w:val="Heading2"/>
      </w:pPr>
      <w:r w:rsidRPr="00BE0B9A">
        <w:t xml:space="preserve">Highlights of Turnaround Plan Implementation at </w:t>
      </w:r>
      <w:r w:rsidR="006E3E68">
        <w:br/>
      </w:r>
      <w:r>
        <w:t>UP Academy Holland</w:t>
      </w:r>
    </w:p>
    <w:p w14:paraId="1F681262" w14:textId="16F527D1" w:rsidR="00AE455F" w:rsidRDefault="00AE455F" w:rsidP="00A74C48">
      <w:pPr>
        <w:pStyle w:val="BodyText"/>
      </w:pPr>
      <w:proofErr w:type="gramStart"/>
      <w:r>
        <w:t>Overall</w:t>
      </w:r>
      <w:proofErr w:type="gramEnd"/>
      <w:r>
        <w:t xml:space="preserve"> throughout the 2017–18 school year, UP Academy Holland </w:t>
      </w:r>
      <w:r w:rsidR="0039021C">
        <w:t xml:space="preserve">(UAH) </w:t>
      </w:r>
      <w:r>
        <w:t xml:space="preserve">staff focused on “brains on,” </w:t>
      </w:r>
      <w:r w:rsidRPr="00AE455F">
        <w:t xml:space="preserve">or the expectation that students are engaged throughout the lesson, </w:t>
      </w:r>
      <w:r w:rsidR="009F3639">
        <w:t xml:space="preserve">engage </w:t>
      </w:r>
      <w:r w:rsidRPr="00AE455F">
        <w:t>with rigorous content, and have frequent opportunities for student discourse.</w:t>
      </w:r>
      <w:r w:rsidR="00E620B4">
        <w:t xml:space="preserve"> </w:t>
      </w:r>
      <w:r w:rsidR="009D6BE6">
        <w:t>Teachers work</w:t>
      </w:r>
      <w:r w:rsidR="000D1FBE">
        <w:t>ed</w:t>
      </w:r>
      <w:r w:rsidR="009D6BE6">
        <w:t xml:space="preserve"> on these priorities collaboratively during</w:t>
      </w:r>
      <w:r w:rsidR="00113DDA">
        <w:t xml:space="preserve"> daily</w:t>
      </w:r>
      <w:r w:rsidR="009D6BE6">
        <w:t xml:space="preserve"> “drop e</w:t>
      </w:r>
      <w:r w:rsidR="000C2F58">
        <w:t>verything and prep” (DEAP) time</w:t>
      </w:r>
      <w:r w:rsidR="009D6BE6">
        <w:t xml:space="preserve"> and weekly grade-level common planning time. Teachers receive</w:t>
      </w:r>
      <w:r w:rsidR="000D1FBE">
        <w:t>d</w:t>
      </w:r>
      <w:r w:rsidR="009D6BE6">
        <w:t xml:space="preserve"> weekly professional development aligned to these priorities, and a portion of this time </w:t>
      </w:r>
      <w:r w:rsidR="000D1FBE">
        <w:t>was</w:t>
      </w:r>
      <w:r w:rsidR="009D6BE6">
        <w:t xml:space="preserve"> dedicated to teachers reflecting and planning how to implement the</w:t>
      </w:r>
      <w:r w:rsidR="00113DDA">
        <w:t>ir</w:t>
      </w:r>
      <w:r w:rsidR="009D6BE6">
        <w:t xml:space="preserve"> new learning into their practice.  </w:t>
      </w:r>
    </w:p>
    <w:p w14:paraId="5FD4E0B9" w14:textId="1551426A" w:rsidR="00AE455F" w:rsidRPr="0039021C" w:rsidRDefault="0039021C" w:rsidP="00A74C48">
      <w:pPr>
        <w:pStyle w:val="BodyText"/>
        <w:rPr>
          <w:rFonts w:ascii="Times New Roman" w:hAnsi="Times New Roman"/>
          <w:spacing w:val="-2"/>
        </w:rPr>
      </w:pPr>
      <w:r>
        <w:rPr>
          <w:rFonts w:ascii="Times New Roman" w:hAnsi="Times New Roman"/>
          <w:spacing w:val="-2"/>
        </w:rPr>
        <w:lastRenderedPageBreak/>
        <w:t>UAH</w:t>
      </w:r>
      <w:r w:rsidR="00AE455F">
        <w:rPr>
          <w:rFonts w:ascii="Times New Roman" w:hAnsi="Times New Roman"/>
          <w:spacing w:val="-2"/>
        </w:rPr>
        <w:t xml:space="preserve"> continued to strategically leverage autonomies as needed to refine the school schedule, staff assignments, budget allocations, curriculum, and coaching in response to ongoing analysis of data. This year, the principal used </w:t>
      </w:r>
      <w:r w:rsidR="00113DDA">
        <w:rPr>
          <w:rFonts w:ascii="Times New Roman" w:hAnsi="Times New Roman"/>
          <w:spacing w:val="-2"/>
        </w:rPr>
        <w:t xml:space="preserve">her </w:t>
      </w:r>
      <w:r w:rsidR="00AE455F">
        <w:rPr>
          <w:rFonts w:ascii="Times New Roman" w:hAnsi="Times New Roman"/>
          <w:spacing w:val="-2"/>
        </w:rPr>
        <w:t xml:space="preserve">autonomy to hire a reading specialist to support struggling students. </w:t>
      </w:r>
      <w:r>
        <w:rPr>
          <w:rFonts w:ascii="Times New Roman" w:hAnsi="Times New Roman"/>
          <w:spacing w:val="-2"/>
        </w:rPr>
        <w:t xml:space="preserve">School leaders also conducted a pilot of positive behavioral intervention and supports (PBIS) </w:t>
      </w:r>
      <w:proofErr w:type="gramStart"/>
      <w:r>
        <w:rPr>
          <w:rFonts w:ascii="Times New Roman" w:hAnsi="Times New Roman"/>
          <w:spacing w:val="-2"/>
        </w:rPr>
        <w:t xml:space="preserve">in second and third grade in response to </w:t>
      </w:r>
      <w:r w:rsidR="000B4A22">
        <w:rPr>
          <w:rFonts w:ascii="Times New Roman" w:hAnsi="Times New Roman"/>
          <w:spacing w:val="-2"/>
        </w:rPr>
        <w:t xml:space="preserve">an increase in </w:t>
      </w:r>
      <w:r>
        <w:rPr>
          <w:rFonts w:ascii="Times New Roman" w:hAnsi="Times New Roman"/>
          <w:spacing w:val="-2"/>
        </w:rPr>
        <w:t xml:space="preserve">behavioral </w:t>
      </w:r>
      <w:r w:rsidR="000B4A22">
        <w:rPr>
          <w:rFonts w:ascii="Times New Roman" w:hAnsi="Times New Roman"/>
          <w:spacing w:val="-2"/>
        </w:rPr>
        <w:t xml:space="preserve">incidents </w:t>
      </w:r>
      <w:r>
        <w:rPr>
          <w:rFonts w:ascii="Times New Roman" w:hAnsi="Times New Roman"/>
          <w:spacing w:val="-2"/>
        </w:rPr>
        <w:t>in these grades</w:t>
      </w:r>
      <w:proofErr w:type="gramEnd"/>
      <w:r>
        <w:rPr>
          <w:rFonts w:ascii="Times New Roman" w:hAnsi="Times New Roman"/>
          <w:spacing w:val="-2"/>
        </w:rPr>
        <w:t xml:space="preserve">. </w:t>
      </w:r>
      <w:r w:rsidR="00113DDA">
        <w:rPr>
          <w:rFonts w:ascii="Times New Roman" w:hAnsi="Times New Roman"/>
          <w:spacing w:val="-2"/>
        </w:rPr>
        <w:t>In addition, s</w:t>
      </w:r>
      <w:r>
        <w:rPr>
          <w:rFonts w:ascii="Times New Roman" w:hAnsi="Times New Roman"/>
          <w:spacing w:val="-2"/>
        </w:rPr>
        <w:t>chool leaders refined the structure of their weekly afterschool professional development so that staff participate</w:t>
      </w:r>
      <w:r w:rsidR="000D1FBE">
        <w:rPr>
          <w:rFonts w:ascii="Times New Roman" w:hAnsi="Times New Roman"/>
          <w:spacing w:val="-2"/>
        </w:rPr>
        <w:t>d</w:t>
      </w:r>
      <w:r>
        <w:rPr>
          <w:rFonts w:ascii="Times New Roman" w:hAnsi="Times New Roman"/>
          <w:spacing w:val="-2"/>
        </w:rPr>
        <w:t xml:space="preserve"> in one </w:t>
      </w:r>
      <w:r w:rsidR="005F2A2A">
        <w:rPr>
          <w:rFonts w:ascii="Times New Roman" w:hAnsi="Times New Roman"/>
          <w:spacing w:val="-2"/>
        </w:rPr>
        <w:t xml:space="preserve">more in-depth </w:t>
      </w:r>
      <w:r>
        <w:rPr>
          <w:rFonts w:ascii="Times New Roman" w:hAnsi="Times New Roman"/>
          <w:spacing w:val="-2"/>
        </w:rPr>
        <w:t>session instead of two</w:t>
      </w:r>
      <w:r w:rsidR="005F2A2A">
        <w:rPr>
          <w:rFonts w:ascii="Times New Roman" w:hAnsi="Times New Roman"/>
          <w:spacing w:val="-2"/>
        </w:rPr>
        <w:t xml:space="preserve"> less detailed sessions</w:t>
      </w:r>
      <w:r>
        <w:rPr>
          <w:rFonts w:ascii="Times New Roman" w:hAnsi="Times New Roman"/>
          <w:spacing w:val="-2"/>
        </w:rPr>
        <w:t xml:space="preserve">, in response to staff feedback. </w:t>
      </w:r>
    </w:p>
    <w:p w14:paraId="47E2ADDB" w14:textId="5686E155" w:rsidR="00B16B34" w:rsidRDefault="000E3919" w:rsidP="00A74C48">
      <w:pPr>
        <w:pStyle w:val="BodyText"/>
        <w:rPr>
          <w:rFonts w:eastAsia="Time New Roman"/>
          <w:highlight w:val="yellow"/>
        </w:rPr>
      </w:pPr>
      <w:r w:rsidRPr="00B16B34">
        <w:t>The school continued</w:t>
      </w:r>
      <w:r w:rsidR="00A74C48" w:rsidRPr="00B16B34">
        <w:t xml:space="preserve"> to focus </w:t>
      </w:r>
      <w:r w:rsidR="009E4CBC" w:rsidRPr="00B16B34">
        <w:t xml:space="preserve">on </w:t>
      </w:r>
      <w:r w:rsidRPr="00B16B34">
        <w:t xml:space="preserve">the </w:t>
      </w:r>
      <w:r w:rsidR="00A74C48" w:rsidRPr="00B16B34">
        <w:t xml:space="preserve">use of </w:t>
      </w:r>
      <w:r w:rsidR="00973587">
        <w:rPr>
          <w:rFonts w:eastAsia="Time New Roman"/>
        </w:rPr>
        <w:t>data to inform</w:t>
      </w:r>
      <w:r w:rsidR="00A74C48" w:rsidRPr="00B16B34">
        <w:rPr>
          <w:rFonts w:eastAsia="Time New Roman"/>
        </w:rPr>
        <w:t xml:space="preserve"> </w:t>
      </w:r>
      <w:proofErr w:type="gramStart"/>
      <w:r w:rsidR="00A74C48" w:rsidRPr="00B16B34">
        <w:rPr>
          <w:rFonts w:eastAsia="Time New Roman"/>
        </w:rPr>
        <w:t>decision making</w:t>
      </w:r>
      <w:proofErr w:type="gramEnd"/>
      <w:r w:rsidR="00A74C48" w:rsidRPr="00B16B34">
        <w:rPr>
          <w:rFonts w:eastAsia="Time New Roman"/>
        </w:rPr>
        <w:t xml:space="preserve"> and action planning. Staff </w:t>
      </w:r>
      <w:r w:rsidR="00827A59" w:rsidRPr="00B16B34">
        <w:rPr>
          <w:rFonts w:eastAsia="Time New Roman"/>
        </w:rPr>
        <w:t>analyze</w:t>
      </w:r>
      <w:r w:rsidR="00141273" w:rsidRPr="00B16B34">
        <w:rPr>
          <w:rFonts w:eastAsia="Time New Roman"/>
        </w:rPr>
        <w:t>d</w:t>
      </w:r>
      <w:r w:rsidR="00827A59" w:rsidRPr="00B16B34">
        <w:rPr>
          <w:rFonts w:eastAsia="Time New Roman"/>
        </w:rPr>
        <w:t xml:space="preserve"> </w:t>
      </w:r>
      <w:r w:rsidRPr="00B16B34">
        <w:rPr>
          <w:rFonts w:eastAsia="Time New Roman"/>
        </w:rPr>
        <w:t xml:space="preserve">data </w:t>
      </w:r>
      <w:r w:rsidR="00827A59" w:rsidRPr="00B16B34">
        <w:rPr>
          <w:rFonts w:eastAsia="Time New Roman"/>
        </w:rPr>
        <w:t xml:space="preserve">from multiple </w:t>
      </w:r>
      <w:r w:rsidRPr="00B16B34">
        <w:rPr>
          <w:rFonts w:eastAsia="Time New Roman"/>
        </w:rPr>
        <w:t>sources</w:t>
      </w:r>
      <w:r w:rsidR="006E3E68" w:rsidRPr="00B16B34">
        <w:rPr>
          <w:rFonts w:eastAsia="Time New Roman"/>
        </w:rPr>
        <w:t>,</w:t>
      </w:r>
      <w:r w:rsidRPr="00B16B34">
        <w:rPr>
          <w:rFonts w:eastAsia="Time New Roman"/>
        </w:rPr>
        <w:t xml:space="preserve"> including Fountas &amp; Pinnell, </w:t>
      </w:r>
      <w:r w:rsidR="00FC25D0" w:rsidRPr="00B16B34">
        <w:t>Strategic Teaching and Evaluation of Progress</w:t>
      </w:r>
      <w:r w:rsidR="00FC25D0" w:rsidRPr="00B16B34">
        <w:rPr>
          <w:rFonts w:eastAsia="Time New Roman"/>
        </w:rPr>
        <w:t xml:space="preserve"> (</w:t>
      </w:r>
      <w:r w:rsidRPr="00B16B34">
        <w:rPr>
          <w:rFonts w:eastAsia="Time New Roman"/>
        </w:rPr>
        <w:t>STEP</w:t>
      </w:r>
      <w:r w:rsidR="00FC25D0" w:rsidRPr="00B16B34">
        <w:rPr>
          <w:rFonts w:eastAsia="Time New Roman"/>
        </w:rPr>
        <w:t>)</w:t>
      </w:r>
      <w:r w:rsidR="00B16B34">
        <w:rPr>
          <w:rFonts w:eastAsia="Time New Roman"/>
        </w:rPr>
        <w:t xml:space="preserve"> literacy assessments</w:t>
      </w:r>
      <w:r w:rsidRPr="00B16B34">
        <w:rPr>
          <w:rFonts w:eastAsia="Time New Roman"/>
        </w:rPr>
        <w:t xml:space="preserve">, interim benchmark assessments, and classwork. </w:t>
      </w:r>
      <w:r w:rsidR="00B16B34">
        <w:rPr>
          <w:rFonts w:eastAsia="Time New Roman"/>
        </w:rPr>
        <w:t xml:space="preserve">School leaders examined data schoolwide during monthly meetings, alternating between academic and cultural data. </w:t>
      </w:r>
      <w:r w:rsidR="00827A59" w:rsidRPr="00B16B34">
        <w:rPr>
          <w:rFonts w:eastAsia="Time New Roman"/>
        </w:rPr>
        <w:t xml:space="preserve">During </w:t>
      </w:r>
      <w:r w:rsidR="00A74C48" w:rsidRPr="00B16B34">
        <w:rPr>
          <w:rFonts w:eastAsia="Time New Roman"/>
        </w:rPr>
        <w:t>“Data Days” following benchmark assessments</w:t>
      </w:r>
      <w:r w:rsidR="00827A59" w:rsidRPr="00B16B34">
        <w:rPr>
          <w:rFonts w:eastAsia="Time New Roman"/>
        </w:rPr>
        <w:t xml:space="preserve">, staff </w:t>
      </w:r>
      <w:r w:rsidR="005D34EB" w:rsidRPr="00B16B34">
        <w:rPr>
          <w:rFonts w:eastAsia="Time New Roman"/>
        </w:rPr>
        <w:t xml:space="preserve">came </w:t>
      </w:r>
      <w:r w:rsidR="00827A59" w:rsidRPr="00B16B34">
        <w:rPr>
          <w:rFonts w:eastAsia="Time New Roman"/>
        </w:rPr>
        <w:t>together</w:t>
      </w:r>
      <w:r w:rsidR="00A74C48" w:rsidRPr="00B16B34">
        <w:rPr>
          <w:rFonts w:eastAsia="Time New Roman"/>
        </w:rPr>
        <w:t xml:space="preserve"> </w:t>
      </w:r>
      <w:r w:rsidR="00827A59" w:rsidRPr="00B16B34">
        <w:rPr>
          <w:rFonts w:eastAsia="Time New Roman"/>
        </w:rPr>
        <w:t>for full</w:t>
      </w:r>
      <w:r w:rsidR="00141273" w:rsidRPr="00B16B34">
        <w:rPr>
          <w:rFonts w:eastAsia="Time New Roman"/>
        </w:rPr>
        <w:t>-</w:t>
      </w:r>
      <w:r w:rsidR="00827A59" w:rsidRPr="00B16B34">
        <w:rPr>
          <w:rFonts w:eastAsia="Time New Roman"/>
        </w:rPr>
        <w:t xml:space="preserve">day data sessions </w:t>
      </w:r>
      <w:r w:rsidR="00A74C48" w:rsidRPr="00B16B34">
        <w:rPr>
          <w:rFonts w:eastAsia="Time New Roman"/>
        </w:rPr>
        <w:t xml:space="preserve">to measure </w:t>
      </w:r>
      <w:r w:rsidR="00827A59" w:rsidRPr="00B16B34">
        <w:rPr>
          <w:rFonts w:eastAsia="Time New Roman"/>
        </w:rPr>
        <w:t xml:space="preserve">student </w:t>
      </w:r>
      <w:r w:rsidR="00A74C48" w:rsidRPr="00B16B34">
        <w:rPr>
          <w:rFonts w:eastAsia="Time New Roman"/>
        </w:rPr>
        <w:t>progress and develop action plans</w:t>
      </w:r>
      <w:r w:rsidRPr="00B16B34">
        <w:rPr>
          <w:rFonts w:eastAsia="Time New Roman"/>
        </w:rPr>
        <w:t xml:space="preserve"> on a classroom, grade, and schoolwide level</w:t>
      </w:r>
      <w:r w:rsidR="00A74C48" w:rsidRPr="00B16B34">
        <w:rPr>
          <w:rFonts w:eastAsia="Time New Roman"/>
        </w:rPr>
        <w:t>.</w:t>
      </w:r>
      <w:r w:rsidR="00B16B34" w:rsidRPr="00B16B34">
        <w:rPr>
          <w:rFonts w:eastAsia="Time New Roman"/>
        </w:rPr>
        <w:t xml:space="preserve"> Teachers </w:t>
      </w:r>
      <w:r w:rsidR="00973587">
        <w:rPr>
          <w:rFonts w:eastAsia="Time New Roman"/>
        </w:rPr>
        <w:t>were</w:t>
      </w:r>
      <w:r w:rsidR="00B16B34" w:rsidRPr="00B16B34">
        <w:rPr>
          <w:rFonts w:eastAsia="Time New Roman"/>
        </w:rPr>
        <w:t xml:space="preserve"> aware of the expectations that they use data to inform classroom instruction</w:t>
      </w:r>
      <w:r w:rsidR="00113DDA">
        <w:rPr>
          <w:rFonts w:eastAsia="Time New Roman"/>
        </w:rPr>
        <w:t xml:space="preserve"> and</w:t>
      </w:r>
      <w:r w:rsidR="00B16B34" w:rsidRPr="00B16B34">
        <w:rPr>
          <w:rFonts w:eastAsia="Time New Roman"/>
        </w:rPr>
        <w:t xml:space="preserve"> review</w:t>
      </w:r>
      <w:r w:rsidR="00973587">
        <w:rPr>
          <w:rFonts w:eastAsia="Time New Roman"/>
        </w:rPr>
        <w:t>ed</w:t>
      </w:r>
      <w:r w:rsidR="00B16B34" w:rsidRPr="00B16B34">
        <w:rPr>
          <w:rFonts w:eastAsia="Time New Roman"/>
        </w:rPr>
        <w:t xml:space="preserve"> data, such as exit tickets, during department meetings and individually.  </w:t>
      </w:r>
    </w:p>
    <w:p w14:paraId="1CAF7026" w14:textId="0898E424" w:rsidR="007D6483" w:rsidRDefault="00B16B34" w:rsidP="00E620B4">
      <w:pPr>
        <w:pStyle w:val="BodyText"/>
      </w:pPr>
      <w:r w:rsidRPr="00E620B4">
        <w:rPr>
          <w:rFonts w:eastAsia="Time New Roman"/>
        </w:rPr>
        <w:t>UAH continue</w:t>
      </w:r>
      <w:r w:rsidR="00973587">
        <w:rPr>
          <w:rFonts w:eastAsia="Time New Roman"/>
        </w:rPr>
        <w:t xml:space="preserve">d </w:t>
      </w:r>
      <w:r w:rsidRPr="00E620B4">
        <w:rPr>
          <w:rFonts w:eastAsia="Time New Roman"/>
        </w:rPr>
        <w:t>to have strong evidence of a</w:t>
      </w:r>
      <w:r w:rsidR="00112D16">
        <w:rPr>
          <w:rFonts w:eastAsia="Time New Roman"/>
        </w:rPr>
        <w:t>n effective</w:t>
      </w:r>
      <w:r w:rsidRPr="00E620B4">
        <w:rPr>
          <w:rFonts w:eastAsia="Time New Roman"/>
        </w:rPr>
        <w:t xml:space="preserve"> distributed leadership model. The </w:t>
      </w:r>
      <w:r w:rsidR="005F2A2A">
        <w:rPr>
          <w:rFonts w:eastAsia="Time New Roman"/>
        </w:rPr>
        <w:t>four</w:t>
      </w:r>
      <w:r w:rsidRPr="00E620B4">
        <w:rPr>
          <w:rFonts w:eastAsia="Time New Roman"/>
        </w:rPr>
        <w:t xml:space="preserve"> deans of curriculum and instruction (DCIs) </w:t>
      </w:r>
      <w:r w:rsidR="00E620B4" w:rsidRPr="00E620B4">
        <w:rPr>
          <w:rFonts w:eastAsia="Time New Roman"/>
        </w:rPr>
        <w:t>serve</w:t>
      </w:r>
      <w:r w:rsidR="00113DDA">
        <w:rPr>
          <w:rFonts w:eastAsia="Time New Roman"/>
        </w:rPr>
        <w:t>d</w:t>
      </w:r>
      <w:r w:rsidR="00E620B4" w:rsidRPr="00E620B4">
        <w:rPr>
          <w:rFonts w:eastAsia="Time New Roman"/>
        </w:rPr>
        <w:t xml:space="preserve"> as instr</w:t>
      </w:r>
      <w:r w:rsidR="00FF66C6">
        <w:rPr>
          <w:rFonts w:eastAsia="Time New Roman"/>
        </w:rPr>
        <w:t>uction</w:t>
      </w:r>
      <w:r w:rsidR="00973587">
        <w:rPr>
          <w:rFonts w:eastAsia="Time New Roman"/>
        </w:rPr>
        <w:t>al</w:t>
      </w:r>
      <w:r w:rsidR="00FF66C6">
        <w:rPr>
          <w:rFonts w:eastAsia="Time New Roman"/>
        </w:rPr>
        <w:t xml:space="preserve"> leaders in the building. All teachers </w:t>
      </w:r>
      <w:r w:rsidR="00973587">
        <w:rPr>
          <w:rFonts w:eastAsia="Time New Roman"/>
        </w:rPr>
        <w:t>were</w:t>
      </w:r>
      <w:r w:rsidR="00FF66C6">
        <w:rPr>
          <w:rFonts w:eastAsia="Time New Roman"/>
        </w:rPr>
        <w:t xml:space="preserve"> tiered based on their individual needs and </w:t>
      </w:r>
      <w:r w:rsidR="00113DDA">
        <w:rPr>
          <w:rFonts w:eastAsia="Time New Roman"/>
        </w:rPr>
        <w:t xml:space="preserve">received support led by the DCI </w:t>
      </w:r>
      <w:r w:rsidR="00FF66C6">
        <w:rPr>
          <w:rFonts w:eastAsia="Time New Roman"/>
        </w:rPr>
        <w:t>focus</w:t>
      </w:r>
      <w:r w:rsidR="00973587">
        <w:rPr>
          <w:rFonts w:eastAsia="Time New Roman"/>
        </w:rPr>
        <w:t>ed</w:t>
      </w:r>
      <w:r w:rsidR="00FF66C6">
        <w:rPr>
          <w:rFonts w:eastAsia="Time New Roman"/>
        </w:rPr>
        <w:t xml:space="preserve"> on specific instructional priorities aligned with the</w:t>
      </w:r>
      <w:r w:rsidR="00113DDA">
        <w:rPr>
          <w:rFonts w:eastAsia="Time New Roman"/>
        </w:rPr>
        <w:t>ir</w:t>
      </w:r>
      <w:r w:rsidR="00FF66C6">
        <w:rPr>
          <w:rFonts w:eastAsia="Time New Roman"/>
        </w:rPr>
        <w:t xml:space="preserve"> </w:t>
      </w:r>
      <w:r w:rsidR="00113DDA">
        <w:rPr>
          <w:rFonts w:eastAsia="Time New Roman"/>
        </w:rPr>
        <w:t>t</w:t>
      </w:r>
      <w:r w:rsidR="00FF66C6">
        <w:rPr>
          <w:rFonts w:eastAsia="Time New Roman"/>
        </w:rPr>
        <w:t>ier. DCIs also work</w:t>
      </w:r>
      <w:r w:rsidR="00973587">
        <w:rPr>
          <w:rFonts w:eastAsia="Time New Roman"/>
        </w:rPr>
        <w:t>ed</w:t>
      </w:r>
      <w:r w:rsidR="00FF66C6">
        <w:rPr>
          <w:rFonts w:eastAsia="Time New Roman"/>
        </w:rPr>
        <w:t xml:space="preserve"> </w:t>
      </w:r>
      <w:r w:rsidR="00A60161">
        <w:rPr>
          <w:rFonts w:eastAsia="Time New Roman"/>
        </w:rPr>
        <w:t xml:space="preserve">intensively </w:t>
      </w:r>
      <w:r w:rsidR="007D6483">
        <w:rPr>
          <w:rFonts w:eastAsia="Time New Roman"/>
        </w:rPr>
        <w:t>with their</w:t>
      </w:r>
      <w:r w:rsidR="00E620B4">
        <w:rPr>
          <w:rFonts w:eastAsia="Time New Roman"/>
        </w:rPr>
        <w:t xml:space="preserve"> caseload of teachers to</w:t>
      </w:r>
      <w:r w:rsidR="00E620B4" w:rsidRPr="00E620B4">
        <w:rPr>
          <w:rFonts w:eastAsia="Time New Roman"/>
        </w:rPr>
        <w:t xml:space="preserve"> </w:t>
      </w:r>
      <w:r w:rsidR="00E620B4">
        <w:rPr>
          <w:rFonts w:eastAsia="Time New Roman"/>
        </w:rPr>
        <w:t>improve their classroom practice</w:t>
      </w:r>
      <w:r w:rsidR="00B17D2D">
        <w:rPr>
          <w:rFonts w:eastAsia="Time New Roman"/>
        </w:rPr>
        <w:t xml:space="preserve"> and use of data</w:t>
      </w:r>
      <w:r w:rsidR="00E620B4" w:rsidRPr="00E620B4">
        <w:rPr>
          <w:rFonts w:eastAsia="Time New Roman"/>
        </w:rPr>
        <w:t xml:space="preserve">. </w:t>
      </w:r>
      <w:r w:rsidRPr="00E620B4">
        <w:t xml:space="preserve">UP Education </w:t>
      </w:r>
      <w:proofErr w:type="gramStart"/>
      <w:r w:rsidRPr="00E620B4">
        <w:t>Network’s</w:t>
      </w:r>
      <w:proofErr w:type="gramEnd"/>
      <w:r w:rsidR="001E67AD" w:rsidRPr="00E620B4">
        <w:t xml:space="preserve"> </w:t>
      </w:r>
      <w:r w:rsidR="00652DAB">
        <w:t xml:space="preserve">(UPEN) </w:t>
      </w:r>
      <w:r w:rsidRPr="00E620B4">
        <w:t>Deans</w:t>
      </w:r>
      <w:r w:rsidR="001E67AD" w:rsidRPr="00E620B4">
        <w:t xml:space="preserve"> </w:t>
      </w:r>
      <w:r w:rsidRPr="00E620B4">
        <w:t>and Principal Fellows programs continue</w:t>
      </w:r>
      <w:r w:rsidR="00973587">
        <w:t>d</w:t>
      </w:r>
      <w:r w:rsidRPr="00E620B4">
        <w:t xml:space="preserve"> to develop teachers interested in more formal leadership opportunities</w:t>
      </w:r>
      <w:r w:rsidR="00112D16">
        <w:t>, with increasing enrollment each year</w:t>
      </w:r>
      <w:r w:rsidRPr="00E620B4">
        <w:t xml:space="preserve">. </w:t>
      </w:r>
      <w:r w:rsidR="00B17D2D">
        <w:t>According to a survey administered by UPEN, 90</w:t>
      </w:r>
      <w:r w:rsidR="000B4A22">
        <w:t>%</w:t>
      </w:r>
      <w:r w:rsidR="00B17D2D">
        <w:t xml:space="preserve"> of Dean Fellows agreed that their leadership and coaching skills have improved </w:t>
      </w:r>
      <w:proofErr w:type="gramStart"/>
      <w:r w:rsidR="00B17D2D">
        <w:t>as a result</w:t>
      </w:r>
      <w:proofErr w:type="gramEnd"/>
      <w:r w:rsidR="00B17D2D">
        <w:t xml:space="preserve"> of their participation in the program. </w:t>
      </w:r>
      <w:r w:rsidR="007D6483">
        <w:t xml:space="preserve">Lastly, teachers who demonstrated exceptional skill </w:t>
      </w:r>
      <w:proofErr w:type="gramStart"/>
      <w:r w:rsidR="007D6483">
        <w:t>were selected</w:t>
      </w:r>
      <w:proofErr w:type="gramEnd"/>
      <w:r w:rsidR="007D6483">
        <w:t xml:space="preserve"> to provide additional supports to other teachers in the building. </w:t>
      </w:r>
    </w:p>
    <w:p w14:paraId="53989C23" w14:textId="5A367C4D" w:rsidR="00A74C48" w:rsidRPr="00A74C48" w:rsidRDefault="001B28C2" w:rsidP="00A74C48">
      <w:pPr>
        <w:pStyle w:val="BodyText"/>
      </w:pPr>
      <w:r w:rsidRPr="006444AB">
        <w:rPr>
          <w:rFonts w:eastAsia="Time New Roman"/>
        </w:rPr>
        <w:t xml:space="preserve">Finally, UAH </w:t>
      </w:r>
      <w:r w:rsidR="00A0185E" w:rsidRPr="006444AB">
        <w:rPr>
          <w:rFonts w:eastAsia="Time New Roman"/>
        </w:rPr>
        <w:t>continued to make family engagement</w:t>
      </w:r>
      <w:r w:rsidRPr="006444AB">
        <w:rPr>
          <w:rFonts w:eastAsia="Time New Roman"/>
        </w:rPr>
        <w:t xml:space="preserve"> a priority with supports from the </w:t>
      </w:r>
      <w:r w:rsidR="00ED406F" w:rsidRPr="006444AB">
        <w:rPr>
          <w:rFonts w:eastAsia="Time New Roman"/>
        </w:rPr>
        <w:t xml:space="preserve">family and community </w:t>
      </w:r>
      <w:r w:rsidR="006444AB" w:rsidRPr="006444AB">
        <w:rPr>
          <w:rFonts w:eastAsia="Time New Roman"/>
        </w:rPr>
        <w:t xml:space="preserve">coordinator. The coordinator </w:t>
      </w:r>
      <w:r w:rsidR="00973587">
        <w:rPr>
          <w:rFonts w:eastAsia="Time New Roman"/>
        </w:rPr>
        <w:t>was</w:t>
      </w:r>
      <w:r w:rsidR="006444AB" w:rsidRPr="006444AB">
        <w:rPr>
          <w:rFonts w:eastAsia="Time New Roman"/>
        </w:rPr>
        <w:t xml:space="preserve"> responsible for planning school events and overseeing the school site and parent council</w:t>
      </w:r>
      <w:r w:rsidR="000B4A22">
        <w:rPr>
          <w:rFonts w:eastAsia="Time New Roman"/>
        </w:rPr>
        <w:t>s</w:t>
      </w:r>
      <w:r w:rsidR="006444AB" w:rsidRPr="006444AB">
        <w:rPr>
          <w:rFonts w:eastAsia="Time New Roman"/>
        </w:rPr>
        <w:t xml:space="preserve">. Although parent participation on these councils </w:t>
      </w:r>
      <w:r w:rsidR="00973587">
        <w:rPr>
          <w:rFonts w:eastAsia="Time New Roman"/>
        </w:rPr>
        <w:t>was a challenge, the school reported</w:t>
      </w:r>
      <w:r w:rsidR="006444AB" w:rsidRPr="006444AB">
        <w:rPr>
          <w:rFonts w:eastAsia="Time New Roman"/>
        </w:rPr>
        <w:t xml:space="preserve"> strong parent turnout at events. This year, the school hosted cookouts, monthly potlucks, curriculum nights, and monthly spirit days. Family feedback </w:t>
      </w:r>
      <w:proofErr w:type="gramStart"/>
      <w:r w:rsidR="00973587">
        <w:rPr>
          <w:rFonts w:eastAsia="Time New Roman"/>
        </w:rPr>
        <w:t>was</w:t>
      </w:r>
      <w:r w:rsidR="006444AB" w:rsidRPr="006444AB">
        <w:rPr>
          <w:rFonts w:eastAsia="Time New Roman"/>
        </w:rPr>
        <w:t xml:space="preserve"> solicited</w:t>
      </w:r>
      <w:proofErr w:type="gramEnd"/>
      <w:r w:rsidR="006444AB" w:rsidRPr="006444AB">
        <w:rPr>
          <w:rFonts w:eastAsia="Time New Roman"/>
        </w:rPr>
        <w:t xml:space="preserve"> </w:t>
      </w:r>
      <w:r w:rsidR="000B4A22">
        <w:rPr>
          <w:rFonts w:eastAsia="Time New Roman"/>
        </w:rPr>
        <w:t xml:space="preserve">regularly </w:t>
      </w:r>
      <w:r w:rsidR="006444AB" w:rsidRPr="006444AB">
        <w:rPr>
          <w:rFonts w:eastAsia="Time New Roman"/>
        </w:rPr>
        <w:t>throughout the school year through surveys.</w:t>
      </w:r>
      <w:r w:rsidR="006444AB">
        <w:rPr>
          <w:rFonts w:eastAsia="Time New Roman"/>
        </w:rPr>
        <w:t xml:space="preserve"> </w:t>
      </w:r>
      <w:r w:rsidR="00AB684B">
        <w:rPr>
          <w:rFonts w:eastAsia="Time New Roman"/>
        </w:rPr>
        <w:t>School leaders shared that t</w:t>
      </w:r>
      <w:r w:rsidR="006444AB">
        <w:rPr>
          <w:rFonts w:eastAsia="Time New Roman"/>
        </w:rPr>
        <w:t xml:space="preserve">hese efforts have helped make parents feel welcomed and involved in their child’s education. </w:t>
      </w:r>
    </w:p>
    <w:p w14:paraId="64FFD493" w14:textId="77777777" w:rsidR="001D2E80" w:rsidRPr="007A4126" w:rsidRDefault="001D2E80" w:rsidP="001D2E80">
      <w:pPr>
        <w:pStyle w:val="Heading2"/>
      </w:pPr>
      <w:r>
        <w:t>End-of-Year</w:t>
      </w:r>
      <w:r w:rsidRPr="007A4126">
        <w:t xml:space="preserve"> Findings</w:t>
      </w:r>
    </w:p>
    <w:p w14:paraId="20B02A3C" w14:textId="77777777" w:rsidR="006111A4" w:rsidRDefault="006111A4" w:rsidP="006111A4">
      <w:pPr>
        <w:pStyle w:val="Heading3"/>
      </w:pPr>
      <w:r>
        <w:t>Turnaround Practice 1: Leadership, Shared Responsibility, and Professional Collaboration</w:t>
      </w:r>
    </w:p>
    <w:p w14:paraId="4277B0C2" w14:textId="58B26AAB" w:rsidR="009D5568" w:rsidRDefault="00940481" w:rsidP="00945794">
      <w:pPr>
        <w:pStyle w:val="BodyText"/>
      </w:pPr>
      <w:r w:rsidRPr="009D5568">
        <w:t xml:space="preserve">UAH continued to focus on </w:t>
      </w:r>
      <w:r w:rsidR="00AC1075" w:rsidRPr="009D5568">
        <w:rPr>
          <w:spacing w:val="-2"/>
        </w:rPr>
        <w:t>creating a culture of urgency, high expectations, accountability, excellence, and achievement</w:t>
      </w:r>
      <w:r w:rsidR="0078298C" w:rsidRPr="009D5568">
        <w:t xml:space="preserve">. </w:t>
      </w:r>
      <w:r w:rsidR="009D5568" w:rsidRPr="009D5568">
        <w:t>During the 2017</w:t>
      </w:r>
      <w:r w:rsidR="00ED406F" w:rsidRPr="009D5568">
        <w:t>–</w:t>
      </w:r>
      <w:r w:rsidR="009D5568" w:rsidRPr="009D5568">
        <w:t>18</w:t>
      </w:r>
      <w:r w:rsidR="00A936F2" w:rsidRPr="009D5568">
        <w:t xml:space="preserve"> school year, UAH </w:t>
      </w:r>
      <w:r w:rsidR="009D5568">
        <w:t xml:space="preserve">staff focused on the school’s </w:t>
      </w:r>
      <w:proofErr w:type="gramStart"/>
      <w:r w:rsidR="009D5568">
        <w:lastRenderedPageBreak/>
        <w:t>priorities</w:t>
      </w:r>
      <w:proofErr w:type="gramEnd"/>
      <w:r w:rsidR="009D5568">
        <w:t xml:space="preserve"> of “brains on” and </w:t>
      </w:r>
      <w:r w:rsidR="009F3639">
        <w:t>R</w:t>
      </w:r>
      <w:r w:rsidR="009D5568">
        <w:t xml:space="preserve">esponsive </w:t>
      </w:r>
      <w:r w:rsidR="009F3639">
        <w:t>C</w:t>
      </w:r>
      <w:r w:rsidR="009D5568">
        <w:t xml:space="preserve">lassroom. “Brains on” </w:t>
      </w:r>
      <w:r w:rsidR="00973587">
        <w:t>was</w:t>
      </w:r>
      <w:r w:rsidR="009D5568">
        <w:t xml:space="preserve"> the expectation that </w:t>
      </w:r>
      <w:r w:rsidR="009D5568" w:rsidRPr="00AE455F">
        <w:t>students are</w:t>
      </w:r>
      <w:r w:rsidR="009D5568">
        <w:t xml:space="preserve"> actively</w:t>
      </w:r>
      <w:r w:rsidR="009D5568" w:rsidRPr="00AE455F">
        <w:t xml:space="preserve"> engaged throughout the lesson, </w:t>
      </w:r>
      <w:r w:rsidR="009F3639">
        <w:t xml:space="preserve">engage </w:t>
      </w:r>
      <w:r w:rsidR="009D5568" w:rsidRPr="00AE455F">
        <w:t>with rigorous content, and have frequent opportunities for student discourse.</w:t>
      </w:r>
      <w:r w:rsidR="009D5568">
        <w:t xml:space="preserve"> Responsive </w:t>
      </w:r>
      <w:r w:rsidR="009F3639">
        <w:t>C</w:t>
      </w:r>
      <w:r w:rsidR="009D5568">
        <w:t xml:space="preserve">lassroom is a formal program that reinforces the expectations </w:t>
      </w:r>
      <w:r w:rsidR="005C798A">
        <w:t xml:space="preserve">that teachers develop </w:t>
      </w:r>
      <w:r w:rsidR="009D5568" w:rsidRPr="005C798A">
        <w:t>strong relationships</w:t>
      </w:r>
      <w:r w:rsidR="005C798A" w:rsidRPr="005C798A">
        <w:t xml:space="preserve"> </w:t>
      </w:r>
      <w:r w:rsidR="009D5568" w:rsidRPr="005C798A">
        <w:t>and</w:t>
      </w:r>
      <w:r w:rsidR="005C798A" w:rsidRPr="005C798A">
        <w:t xml:space="preserve"> provide</w:t>
      </w:r>
      <w:r w:rsidR="009D5568" w:rsidRPr="005C798A">
        <w:t xml:space="preserve"> social-emotional support</w:t>
      </w:r>
      <w:r w:rsidR="005C798A">
        <w:t xml:space="preserve"> to students. </w:t>
      </w:r>
      <w:r w:rsidR="00945794">
        <w:t xml:space="preserve">Professional development </w:t>
      </w:r>
      <w:r w:rsidR="00CF1BE3">
        <w:t>was</w:t>
      </w:r>
      <w:r w:rsidR="00945794">
        <w:t xml:space="preserve"> </w:t>
      </w:r>
      <w:r w:rsidR="00973587">
        <w:t>a</w:t>
      </w:r>
      <w:r w:rsidR="00945794">
        <w:t xml:space="preserve"> primary lever </w:t>
      </w:r>
      <w:r w:rsidR="00973587">
        <w:t xml:space="preserve">used by </w:t>
      </w:r>
      <w:r w:rsidR="00945794">
        <w:t>school leaders to improve the quality of instruction, and al</w:t>
      </w:r>
      <w:r w:rsidR="00AB684B">
        <w:t>l</w:t>
      </w:r>
      <w:r w:rsidR="00945794">
        <w:t xml:space="preserve"> professional development </w:t>
      </w:r>
      <w:proofErr w:type="gramStart"/>
      <w:r w:rsidR="00945794">
        <w:t>was aligned</w:t>
      </w:r>
      <w:proofErr w:type="gramEnd"/>
      <w:r w:rsidR="00945794">
        <w:t xml:space="preserve"> with one of </w:t>
      </w:r>
      <w:r w:rsidR="00CF1BE3">
        <w:t>the</w:t>
      </w:r>
      <w:r w:rsidR="00945794">
        <w:t xml:space="preserve"> two instructional priorities. </w:t>
      </w:r>
      <w:r w:rsidR="008A31F7">
        <w:t>Teachers received professional development weekly; as mentioned in the Highlights section, the school transitioned from providing two sessions per week to one session per week to focus on quality implementation</w:t>
      </w:r>
      <w:r w:rsidR="00AB684B">
        <w:t xml:space="preserve"> without overloading the faculty</w:t>
      </w:r>
      <w:r w:rsidR="00112D16">
        <w:t xml:space="preserve">. </w:t>
      </w:r>
      <w:r w:rsidR="00945794">
        <w:t>Further, school leaders monitored</w:t>
      </w:r>
      <w:r w:rsidR="00754C01">
        <w:t xml:space="preserve"> teacher’s</w:t>
      </w:r>
      <w:r w:rsidR="00945794">
        <w:t xml:space="preserve"> implementation of </w:t>
      </w:r>
      <w:r w:rsidR="00754C01">
        <w:t xml:space="preserve">what they learned in </w:t>
      </w:r>
      <w:r w:rsidR="00945794">
        <w:t>professional development to ensure students received high-quality instruction</w:t>
      </w:r>
      <w:r w:rsidR="00754C01">
        <w:t xml:space="preserve"> utilizing these skills and strategies</w:t>
      </w:r>
      <w:r w:rsidR="00945794">
        <w:t xml:space="preserve">. </w:t>
      </w:r>
    </w:p>
    <w:p w14:paraId="71674A32" w14:textId="359DF90D" w:rsidR="00D932F2" w:rsidRPr="009D5568" w:rsidRDefault="00D932F2" w:rsidP="00945794">
      <w:pPr>
        <w:pStyle w:val="BodyText"/>
      </w:pPr>
      <w:r>
        <w:t xml:space="preserve">UAH has continued its commitment to common planning time for teachers. Teachers have DEAP, or collaborative planning, afterschool every Monday through Thursday. During this time, general education teachers work with special education and English as a Second Language (ESL) teachers to prepare for the next day’s lesson. Teachers also </w:t>
      </w:r>
      <w:r w:rsidR="00973587">
        <w:t>ha</w:t>
      </w:r>
      <w:r w:rsidR="00AB684B">
        <w:t>ve</w:t>
      </w:r>
      <w:r>
        <w:t xml:space="preserve"> weekly grade-level common planning time, focused on a specific priority or upcoming action step. Team</w:t>
      </w:r>
      <w:r w:rsidR="00651031">
        <w:t>s</w:t>
      </w:r>
      <w:r>
        <w:t xml:space="preserve"> use</w:t>
      </w:r>
      <w:r w:rsidR="00651031">
        <w:t>d</w:t>
      </w:r>
      <w:r>
        <w:t xml:space="preserve"> the time to work toward </w:t>
      </w:r>
      <w:r w:rsidR="00754C01">
        <w:t>a specific goal related to the school’s priorities</w:t>
      </w:r>
      <w:r>
        <w:t xml:space="preserve">, </w:t>
      </w:r>
      <w:r w:rsidR="009F3639">
        <w:t xml:space="preserve">monitor progress, </w:t>
      </w:r>
      <w:r>
        <w:t>or complete a project collaboratively. School leaders report</w:t>
      </w:r>
      <w:r w:rsidR="00973587">
        <w:t>ed</w:t>
      </w:r>
      <w:r>
        <w:t xml:space="preserve"> that this time </w:t>
      </w:r>
      <w:proofErr w:type="gramStart"/>
      <w:r>
        <w:t>is used more effectively compared</w:t>
      </w:r>
      <w:proofErr w:type="gramEnd"/>
      <w:r>
        <w:t xml:space="preserve"> to last year. </w:t>
      </w:r>
    </w:p>
    <w:p w14:paraId="7507B187" w14:textId="3E0E4082" w:rsidR="00BA73E0" w:rsidRDefault="00F85FDF" w:rsidP="00B01871">
      <w:pPr>
        <w:pStyle w:val="BodyText"/>
      </w:pPr>
      <w:r w:rsidRPr="00B01871">
        <w:t xml:space="preserve">UAH </w:t>
      </w:r>
      <w:r w:rsidR="007D6483" w:rsidRPr="00B01871">
        <w:t>has continued to create a</w:t>
      </w:r>
      <w:r w:rsidR="004936FB" w:rsidRPr="00B01871">
        <w:t xml:space="preserve"> </w:t>
      </w:r>
      <w:r w:rsidR="00D9450B" w:rsidRPr="00B01871">
        <w:t xml:space="preserve">culture </w:t>
      </w:r>
      <w:r w:rsidR="004936FB" w:rsidRPr="00B01871">
        <w:t xml:space="preserve">of </w:t>
      </w:r>
      <w:r w:rsidRPr="00B01871">
        <w:t xml:space="preserve">celebration of </w:t>
      </w:r>
      <w:r w:rsidR="000E7C67" w:rsidRPr="00B01871">
        <w:t>student and adult learning</w:t>
      </w:r>
      <w:r w:rsidRPr="00B01871">
        <w:t>.</w:t>
      </w:r>
      <w:r w:rsidR="00603EE9" w:rsidRPr="00B01871">
        <w:t xml:space="preserve"> </w:t>
      </w:r>
      <w:r w:rsidR="000F0297" w:rsidRPr="00B01871">
        <w:t xml:space="preserve">This year, the school established a Culture of We Committee </w:t>
      </w:r>
      <w:r w:rsidR="009F3639">
        <w:t xml:space="preserve">that was </w:t>
      </w:r>
      <w:r w:rsidR="000F0297" w:rsidRPr="00B01871">
        <w:t xml:space="preserve">responsible for </w:t>
      </w:r>
      <w:r w:rsidR="00B01871" w:rsidRPr="00B01871">
        <w:t>planning celebrations for staff birthdays and other life milestones. School staff also nominate</w:t>
      </w:r>
      <w:r w:rsidR="00973587">
        <w:t>d</w:t>
      </w:r>
      <w:r w:rsidR="00B01871" w:rsidRPr="00B01871">
        <w:t xml:space="preserve"> a colleague for the weekly “Eye of the Tiger” award to recognize his or her hard work. For students, there </w:t>
      </w:r>
      <w:r w:rsidR="00973587">
        <w:t>were</w:t>
      </w:r>
      <w:r w:rsidR="00B01871" w:rsidRPr="00B01871">
        <w:t xml:space="preserve"> regular “shout outs” </w:t>
      </w:r>
      <w:r w:rsidR="000E7C67" w:rsidRPr="00B01871">
        <w:t>to high</w:t>
      </w:r>
      <w:r w:rsidR="004936FB" w:rsidRPr="00B01871">
        <w:t>light</w:t>
      </w:r>
      <w:r w:rsidR="000E7C67" w:rsidRPr="00B01871">
        <w:t xml:space="preserve"> </w:t>
      </w:r>
      <w:r w:rsidR="004936FB" w:rsidRPr="00B01871">
        <w:t xml:space="preserve">positive </w:t>
      </w:r>
      <w:r w:rsidR="000E7C67" w:rsidRPr="00B01871">
        <w:t>things that students are doing</w:t>
      </w:r>
      <w:r w:rsidR="005F2A2A">
        <w:t>, students are able to earn “Tiger of the Day” in their classroom, and have the opportunity to earn a community incentive for being a leader within the school</w:t>
      </w:r>
      <w:r w:rsidR="000E7C67" w:rsidRPr="00B01871">
        <w:t xml:space="preserve">. </w:t>
      </w:r>
      <w:r w:rsidR="00AB684B">
        <w:t>Leaders reported that t</w:t>
      </w:r>
      <w:r w:rsidR="00B01871" w:rsidRPr="00B01871">
        <w:t>hese</w:t>
      </w:r>
      <w:r w:rsidR="009D23F7" w:rsidRPr="00B01871">
        <w:t xml:space="preserve"> shift</w:t>
      </w:r>
      <w:r w:rsidR="00B01871" w:rsidRPr="00B01871">
        <w:t>s</w:t>
      </w:r>
      <w:r w:rsidR="009D23F7" w:rsidRPr="00B01871">
        <w:t xml:space="preserve"> </w:t>
      </w:r>
      <w:r w:rsidR="00B01871" w:rsidRPr="00B01871">
        <w:t>have resulted in a more</w:t>
      </w:r>
      <w:r w:rsidR="00074C7C" w:rsidRPr="00B01871">
        <w:t xml:space="preserve"> </w:t>
      </w:r>
      <w:r w:rsidR="004936FB" w:rsidRPr="00B01871">
        <w:t>positive school culture</w:t>
      </w:r>
      <w:r w:rsidR="009D23F7" w:rsidRPr="00B01871">
        <w:t xml:space="preserve">. </w:t>
      </w:r>
    </w:p>
    <w:p w14:paraId="73BB3CCA" w14:textId="1D02C5E7" w:rsidR="00472F09" w:rsidRDefault="00927A87" w:rsidP="00472F09">
      <w:pPr>
        <w:pStyle w:val="BodyText"/>
      </w:pPr>
      <w:r w:rsidRPr="00472F09">
        <w:t xml:space="preserve">School leaders </w:t>
      </w:r>
      <w:r w:rsidR="00973587">
        <w:t>also</w:t>
      </w:r>
      <w:r w:rsidRPr="00472F09">
        <w:t xml:space="preserve"> </w:t>
      </w:r>
      <w:r w:rsidR="009F3639">
        <w:t xml:space="preserve">have </w:t>
      </w:r>
      <w:r w:rsidRPr="00472F09">
        <w:t>emphasized a culture of open, two-way communication</w:t>
      </w:r>
      <w:r w:rsidR="00D6069D">
        <w:t xml:space="preserve"> with staff. The principal hosted</w:t>
      </w:r>
      <w:r w:rsidRPr="00472F09">
        <w:t xml:space="preserve"> </w:t>
      </w:r>
      <w:r w:rsidR="009F3639">
        <w:t xml:space="preserve">staff during </w:t>
      </w:r>
      <w:r w:rsidRPr="00472F09">
        <w:t>a “Chat and Chew</w:t>
      </w:r>
      <w:r w:rsidR="009F3639">
        <w:t>,</w:t>
      </w:r>
      <w:r w:rsidRPr="00472F09">
        <w:t xml:space="preserve">” an open forum where staff </w:t>
      </w:r>
      <w:r w:rsidR="00D6069D">
        <w:t>could</w:t>
      </w:r>
      <w:r w:rsidRPr="00472F09">
        <w:t xml:space="preserve"> give </w:t>
      </w:r>
      <w:r w:rsidR="00472F09" w:rsidRPr="00472F09">
        <w:t xml:space="preserve">feedback and ask </w:t>
      </w:r>
      <w:r w:rsidR="00AB684B" w:rsidRPr="00472F09">
        <w:t xml:space="preserve">the principal </w:t>
      </w:r>
      <w:r w:rsidR="00472F09" w:rsidRPr="00472F09">
        <w:t>questions</w:t>
      </w:r>
      <w:r w:rsidR="005F2A2A">
        <w:t xml:space="preserve"> five times throughout the school year</w:t>
      </w:r>
      <w:r w:rsidR="00472F09" w:rsidRPr="00472F09">
        <w:t xml:space="preserve">. </w:t>
      </w:r>
      <w:r w:rsidR="00AB684B">
        <w:t>S</w:t>
      </w:r>
      <w:r w:rsidR="00AB684B" w:rsidRPr="00472F09">
        <w:t xml:space="preserve">chool leaders also surveyed </w:t>
      </w:r>
      <w:r w:rsidR="00AB684B">
        <w:t>s</w:t>
      </w:r>
      <w:r w:rsidR="00472F09" w:rsidRPr="00472F09">
        <w:t>taff weekly</w:t>
      </w:r>
      <w:r w:rsidR="00AB684B">
        <w:t xml:space="preserve"> using</w:t>
      </w:r>
      <w:r w:rsidR="00472F09" w:rsidRPr="00472F09">
        <w:t xml:space="preserve"> targeted questions to </w:t>
      </w:r>
      <w:r w:rsidR="00651031">
        <w:t>gather</w:t>
      </w:r>
      <w:r w:rsidR="00472F09" w:rsidRPr="00472F09">
        <w:t xml:space="preserve"> staff input on specific areas of the school or initiatives. </w:t>
      </w:r>
    </w:p>
    <w:p w14:paraId="49F3FBF9" w14:textId="5ED6F223" w:rsidR="00864A21" w:rsidRPr="00472F09" w:rsidRDefault="00864A21" w:rsidP="00472F09">
      <w:pPr>
        <w:pStyle w:val="BodyText"/>
      </w:pPr>
      <w:r>
        <w:t xml:space="preserve">In order to provide students with high-quality instruction, significant staffing changes </w:t>
      </w:r>
      <w:proofErr w:type="gramStart"/>
      <w:r>
        <w:t>were made</w:t>
      </w:r>
      <w:proofErr w:type="gramEnd"/>
      <w:r>
        <w:t xml:space="preserve"> midyear. </w:t>
      </w:r>
      <w:r w:rsidR="00A715CA">
        <w:t xml:space="preserve">To continue developing teachers, the dean continued to work with fourth grade, a strong teacher </w:t>
      </w:r>
      <w:proofErr w:type="gramStart"/>
      <w:r w:rsidR="00A715CA">
        <w:t>was identified</w:t>
      </w:r>
      <w:proofErr w:type="gramEnd"/>
      <w:r w:rsidR="00A715CA">
        <w:t xml:space="preserve"> to support Encore </w:t>
      </w:r>
      <w:r w:rsidR="009E2946">
        <w:t xml:space="preserve">(e.g., music, art, </w:t>
      </w:r>
      <w:r w:rsidR="009F3639">
        <w:t>theater</w:t>
      </w:r>
      <w:r w:rsidR="009E2946">
        <w:t>) teachers</w:t>
      </w:r>
      <w:r w:rsidR="00A715CA">
        <w:t>, and the principal worked directly with fifth</w:t>
      </w:r>
      <w:r w:rsidR="009F3639">
        <w:t>-</w:t>
      </w:r>
      <w:r w:rsidR="00A715CA">
        <w:t xml:space="preserve">grade teachers. </w:t>
      </w:r>
      <w:r w:rsidR="005C32EF">
        <w:t xml:space="preserve">It </w:t>
      </w:r>
      <w:proofErr w:type="gramStart"/>
      <w:r w:rsidR="005C32EF">
        <w:t>is expected</w:t>
      </w:r>
      <w:proofErr w:type="gramEnd"/>
      <w:r w:rsidR="005C32EF">
        <w:t xml:space="preserve"> that </w:t>
      </w:r>
      <w:r w:rsidR="00D6069D">
        <w:t xml:space="preserve">approximately </w:t>
      </w:r>
      <w:r w:rsidR="005C32EF">
        <w:t>82</w:t>
      </w:r>
      <w:r w:rsidR="009F3639">
        <w:t>%</w:t>
      </w:r>
      <w:r w:rsidR="005C32EF">
        <w:t xml:space="preserve"> of the teaching staff will return to UAH next year</w:t>
      </w:r>
      <w:r w:rsidR="00587BF4">
        <w:t>, an increase from 76% this year</w:t>
      </w:r>
      <w:r w:rsidR="005C32EF">
        <w:t xml:space="preserve">. </w:t>
      </w:r>
      <w:r w:rsidR="00A715CA">
        <w:t xml:space="preserve">In planning </w:t>
      </w:r>
      <w:r w:rsidR="00AB684B">
        <w:t xml:space="preserve">for </w:t>
      </w:r>
      <w:r w:rsidR="00A715CA">
        <w:t xml:space="preserve">next year, school leaders have increased the rigor of the application process to </w:t>
      </w:r>
      <w:r w:rsidR="005C32EF">
        <w:t>identify high-quality teachers and paraprofessiona</w:t>
      </w:r>
      <w:r w:rsidR="00D6069D">
        <w:t xml:space="preserve">ls so that they will continue to be able to respond flexibly to any unanticipated staffing changes midyear. </w:t>
      </w:r>
    </w:p>
    <w:p w14:paraId="05F1F7A6" w14:textId="32EE1C2A" w:rsidR="006111A4" w:rsidRDefault="006111A4" w:rsidP="006111A4">
      <w:pPr>
        <w:pStyle w:val="Heading3"/>
      </w:pPr>
      <w:r>
        <w:lastRenderedPageBreak/>
        <w:t>Turnaround Practice 2:  Intentional Practices for Improving Instruction</w:t>
      </w:r>
    </w:p>
    <w:p w14:paraId="384EF5A7" w14:textId="3FC1A758" w:rsidR="00D23224" w:rsidRDefault="00934988" w:rsidP="00925E6B">
      <w:pPr>
        <w:pStyle w:val="BodyText"/>
      </w:pPr>
      <w:r w:rsidRPr="00651031">
        <w:t>UAH continue</w:t>
      </w:r>
      <w:r w:rsidR="000F4E4F" w:rsidRPr="00651031">
        <w:t>d</w:t>
      </w:r>
      <w:r w:rsidRPr="00651031">
        <w:t xml:space="preserve"> </w:t>
      </w:r>
      <w:r w:rsidR="00FF6323" w:rsidRPr="00651031">
        <w:t xml:space="preserve">to </w:t>
      </w:r>
      <w:r w:rsidRPr="00651031">
        <w:t>emphasize</w:t>
      </w:r>
      <w:r w:rsidR="000F4E4F" w:rsidRPr="00651031">
        <w:t xml:space="preserve"> the importance of</w:t>
      </w:r>
      <w:r w:rsidRPr="00651031">
        <w:t xml:space="preserve"> </w:t>
      </w:r>
      <w:r w:rsidRPr="00651031">
        <w:rPr>
          <w:rFonts w:eastAsia="Time New Roman"/>
        </w:rPr>
        <w:t xml:space="preserve">data-informed </w:t>
      </w:r>
      <w:proofErr w:type="gramStart"/>
      <w:r w:rsidRPr="00651031">
        <w:rPr>
          <w:rFonts w:eastAsia="Time New Roman"/>
        </w:rPr>
        <w:t>decision making</w:t>
      </w:r>
      <w:proofErr w:type="gramEnd"/>
      <w:r w:rsidR="00D23224">
        <w:rPr>
          <w:rFonts w:eastAsia="Time New Roman"/>
        </w:rPr>
        <w:t xml:space="preserve">, and has </w:t>
      </w:r>
      <w:r w:rsidR="00DD300B">
        <w:rPr>
          <w:rFonts w:eastAsia="Time New Roman"/>
        </w:rPr>
        <w:t xml:space="preserve">refined </w:t>
      </w:r>
      <w:r w:rsidR="00D23224">
        <w:rPr>
          <w:rFonts w:eastAsia="Time New Roman"/>
        </w:rPr>
        <w:t>this process to further support student growth. Similar to last year, t</w:t>
      </w:r>
      <w:r w:rsidR="00925E6B" w:rsidRPr="00130C47">
        <w:t>eachers</w:t>
      </w:r>
      <w:r w:rsidR="00D23224">
        <w:t xml:space="preserve"> </w:t>
      </w:r>
      <w:r w:rsidR="00925E6B" w:rsidRPr="00130C47">
        <w:t>track</w:t>
      </w:r>
      <w:r w:rsidR="00BC1E9C">
        <w:t>ed</w:t>
      </w:r>
      <w:r w:rsidR="00925E6B" w:rsidRPr="00130C47">
        <w:t xml:space="preserve"> data from a variety of sources </w:t>
      </w:r>
      <w:r w:rsidR="00D23224">
        <w:t xml:space="preserve">(e.g., </w:t>
      </w:r>
      <w:r w:rsidR="00DD300B">
        <w:t>Fountas and Pinnell results</w:t>
      </w:r>
      <w:r w:rsidR="00925E6B">
        <w:t xml:space="preserve">, </w:t>
      </w:r>
      <w:r w:rsidR="00925E6B" w:rsidRPr="00925E6B">
        <w:t>STEP</w:t>
      </w:r>
      <w:r w:rsidR="00DD300B">
        <w:t xml:space="preserve"> literacy data</w:t>
      </w:r>
      <w:r w:rsidR="00925E6B" w:rsidRPr="00925E6B">
        <w:t xml:space="preserve">, classwork, and summative </w:t>
      </w:r>
      <w:r w:rsidR="00D52E20">
        <w:t>benchmark assessments</w:t>
      </w:r>
      <w:r w:rsidR="00925E6B" w:rsidRPr="00925E6B">
        <w:t xml:space="preserve"> developed by </w:t>
      </w:r>
      <w:r w:rsidR="00D23224">
        <w:t xml:space="preserve">UPEN). </w:t>
      </w:r>
      <w:r w:rsidR="00CB0DD8">
        <w:t>T</w:t>
      </w:r>
      <w:r w:rsidR="00D23224">
        <w:t>his year</w:t>
      </w:r>
      <w:r w:rsidR="00CB0DD8">
        <w:t>,</w:t>
      </w:r>
      <w:r w:rsidR="00D23224">
        <w:t xml:space="preserve"> staff have </w:t>
      </w:r>
      <w:r w:rsidR="002C4DE2">
        <w:t xml:space="preserve">focused </w:t>
      </w:r>
      <w:r w:rsidR="00D23224">
        <w:t xml:space="preserve">increasingly on analyzing </w:t>
      </w:r>
      <w:r w:rsidR="00925E6B">
        <w:t>formative data sources</w:t>
      </w:r>
      <w:r w:rsidR="00D23224">
        <w:t xml:space="preserve">. </w:t>
      </w:r>
      <w:r w:rsidR="00CB0DD8">
        <w:t xml:space="preserve">A significant development in this process is the explicitness of data analysis </w:t>
      </w:r>
      <w:r w:rsidR="00AB684B">
        <w:t xml:space="preserve">expectations </w:t>
      </w:r>
      <w:r w:rsidR="00CB0DD8">
        <w:t xml:space="preserve">by DCIs in order to build staff’s capacity. Teachers </w:t>
      </w:r>
      <w:r w:rsidR="00BC1E9C">
        <w:t>collected</w:t>
      </w:r>
      <w:r w:rsidR="00CB0DD8">
        <w:t xml:space="preserve"> student work weekly, and </w:t>
      </w:r>
      <w:r w:rsidR="00BC1E9C">
        <w:t>were</w:t>
      </w:r>
      <w:r w:rsidR="00CB0DD8">
        <w:t xml:space="preserve"> responsible for analyzing it prior to meeting with their DCI. The DCIs </w:t>
      </w:r>
      <w:r w:rsidR="00BC1E9C">
        <w:t xml:space="preserve">then </w:t>
      </w:r>
      <w:r w:rsidR="00CB0DD8">
        <w:t>analyze</w:t>
      </w:r>
      <w:r w:rsidR="00BC1E9C">
        <w:t>d</w:t>
      </w:r>
      <w:r w:rsidR="00CB0DD8">
        <w:t xml:space="preserve"> the work relative to the mastery criteria from</w:t>
      </w:r>
      <w:r w:rsidR="006653E2">
        <w:t xml:space="preserve"> the Massachusetts Comprehensive Assessment System</w:t>
      </w:r>
      <w:r w:rsidR="00CB0DD8">
        <w:t xml:space="preserve"> </w:t>
      </w:r>
      <w:r w:rsidR="006653E2">
        <w:t>(</w:t>
      </w:r>
      <w:r w:rsidR="00CB0DD8">
        <w:t>MCAS</w:t>
      </w:r>
      <w:r w:rsidR="006653E2">
        <w:t>)</w:t>
      </w:r>
      <w:r w:rsidR="00CB0DD8">
        <w:t xml:space="preserve"> and the UPEN benchmark assessments. The </w:t>
      </w:r>
      <w:r w:rsidR="00786A1B">
        <w:t xml:space="preserve">DCI </w:t>
      </w:r>
      <w:r w:rsidR="00CB0DD8">
        <w:t xml:space="preserve">and teacher </w:t>
      </w:r>
      <w:r w:rsidR="00BC1E9C">
        <w:t>met</w:t>
      </w:r>
      <w:r w:rsidR="00CB0DD8">
        <w:t xml:space="preserve"> to discuss any misal</w:t>
      </w:r>
      <w:r w:rsidR="00BC1E9C">
        <w:t>ignments and identified</w:t>
      </w:r>
      <w:r w:rsidR="00CB0DD8">
        <w:t xml:space="preserve"> action steps for the upcoming week to </w:t>
      </w:r>
      <w:r w:rsidR="00925E6B">
        <w:t xml:space="preserve">improve student outcomes. </w:t>
      </w:r>
      <w:r w:rsidR="00D23224">
        <w:t xml:space="preserve">The following week, new data </w:t>
      </w:r>
      <w:proofErr w:type="gramStart"/>
      <w:r w:rsidR="00BC1E9C">
        <w:t>was</w:t>
      </w:r>
      <w:r w:rsidR="00D23224">
        <w:t xml:space="preserve"> analyzed</w:t>
      </w:r>
      <w:proofErr w:type="gramEnd"/>
      <w:r w:rsidR="00D23224">
        <w:t xml:space="preserve"> to monitor student growth.</w:t>
      </w:r>
    </w:p>
    <w:p w14:paraId="1D80BD3E" w14:textId="1BEFD2DD" w:rsidR="00D6069D" w:rsidRDefault="00D23224" w:rsidP="00D31E67">
      <w:pPr>
        <w:pStyle w:val="BodyText"/>
      </w:pPr>
      <w:r>
        <w:t xml:space="preserve">A second significant development in the school’s use of data </w:t>
      </w:r>
      <w:r w:rsidR="00BC1E9C">
        <w:t>was</w:t>
      </w:r>
      <w:r>
        <w:t xml:space="preserve"> the creation of a progress monitoring reading tool. Since much of the evidence of reading growth is oral, it has historically been a challenge to monitor students’ progress</w:t>
      </w:r>
      <w:r w:rsidR="00754C01">
        <w:t xml:space="preserve"> at UAH</w:t>
      </w:r>
      <w:r>
        <w:t>. Teachers updated this</w:t>
      </w:r>
      <w:r w:rsidR="00BC1E9C">
        <w:t xml:space="preserve"> new tool weekly</w:t>
      </w:r>
      <w:r>
        <w:t xml:space="preserve"> to monitor students’ progress toward reaching their reading goals. </w:t>
      </w:r>
      <w:r w:rsidR="004F5E2C">
        <w:t xml:space="preserve">Next year, there will be </w:t>
      </w:r>
      <w:r w:rsidR="005F1BCB">
        <w:t>additional</w:t>
      </w:r>
      <w:r w:rsidR="004F5E2C">
        <w:t xml:space="preserve"> changes to data sources. Specifically, </w:t>
      </w:r>
      <w:r w:rsidR="00D3763C">
        <w:t>UP Education Network is transitioning all schools away from using network-created Benchmark Assessments, and, instead, all students will take the Measure of Academic Progress (MAP) assessments</w:t>
      </w:r>
      <w:r w:rsidR="005F2A2A">
        <w:t xml:space="preserve">. </w:t>
      </w:r>
      <w:r w:rsidR="004F5E2C">
        <w:t xml:space="preserve">There also </w:t>
      </w:r>
      <w:r w:rsidR="00777F71">
        <w:t xml:space="preserve">will </w:t>
      </w:r>
      <w:r w:rsidR="004F5E2C">
        <w:t xml:space="preserve">be additional unit tests. School leaders are hoping that the MAP and unit tests will provide more frequent data to inform instruction, compared to the current schedule of UPEN assessments. Other </w:t>
      </w:r>
      <w:r w:rsidR="00786A1B">
        <w:t xml:space="preserve">current </w:t>
      </w:r>
      <w:r w:rsidR="004F5E2C">
        <w:t xml:space="preserve">data sources will continue to </w:t>
      </w:r>
      <w:proofErr w:type="gramStart"/>
      <w:r w:rsidR="004F5E2C">
        <w:t>be administered</w:t>
      </w:r>
      <w:proofErr w:type="gramEnd"/>
      <w:r w:rsidR="004F5E2C">
        <w:t xml:space="preserve"> next year. </w:t>
      </w:r>
    </w:p>
    <w:p w14:paraId="19C8EC44" w14:textId="708843EA" w:rsidR="00810488" w:rsidRDefault="00D6069D" w:rsidP="00D31E67">
      <w:pPr>
        <w:pStyle w:val="BodyText"/>
      </w:pPr>
      <w:r>
        <w:t xml:space="preserve">One of the primary levers </w:t>
      </w:r>
      <w:r w:rsidR="00786A1B">
        <w:t xml:space="preserve">UAH used </w:t>
      </w:r>
      <w:r>
        <w:t xml:space="preserve">to improve the quality of instruction and develop </w:t>
      </w:r>
      <w:proofErr w:type="gramStart"/>
      <w:r>
        <w:t>teachers</w:t>
      </w:r>
      <w:proofErr w:type="gramEnd"/>
      <w:r>
        <w:t xml:space="preserve"> as instructional leaders were the DCIs. The DCIs worked with every teacher on their caseload frequently. </w:t>
      </w:r>
      <w:r w:rsidR="00810488">
        <w:t xml:space="preserve">All teachers </w:t>
      </w:r>
      <w:r w:rsidR="00340168">
        <w:t>were</w:t>
      </w:r>
      <w:r w:rsidR="00810488">
        <w:t xml:space="preserve"> tiered based on their progress and needs,</w:t>
      </w:r>
      <w:r w:rsidR="00340168">
        <w:t xml:space="preserve"> although movement between tiers was very fluid. Teachers worked </w:t>
      </w:r>
      <w:r w:rsidR="00810488">
        <w:t xml:space="preserve">on specific instructional </w:t>
      </w:r>
      <w:r w:rsidR="00340168">
        <w:t xml:space="preserve">priorities based on their tier; priorities included </w:t>
      </w:r>
      <w:r w:rsidR="00340168" w:rsidRPr="00340168">
        <w:t>creating a stable culture with clear instruction, checking for student understanding, responsive teaching</w:t>
      </w:r>
      <w:r w:rsidR="00777F71">
        <w:t>,</w:t>
      </w:r>
      <w:r w:rsidR="00340168" w:rsidRPr="00340168">
        <w:t xml:space="preserve"> and student</w:t>
      </w:r>
      <w:r w:rsidR="00777F71">
        <w:t>-</w:t>
      </w:r>
      <w:r w:rsidR="00340168" w:rsidRPr="00340168">
        <w:t>led classrooms.</w:t>
      </w:r>
      <w:r w:rsidR="00340168">
        <w:rPr>
          <w:sz w:val="22"/>
          <w:szCs w:val="22"/>
        </w:rPr>
        <w:t xml:space="preserve"> </w:t>
      </w:r>
      <w:r w:rsidR="008A31F7">
        <w:t>UAH school leaders report</w:t>
      </w:r>
      <w:r>
        <w:t>ed</w:t>
      </w:r>
      <w:r w:rsidR="008A31F7">
        <w:t xml:space="preserve"> that 100</w:t>
      </w:r>
      <w:r w:rsidR="00777F71">
        <w:t>%</w:t>
      </w:r>
      <w:r w:rsidR="008A31F7">
        <w:t xml:space="preserve"> of teachers </w:t>
      </w:r>
      <w:r>
        <w:t>had</w:t>
      </w:r>
      <w:r w:rsidR="008A31F7">
        <w:t xml:space="preserve"> received coaching twice per month, </w:t>
      </w:r>
      <w:r>
        <w:t>and</w:t>
      </w:r>
      <w:r w:rsidR="008A31F7">
        <w:t xml:space="preserve"> many teachers receive</w:t>
      </w:r>
      <w:r>
        <w:t>d</w:t>
      </w:r>
      <w:r w:rsidR="008A31F7">
        <w:t xml:space="preserve"> coaching weekly. </w:t>
      </w:r>
      <w:r w:rsidR="00F3717F">
        <w:t xml:space="preserve">Further, by </w:t>
      </w:r>
      <w:r w:rsidR="00786A1B">
        <w:t>s</w:t>
      </w:r>
      <w:r w:rsidR="00F3717F">
        <w:t>pring 2018, 70</w:t>
      </w:r>
      <w:r w:rsidR="00777F71">
        <w:t>%</w:t>
      </w:r>
      <w:r w:rsidR="00F3717F">
        <w:t xml:space="preserve"> of teachers </w:t>
      </w:r>
      <w:r w:rsidR="009E2946">
        <w:t>had advanced to the</w:t>
      </w:r>
      <w:r w:rsidR="00F3717F">
        <w:t xml:space="preserve"> Group 2 outcomes on the Teacher Pathway</w:t>
      </w:r>
      <w:r w:rsidR="009E2946">
        <w:t xml:space="preserve"> System,</w:t>
      </w:r>
      <w:r w:rsidR="00692466">
        <w:t xml:space="preserve"> including having classrooms with an engaged culture, conducting checks for understanding, and giving students access to rigor. This level of advancement on the Teacher Pathway System </w:t>
      </w:r>
      <w:r w:rsidR="009E2946">
        <w:t>indicat</w:t>
      </w:r>
      <w:r w:rsidR="00692466">
        <w:t>es</w:t>
      </w:r>
      <w:r w:rsidR="009E2946">
        <w:t xml:space="preserve"> that </w:t>
      </w:r>
      <w:r w:rsidR="00522228">
        <w:t xml:space="preserve">teachers were understanding student thinking and </w:t>
      </w:r>
      <w:r w:rsidR="009E2946">
        <w:t>student learning was occurring consistently</w:t>
      </w:r>
      <w:r w:rsidR="00F3717F">
        <w:t xml:space="preserve">. </w:t>
      </w:r>
      <w:r w:rsidR="00754C01">
        <w:t>School leaders consider t</w:t>
      </w:r>
      <w:r w:rsidR="008A31F7">
        <w:t xml:space="preserve">he DCI position critical for improving </w:t>
      </w:r>
      <w:r w:rsidR="000579FA">
        <w:t>teachers’</w:t>
      </w:r>
      <w:r w:rsidR="00F3717F">
        <w:t xml:space="preserve"> instruction </w:t>
      </w:r>
      <w:r>
        <w:t xml:space="preserve">and data use across the school, and </w:t>
      </w:r>
      <w:r w:rsidR="00754C01">
        <w:t xml:space="preserve">it </w:t>
      </w:r>
      <w:r>
        <w:t xml:space="preserve">will continue next year. </w:t>
      </w:r>
    </w:p>
    <w:p w14:paraId="0D29002C" w14:textId="77777777" w:rsidR="000F1C57" w:rsidRDefault="000F1C57" w:rsidP="000F1C57">
      <w:pPr>
        <w:pStyle w:val="Heading3"/>
      </w:pPr>
      <w:r>
        <w:lastRenderedPageBreak/>
        <w:t xml:space="preserve">Turnaround Practice 3: Student-Specific Supports and Instruction to All Students </w:t>
      </w:r>
    </w:p>
    <w:p w14:paraId="33956269" w14:textId="1BBD1F4D" w:rsidR="00E549A0" w:rsidRDefault="00E549A0" w:rsidP="001D2E80">
      <w:pPr>
        <w:pStyle w:val="BodyText"/>
      </w:pPr>
      <w:r>
        <w:t xml:space="preserve">UAH continued to work to ensure that all students received appropriate supports for their learning and success. </w:t>
      </w:r>
      <w:r w:rsidR="0021751B">
        <w:t>Teachers regularly reviewed data, at minimum twice per month with their DCI, and identified students</w:t>
      </w:r>
      <w:r w:rsidR="00754C01" w:rsidRPr="00754C01">
        <w:t xml:space="preserve"> </w:t>
      </w:r>
      <w:r w:rsidR="00754C01">
        <w:t>struggling academically</w:t>
      </w:r>
      <w:r w:rsidR="0021751B">
        <w:t xml:space="preserve">. Once a student </w:t>
      </w:r>
      <w:proofErr w:type="gramStart"/>
      <w:r w:rsidR="0021751B">
        <w:t>was identified</w:t>
      </w:r>
      <w:proofErr w:type="gramEnd"/>
      <w:r w:rsidR="00786A1B">
        <w:t xml:space="preserve"> as struggling</w:t>
      </w:r>
      <w:r w:rsidR="0021751B">
        <w:t xml:space="preserve">, the teacher worked with their DCI to develop a Tier 2 intervention plan. The intervention </w:t>
      </w:r>
      <w:proofErr w:type="gramStart"/>
      <w:r w:rsidR="0021751B">
        <w:t>was</w:t>
      </w:r>
      <w:r w:rsidR="00D6069D">
        <w:t xml:space="preserve"> implemented and</w:t>
      </w:r>
      <w:r w:rsidR="0021751B">
        <w:t xml:space="preserve"> </w:t>
      </w:r>
      <w:r w:rsidR="00D6069D">
        <w:t>monitored</w:t>
      </w:r>
      <w:r w:rsidR="0021751B">
        <w:t xml:space="preserve"> for </w:t>
      </w:r>
      <w:r w:rsidR="00777F71">
        <w:t>8</w:t>
      </w:r>
      <w:r w:rsidR="0021751B">
        <w:t xml:space="preserve"> weeks,</w:t>
      </w:r>
      <w:proofErr w:type="gramEnd"/>
      <w:r w:rsidR="0021751B">
        <w:t xml:space="preserve"> and if the student </w:t>
      </w:r>
      <w:r w:rsidR="00D6069D">
        <w:t>did</w:t>
      </w:r>
      <w:r w:rsidR="0021751B">
        <w:t xml:space="preserve"> not </w:t>
      </w:r>
      <w:r w:rsidR="00D6069D">
        <w:t>make</w:t>
      </w:r>
      <w:r w:rsidR="0021751B">
        <w:t xml:space="preserve"> adequate progress, </w:t>
      </w:r>
      <w:r w:rsidR="00D6069D">
        <w:t>a referral was made</w:t>
      </w:r>
      <w:r w:rsidR="0021751B">
        <w:t xml:space="preserve"> to the Tier 3 team. The Tier 3 team was composed of clinical workers, </w:t>
      </w:r>
      <w:r w:rsidR="00A06420">
        <w:t xml:space="preserve">the </w:t>
      </w:r>
      <w:r w:rsidR="0021751B">
        <w:t>social worker, service providers, the nurse, the student’s teacher, and the grade-level special education teacher. The Tier 3 team examine</w:t>
      </w:r>
      <w:r w:rsidR="00D6069D">
        <w:t>d</w:t>
      </w:r>
      <w:r w:rsidR="0021751B">
        <w:t xml:space="preserve"> the data to determine if a Tier 3 intervention would be appropriate for the student. If so, the student’s progress </w:t>
      </w:r>
      <w:proofErr w:type="gramStart"/>
      <w:r w:rsidR="0021751B">
        <w:t>would be monitored</w:t>
      </w:r>
      <w:proofErr w:type="gramEnd"/>
      <w:r w:rsidR="0021751B">
        <w:t xml:space="preserve"> for effectiveness in </w:t>
      </w:r>
      <w:r w:rsidR="00777F71">
        <w:t>6</w:t>
      </w:r>
      <w:r w:rsidR="0021751B">
        <w:t xml:space="preserve">- to </w:t>
      </w:r>
      <w:r w:rsidR="00777F71">
        <w:t>8</w:t>
      </w:r>
      <w:r w:rsidR="0021751B">
        <w:t xml:space="preserve">-week intervals. </w:t>
      </w:r>
    </w:p>
    <w:p w14:paraId="259CC488" w14:textId="0FED7F12" w:rsidR="00B85F1A" w:rsidRDefault="0021751B" w:rsidP="001D2E80">
      <w:pPr>
        <w:pStyle w:val="BodyText"/>
      </w:pPr>
      <w:r>
        <w:t xml:space="preserve">UAH worked to ensure that their </w:t>
      </w:r>
      <w:r w:rsidR="00777F71">
        <w:t>English language learner (</w:t>
      </w:r>
      <w:r>
        <w:t>ELL</w:t>
      </w:r>
      <w:r w:rsidR="00777F71">
        <w:t>)</w:t>
      </w:r>
      <w:r>
        <w:t xml:space="preserve"> students receive</w:t>
      </w:r>
      <w:r w:rsidR="00D6069D">
        <w:t>d</w:t>
      </w:r>
      <w:r>
        <w:t xml:space="preserve"> the supports they need</w:t>
      </w:r>
      <w:r w:rsidR="00D6069D">
        <w:t>ed</w:t>
      </w:r>
      <w:r>
        <w:t xml:space="preserve"> to </w:t>
      </w:r>
      <w:r w:rsidR="00B85F1A">
        <w:t xml:space="preserve">develop their English language skills and </w:t>
      </w:r>
      <w:r>
        <w:t xml:space="preserve">be successful. </w:t>
      </w:r>
      <w:r w:rsidR="00B85F1A">
        <w:t xml:space="preserve">UPEN </w:t>
      </w:r>
      <w:r w:rsidR="0066534B">
        <w:t>developed a newcomer curriculum</w:t>
      </w:r>
      <w:r w:rsidR="00B85F1A">
        <w:t xml:space="preserve"> to be implemented </w:t>
      </w:r>
      <w:proofErr w:type="spellStart"/>
      <w:r w:rsidR="00B85F1A">
        <w:t>networkwide</w:t>
      </w:r>
      <w:proofErr w:type="spellEnd"/>
      <w:r w:rsidR="00B85F1A">
        <w:t xml:space="preserve"> to support ELL students at</w:t>
      </w:r>
      <w:r w:rsidR="00786A1B">
        <w:t xml:space="preserve"> English language development (ELD)</w:t>
      </w:r>
      <w:r w:rsidR="00B85F1A">
        <w:t xml:space="preserve"> Level</w:t>
      </w:r>
      <w:r w:rsidR="00786A1B">
        <w:t>s</w:t>
      </w:r>
      <w:r w:rsidR="00B85F1A">
        <w:t xml:space="preserve"> 1 and 2</w:t>
      </w:r>
      <w:r w:rsidR="0066534B">
        <w:t>,</w:t>
      </w:r>
      <w:r w:rsidR="00B85F1A">
        <w:t xml:space="preserve"> as determined by ACCESS testing. UAH use</w:t>
      </w:r>
      <w:r w:rsidR="00D6069D">
        <w:t>d</w:t>
      </w:r>
      <w:r w:rsidR="00B85F1A">
        <w:t xml:space="preserve"> a model where students </w:t>
      </w:r>
      <w:proofErr w:type="gramStart"/>
      <w:r w:rsidR="00D6069D">
        <w:t>were</w:t>
      </w:r>
      <w:r w:rsidR="00B85F1A">
        <w:t xml:space="preserve"> not always grouped</w:t>
      </w:r>
      <w:proofErr w:type="gramEnd"/>
      <w:r w:rsidR="00B85F1A">
        <w:t xml:space="preserve"> by </w:t>
      </w:r>
      <w:r w:rsidR="00786A1B">
        <w:t xml:space="preserve">ELD </w:t>
      </w:r>
      <w:r w:rsidR="00B85F1A">
        <w:t xml:space="preserve">level, but </w:t>
      </w:r>
      <w:r w:rsidR="00786A1B">
        <w:t xml:space="preserve">also </w:t>
      </w:r>
      <w:r w:rsidR="00D6069D">
        <w:t>had</w:t>
      </w:r>
      <w:r w:rsidR="00B85F1A">
        <w:t xml:space="preserve"> the opportunity to learn from and interact with students who </w:t>
      </w:r>
      <w:r w:rsidR="00D6069D">
        <w:t>were</w:t>
      </w:r>
      <w:r w:rsidR="00B85F1A">
        <w:t xml:space="preserve"> at higher language levels or non-ELL students. </w:t>
      </w:r>
      <w:r w:rsidR="0066534B">
        <w:t xml:space="preserve">In classrooms </w:t>
      </w:r>
      <w:r w:rsidR="00D6069D">
        <w:t>where there were</w:t>
      </w:r>
      <w:r w:rsidR="0066534B">
        <w:t xml:space="preserve"> large numbers of ELL students </w:t>
      </w:r>
      <w:r w:rsidR="00D6069D">
        <w:t>at</w:t>
      </w:r>
      <w:r w:rsidR="0066534B">
        <w:t xml:space="preserve"> lower levels, the general education and ESL teachers co-</w:t>
      </w:r>
      <w:r w:rsidR="00D6069D">
        <w:t>taught</w:t>
      </w:r>
      <w:r w:rsidR="0066534B">
        <w:t>. To facilitate this, ESL and general education teachers plan</w:t>
      </w:r>
      <w:r w:rsidR="00D6069D">
        <w:t>ned</w:t>
      </w:r>
      <w:r w:rsidR="0066534B">
        <w:t xml:space="preserve"> lessons collaboratively. </w:t>
      </w:r>
      <w:r w:rsidR="00B85F1A">
        <w:t>Regardless of setting, ELL students receive</w:t>
      </w:r>
      <w:r w:rsidR="00D6069D">
        <w:t>d</w:t>
      </w:r>
      <w:r w:rsidR="00B85F1A">
        <w:t xml:space="preserve"> supports </w:t>
      </w:r>
      <w:r w:rsidR="00D6069D">
        <w:t>aligned</w:t>
      </w:r>
      <w:r w:rsidR="00B85F1A">
        <w:t xml:space="preserve"> with </w:t>
      </w:r>
      <w:r w:rsidR="00D6069D">
        <w:t>ESE’s</w:t>
      </w:r>
      <w:r w:rsidR="00B85F1A">
        <w:t xml:space="preserve"> guidance. </w:t>
      </w:r>
    </w:p>
    <w:p w14:paraId="6FBBDA18" w14:textId="0401E8B8" w:rsidR="00D361D4" w:rsidRDefault="00B85F1A" w:rsidP="00393329">
      <w:pPr>
        <w:pStyle w:val="BodyText"/>
      </w:pPr>
      <w:r>
        <w:t xml:space="preserve">UAH </w:t>
      </w:r>
      <w:r w:rsidR="00D6069D">
        <w:t xml:space="preserve">also </w:t>
      </w:r>
      <w:r>
        <w:t>worked to ensure that their students</w:t>
      </w:r>
      <w:r w:rsidR="00786A1B">
        <w:t xml:space="preserve"> with individual education plans </w:t>
      </w:r>
      <w:r>
        <w:t>receive</w:t>
      </w:r>
      <w:r w:rsidR="00D6069D">
        <w:t>d</w:t>
      </w:r>
      <w:r>
        <w:t xml:space="preserve"> appropriate supports for their learning, with a strong focus on the inclusion model. One of the Social and Academic Remediation (SAR) </w:t>
      </w:r>
      <w:proofErr w:type="spellStart"/>
      <w:r w:rsidR="0066534B">
        <w:t>subseparate</w:t>
      </w:r>
      <w:proofErr w:type="spellEnd"/>
      <w:r>
        <w:t xml:space="preserve"> classrooms </w:t>
      </w:r>
      <w:proofErr w:type="gramStart"/>
      <w:r>
        <w:t>was transitioned</w:t>
      </w:r>
      <w:proofErr w:type="gramEnd"/>
      <w:r>
        <w:t xml:space="preserve"> into inclusion for the 2017</w:t>
      </w:r>
      <w:r w:rsidR="00786A1B" w:rsidRPr="009D5568">
        <w:t>–</w:t>
      </w:r>
      <w:r>
        <w:t xml:space="preserve">18 school year. </w:t>
      </w:r>
      <w:r w:rsidR="00393329">
        <w:t xml:space="preserve">In addition, more students </w:t>
      </w:r>
      <w:proofErr w:type="gramStart"/>
      <w:r w:rsidR="00393329">
        <w:t>were identified</w:t>
      </w:r>
      <w:proofErr w:type="gramEnd"/>
      <w:r w:rsidR="00393329">
        <w:t xml:space="preserve"> to participate in general education classroom</w:t>
      </w:r>
      <w:r w:rsidR="00786A1B">
        <w:t>s</w:t>
      </w:r>
      <w:r w:rsidR="00393329">
        <w:t xml:space="preserve"> for the majority of the day (</w:t>
      </w:r>
      <w:r w:rsidR="003B5F64">
        <w:t xml:space="preserve">defined as a </w:t>
      </w:r>
      <w:r w:rsidR="00393329">
        <w:t>minimum of 4 hours). These shifts resulted in the need</w:t>
      </w:r>
      <w:r w:rsidR="003B5F64">
        <w:t xml:space="preserve"> for more co-taught classrooms </w:t>
      </w:r>
      <w:r w:rsidR="00393329">
        <w:t>compared to previous years. To facilitate this, special education teachers actively participate</w:t>
      </w:r>
      <w:r w:rsidR="003B5F64">
        <w:t>d</w:t>
      </w:r>
      <w:r w:rsidR="00393329">
        <w:t xml:space="preserve"> in DEAP daily, so that everyone </w:t>
      </w:r>
      <w:proofErr w:type="gramStart"/>
      <w:r w:rsidR="003B5F64">
        <w:t>was</w:t>
      </w:r>
      <w:r w:rsidR="00393329">
        <w:t xml:space="preserve"> prepared</w:t>
      </w:r>
      <w:proofErr w:type="gramEnd"/>
      <w:r w:rsidR="00393329">
        <w:t xml:space="preserve"> for the upcoming lesson. </w:t>
      </w:r>
      <w:r w:rsidR="00D361D4" w:rsidRPr="00393329">
        <w:t>Th</w:t>
      </w:r>
      <w:r w:rsidR="00AB4667" w:rsidRPr="00393329">
        <w:t>is</w:t>
      </w:r>
      <w:r w:rsidR="00D361D4" w:rsidRPr="00393329">
        <w:t xml:space="preserve"> </w:t>
      </w:r>
      <w:r w:rsidR="00AB4667" w:rsidRPr="00393329">
        <w:t>switch to inclusion</w:t>
      </w:r>
      <w:r w:rsidR="00D361D4" w:rsidRPr="00393329">
        <w:t xml:space="preserve"> </w:t>
      </w:r>
      <w:r w:rsidR="00393329" w:rsidRPr="00393329">
        <w:t xml:space="preserve">has </w:t>
      </w:r>
      <w:r w:rsidR="00587BF4">
        <w:t>been beneficial to all students at UAH</w:t>
      </w:r>
      <w:r w:rsidR="00D361D4" w:rsidRPr="00393329">
        <w:t>.</w:t>
      </w:r>
    </w:p>
    <w:p w14:paraId="27E9F28E" w14:textId="77777777" w:rsidR="000F1C57" w:rsidRDefault="000F1C57" w:rsidP="000F1C57">
      <w:pPr>
        <w:pStyle w:val="Heading3"/>
      </w:pPr>
      <w:r>
        <w:t>Turnaround Practice 4: School Climate and Culture</w:t>
      </w:r>
    </w:p>
    <w:p w14:paraId="6553F5C0" w14:textId="7AD3A246" w:rsidR="006111A4" w:rsidRDefault="006111A4" w:rsidP="006111A4">
      <w:pPr>
        <w:pStyle w:val="BodyText"/>
      </w:pPr>
      <w:r w:rsidRPr="004F69D2">
        <w:t xml:space="preserve">School leaders at UAH </w:t>
      </w:r>
      <w:r w:rsidR="00E65649" w:rsidRPr="004F69D2">
        <w:t>continued to prioritize</w:t>
      </w:r>
      <w:r w:rsidRPr="004F69D2">
        <w:t xml:space="preserve"> social-em</w:t>
      </w:r>
      <w:r w:rsidR="00E65649" w:rsidRPr="004F69D2">
        <w:t>otional learning during the 2017–18</w:t>
      </w:r>
      <w:r w:rsidRPr="004F69D2">
        <w:t xml:space="preserve"> school year. </w:t>
      </w:r>
      <w:r w:rsidR="004F69D2" w:rsidRPr="004F69D2">
        <w:rPr>
          <w:spacing w:val="-2"/>
        </w:rPr>
        <w:t xml:space="preserve">As mentioned in </w:t>
      </w:r>
      <w:r w:rsidR="00754C01">
        <w:rPr>
          <w:spacing w:val="-2"/>
        </w:rPr>
        <w:t>Turnaround Practice 1</w:t>
      </w:r>
      <w:r w:rsidR="004F69D2" w:rsidRPr="004F69D2">
        <w:rPr>
          <w:spacing w:val="-2"/>
        </w:rPr>
        <w:t xml:space="preserve">, </w:t>
      </w:r>
      <w:r w:rsidR="00754C01">
        <w:t>UAH continued to focus on R</w:t>
      </w:r>
      <w:r w:rsidRPr="004F69D2">
        <w:t xml:space="preserve">esponsive </w:t>
      </w:r>
      <w:r w:rsidR="00754C01">
        <w:t>C</w:t>
      </w:r>
      <w:r w:rsidRPr="004F69D2">
        <w:t xml:space="preserve">lassroom </w:t>
      </w:r>
      <w:r w:rsidR="004F69D2" w:rsidRPr="004F69D2">
        <w:t>this year. Social</w:t>
      </w:r>
      <w:r w:rsidR="006E6E91">
        <w:t>-</w:t>
      </w:r>
      <w:r w:rsidR="004F69D2" w:rsidRPr="004F69D2">
        <w:t xml:space="preserve">emotional support strategies </w:t>
      </w:r>
      <w:proofErr w:type="gramStart"/>
      <w:r w:rsidR="004F69D2" w:rsidRPr="004F69D2">
        <w:t>were woven</w:t>
      </w:r>
      <w:proofErr w:type="gramEnd"/>
      <w:r w:rsidR="004F69D2" w:rsidRPr="004F69D2">
        <w:t xml:space="preserve"> into instruction most commonly through morning meeting</w:t>
      </w:r>
      <w:r w:rsidR="00786A1B">
        <w:t>s</w:t>
      </w:r>
      <w:r w:rsidR="004F69D2" w:rsidRPr="004F69D2">
        <w:t xml:space="preserve"> and closing circle</w:t>
      </w:r>
      <w:r w:rsidR="00786A1B">
        <w:t>s</w:t>
      </w:r>
      <w:r w:rsidR="004F69D2" w:rsidRPr="004F69D2">
        <w:t>. New this year, the school implemented Toolbox, a Tier 1 social-</w:t>
      </w:r>
      <w:r w:rsidR="00F3717F" w:rsidRPr="004F69D2">
        <w:t>emotional</w:t>
      </w:r>
      <w:r w:rsidR="004F69D2" w:rsidRPr="004F69D2">
        <w:t xml:space="preserve"> learning program, to help students manage their behaviors</w:t>
      </w:r>
      <w:r w:rsidRPr="004F69D2">
        <w:t xml:space="preserve">. </w:t>
      </w:r>
      <w:r w:rsidR="003B5F64">
        <w:t>For next year, s</w:t>
      </w:r>
      <w:r w:rsidR="004F69D2" w:rsidRPr="004F69D2">
        <w:t>chool leaders and staff are reviewing various Tier 1 social-emotional program options</w:t>
      </w:r>
      <w:r w:rsidR="00F3717F">
        <w:t xml:space="preserve">. </w:t>
      </w:r>
      <w:r w:rsidR="004F69D2" w:rsidRPr="004F69D2">
        <w:t>The principal contacted stakeholders throughout the building to nominate potential programs and</w:t>
      </w:r>
      <w:r w:rsidR="003B5F64">
        <w:t xml:space="preserve"> is involving</w:t>
      </w:r>
      <w:r w:rsidR="004F69D2" w:rsidRPr="004F69D2">
        <w:t xml:space="preserve"> them in the research and selection process.</w:t>
      </w:r>
      <w:r w:rsidR="004F69D2">
        <w:t xml:space="preserve"> </w:t>
      </w:r>
    </w:p>
    <w:p w14:paraId="7953C11D" w14:textId="271E05DF" w:rsidR="00F3717F" w:rsidRDefault="00F3717F" w:rsidP="0014255F">
      <w:pPr>
        <w:pStyle w:val="BodyText"/>
      </w:pPr>
      <w:r w:rsidRPr="00F3717F">
        <w:t xml:space="preserve">At the beginning of the school year, </w:t>
      </w:r>
      <w:r w:rsidR="00F12A14">
        <w:t xml:space="preserve">school leaders noticed an increase in behavioral </w:t>
      </w:r>
      <w:r w:rsidR="006E6E91">
        <w:t xml:space="preserve">incidents </w:t>
      </w:r>
      <w:r w:rsidR="00F12A14">
        <w:t>among students in second and third grade</w:t>
      </w:r>
      <w:r w:rsidR="00786A1B">
        <w:t>s</w:t>
      </w:r>
      <w:r w:rsidR="00F12A14">
        <w:t xml:space="preserve">. As a result, the school piloted PBIS in these grades. </w:t>
      </w:r>
      <w:r w:rsidR="00642D4C">
        <w:lastRenderedPageBreak/>
        <w:t xml:space="preserve">This pilot allowed second and third grade students to earn “Tiger Paws” that </w:t>
      </w:r>
      <w:proofErr w:type="gramStart"/>
      <w:r w:rsidR="00642D4C">
        <w:t>were totaled</w:t>
      </w:r>
      <w:proofErr w:type="gramEnd"/>
      <w:r w:rsidR="00642D4C">
        <w:t xml:space="preserve"> across all students in the classroom to earn a whole class incentive such as a dance party. </w:t>
      </w:r>
      <w:r w:rsidR="00F12A14">
        <w:t>The remainder of the grades stayed with the previous behavior management strategies</w:t>
      </w:r>
      <w:r w:rsidR="00786A1B">
        <w:t>:</w:t>
      </w:r>
      <w:r w:rsidR="00F12A14">
        <w:t xml:space="preserve"> color sticks (for kindergarten and first grade) and the merit</w:t>
      </w:r>
      <w:r w:rsidR="00786A1B">
        <w:t xml:space="preserve"> and</w:t>
      </w:r>
      <w:r w:rsidR="00F12A14">
        <w:t xml:space="preserve"> demerit system (in fourth and fifth grade). </w:t>
      </w:r>
      <w:r w:rsidR="0014255F">
        <w:t xml:space="preserve">School leaders closely monitored behavioral data and made adjustments as needed. One of the most significant improvements in this area was the enhanced behavioral data tracking system. These refinements allowed </w:t>
      </w:r>
      <w:proofErr w:type="gramStart"/>
      <w:r w:rsidR="0014255F">
        <w:t>for school</w:t>
      </w:r>
      <w:proofErr w:type="gramEnd"/>
      <w:r w:rsidR="0014255F">
        <w:t xml:space="preserve"> leaders to identify certain challenging times of day for students, so that supports </w:t>
      </w:r>
      <w:r w:rsidR="003B5F64">
        <w:t>could</w:t>
      </w:r>
      <w:r w:rsidR="0014255F">
        <w:t xml:space="preserve"> be better targeted (e.g., recess). School leaders also focused on logical consequences to behavioral infractions, resulting in more clarity </w:t>
      </w:r>
      <w:r w:rsidR="006E6E91">
        <w:t xml:space="preserve">regarding </w:t>
      </w:r>
      <w:r w:rsidR="0014255F">
        <w:t xml:space="preserve">when it </w:t>
      </w:r>
      <w:r w:rsidR="003B5F64">
        <w:t>was</w:t>
      </w:r>
      <w:r w:rsidR="0014255F">
        <w:t xml:space="preserve"> appropriate to send</w:t>
      </w:r>
      <w:r w:rsidR="003B5F64">
        <w:t xml:space="preserve"> a student out of the classroom</w:t>
      </w:r>
      <w:r w:rsidR="0014255F">
        <w:t>. When needed, school leaders facilitated restorative conversations between the teacher and student</w:t>
      </w:r>
      <w:r w:rsidR="00587BF4">
        <w:t xml:space="preserve">. </w:t>
      </w:r>
      <w:r w:rsidR="0014255F">
        <w:t>School leaders report</w:t>
      </w:r>
      <w:r w:rsidR="003B5F64">
        <w:t>ed</w:t>
      </w:r>
      <w:r w:rsidR="0014255F">
        <w:t xml:space="preserve"> that the data show</w:t>
      </w:r>
      <w:r w:rsidR="003B5F64">
        <w:t>ed</w:t>
      </w:r>
      <w:r w:rsidR="0014255F">
        <w:t xml:space="preserve"> mixed results of the PBIS implementation, but that students </w:t>
      </w:r>
      <w:r w:rsidR="003B5F64">
        <w:t>had</w:t>
      </w:r>
      <w:r w:rsidR="0014255F">
        <w:t xml:space="preserve"> bought</w:t>
      </w:r>
      <w:r w:rsidR="006E6E91">
        <w:t xml:space="preserve"> </w:t>
      </w:r>
      <w:r w:rsidR="0014255F">
        <w:t>into this approach</w:t>
      </w:r>
      <w:r w:rsidR="00F57CB8">
        <w:t xml:space="preserve"> and </w:t>
      </w:r>
      <w:r w:rsidR="003B5F64">
        <w:t>found</w:t>
      </w:r>
      <w:r w:rsidR="00F57CB8">
        <w:t xml:space="preserve"> it motivating</w:t>
      </w:r>
      <w:r w:rsidR="003B5F64">
        <w:t xml:space="preserve"> to receive tickets</w:t>
      </w:r>
      <w:r w:rsidR="0014255F">
        <w:t xml:space="preserve">. Next year, the school will </w:t>
      </w:r>
      <w:r w:rsidR="00587BF4">
        <w:t xml:space="preserve">continue to improve implementation and </w:t>
      </w:r>
      <w:r w:rsidR="006E6E91">
        <w:t xml:space="preserve">expand </w:t>
      </w:r>
      <w:r w:rsidR="0014255F">
        <w:t>PBIS in</w:t>
      </w:r>
      <w:r w:rsidR="003B5F64">
        <w:t>to</w:t>
      </w:r>
      <w:r w:rsidR="0014255F">
        <w:t xml:space="preserve"> first grade as well.  </w:t>
      </w:r>
    </w:p>
    <w:p w14:paraId="2A490AE1" w14:textId="02257055" w:rsidR="00F57CB8" w:rsidRDefault="00100082" w:rsidP="00F15BB1">
      <w:pPr>
        <w:pStyle w:val="BodyText"/>
      </w:pPr>
      <w:r w:rsidRPr="00F57CB8">
        <w:t xml:space="preserve">UAH </w:t>
      </w:r>
      <w:r w:rsidR="00F57CB8" w:rsidRPr="00F57CB8">
        <w:t>continued to make</w:t>
      </w:r>
      <w:r w:rsidR="001D2E80" w:rsidRPr="00F57CB8">
        <w:t xml:space="preserve"> family engagement a priority by implementing a variety of initiatives to promote family involvement in the school.</w:t>
      </w:r>
      <w:r w:rsidR="00F57CB8">
        <w:t xml:space="preserve"> </w:t>
      </w:r>
      <w:r w:rsidR="00F57CB8" w:rsidRPr="00F57CB8">
        <w:t xml:space="preserve">The family and community coordinator at </w:t>
      </w:r>
      <w:r w:rsidR="00F57CB8">
        <w:t>UAH</w:t>
      </w:r>
      <w:r w:rsidR="00F57CB8" w:rsidRPr="00F57CB8">
        <w:t xml:space="preserve"> </w:t>
      </w:r>
      <w:r w:rsidR="005925AF">
        <w:t>was</w:t>
      </w:r>
      <w:r w:rsidR="00F57CB8" w:rsidRPr="00F57CB8">
        <w:t xml:space="preserve"> responsible for coordinating family events and overseeing the two family leadership </w:t>
      </w:r>
      <w:r w:rsidR="00F57CB8">
        <w:t>groups</w:t>
      </w:r>
      <w:r w:rsidR="006E6E91" w:rsidRPr="006E6E91">
        <w:rPr>
          <w:rFonts w:cstheme="minorHAnsi"/>
        </w:rPr>
        <w:t>—</w:t>
      </w:r>
      <w:r w:rsidR="00F57CB8">
        <w:t>the</w:t>
      </w:r>
      <w:r w:rsidR="00F57CB8" w:rsidRPr="00F57CB8">
        <w:t xml:space="preserve"> school site council </w:t>
      </w:r>
      <w:r w:rsidR="00F57CB8">
        <w:t>and parent council</w:t>
      </w:r>
      <w:r w:rsidR="006E6E91" w:rsidRPr="002D09DD">
        <w:rPr>
          <w:rFonts w:cstheme="minorHAnsi"/>
        </w:rPr>
        <w:t>—</w:t>
      </w:r>
      <w:r w:rsidR="00F57CB8">
        <w:t xml:space="preserve">at the school. Some of the family and community engagement activities that UAH hosted throughout the year included cookouts, monthly potlucks, curriculum nights, and a middle school fair. In the fourth quarter, the school </w:t>
      </w:r>
      <w:r w:rsidR="005925AF">
        <w:t>hosted</w:t>
      </w:r>
      <w:r w:rsidR="00F57CB8">
        <w:t xml:space="preserve"> a bake sale, field day, report card conferences, K1 moving</w:t>
      </w:r>
      <w:r w:rsidR="006E6E91">
        <w:t>-</w:t>
      </w:r>
      <w:r w:rsidR="00F57CB8">
        <w:t xml:space="preserve">up ceremony, </w:t>
      </w:r>
      <w:r w:rsidR="006E6E91">
        <w:t>fifth-</w:t>
      </w:r>
      <w:r w:rsidR="00F57CB8">
        <w:t>grade graduation, K1 orientation</w:t>
      </w:r>
      <w:r w:rsidR="006E6E91">
        <w:t>,</w:t>
      </w:r>
      <w:r w:rsidR="00F57CB8">
        <w:t xml:space="preserve"> and several </w:t>
      </w:r>
      <w:r w:rsidR="0096390B">
        <w:t xml:space="preserve">other </w:t>
      </w:r>
      <w:r w:rsidR="00F57CB8">
        <w:t xml:space="preserve">grade-specific events (e.g., </w:t>
      </w:r>
      <w:r w:rsidR="006E6E91">
        <w:t>fifth-</w:t>
      </w:r>
      <w:r w:rsidR="00F57CB8">
        <w:t xml:space="preserve">grade prom). Further, teachers </w:t>
      </w:r>
      <w:proofErr w:type="gramStart"/>
      <w:r w:rsidR="00F57CB8">
        <w:t>were expected</w:t>
      </w:r>
      <w:proofErr w:type="gramEnd"/>
      <w:r w:rsidR="00F57CB8">
        <w:t xml:space="preserve"> to communicate with families regularly, at minimum once per month. School leaders placed an increased emphasis on tracking parent outreach, and dedicated time during Wednesday professional development for teachers to </w:t>
      </w:r>
      <w:r w:rsidR="00CB49A7">
        <w:t>“drop everything and call”</w:t>
      </w:r>
      <w:r w:rsidR="00F57CB8">
        <w:t xml:space="preserve"> </w:t>
      </w:r>
      <w:r w:rsidR="006E6E91">
        <w:t xml:space="preserve">parents. </w:t>
      </w:r>
      <w:proofErr w:type="gramStart"/>
      <w:r w:rsidR="00CB49A7">
        <w:t>As a result</w:t>
      </w:r>
      <w:proofErr w:type="gramEnd"/>
      <w:r w:rsidR="00CB49A7">
        <w:t xml:space="preserve"> of these efforts, calls to parents increased from 100 per week </w:t>
      </w:r>
      <w:r w:rsidR="006E6E91">
        <w:t xml:space="preserve">before </w:t>
      </w:r>
      <w:r w:rsidR="009E2946">
        <w:t xml:space="preserve">winter break </w:t>
      </w:r>
      <w:r w:rsidR="00CB49A7">
        <w:t>to 300</w:t>
      </w:r>
      <w:r w:rsidR="0096390B" w:rsidRPr="009D5568">
        <w:t>–</w:t>
      </w:r>
      <w:r w:rsidR="00CB49A7">
        <w:t>400 per week</w:t>
      </w:r>
      <w:r w:rsidR="009E2946">
        <w:t>, starting in February 2018, when this initiative began</w:t>
      </w:r>
      <w:r w:rsidR="00CB49A7">
        <w:t xml:space="preserve">. </w:t>
      </w:r>
      <w:r w:rsidR="00F57CB8">
        <w:t xml:space="preserve">School leaders </w:t>
      </w:r>
      <w:r w:rsidR="005925AF">
        <w:t xml:space="preserve">also </w:t>
      </w:r>
      <w:r w:rsidR="00F57CB8">
        <w:t>report</w:t>
      </w:r>
      <w:r w:rsidR="005925AF">
        <w:t>ed</w:t>
      </w:r>
      <w:r w:rsidR="00F57CB8">
        <w:t xml:space="preserve"> an increase in parent engagement compared to last year. This </w:t>
      </w:r>
      <w:proofErr w:type="gramStart"/>
      <w:r w:rsidR="005925AF">
        <w:t>was</w:t>
      </w:r>
      <w:r w:rsidR="00F57CB8">
        <w:t xml:space="preserve"> reinforced</w:t>
      </w:r>
      <w:proofErr w:type="gramEnd"/>
      <w:r w:rsidR="00F57CB8">
        <w:t xml:space="preserve"> by the results of the </w:t>
      </w:r>
      <w:r w:rsidR="00B17D2D">
        <w:t>first family survey administered by UAH, which indicated that 90</w:t>
      </w:r>
      <w:r w:rsidR="006E6E91">
        <w:t>%</w:t>
      </w:r>
      <w:r w:rsidR="00B17D2D">
        <w:t xml:space="preserve"> of families believe</w:t>
      </w:r>
      <w:r w:rsidR="005925AF">
        <w:t>d that the school valued</w:t>
      </w:r>
      <w:r w:rsidR="00B17D2D">
        <w:t xml:space="preserve"> them as a partner in their child’s education. </w:t>
      </w:r>
    </w:p>
    <w:p w14:paraId="27B6A320" w14:textId="385A09E1" w:rsidR="00B10354" w:rsidRPr="001D2E80" w:rsidRDefault="00B10354" w:rsidP="001D2E80">
      <w:pPr>
        <w:pStyle w:val="BodyText"/>
      </w:pPr>
    </w:p>
    <w:sectPr w:rsidR="00B10354" w:rsidRPr="001D2E80" w:rsidSect="00D17EF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4B00" w14:textId="77777777" w:rsidR="006748B0" w:rsidRDefault="006748B0" w:rsidP="00193981">
      <w:r>
        <w:separator/>
      </w:r>
    </w:p>
  </w:endnote>
  <w:endnote w:type="continuationSeparator" w:id="0">
    <w:p w14:paraId="05E6775D" w14:textId="77777777" w:rsidR="006748B0" w:rsidRDefault="006748B0"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B378" w14:textId="119242A8" w:rsidR="00193981" w:rsidRPr="004A71DD" w:rsidRDefault="00193981" w:rsidP="00193981">
    <w:pPr>
      <w:pStyle w:val="Footer"/>
    </w:pPr>
    <w:r w:rsidRPr="004A71DD">
      <w:t>American Institutes for Research</w:t>
    </w:r>
    <w:r>
      <w:t xml:space="preserve"> </w:t>
    </w:r>
    <w:r>
      <w:ptab w:relativeTo="margin" w:alignment="right" w:leader="none"/>
    </w:r>
    <w:r>
      <w:t xml:space="preserve"> </w:t>
    </w:r>
    <w:r w:rsidR="0087399E">
      <w:t>2017–18</w:t>
    </w:r>
    <w:r w:rsidR="001D2E80" w:rsidRPr="000160AA">
      <w:t xml:space="preserve"> Level 5 School End-of-Year Report</w:t>
    </w:r>
    <w:r w:rsidRPr="004A71DD">
      <w:t>—</w:t>
    </w:r>
    <w:r w:rsidRPr="004A71DD">
      <w:fldChar w:fldCharType="begin"/>
    </w:r>
    <w:r w:rsidRPr="004A71DD">
      <w:instrText xml:space="preserve"> PAGE   \* MERGEFORMAT </w:instrText>
    </w:r>
    <w:r w:rsidRPr="004A71DD">
      <w:fldChar w:fldCharType="separate"/>
    </w:r>
    <w:r w:rsidR="00B05FB6">
      <w:rPr>
        <w:noProof/>
      </w:rPr>
      <w:t>4</w:t>
    </w:r>
    <w:r w:rsidRPr="004A71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E57E" w14:textId="1BC9B3B7" w:rsidR="00193981" w:rsidRPr="004A71DD" w:rsidRDefault="00193981" w:rsidP="00193981">
    <w:pPr>
      <w:pStyle w:val="Footer"/>
    </w:pPr>
    <w:r w:rsidRPr="004A71DD">
      <w:t>Copyright © 20</w:t>
    </w:r>
    <w:r w:rsidR="001D2E80">
      <w:t>1</w:t>
    </w:r>
    <w:r w:rsidR="0087399E">
      <w:t>8</w:t>
    </w:r>
    <w:r w:rsidRPr="004A71DD">
      <w:t xml:space="preserve"> American Institutes for Research.</w:t>
    </w:r>
    <w:r>
      <w:t xml:space="preserve"> </w:t>
    </w:r>
    <w:r w:rsidR="00777EE4">
      <w:ptab w:relativeTo="margin" w:alignment="right" w:leader="none"/>
    </w:r>
    <w:r w:rsidR="00777EE4" w:rsidRPr="000160AA">
      <w:t>20</w:t>
    </w:r>
    <w:r w:rsidR="0087399E">
      <w:t>17</w:t>
    </w:r>
    <w:r w:rsidR="001D2E80" w:rsidRPr="000160AA">
      <w:t>–1</w:t>
    </w:r>
    <w:r w:rsidR="0087399E">
      <w:t>8</w:t>
    </w:r>
    <w:r w:rsidR="001D2E80" w:rsidRPr="000160AA">
      <w:t xml:space="preserve"> Level 5 School End-of-Year Report</w:t>
    </w:r>
    <w:r w:rsidRPr="004A71DD">
      <w:t>—</w:t>
    </w:r>
    <w:r w:rsidRPr="004A71DD">
      <w:fldChar w:fldCharType="begin"/>
    </w:r>
    <w:r w:rsidRPr="004A71DD">
      <w:instrText xml:space="preserve"> PAGE   \* MERGEFORMAT </w:instrText>
    </w:r>
    <w:r w:rsidRPr="004A71DD">
      <w:fldChar w:fldCharType="separate"/>
    </w:r>
    <w:r w:rsidR="00B05FB6">
      <w:rPr>
        <w:noProof/>
      </w:rPr>
      <w:t>1</w:t>
    </w:r>
    <w:r w:rsidRPr="004A71DD">
      <w:fldChar w:fldCharType="end"/>
    </w:r>
  </w:p>
  <w:p w14:paraId="1636EB91" w14:textId="2880694C" w:rsidR="00193981" w:rsidRPr="004A71DD" w:rsidRDefault="00193981" w:rsidP="00193981">
    <w:pPr>
      <w:pStyle w:val="Footer"/>
      <w:rPr>
        <w:sz w:val="16"/>
      </w:rPr>
    </w:pPr>
    <w:r w:rsidRPr="004A71DD">
      <w:t>All rights reserved.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9442" w14:textId="77777777" w:rsidR="006748B0" w:rsidRDefault="006748B0" w:rsidP="00193981">
      <w:r>
        <w:separator/>
      </w:r>
    </w:p>
  </w:footnote>
  <w:footnote w:type="continuationSeparator" w:id="0">
    <w:p w14:paraId="252AC049" w14:textId="77777777" w:rsidR="006748B0" w:rsidRDefault="006748B0" w:rsidP="00193981">
      <w:r>
        <w:continuationSeparator/>
      </w:r>
    </w:p>
  </w:footnote>
  <w:footnote w:id="1">
    <w:p w14:paraId="3296A686" w14:textId="77777777" w:rsidR="00AE455F" w:rsidRDefault="00AE455F" w:rsidP="00AE455F">
      <w:pPr>
        <w:keepLines/>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Teachstone’s</w:t>
      </w:r>
      <w:proofErr w:type="spellEnd"/>
      <w:r>
        <w:rPr>
          <w:rFonts w:ascii="Times New Roman" w:eastAsia="Times New Roman" w:hAnsi="Times New Roman" w:cs="Times New Roman"/>
          <w:sz w:val="20"/>
          <w:szCs w:val="20"/>
        </w:rPr>
        <w:t xml:space="preserve"> website for more information: </w:t>
      </w:r>
      <w:hyperlink r:id="rId1">
        <w:r>
          <w:rPr>
            <w:rFonts w:ascii="Times New Roman" w:eastAsia="Times New Roman" w:hAnsi="Times New Roman" w:cs="Times New Roman"/>
            <w:color w:val="0000FF"/>
            <w:sz w:val="20"/>
            <w:szCs w:val="20"/>
            <w:u w:val="single"/>
          </w:rPr>
          <w:t>http://cdn2.hubspot.net/hubfs/336169/What-is-CLASS_Info_Sheet.pdf?t=1432824252621</w:t>
        </w:r>
      </w:hyperlink>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74CD" w14:textId="52F44832" w:rsidR="00193981" w:rsidRDefault="00193981" w:rsidP="00193981">
    <w:pPr>
      <w:pStyle w:val="Header"/>
      <w:spacing w:before="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EDB"/>
    <w:multiLevelType w:val="hybridMultilevel"/>
    <w:tmpl w:val="9296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2F521F9F"/>
    <w:multiLevelType w:val="multilevel"/>
    <w:tmpl w:val="F90259FE"/>
    <w:numStyleLink w:val="AIRBullet"/>
  </w:abstractNum>
  <w:abstractNum w:abstractNumId="3"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45674C68"/>
    <w:multiLevelType w:val="hybridMultilevel"/>
    <w:tmpl w:val="2CFC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2A2BBB"/>
    <w:multiLevelType w:val="multilevel"/>
    <w:tmpl w:val="F134F144"/>
    <w:numStyleLink w:val="AIRTableBullet"/>
  </w:abstractNum>
  <w:num w:numId="1">
    <w:abstractNumId w:val="4"/>
  </w:num>
  <w:num w:numId="2">
    <w:abstractNumId w:val="1"/>
  </w:num>
  <w:num w:numId="3">
    <w:abstractNumId w:val="6"/>
  </w:num>
  <w:num w:numId="4">
    <w:abstractNumId w:val="3"/>
  </w:num>
  <w:num w:numId="5">
    <w:abstractNumId w:val="2"/>
  </w:num>
  <w:num w:numId="6">
    <w:abstractNumId w:val="2"/>
  </w:num>
  <w:num w:numId="7">
    <w:abstractNumId w:val="2"/>
  </w:num>
  <w:num w:numId="8">
    <w:abstractNumId w:val="1"/>
  </w:num>
  <w:num w:numId="9">
    <w:abstractNumId w:val="7"/>
  </w:num>
  <w:num w:numId="10">
    <w:abstractNumId w:val="7"/>
  </w:num>
  <w:num w:numId="11">
    <w:abstractNumId w:val="3"/>
  </w:num>
  <w:num w:numId="12">
    <w:abstractNumId w:val="2"/>
  </w:num>
  <w:num w:numId="13">
    <w:abstractNumId w:val="2"/>
  </w:num>
  <w:num w:numId="14">
    <w:abstractNumId w:val="2"/>
  </w:num>
  <w:num w:numId="15">
    <w:abstractNumId w:val="1"/>
  </w:num>
  <w:num w:numId="16">
    <w:abstractNumId w:val="7"/>
  </w:num>
  <w:num w:numId="17">
    <w:abstractNumId w:val="7"/>
  </w:num>
  <w:num w:numId="18">
    <w:abstractNumId w:val="3"/>
  </w:num>
  <w:num w:numId="19">
    <w:abstractNumId w:val="4"/>
  </w:num>
  <w:num w:numId="20">
    <w:abstractNumId w:val="1"/>
  </w:num>
  <w:num w:numId="21">
    <w:abstractNumId w:val="6"/>
  </w:num>
  <w:num w:numId="22">
    <w:abstractNumId w:val="3"/>
  </w:num>
  <w:num w:numId="23">
    <w:abstractNumId w:val="2"/>
  </w:num>
  <w:num w:numId="24">
    <w:abstractNumId w:val="2"/>
  </w:num>
  <w:num w:numId="25">
    <w:abstractNumId w:val="2"/>
  </w:num>
  <w:num w:numId="26">
    <w:abstractNumId w:val="1"/>
  </w:num>
  <w:num w:numId="27">
    <w:abstractNumId w:val="7"/>
  </w:num>
  <w:num w:numId="28">
    <w:abstractNumId w:val="7"/>
  </w:num>
  <w:num w:numId="29">
    <w:abstractNumId w:val="3"/>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7"/>
    <w:rsid w:val="00002CB2"/>
    <w:rsid w:val="0001318E"/>
    <w:rsid w:val="00033581"/>
    <w:rsid w:val="0003644A"/>
    <w:rsid w:val="000579FA"/>
    <w:rsid w:val="00062F5C"/>
    <w:rsid w:val="00074C7C"/>
    <w:rsid w:val="00075A80"/>
    <w:rsid w:val="000B4A22"/>
    <w:rsid w:val="000C2F58"/>
    <w:rsid w:val="000D1FBE"/>
    <w:rsid w:val="000E3919"/>
    <w:rsid w:val="000E7C67"/>
    <w:rsid w:val="000F0297"/>
    <w:rsid w:val="000F1C57"/>
    <w:rsid w:val="000F32B6"/>
    <w:rsid w:val="000F4E4F"/>
    <w:rsid w:val="00100082"/>
    <w:rsid w:val="001034BC"/>
    <w:rsid w:val="00112D16"/>
    <w:rsid w:val="00113DDA"/>
    <w:rsid w:val="0012242D"/>
    <w:rsid w:val="00124EDD"/>
    <w:rsid w:val="00130C47"/>
    <w:rsid w:val="00141273"/>
    <w:rsid w:val="0014255F"/>
    <w:rsid w:val="001574CD"/>
    <w:rsid w:val="0018132C"/>
    <w:rsid w:val="00181AFB"/>
    <w:rsid w:val="00192377"/>
    <w:rsid w:val="00193981"/>
    <w:rsid w:val="00195E31"/>
    <w:rsid w:val="001A550E"/>
    <w:rsid w:val="001B28C2"/>
    <w:rsid w:val="001D2E80"/>
    <w:rsid w:val="001D7FF0"/>
    <w:rsid w:val="001E0E5B"/>
    <w:rsid w:val="001E67AD"/>
    <w:rsid w:val="001E7484"/>
    <w:rsid w:val="001F54C0"/>
    <w:rsid w:val="001F7E00"/>
    <w:rsid w:val="0021751B"/>
    <w:rsid w:val="0022122B"/>
    <w:rsid w:val="0023135D"/>
    <w:rsid w:val="00231BF0"/>
    <w:rsid w:val="00245F41"/>
    <w:rsid w:val="00294D38"/>
    <w:rsid w:val="002C2592"/>
    <w:rsid w:val="002C4DE2"/>
    <w:rsid w:val="002F6261"/>
    <w:rsid w:val="003014EC"/>
    <w:rsid w:val="00315592"/>
    <w:rsid w:val="003373DB"/>
    <w:rsid w:val="00337E34"/>
    <w:rsid w:val="00340168"/>
    <w:rsid w:val="003431CE"/>
    <w:rsid w:val="003445AF"/>
    <w:rsid w:val="00376286"/>
    <w:rsid w:val="00382607"/>
    <w:rsid w:val="0039021C"/>
    <w:rsid w:val="0039186C"/>
    <w:rsid w:val="00393329"/>
    <w:rsid w:val="00393D6A"/>
    <w:rsid w:val="003A51B2"/>
    <w:rsid w:val="003B5F64"/>
    <w:rsid w:val="003C1511"/>
    <w:rsid w:val="003D1AD8"/>
    <w:rsid w:val="003D48F3"/>
    <w:rsid w:val="003E0FB7"/>
    <w:rsid w:val="003E4605"/>
    <w:rsid w:val="00450A0E"/>
    <w:rsid w:val="004570F3"/>
    <w:rsid w:val="00472F09"/>
    <w:rsid w:val="004936FB"/>
    <w:rsid w:val="004B3320"/>
    <w:rsid w:val="004D5EC3"/>
    <w:rsid w:val="004D6887"/>
    <w:rsid w:val="004E6B51"/>
    <w:rsid w:val="004F5E2C"/>
    <w:rsid w:val="004F69D2"/>
    <w:rsid w:val="005057A8"/>
    <w:rsid w:val="00522228"/>
    <w:rsid w:val="00556597"/>
    <w:rsid w:val="00557816"/>
    <w:rsid w:val="00574F2F"/>
    <w:rsid w:val="00582FB5"/>
    <w:rsid w:val="00587BF4"/>
    <w:rsid w:val="00591780"/>
    <w:rsid w:val="005925AF"/>
    <w:rsid w:val="0059339A"/>
    <w:rsid w:val="005B2072"/>
    <w:rsid w:val="005B7D0C"/>
    <w:rsid w:val="005C32EF"/>
    <w:rsid w:val="005C798A"/>
    <w:rsid w:val="005D34EB"/>
    <w:rsid w:val="005F1BCB"/>
    <w:rsid w:val="005F2A2A"/>
    <w:rsid w:val="00603EE9"/>
    <w:rsid w:val="00610456"/>
    <w:rsid w:val="006111A4"/>
    <w:rsid w:val="00612D0B"/>
    <w:rsid w:val="0062136F"/>
    <w:rsid w:val="006417C9"/>
    <w:rsid w:val="00642D4C"/>
    <w:rsid w:val="006444AB"/>
    <w:rsid w:val="00651031"/>
    <w:rsid w:val="00652DAB"/>
    <w:rsid w:val="0066534B"/>
    <w:rsid w:val="006653E2"/>
    <w:rsid w:val="006748B0"/>
    <w:rsid w:val="00692466"/>
    <w:rsid w:val="006D0449"/>
    <w:rsid w:val="006E3E68"/>
    <w:rsid w:val="006E6E91"/>
    <w:rsid w:val="00725F3F"/>
    <w:rsid w:val="0073067D"/>
    <w:rsid w:val="00754C01"/>
    <w:rsid w:val="00763430"/>
    <w:rsid w:val="00776454"/>
    <w:rsid w:val="00777EE4"/>
    <w:rsid w:val="00777F71"/>
    <w:rsid w:val="0078298C"/>
    <w:rsid w:val="00786A1B"/>
    <w:rsid w:val="00792F42"/>
    <w:rsid w:val="00794DAA"/>
    <w:rsid w:val="007C30BB"/>
    <w:rsid w:val="007D6483"/>
    <w:rsid w:val="007F04D5"/>
    <w:rsid w:val="007F3BAE"/>
    <w:rsid w:val="00810488"/>
    <w:rsid w:val="00812065"/>
    <w:rsid w:val="0082342C"/>
    <w:rsid w:val="0082526B"/>
    <w:rsid w:val="00827A59"/>
    <w:rsid w:val="00850FC3"/>
    <w:rsid w:val="008628BE"/>
    <w:rsid w:val="00864A21"/>
    <w:rsid w:val="0087399E"/>
    <w:rsid w:val="00881146"/>
    <w:rsid w:val="008968D9"/>
    <w:rsid w:val="008A31F7"/>
    <w:rsid w:val="008A5227"/>
    <w:rsid w:val="008B0266"/>
    <w:rsid w:val="008C2D1C"/>
    <w:rsid w:val="008C4942"/>
    <w:rsid w:val="008D404F"/>
    <w:rsid w:val="0091142A"/>
    <w:rsid w:val="0091343E"/>
    <w:rsid w:val="00925E6B"/>
    <w:rsid w:val="00927A87"/>
    <w:rsid w:val="009316A0"/>
    <w:rsid w:val="00934988"/>
    <w:rsid w:val="00940481"/>
    <w:rsid w:val="00945794"/>
    <w:rsid w:val="0096390B"/>
    <w:rsid w:val="00973587"/>
    <w:rsid w:val="009835D1"/>
    <w:rsid w:val="00994AE3"/>
    <w:rsid w:val="009B7463"/>
    <w:rsid w:val="009D092A"/>
    <w:rsid w:val="009D0CA1"/>
    <w:rsid w:val="009D23F7"/>
    <w:rsid w:val="009D434A"/>
    <w:rsid w:val="009D5362"/>
    <w:rsid w:val="009D5568"/>
    <w:rsid w:val="009D6BE6"/>
    <w:rsid w:val="009E2946"/>
    <w:rsid w:val="009E4CBC"/>
    <w:rsid w:val="009F3639"/>
    <w:rsid w:val="00A01125"/>
    <w:rsid w:val="00A0185E"/>
    <w:rsid w:val="00A06420"/>
    <w:rsid w:val="00A109F0"/>
    <w:rsid w:val="00A23A1E"/>
    <w:rsid w:val="00A37AAE"/>
    <w:rsid w:val="00A60161"/>
    <w:rsid w:val="00A715CA"/>
    <w:rsid w:val="00A74C48"/>
    <w:rsid w:val="00A81379"/>
    <w:rsid w:val="00A936F2"/>
    <w:rsid w:val="00AA428D"/>
    <w:rsid w:val="00AA44F6"/>
    <w:rsid w:val="00AA56E3"/>
    <w:rsid w:val="00AB4667"/>
    <w:rsid w:val="00AB684B"/>
    <w:rsid w:val="00AC1075"/>
    <w:rsid w:val="00AC3F9E"/>
    <w:rsid w:val="00AE455F"/>
    <w:rsid w:val="00B00CFA"/>
    <w:rsid w:val="00B01871"/>
    <w:rsid w:val="00B05FB6"/>
    <w:rsid w:val="00B07C46"/>
    <w:rsid w:val="00B10354"/>
    <w:rsid w:val="00B16B34"/>
    <w:rsid w:val="00B17D2D"/>
    <w:rsid w:val="00B21F3C"/>
    <w:rsid w:val="00B3254E"/>
    <w:rsid w:val="00B33C95"/>
    <w:rsid w:val="00B36D87"/>
    <w:rsid w:val="00B56A7C"/>
    <w:rsid w:val="00B65102"/>
    <w:rsid w:val="00B660E9"/>
    <w:rsid w:val="00B85F1A"/>
    <w:rsid w:val="00B9373C"/>
    <w:rsid w:val="00BA73E0"/>
    <w:rsid w:val="00BB0205"/>
    <w:rsid w:val="00BB3564"/>
    <w:rsid w:val="00BC1E9C"/>
    <w:rsid w:val="00C0560F"/>
    <w:rsid w:val="00C20B4B"/>
    <w:rsid w:val="00C22E3D"/>
    <w:rsid w:val="00C36F06"/>
    <w:rsid w:val="00C41FA7"/>
    <w:rsid w:val="00C44955"/>
    <w:rsid w:val="00C73D58"/>
    <w:rsid w:val="00C75E84"/>
    <w:rsid w:val="00C82E4C"/>
    <w:rsid w:val="00C979EE"/>
    <w:rsid w:val="00CB0DD8"/>
    <w:rsid w:val="00CB49A7"/>
    <w:rsid w:val="00CC472F"/>
    <w:rsid w:val="00CC48EA"/>
    <w:rsid w:val="00CD52EB"/>
    <w:rsid w:val="00CE2734"/>
    <w:rsid w:val="00CE4094"/>
    <w:rsid w:val="00CE7E91"/>
    <w:rsid w:val="00CF09F3"/>
    <w:rsid w:val="00CF1BE3"/>
    <w:rsid w:val="00CF364E"/>
    <w:rsid w:val="00D17EF8"/>
    <w:rsid w:val="00D23224"/>
    <w:rsid w:val="00D273A6"/>
    <w:rsid w:val="00D31E67"/>
    <w:rsid w:val="00D361D4"/>
    <w:rsid w:val="00D3763C"/>
    <w:rsid w:val="00D44785"/>
    <w:rsid w:val="00D45E80"/>
    <w:rsid w:val="00D52E20"/>
    <w:rsid w:val="00D6069D"/>
    <w:rsid w:val="00D80336"/>
    <w:rsid w:val="00D90484"/>
    <w:rsid w:val="00D932F2"/>
    <w:rsid w:val="00D93993"/>
    <w:rsid w:val="00D9450B"/>
    <w:rsid w:val="00DB6494"/>
    <w:rsid w:val="00DB66E5"/>
    <w:rsid w:val="00DD10FE"/>
    <w:rsid w:val="00DD300B"/>
    <w:rsid w:val="00DD4F69"/>
    <w:rsid w:val="00DF435C"/>
    <w:rsid w:val="00DF70F0"/>
    <w:rsid w:val="00E01FDE"/>
    <w:rsid w:val="00E07AC0"/>
    <w:rsid w:val="00E264D2"/>
    <w:rsid w:val="00E32DB0"/>
    <w:rsid w:val="00E37B60"/>
    <w:rsid w:val="00E549A0"/>
    <w:rsid w:val="00E61840"/>
    <w:rsid w:val="00E620B4"/>
    <w:rsid w:val="00E65649"/>
    <w:rsid w:val="00E8586D"/>
    <w:rsid w:val="00EA4A72"/>
    <w:rsid w:val="00EB6639"/>
    <w:rsid w:val="00EC40EE"/>
    <w:rsid w:val="00ED1EAD"/>
    <w:rsid w:val="00ED406F"/>
    <w:rsid w:val="00ED6B66"/>
    <w:rsid w:val="00EE4994"/>
    <w:rsid w:val="00EF6169"/>
    <w:rsid w:val="00EF69CE"/>
    <w:rsid w:val="00F11189"/>
    <w:rsid w:val="00F12A14"/>
    <w:rsid w:val="00F15BB1"/>
    <w:rsid w:val="00F33B9B"/>
    <w:rsid w:val="00F3717F"/>
    <w:rsid w:val="00F51643"/>
    <w:rsid w:val="00F57CB8"/>
    <w:rsid w:val="00F85FDF"/>
    <w:rsid w:val="00FC25D0"/>
    <w:rsid w:val="00FD5012"/>
    <w:rsid w:val="00FE424A"/>
    <w:rsid w:val="00FF6323"/>
    <w:rsid w:val="00FF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C6F5"/>
  <w15:docId w15:val="{D933FB96-F5DA-4673-B0BA-974179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80"/>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rPr>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rPr>
      <w:rFonts w:ascii="Tahoma"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rPr>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pPr>
    <w:rPr>
      <w:rFonts w:asciiTheme="majorHAnsi"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E80"/>
    <w:pPr>
      <w:ind w:left="720"/>
      <w:contextualSpacing/>
    </w:pPr>
  </w:style>
  <w:style w:type="paragraph" w:customStyle="1" w:styleId="Normal1">
    <w:name w:val="Normal1"/>
    <w:rsid w:val="001D2E80"/>
    <w:pPr>
      <w:spacing w:after="160" w:line="259"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E32DB0"/>
    <w:pPr>
      <w:spacing w:line="240" w:lineRule="auto"/>
    </w:pPr>
    <w:rPr>
      <w:b/>
      <w:bCs/>
    </w:rPr>
  </w:style>
  <w:style w:type="character" w:customStyle="1" w:styleId="CommentSubjectChar">
    <w:name w:val="Comment Subject Char"/>
    <w:basedOn w:val="CommentTextChar"/>
    <w:link w:val="CommentSubject"/>
    <w:uiPriority w:val="99"/>
    <w:semiHidden/>
    <w:rsid w:val="00E32DB0"/>
    <w:rPr>
      <w:rFonts w:eastAsiaTheme="minorHAnsi"/>
      <w:b/>
      <w:bCs/>
      <w:sz w:val="20"/>
      <w:szCs w:val="20"/>
    </w:rPr>
  </w:style>
  <w:style w:type="paragraph" w:customStyle="1" w:styleId="Default">
    <w:name w:val="Default"/>
    <w:rsid w:val="008B026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E3E68"/>
    <w:rPr>
      <w:color w:val="800080" w:themeColor="followedHyperlink"/>
      <w:u w:val="single"/>
    </w:rPr>
  </w:style>
  <w:style w:type="paragraph" w:styleId="Revision">
    <w:name w:val="Revision"/>
    <w:hidden/>
    <w:uiPriority w:val="99"/>
    <w:semiHidden/>
    <w:rsid w:val="001E74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47">
      <w:bodyDiv w:val="1"/>
      <w:marLeft w:val="0"/>
      <w:marRight w:val="0"/>
      <w:marTop w:val="0"/>
      <w:marBottom w:val="0"/>
      <w:divBdr>
        <w:top w:val="none" w:sz="0" w:space="0" w:color="auto"/>
        <w:left w:val="none" w:sz="0" w:space="0" w:color="auto"/>
        <w:bottom w:val="none" w:sz="0" w:space="0" w:color="auto"/>
        <w:right w:val="none" w:sz="0" w:space="0" w:color="auto"/>
      </w:divBdr>
    </w:div>
    <w:div w:id="23868447">
      <w:bodyDiv w:val="1"/>
      <w:marLeft w:val="0"/>
      <w:marRight w:val="0"/>
      <w:marTop w:val="0"/>
      <w:marBottom w:val="0"/>
      <w:divBdr>
        <w:top w:val="none" w:sz="0" w:space="0" w:color="auto"/>
        <w:left w:val="none" w:sz="0" w:space="0" w:color="auto"/>
        <w:bottom w:val="none" w:sz="0" w:space="0" w:color="auto"/>
        <w:right w:val="none" w:sz="0" w:space="0" w:color="auto"/>
      </w:divBdr>
    </w:div>
    <w:div w:id="379014910">
      <w:bodyDiv w:val="1"/>
      <w:marLeft w:val="0"/>
      <w:marRight w:val="0"/>
      <w:marTop w:val="0"/>
      <w:marBottom w:val="0"/>
      <w:divBdr>
        <w:top w:val="none" w:sz="0" w:space="0" w:color="auto"/>
        <w:left w:val="none" w:sz="0" w:space="0" w:color="auto"/>
        <w:bottom w:val="none" w:sz="0" w:space="0" w:color="auto"/>
        <w:right w:val="none" w:sz="0" w:space="0" w:color="auto"/>
      </w:divBdr>
    </w:div>
    <w:div w:id="926886352">
      <w:bodyDiv w:val="1"/>
      <w:marLeft w:val="0"/>
      <w:marRight w:val="0"/>
      <w:marTop w:val="0"/>
      <w:marBottom w:val="0"/>
      <w:divBdr>
        <w:top w:val="none" w:sz="0" w:space="0" w:color="auto"/>
        <w:left w:val="none" w:sz="0" w:space="0" w:color="auto"/>
        <w:bottom w:val="none" w:sz="0" w:space="0" w:color="auto"/>
        <w:right w:val="none" w:sz="0" w:space="0" w:color="auto"/>
      </w:divBdr>
    </w:div>
    <w:div w:id="1215695006">
      <w:bodyDiv w:val="1"/>
      <w:marLeft w:val="0"/>
      <w:marRight w:val="0"/>
      <w:marTop w:val="0"/>
      <w:marBottom w:val="0"/>
      <w:divBdr>
        <w:top w:val="none" w:sz="0" w:space="0" w:color="auto"/>
        <w:left w:val="none" w:sz="0" w:space="0" w:color="auto"/>
        <w:bottom w:val="none" w:sz="0" w:space="0" w:color="auto"/>
        <w:right w:val="none" w:sz="0" w:space="0" w:color="auto"/>
      </w:divBdr>
    </w:div>
    <w:div w:id="1325544784">
      <w:bodyDiv w:val="1"/>
      <w:marLeft w:val="0"/>
      <w:marRight w:val="0"/>
      <w:marTop w:val="0"/>
      <w:marBottom w:val="0"/>
      <w:divBdr>
        <w:top w:val="none" w:sz="0" w:space="0" w:color="auto"/>
        <w:left w:val="none" w:sz="0" w:space="0" w:color="auto"/>
        <w:bottom w:val="none" w:sz="0" w:space="0" w:color="auto"/>
        <w:right w:val="none" w:sz="0" w:space="0" w:color="auto"/>
      </w:divBdr>
    </w:div>
    <w:div w:id="1338382718">
      <w:bodyDiv w:val="1"/>
      <w:marLeft w:val="0"/>
      <w:marRight w:val="0"/>
      <w:marTop w:val="0"/>
      <w:marBottom w:val="0"/>
      <w:divBdr>
        <w:top w:val="none" w:sz="0" w:space="0" w:color="auto"/>
        <w:left w:val="none" w:sz="0" w:space="0" w:color="auto"/>
        <w:bottom w:val="none" w:sz="0" w:space="0" w:color="auto"/>
        <w:right w:val="none" w:sz="0" w:space="0" w:color="auto"/>
      </w:divBdr>
    </w:div>
    <w:div w:id="1426997425">
      <w:bodyDiv w:val="1"/>
      <w:marLeft w:val="0"/>
      <w:marRight w:val="0"/>
      <w:marTop w:val="0"/>
      <w:marBottom w:val="0"/>
      <w:divBdr>
        <w:top w:val="none" w:sz="0" w:space="0" w:color="auto"/>
        <w:left w:val="none" w:sz="0" w:space="0" w:color="auto"/>
        <w:bottom w:val="none" w:sz="0" w:space="0" w:color="auto"/>
        <w:right w:val="none" w:sz="0" w:space="0" w:color="auto"/>
      </w:divBdr>
    </w:div>
    <w:div w:id="1569876159">
      <w:bodyDiv w:val="1"/>
      <w:marLeft w:val="0"/>
      <w:marRight w:val="0"/>
      <w:marTop w:val="0"/>
      <w:marBottom w:val="0"/>
      <w:divBdr>
        <w:top w:val="none" w:sz="0" w:space="0" w:color="auto"/>
        <w:left w:val="none" w:sz="0" w:space="0" w:color="auto"/>
        <w:bottom w:val="none" w:sz="0" w:space="0" w:color="auto"/>
        <w:right w:val="none" w:sz="0" w:space="0" w:color="auto"/>
      </w:divBdr>
    </w:div>
    <w:div w:id="1694376595">
      <w:bodyDiv w:val="1"/>
      <w:marLeft w:val="0"/>
      <w:marRight w:val="0"/>
      <w:marTop w:val="0"/>
      <w:marBottom w:val="0"/>
      <w:divBdr>
        <w:top w:val="none" w:sz="0" w:space="0" w:color="auto"/>
        <w:left w:val="none" w:sz="0" w:space="0" w:color="auto"/>
        <w:bottom w:val="none" w:sz="0" w:space="0" w:color="auto"/>
        <w:right w:val="none" w:sz="0" w:space="0" w:color="auto"/>
      </w:divBdr>
    </w:div>
    <w:div w:id="1830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DESE-231-42624</_dlc_DocId>
    <_dlc_DocIdUrl xmlns="733efe1c-5bbe-4968-87dc-d400e65c879f">
      <Url>https://sharepoint.doemass.org/ese/webteam/cps/_layouts/DocIdRedir.aspx?ID=DESE-231-42624</Url>
      <Description>DESE-231-42624</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EBE3CA-0A87-4D60-9673-D45B50586FFE}">
  <ds:schemaRefs>
    <ds:schemaRef ds:uri="http://schemas.microsoft.com/sharepoint/events"/>
  </ds:schemaRefs>
</ds:datastoreItem>
</file>

<file path=customXml/itemProps2.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A1494C0B-D817-408A-95D7-611456F9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88F47-FF73-4C15-BEDD-AE129F19E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BESE June 2018 Item 1 Attachment - UP Holland Report</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 Attach: UP Holland Report</dc:title>
  <dc:subject/>
  <dc:creator>DESE</dc:creator>
  <cp:lastModifiedBy>Zou, Dong</cp:lastModifiedBy>
  <cp:revision>4</cp:revision>
  <cp:lastPrinted>2018-06-01T16:29:00Z</cp:lastPrinted>
  <dcterms:created xsi:type="dcterms:W3CDTF">2018-06-08T21:31:00Z</dcterms:created>
  <dcterms:modified xsi:type="dcterms:W3CDTF">2018-06-18T19:29:00Z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2018</vt:lpwstr>
  </property>
</Properties>
</file>